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11" w:lineRule="exact"/>
        <w:rPr>
          <w:sz w:val="24"/>
          <w:szCs w:val="24"/>
          <w:color w:val="auto"/>
        </w:rPr>
      </w:pPr>
    </w:p>
    <w:p>
      <w:pPr>
        <w:ind w:left="4140" w:right="3520" w:hanging="4116"/>
        <w:spacing w:after="0" w:line="429" w:lineRule="auto"/>
        <w:tabs>
          <w:tab w:leader="none" w:pos="519"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April 30, 2025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258" w:lineRule="exact"/>
        <w:rPr>
          <w:sz w:val="24"/>
          <w:szCs w:val="24"/>
          <w:color w:val="auto"/>
        </w:rPr>
      </w:pPr>
    </w:p>
    <w:p>
      <w:pPr>
        <w:ind w:left="3940" w:right="3520" w:hanging="3916"/>
        <w:spacing w:after="0" w:line="423" w:lineRule="auto"/>
        <w:tabs>
          <w:tab w:leader="none" w:pos="528"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 to ________</w:t>
      </w:r>
    </w:p>
    <w:p>
      <w:pPr>
        <w:ind w:left="4460"/>
        <w:spacing w:after="0"/>
        <w:rPr>
          <w:rFonts w:ascii="MS PGothic" w:cs="MS PGothic" w:eastAsia="MS PGothic" w:hAnsi="MS PGothic"/>
          <w:sz w:val="17"/>
          <w:szCs w:val="17"/>
          <w:color w:val="auto"/>
        </w:rPr>
      </w:pPr>
      <w:r>
        <w:rPr>
          <w:rFonts w:ascii="Arial" w:cs="Arial" w:eastAsia="Arial" w:hAnsi="Arial"/>
          <w:sz w:val="14"/>
          <w:szCs w:val="14"/>
          <w:b w:val="1"/>
          <w:bCs w:val="1"/>
          <w:color w:val="auto"/>
        </w:rPr>
        <w:t>Commission file number 001-40958</w:t>
      </w:r>
    </w:p>
    <w:p>
      <w:pPr>
        <w:spacing w:after="0" w:line="157" w:lineRule="exact"/>
        <w:rPr>
          <w:rFonts w:ascii="MS PGothic" w:cs="MS PGothic" w:eastAsia="MS PGothic" w:hAnsi="MS PGothic"/>
          <w:sz w:val="17"/>
          <w:szCs w:val="17"/>
          <w:color w:val="auto"/>
        </w:rPr>
      </w:pPr>
    </w:p>
    <w:p>
      <w:pPr>
        <w:ind w:left="4660"/>
        <w:spacing w:after="0"/>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____________________________</w:t>
      </w:r>
    </w:p>
    <w:p>
      <w:pPr>
        <w:spacing w:after="0" w:line="1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RENT THE RUNWAY, INC.</w:t>
      </w:r>
    </w:p>
    <w:p>
      <w:pPr>
        <w:spacing w:after="0" w:line="4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8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300"/>
          </w:cols>
          <w:pgMar w:left="300" w:top="1008" w:right="299" w:bottom="1440" w:gutter="0" w:footer="0" w:header="0"/>
        </w:sectPr>
      </w:pPr>
    </w:p>
    <w:p>
      <w:pPr>
        <w:spacing w:after="0" w:line="21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35502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95" w:lineRule="exact"/>
        <w:rPr>
          <w:sz w:val="24"/>
          <w:szCs w:val="24"/>
          <w:color w:val="auto"/>
        </w:rPr>
      </w:pPr>
    </w:p>
    <w:p>
      <w:pPr>
        <w:ind w:left="1920"/>
        <w:spacing w:after="0"/>
        <w:rPr>
          <w:sz w:val="20"/>
          <w:szCs w:val="20"/>
          <w:color w:val="auto"/>
        </w:rPr>
      </w:pPr>
      <w:r>
        <w:rPr>
          <w:rFonts w:ascii="Arial" w:cs="Arial" w:eastAsia="Arial" w:hAnsi="Arial"/>
          <w:sz w:val="14"/>
          <w:szCs w:val="14"/>
          <w:color w:val="auto"/>
        </w:rPr>
        <w:t>(State or other jurisdiction of</w:t>
      </w:r>
    </w:p>
    <w:p>
      <w:pPr>
        <w:spacing w:after="0" w:line="30"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incorporation or organization)</w:t>
      </w:r>
    </w:p>
    <w:p>
      <w:pPr>
        <w:spacing w:after="0" w:line="94"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10 Jay Street</w:t>
      </w:r>
    </w:p>
    <w:p>
      <w:pPr>
        <w:spacing w:after="0" w:line="23" w:lineRule="exact"/>
        <w:rPr>
          <w:sz w:val="24"/>
          <w:szCs w:val="24"/>
          <w:color w:val="auto"/>
        </w:rPr>
      </w:pPr>
    </w:p>
    <w:p>
      <w:pPr>
        <w:jc w:val="center"/>
        <w:ind w:right="1620"/>
        <w:spacing w:after="0"/>
        <w:rPr>
          <w:sz w:val="20"/>
          <w:szCs w:val="20"/>
          <w:color w:val="auto"/>
        </w:rPr>
      </w:pPr>
      <w:r>
        <w:rPr>
          <w:rFonts w:ascii="Arial" w:cs="Arial" w:eastAsia="Arial" w:hAnsi="Arial"/>
          <w:sz w:val="14"/>
          <w:szCs w:val="14"/>
          <w:b w:val="1"/>
          <w:bCs w:val="1"/>
          <w:color w:val="auto"/>
        </w:rPr>
        <w:t>Brooklyn, New York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5502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28" w:lineRule="exact"/>
        <w:rPr>
          <w:sz w:val="24"/>
          <w:szCs w:val="24"/>
          <w:color w:val="auto"/>
        </w:rPr>
      </w:pPr>
    </w:p>
    <w:p>
      <w:pPr>
        <w:ind w:left="156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80-0376379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68580</wp:posOffset>
            </wp:positionV>
            <wp:extent cx="35572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37" w:lineRule="exact"/>
        <w:rPr>
          <w:sz w:val="24"/>
          <w:szCs w:val="24"/>
          <w:color w:val="auto"/>
        </w:rPr>
      </w:pPr>
    </w:p>
    <w:p>
      <w:pPr>
        <w:ind w:left="20"/>
        <w:spacing w:after="0"/>
        <w:rPr>
          <w:sz w:val="20"/>
          <w:szCs w:val="20"/>
          <w:color w:val="auto"/>
        </w:rPr>
      </w:pPr>
      <w:r>
        <w:rPr>
          <w:rFonts w:ascii="Arial" w:cs="Arial" w:eastAsia="Arial" w:hAnsi="Arial"/>
          <w:sz w:val="14"/>
          <w:szCs w:val="14"/>
          <w:color w:val="auto"/>
        </w:rPr>
        <w:t>(I.R.S. Employer</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179" w:lineRule="exact"/>
        <w:rPr>
          <w:sz w:val="24"/>
          <w:szCs w:val="24"/>
          <w:color w:val="auto"/>
        </w:rPr>
      </w:pPr>
    </w:p>
    <w:p>
      <w:pPr>
        <w:jc w:val="center"/>
        <w:ind w:right="2260"/>
        <w:spacing w:after="0"/>
        <w:rPr>
          <w:sz w:val="20"/>
          <w:szCs w:val="20"/>
          <w:color w:val="auto"/>
        </w:rPr>
      </w:pPr>
      <w:r>
        <w:rPr>
          <w:rFonts w:ascii="Arial" w:cs="Arial" w:eastAsia="Arial" w:hAnsi="Arial"/>
          <w:sz w:val="14"/>
          <w:szCs w:val="14"/>
          <w:b w:val="1"/>
          <w:bCs w:val="1"/>
          <w:color w:val="auto"/>
        </w:rPr>
        <w:t>11201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-1433830</wp:posOffset>
            </wp:positionH>
            <wp:positionV relativeFrom="paragraph">
              <wp:posOffset>82550</wp:posOffset>
            </wp:positionV>
            <wp:extent cx="35572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7270" cy="6985"/>
                    </a:xfrm>
                    <a:prstGeom prst="rect">
                      <a:avLst/>
                    </a:prstGeom>
                    <a:noFill/>
                  </pic:spPr>
                </pic:pic>
              </a:graphicData>
            </a:graphic>
          </wp:anchor>
        </w:drawing>
      </w:r>
    </w:p>
    <w:p>
      <w:pPr>
        <w:spacing w:after="0" w:line="159" w:lineRule="exact"/>
        <w:rPr>
          <w:sz w:val="24"/>
          <w:szCs w:val="24"/>
          <w:color w:val="auto"/>
        </w:rPr>
      </w:pPr>
    </w:p>
    <w:p>
      <w:pPr>
        <w:ind w:left="2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220" w:space="720"/>
            <w:col w:w="3360"/>
          </w:cols>
          <w:pgMar w:left="300" w:top="1008" w:right="299" w:bottom="1440" w:gutter="0" w:footer="0" w:header="0"/>
          <w:type w:val="continuous"/>
        </w:sectPr>
      </w:pPr>
    </w:p>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(212) 524-6860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13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73" w:lineRule="exact"/>
        <w:rPr>
          <w:sz w:val="24"/>
          <w:szCs w:val="24"/>
          <w:color w:val="auto"/>
        </w:rPr>
      </w:pPr>
    </w:p>
    <w:tbl>
      <w:tblPr>
        <w:tblLayout w:type="fixed"/>
        <w:tblInd w:w="10" w:type="dxa"/>
        <w:tblCellMar>
          <w:top w:w="0" w:type="dxa"/>
          <w:left w:w="0" w:type="dxa"/>
          <w:bottom w:w="0" w:type="dxa"/>
          <w:right w:w="0" w:type="dxa"/>
        </w:tblCellMar>
      </w:tblPr>
      <w:tr>
        <w:trPr>
          <w:trHeight w:val="191"/>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71"/>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Class A common stock, par value $0.001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RENT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5700" w:type="dxa"/>
            <w:vAlign w:val="bottom"/>
          </w:tcPr>
          <w:p>
            <w:pPr>
              <w:jc w:val="right"/>
              <w:spacing w:after="0"/>
              <w:rPr>
                <w:sz w:val="20"/>
                <w:szCs w:val="20"/>
                <w:color w:val="auto"/>
              </w:rPr>
            </w:pPr>
            <w:r>
              <w:rPr>
                <w:rFonts w:ascii="Arial" w:cs="Arial" w:eastAsia="Arial" w:hAnsi="Arial"/>
                <w:sz w:val="14"/>
                <w:szCs w:val="14"/>
                <w:color w:val="auto"/>
              </w:rPr>
              <w:t>months (or for such shorter period that the registrant was required to file such reports); and</w:t>
            </w:r>
          </w:p>
        </w:tc>
        <w:tc>
          <w:tcPr>
            <w:tcW w:w="5580" w:type="dxa"/>
            <w:vAlign w:val="bottom"/>
          </w:tcPr>
          <w:p>
            <w:pPr>
              <w:ind w:left="20"/>
              <w:spacing w:after="0" w:line="184" w:lineRule="exact"/>
              <w:rPr>
                <w:sz w:val="20"/>
                <w:szCs w:val="20"/>
                <w:color w:val="auto"/>
              </w:rPr>
            </w:pPr>
            <w:r>
              <w:rPr>
                <w:rFonts w:ascii="Arial" w:cs="Arial" w:eastAsia="Arial" w:hAnsi="Arial"/>
                <w:sz w:val="14"/>
                <w:szCs w:val="14"/>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r>
      <w:tr>
        <w:trPr>
          <w:trHeight w:val="553"/>
        </w:trPr>
        <w:tc>
          <w:tcPr>
            <w:tcW w:w="5700" w:type="dxa"/>
            <w:vAlign w:val="bottom"/>
          </w:tcPr>
          <w:p>
            <w:pPr>
              <w:jc w:val="right"/>
              <w:spacing w:after="0"/>
              <w:rPr>
                <w:sz w:val="20"/>
                <w:szCs w:val="20"/>
                <w:color w:val="auto"/>
              </w:rPr>
            </w:pPr>
            <w:r>
              <w:rPr>
                <w:rFonts w:ascii="Arial" w:cs="Arial" w:eastAsia="Arial" w:hAnsi="Arial"/>
                <w:sz w:val="14"/>
                <w:szCs w:val="14"/>
                <w:color w:val="auto"/>
              </w:rPr>
              <w:t>1</w:t>
            </w:r>
          </w:p>
        </w:tc>
        <w:tc>
          <w:tcPr>
            <w:tcW w:w="5580" w:type="dxa"/>
            <w:vAlign w:val="bottom"/>
          </w:tcPr>
          <w:p>
            <w:pPr>
              <w:spacing w:after="0"/>
              <w:rPr>
                <w:sz w:val="24"/>
                <w:szCs w:val="24"/>
                <w:color w:val="auto"/>
              </w:rPr>
            </w:pPr>
          </w:p>
        </w:tc>
      </w:tr>
      <w:tr>
        <w:trPr>
          <w:trHeight w:val="85"/>
        </w:trPr>
        <w:tc>
          <w:tcPr>
            <w:tcW w:w="5700" w:type="dxa"/>
            <w:vAlign w:val="bottom"/>
            <w:tcBorders>
              <w:bottom w:val="single" w:sz="8" w:color="9A9A9A"/>
            </w:tcBorders>
          </w:tcPr>
          <w:p>
            <w:pPr>
              <w:spacing w:after="0"/>
              <w:rPr>
                <w:sz w:val="7"/>
                <w:szCs w:val="7"/>
                <w:color w:val="auto"/>
              </w:rPr>
            </w:pPr>
          </w:p>
        </w:tc>
        <w:tc>
          <w:tcPr>
            <w:tcW w:w="5580" w:type="dxa"/>
            <w:vAlign w:val="bottom"/>
            <w:tcBorders>
              <w:bottom w:val="single" w:sz="8" w:color="9A9A9A"/>
            </w:tcBorders>
          </w:tcPr>
          <w:p>
            <w:pPr>
              <w:spacing w:after="0"/>
              <w:rPr>
                <w:sz w:val="7"/>
                <w:szCs w:val="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00"/>
          </w:cols>
          <w:pgMar w:left="300" w:top="1008" w:right="299" w:bottom="1440" w:gutter="0" w:footer="0" w:header="0"/>
          <w:type w:val="continuous"/>
        </w:sectPr>
      </w:pPr>
    </w:p>
    <w:bookmarkStart w:id="1" w:name="page2"/>
    <w:bookmarkEnd w:id="1"/>
    <w:p>
      <w:pPr>
        <w:ind w:right="80"/>
        <w:spacing w:after="0" w:line="21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80"/>
          </w:cols>
          <w:pgMar w:left="300" w:top="899" w:right="319" w:bottom="1440" w:gutter="0" w:footer="0" w:header="0"/>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25"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5"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7" w:lineRule="exact"/>
        <w:rPr>
          <w:sz w:val="20"/>
          <w:szCs w:val="20"/>
          <w:color w:val="auto"/>
        </w:rPr>
      </w:pPr>
    </w:p>
    <w:p>
      <w:pPr>
        <w:sectPr>
          <w:pgSz w:w="11900" w:h="16838" w:orient="portrait"/>
          <w:cols w:equalWidth="0" w:num="2">
            <w:col w:w="7100" w:space="720"/>
            <w:col w:w="3460"/>
          </w:cols>
          <w:pgMar w:left="300" w:top="899" w:right="319" w:bottom="1440" w:gutter="0" w:footer="0" w:header="0"/>
          <w:type w:val="continuous"/>
        </w:sectPr>
      </w:pPr>
    </w:p>
    <w:p>
      <w:pPr>
        <w:ind w:left="31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81" w:lineRule="exact"/>
        <w:rPr>
          <w:sz w:val="20"/>
          <w:szCs w:val="20"/>
          <w:color w:val="auto"/>
        </w:rPr>
      </w:pPr>
    </w:p>
    <w:p>
      <w:pPr>
        <w:sectPr>
          <w:pgSz w:w="11900" w:h="16838" w:orient="portrait"/>
          <w:cols w:equalWidth="0" w:num="2">
            <w:col w:w="10180" w:space="720"/>
            <w:col w:w="380"/>
          </w:cols>
          <w:pgMar w:left="300" w:top="899" w:right="319" w:bottom="1440" w:gutter="0" w:footer="0" w:header="0"/>
          <w:type w:val="continuous"/>
        </w:sectPr>
      </w:pPr>
    </w:p>
    <w:p>
      <w:pPr>
        <w:ind w:left="7820"/>
        <w:spacing w:after="0"/>
        <w:rPr>
          <w:sz w:val="20"/>
          <w:szCs w:val="20"/>
          <w:color w:val="auto"/>
        </w:rPr>
      </w:pPr>
      <w:r>
        <w:rPr>
          <w:rFonts w:ascii="Arial" w:cs="Arial" w:eastAsia="Arial" w:hAnsi="Arial"/>
          <w:sz w:val="14"/>
          <w:szCs w:val="14"/>
          <w:color w:val="auto"/>
        </w:rPr>
        <w:t>Emerging growth company</w:t>
      </w:r>
    </w:p>
    <w:p>
      <w:pPr>
        <w:ind w:left="10900"/>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1">
            <w:col w:w="11280"/>
          </w:cols>
          <w:pgMar w:left="300" w:top="899" w:right="319" w:bottom="1440" w:gutter="0" w:footer="0" w:header="0"/>
          <w:type w:val="continuous"/>
        </w:sectPr>
      </w:pPr>
    </w:p>
    <w:p>
      <w:pPr>
        <w:spacing w:after="0" w:line="279" w:lineRule="exact"/>
        <w:rPr>
          <w:sz w:val="20"/>
          <w:szCs w:val="20"/>
          <w:color w:val="auto"/>
        </w:rPr>
      </w:pPr>
    </w:p>
    <w:p>
      <w:pPr>
        <w:ind w:right="540"/>
        <w:spacing w:after="0" w:line="18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8" w:lineRule="exact"/>
        <w:rPr>
          <w:sz w:val="20"/>
          <w:szCs w:val="20"/>
          <w:color w:val="auto"/>
        </w:rPr>
      </w:pPr>
    </w:p>
    <w:p>
      <w:pPr>
        <w:spacing w:after="0" w:line="176" w:lineRule="exact"/>
        <w:tabs>
          <w:tab w:leader="none" w:pos="7240" w:val="left"/>
          <w:tab w:leader="none" w:pos="76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4"/>
          <w:szCs w:val="14"/>
          <w:color w:val="auto"/>
        </w:rPr>
        <w:t>No</w:t>
      </w:r>
      <w:r>
        <w:rPr>
          <w:rFonts w:ascii="MS PGothic" w:cs="MS PGothic" w:eastAsia="MS PGothic" w:hAnsi="MS PGothic"/>
          <w:sz w:val="17"/>
          <w:szCs w:val="17"/>
          <w:color w:val="auto"/>
        </w:rPr>
        <w:t xml:space="preserve"> ☒</w:t>
      </w:r>
    </w:p>
    <w:p>
      <w:pPr>
        <w:spacing w:after="0" w:line="208" w:lineRule="exact"/>
        <w:rPr>
          <w:sz w:val="20"/>
          <w:szCs w:val="20"/>
          <w:color w:val="auto"/>
        </w:rPr>
      </w:pPr>
    </w:p>
    <w:p>
      <w:pPr>
        <w:jc w:val="both"/>
        <w:ind w:right="180"/>
        <w:spacing w:after="0" w:line="271" w:lineRule="auto"/>
        <w:rPr>
          <w:sz w:val="20"/>
          <w:szCs w:val="20"/>
          <w:color w:val="auto"/>
        </w:rPr>
      </w:pPr>
      <w:r>
        <w:rPr>
          <w:rFonts w:ascii="Arial" w:cs="Arial" w:eastAsia="Arial" w:hAnsi="Arial"/>
          <w:sz w:val="14"/>
          <w:szCs w:val="14"/>
          <w:color w:val="auto"/>
        </w:rPr>
        <w:t>The registrant had outstanding 3,866,254 shares of Class A common stock and 155,634 shares of Class B common stock as of May 30, 2025. The foregoing reflects the reverse stock split of the registrant’s Class A common stock and Class B common stock that became effective on April 2, 2024 and began trading on a post-split adjusted basis on 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33655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b w:val="1"/>
                <w:bCs w:val="1"/>
                <w:color w:val="auto"/>
              </w:rPr>
              <w:t>Table of Contents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Part I</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0000FF"/>
            </w:tcBorders>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tcBorders>
              <w:bottom w:val="single" w:sz="8" w:color="CCEEFF"/>
            </w:tcBorders>
            <w:gridSpan w:val="2"/>
            <w:shd w:val="clear" w:color="auto" w:fill="CCEEFF"/>
          </w:tcPr>
          <w:p>
            <w:pPr>
              <w:spacing w:after="0"/>
              <w:rPr>
                <w:sz w:val="13"/>
                <w:szCs w:val="13"/>
                <w:color w:val="auto"/>
              </w:rPr>
            </w:pPr>
          </w:p>
        </w:tc>
        <w:tc>
          <w:tcPr>
            <w:tcW w:w="2100" w:type="dxa"/>
            <w:vAlign w:val="bottom"/>
            <w:tcBorders>
              <w:bottom w:val="single" w:sz="8" w:color="0000FF"/>
            </w:tcBorders>
            <w:gridSpan w:val="8"/>
            <w:shd w:val="clear" w:color="auto" w:fill="CCEEFF"/>
          </w:tcPr>
          <w:p>
            <w:pPr>
              <w:spacing w:after="0" w:line="149" w:lineRule="exact"/>
              <w:rPr>
                <w:sz w:val="20"/>
                <w:szCs w:val="20"/>
                <w:color w:val="auto"/>
              </w:rPr>
            </w:pPr>
            <w:r>
              <w:rPr>
                <w:rFonts w:ascii="Arial" w:cs="Arial" w:eastAsia="Arial" w:hAnsi="Arial"/>
                <w:sz w:val="14"/>
                <w:szCs w:val="14"/>
                <w:color w:val="0000FF"/>
              </w:rPr>
              <w:t>Financial Statements (Unaudited)</w:t>
            </w:r>
          </w:p>
        </w:tc>
        <w:tc>
          <w:tcPr>
            <w:tcW w:w="7320" w:type="dxa"/>
            <w:vAlign w:val="bottom"/>
            <w:tcBorders>
              <w:bottom w:val="single" w:sz="8" w:color="CCEEFF"/>
            </w:tcBorders>
            <w:gridSpan w:val="4"/>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2.</w:t>
            </w:r>
          </w:p>
        </w:tc>
        <w:tc>
          <w:tcPr>
            <w:tcW w:w="580" w:type="dxa"/>
            <w:vAlign w:val="bottom"/>
            <w:gridSpan w:val="2"/>
          </w:tcPr>
          <w:p>
            <w:pPr>
              <w:spacing w:after="0"/>
              <w:rPr>
                <w:sz w:val="13"/>
                <w:szCs w:val="13"/>
                <w:color w:val="auto"/>
              </w:rPr>
            </w:pPr>
          </w:p>
        </w:tc>
        <w:tc>
          <w:tcPr>
            <w:tcW w:w="5560" w:type="dxa"/>
            <w:vAlign w:val="bottom"/>
            <w:tcBorders>
              <w:bottom w:val="single" w:sz="8" w:color="0000FF"/>
            </w:tcBorders>
            <w:gridSpan w:val="11"/>
          </w:tcPr>
          <w:p>
            <w:pPr>
              <w:spacing w:after="0" w:line="149" w:lineRule="exact"/>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860" w:type="dxa"/>
            <w:vAlign w:val="bottom"/>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3.</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3700" w:type="dxa"/>
            <w:vAlign w:val="bottom"/>
            <w:tcBorders>
              <w:bottom w:val="single" w:sz="8" w:color="0000FF"/>
            </w:tcBorders>
            <w:gridSpan w:val="9"/>
            <w:shd w:val="clear" w:color="auto" w:fill="CCEEFF"/>
          </w:tcPr>
          <w:p>
            <w:pPr>
              <w:spacing w:after="0" w:line="155" w:lineRule="exact"/>
              <w:rPr>
                <w:sz w:val="20"/>
                <w:szCs w:val="20"/>
                <w:color w:val="auto"/>
              </w:rPr>
            </w:pPr>
            <w:r>
              <w:rPr>
                <w:rFonts w:ascii="Arial" w:cs="Arial" w:eastAsia="Arial" w:hAnsi="Arial"/>
                <w:sz w:val="14"/>
                <w:szCs w:val="14"/>
                <w:color w:val="0000FF"/>
              </w:rPr>
              <w:t>Quantitative and Qualitative Disclosures About Market Risk</w:t>
            </w:r>
          </w:p>
        </w:tc>
        <w:tc>
          <w:tcPr>
            <w:tcW w:w="5720" w:type="dxa"/>
            <w:vAlign w:val="bottom"/>
            <w:tcBorders>
              <w:bottom w:val="single" w:sz="8" w:color="CCEEFF"/>
            </w:tcBorders>
            <w:gridSpan w:val="3"/>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4.</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Controls and Procedures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8"/>
        </w:trPr>
        <w:tc>
          <w:tcPr>
            <w:tcW w:w="20" w:type="dxa"/>
            <w:vAlign w:val="bottom"/>
            <w:shd w:val="clear" w:color="auto" w:fill="CCEEFF"/>
          </w:tcPr>
          <w:p>
            <w:pPr>
              <w:spacing w:after="0"/>
              <w:rPr>
                <w:sz w:val="18"/>
                <w:szCs w:val="18"/>
                <w:color w:val="auto"/>
              </w:rPr>
            </w:pPr>
          </w:p>
        </w:tc>
        <w:tc>
          <w:tcPr>
            <w:tcW w:w="440" w:type="dxa"/>
            <w:vAlign w:val="bottom"/>
            <w:tcBorders>
              <w:top w:val="single" w:sz="8" w:color="0000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380" w:type="dxa"/>
            <w:vAlign w:val="bottom"/>
            <w:tcBorders>
              <w:top w:val="single" w:sz="8" w:color="0000FF"/>
              <w:right w:val="single" w:sz="8" w:color="CCEE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Part II</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0000FF"/>
                <w:w w:val="98"/>
              </w:rPr>
              <w:t>Item 1.</w:t>
            </w:r>
          </w:p>
        </w:tc>
        <w:tc>
          <w:tcPr>
            <w:tcW w:w="580" w:type="dxa"/>
            <w:vAlign w:val="bottom"/>
            <w:gridSpan w:val="2"/>
            <w:shd w:val="clear" w:color="auto" w:fill="CCEEFF"/>
          </w:tcPr>
          <w:p>
            <w:pPr>
              <w:spacing w:after="0"/>
              <w:rPr>
                <w:sz w:val="12"/>
                <w:szCs w:val="12"/>
                <w:color w:val="auto"/>
              </w:rPr>
            </w:pPr>
          </w:p>
        </w:tc>
        <w:tc>
          <w:tcPr>
            <w:tcW w:w="9420" w:type="dxa"/>
            <w:vAlign w:val="bottom"/>
            <w:gridSpan w:val="12"/>
            <w:shd w:val="clear" w:color="auto" w:fill="CCEEFF"/>
          </w:tcPr>
          <w:p>
            <w:pPr>
              <w:spacing w:after="0" w:line="149" w:lineRule="exact"/>
              <w:rPr>
                <w:sz w:val="20"/>
                <w:szCs w:val="20"/>
                <w:color w:val="auto"/>
              </w:rPr>
            </w:pPr>
            <w:r>
              <w:rPr>
                <w:rFonts w:ascii="Arial" w:cs="Arial" w:eastAsia="Arial" w:hAnsi="Arial"/>
                <w:sz w:val="14"/>
                <w:szCs w:val="14"/>
                <w:color w:val="0000FF"/>
              </w:rPr>
              <w:t>Legal Proceedings</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Borders>
              <w:right w:val="single" w:sz="8" w:color="0000FF"/>
            </w:tcBorders>
            <w:shd w:val="clear" w:color="auto" w:fill="0000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0000FF"/>
              </w:rPr>
              <w:t>Item 1A.</w:t>
            </w:r>
          </w:p>
        </w:tc>
        <w:tc>
          <w:tcPr>
            <w:tcW w:w="9420" w:type="dxa"/>
            <w:vAlign w:val="bottom"/>
            <w:gridSpan w:val="12"/>
          </w:tcPr>
          <w:p>
            <w:pPr>
              <w:spacing w:after="0" w:line="149" w:lineRule="exact"/>
              <w:rPr>
                <w:sz w:val="20"/>
                <w:szCs w:val="20"/>
                <w:color w:val="auto"/>
              </w:rPr>
            </w:pPr>
            <w:r>
              <w:rPr>
                <w:rFonts w:ascii="Arial" w:cs="Arial" w:eastAsia="Arial" w:hAnsi="Arial"/>
                <w:sz w:val="14"/>
                <w:szCs w:val="14"/>
                <w:color w:val="0000FF"/>
              </w:rPr>
              <w:t>Risk Factors</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line="155" w:lineRule="exact"/>
              <w:rPr>
                <w:sz w:val="20"/>
                <w:szCs w:val="20"/>
                <w:color w:val="auto"/>
              </w:rPr>
            </w:pPr>
            <w:r>
              <w:rPr>
                <w:rFonts w:ascii="Arial" w:cs="Arial" w:eastAsia="Arial" w:hAnsi="Arial"/>
                <w:sz w:val="14"/>
                <w:szCs w:val="14"/>
                <w:color w:val="0000FF"/>
                <w:w w:val="98"/>
              </w:rPr>
              <w:t>Item 2.</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20" w:type="dxa"/>
            <w:vAlign w:val="bottom"/>
            <w:gridSpan w:val="12"/>
            <w:shd w:val="clear" w:color="auto" w:fill="CCEEFF"/>
          </w:tcPr>
          <w:p>
            <w:pPr>
              <w:spacing w:after="0" w:line="155" w:lineRule="exact"/>
              <w:rPr>
                <w:sz w:val="20"/>
                <w:szCs w:val="20"/>
                <w:color w:val="auto"/>
              </w:rPr>
            </w:pPr>
            <w:r>
              <w:rPr>
                <w:rFonts w:ascii="Arial" w:cs="Arial" w:eastAsia="Arial" w:hAnsi="Arial"/>
                <w:sz w:val="14"/>
                <w:szCs w:val="14"/>
                <w:color w:val="0000FF"/>
              </w:rPr>
              <w:t>Unregistered Sales of Equity Securities and Use of Proceeds</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4"/>
        </w:trPr>
        <w:tc>
          <w:tcPr>
            <w:tcW w:w="20" w:type="dxa"/>
            <w:vAlign w:val="bottom"/>
            <w:tcBorders>
              <w:top w:val="single" w:sz="8" w:color="CCEEFF"/>
            </w:tcBorders>
          </w:tcPr>
          <w:p>
            <w:pPr>
              <w:spacing w:after="0"/>
              <w:rPr>
                <w:sz w:val="13"/>
                <w:szCs w:val="13"/>
                <w:color w:val="auto"/>
              </w:rPr>
            </w:pPr>
          </w:p>
        </w:tc>
        <w:tc>
          <w:tcPr>
            <w:tcW w:w="440" w:type="dxa"/>
            <w:vAlign w:val="bottom"/>
            <w:tcBorders>
              <w:top w:val="single" w:sz="8" w:color="0000FF"/>
            </w:tcBorders>
          </w:tcPr>
          <w:p>
            <w:pPr>
              <w:spacing w:after="0" w:line="149" w:lineRule="exact"/>
              <w:rPr>
                <w:sz w:val="20"/>
                <w:szCs w:val="20"/>
                <w:color w:val="auto"/>
              </w:rPr>
            </w:pPr>
            <w:r>
              <w:rPr>
                <w:rFonts w:ascii="Arial" w:cs="Arial" w:eastAsia="Arial" w:hAnsi="Arial"/>
                <w:sz w:val="14"/>
                <w:szCs w:val="14"/>
                <w:color w:val="0000FF"/>
                <w:w w:val="98"/>
              </w:rPr>
              <w:t>Item 3.</w:t>
            </w:r>
          </w:p>
        </w:tc>
        <w:tc>
          <w:tcPr>
            <w:tcW w:w="580" w:type="dxa"/>
            <w:vAlign w:val="bottom"/>
            <w:tcBorders>
              <w:top w:val="single" w:sz="8" w:color="CCEEFF"/>
            </w:tcBorders>
            <w:gridSpan w:val="2"/>
          </w:tcPr>
          <w:p>
            <w:pPr>
              <w:spacing w:after="0"/>
              <w:rPr>
                <w:sz w:val="13"/>
                <w:szCs w:val="13"/>
                <w:color w:val="auto"/>
              </w:rPr>
            </w:pPr>
          </w:p>
        </w:tc>
        <w:tc>
          <w:tcPr>
            <w:tcW w:w="3800" w:type="dxa"/>
            <w:vAlign w:val="bottom"/>
            <w:tcBorders>
              <w:top w:val="single" w:sz="8" w:color="0000FF"/>
            </w:tcBorders>
            <w:gridSpan w:val="10"/>
          </w:tcPr>
          <w:p>
            <w:pPr>
              <w:spacing w:after="0" w:line="149" w:lineRule="exact"/>
              <w:rPr>
                <w:sz w:val="20"/>
                <w:szCs w:val="20"/>
                <w:color w:val="auto"/>
              </w:rPr>
            </w:pPr>
            <w:r>
              <w:rPr>
                <w:rFonts w:ascii="Arial" w:cs="Arial" w:eastAsia="Arial" w:hAnsi="Arial"/>
                <w:sz w:val="14"/>
                <w:szCs w:val="14"/>
                <w:color w:val="0000FF"/>
              </w:rPr>
              <w:t>Defaults Upon Senior Securities</w:t>
            </w:r>
          </w:p>
        </w:tc>
        <w:tc>
          <w:tcPr>
            <w:tcW w:w="5620" w:type="dxa"/>
            <w:vAlign w:val="bottom"/>
            <w:tcBorders>
              <w:top w:val="single" w:sz="8" w:color="CCEEFF"/>
            </w:tcBorders>
            <w:gridSpan w:val="2"/>
          </w:tcPr>
          <w:p>
            <w:pPr>
              <w:spacing w:after="0"/>
              <w:rPr>
                <w:sz w:val="13"/>
                <w:szCs w:val="13"/>
                <w:color w:val="auto"/>
              </w:rPr>
            </w:pPr>
          </w:p>
        </w:tc>
        <w:tc>
          <w:tcPr>
            <w:tcW w:w="820" w:type="dxa"/>
            <w:vAlign w:val="bottom"/>
            <w:tcBorders>
              <w:top w:val="single" w:sz="8" w:color="CCEEFF"/>
            </w:tcBorders>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top w:val="single" w:sz="8" w:color="0000FF"/>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4.</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1520" w:type="dxa"/>
            <w:vAlign w:val="bottom"/>
            <w:tcBorders>
              <w:top w:val="single" w:sz="8" w:color="0000FF"/>
              <w:bottom w:val="single" w:sz="8" w:color="0000FF"/>
            </w:tcBorders>
            <w:gridSpan w:val="5"/>
            <w:shd w:val="clear" w:color="auto" w:fill="CCEEFF"/>
          </w:tcPr>
          <w:p>
            <w:pPr>
              <w:spacing w:after="0" w:line="155" w:lineRule="exact"/>
              <w:rPr>
                <w:sz w:val="20"/>
                <w:szCs w:val="20"/>
                <w:color w:val="auto"/>
              </w:rPr>
            </w:pPr>
            <w:r>
              <w:rPr>
                <w:rFonts w:ascii="Arial" w:cs="Arial" w:eastAsia="Arial" w:hAnsi="Arial"/>
                <w:sz w:val="14"/>
                <w:szCs w:val="14"/>
                <w:color w:val="0000FF"/>
                <w:w w:val="99"/>
              </w:rPr>
              <w:t>Mine Safety Disclosures</w:t>
            </w:r>
          </w:p>
        </w:tc>
        <w:tc>
          <w:tcPr>
            <w:tcW w:w="48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7420" w:type="dxa"/>
            <w:vAlign w:val="bottom"/>
            <w:tcBorders>
              <w:bottom w:val="single" w:sz="8" w:color="CCEEFF"/>
            </w:tcBorders>
            <w:gridSpan w:val="5"/>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 w:type="dxa"/>
            <w:vAlign w:val="bottom"/>
            <w:tcBorders>
              <w:bottom w:val="single" w:sz="8" w:color="0000FF"/>
            </w:tcBorders>
          </w:tcPr>
          <w:p>
            <w:pPr>
              <w:spacing w:after="0" w:line="149" w:lineRule="exact"/>
              <w:rPr>
                <w:sz w:val="20"/>
                <w:szCs w:val="20"/>
                <w:color w:val="auto"/>
              </w:rPr>
            </w:pPr>
            <w:r>
              <w:rPr>
                <w:rFonts w:ascii="Arial" w:cs="Arial" w:eastAsia="Arial" w:hAnsi="Arial"/>
                <w:sz w:val="14"/>
                <w:szCs w:val="14"/>
                <w:color w:val="0000FF"/>
                <w:w w:val="98"/>
              </w:rPr>
              <w:t>Item 5.</w:t>
            </w:r>
          </w:p>
        </w:tc>
        <w:tc>
          <w:tcPr>
            <w:tcW w:w="580" w:type="dxa"/>
            <w:vAlign w:val="bottom"/>
            <w:gridSpan w:val="2"/>
          </w:tcPr>
          <w:p>
            <w:pPr>
              <w:spacing w:after="0"/>
              <w:rPr>
                <w:sz w:val="13"/>
                <w:szCs w:val="13"/>
                <w:color w:val="auto"/>
              </w:rPr>
            </w:pPr>
          </w:p>
        </w:tc>
        <w:tc>
          <w:tcPr>
            <w:tcW w:w="1160" w:type="dxa"/>
            <w:vAlign w:val="bottom"/>
            <w:tcBorders>
              <w:bottom w:val="single" w:sz="8" w:color="0000FF"/>
            </w:tcBorders>
            <w:gridSpan w:val="4"/>
          </w:tcPr>
          <w:p>
            <w:pPr>
              <w:spacing w:after="0" w:line="149" w:lineRule="exact"/>
              <w:rPr>
                <w:sz w:val="20"/>
                <w:szCs w:val="20"/>
                <w:color w:val="auto"/>
              </w:rPr>
            </w:pPr>
            <w:r>
              <w:rPr>
                <w:rFonts w:ascii="Arial" w:cs="Arial" w:eastAsia="Arial" w:hAnsi="Arial"/>
                <w:sz w:val="14"/>
                <w:szCs w:val="14"/>
                <w:color w:val="0000FF"/>
              </w:rPr>
              <w:t>Other Information</w:t>
            </w:r>
          </w:p>
        </w:tc>
        <w:tc>
          <w:tcPr>
            <w:tcW w:w="8260" w:type="dxa"/>
            <w:vAlign w:val="bottom"/>
            <w:gridSpan w:val="8"/>
          </w:tcPr>
          <w:p>
            <w:pPr>
              <w:spacing w:after="0"/>
              <w:rPr>
                <w:sz w:val="13"/>
                <w:szCs w:val="13"/>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8"/>
              </w:rPr>
              <w:t>Item 6.</w:t>
            </w:r>
          </w:p>
        </w:tc>
        <w:tc>
          <w:tcPr>
            <w:tcW w:w="580" w:type="dxa"/>
            <w:vAlign w:val="bottom"/>
            <w:tcBorders>
              <w:bottom w:val="single" w:sz="8" w:color="CCEEFF"/>
            </w:tcBorders>
            <w:gridSpan w:val="2"/>
            <w:shd w:val="clear" w:color="auto" w:fill="CCEEFF"/>
          </w:tcPr>
          <w:p>
            <w:pPr>
              <w:spacing w:after="0"/>
              <w:rPr>
                <w:sz w:val="14"/>
                <w:szCs w:val="14"/>
                <w:color w:val="auto"/>
              </w:rPr>
            </w:pPr>
          </w:p>
        </w:tc>
        <w:tc>
          <w:tcPr>
            <w:tcW w:w="500" w:type="dxa"/>
            <w:vAlign w:val="bottom"/>
            <w:tcBorders>
              <w:bottom w:val="single" w:sz="8" w:color="0000FF"/>
            </w:tcBorders>
            <w:shd w:val="clear" w:color="auto" w:fill="CCEEFF"/>
          </w:tcPr>
          <w:p>
            <w:pPr>
              <w:spacing w:after="0" w:line="155" w:lineRule="exact"/>
              <w:rPr>
                <w:sz w:val="20"/>
                <w:szCs w:val="20"/>
                <w:color w:val="auto"/>
              </w:rPr>
            </w:pPr>
            <w:r>
              <w:rPr>
                <w:rFonts w:ascii="Arial" w:cs="Arial" w:eastAsia="Arial" w:hAnsi="Arial"/>
                <w:sz w:val="14"/>
                <w:szCs w:val="14"/>
                <w:color w:val="0000FF"/>
                <w:w w:val="97"/>
              </w:rPr>
              <w:t>Exhibits</w:t>
            </w:r>
          </w:p>
        </w:tc>
        <w:tc>
          <w:tcPr>
            <w:tcW w:w="8920" w:type="dxa"/>
            <w:vAlign w:val="bottom"/>
            <w:tcBorders>
              <w:bottom w:val="single" w:sz="8" w:color="CCEEFF"/>
            </w:tcBorders>
            <w:gridSpan w:val="11"/>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Borders>
              <w:bottom w:val="single" w:sz="8" w:color="0000FF"/>
            </w:tcBorders>
            <w:gridSpan w:val="2"/>
          </w:tcPr>
          <w:p>
            <w:pPr>
              <w:spacing w:after="0" w:line="149" w:lineRule="exact"/>
              <w:rPr>
                <w:sz w:val="20"/>
                <w:szCs w:val="20"/>
                <w:color w:val="auto"/>
              </w:rPr>
            </w:pPr>
            <w:r>
              <w:rPr>
                <w:rFonts w:ascii="Arial" w:cs="Arial" w:eastAsia="Arial" w:hAnsi="Arial"/>
                <w:sz w:val="14"/>
                <w:szCs w:val="14"/>
                <w:color w:val="0000FF"/>
                <w:w w:val="98"/>
              </w:rPr>
              <w:t>Signatures</w:t>
            </w:r>
          </w:p>
        </w:tc>
        <w:tc>
          <w:tcPr>
            <w:tcW w:w="8740" w:type="dxa"/>
            <w:vAlign w:val="bottom"/>
            <w:gridSpan w:val="10"/>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Unless the context otherwise requires, we use the terms the “Company,” “RTR,” “Rent the Runway,” “we,” “us” and “our” in this Quarterly Report on Form 10-Q, or Quarterly Report, to refer to Rent the Runway, Inc. and, where appropriate, our consolidated subsidiaries.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4"/>
          <w:szCs w:val="14"/>
          <w:b w:val="1"/>
          <w:bCs w:val="1"/>
          <w:i w:val="1"/>
          <w:iCs w:val="1"/>
          <w:color w:val="auto"/>
        </w:rPr>
        <w:t>Risk Factor Summary</w:t>
      </w:r>
    </w:p>
    <w:p>
      <w:pPr>
        <w:spacing w:after="0" w:line="261"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Investing in our Class A common stock involves numerous risks, including the risks described in Part II, Item 1A. “Risk Factors” in this Quarterly Report on Form 10-Q. You should carefully consider these risks before making an investment. Below are some of these risks, any one of which could materially adversely affect our business, financial condition, results of operations, and prospects.</w:t>
      </w:r>
    </w:p>
    <w:p>
      <w:pPr>
        <w:spacing w:after="0" w:line="17"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drive future growth or manage our growth effectively, our brand, Company culture, and financial performance may suffer.</w:t>
      </w:r>
    </w:p>
    <w:p>
      <w:pPr>
        <w:spacing w:after="0" w:line="72"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global fashion industry is highly competitive and rapidly changing, and we may not be able to compete effectively.</w:t>
      </w:r>
    </w:p>
    <w:p>
      <w:pPr>
        <w:spacing w:after="0" w:line="61" w:lineRule="exact"/>
        <w:rPr>
          <w:rFonts w:ascii="Arial" w:cs="Arial" w:eastAsia="Arial" w:hAnsi="Arial"/>
          <w:sz w:val="14"/>
          <w:szCs w:val="14"/>
          <w:color w:val="auto"/>
        </w:rPr>
      </w:pPr>
    </w:p>
    <w:p>
      <w:pPr>
        <w:ind w:left="520" w:right="6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consumer discretionary spending and have been, and may in the future be, adversely affected by economic downturns and other macroeconomic conditions or trends and developments, including global trade policies and tariffs.</w:t>
      </w:r>
    </w:p>
    <w:p>
      <w:pPr>
        <w:spacing w:after="0" w:line="3" w:lineRule="exact"/>
        <w:rPr>
          <w:rFonts w:ascii="Arial" w:cs="Arial" w:eastAsia="Arial" w:hAnsi="Arial"/>
          <w:sz w:val="14"/>
          <w:szCs w:val="14"/>
          <w:color w:val="auto"/>
        </w:rPr>
      </w:pPr>
    </w:p>
    <w:p>
      <w:pPr>
        <w:ind w:left="520" w:right="40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continued growth depends on our ability to attract new, and retain existing, customers, which may fluctuate based on our level of investment and success in paid marketing initiatives. If we are unable to cost-effectively grow our customer base, our business, financial condition and results of operations would be harmed.</w:t>
      </w:r>
    </w:p>
    <w:p>
      <w:pPr>
        <w:spacing w:after="0" w:line="14"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fail to retain customers, our business, financial condition, and results of operations would be harmed.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we are unable to acquire and manage our products effectively and plan for future expenses, our operating results could be adversely affected.</w:t>
      </w:r>
    </w:p>
    <w:p>
      <w:pPr>
        <w:spacing w:after="0" w:line="6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the restructuring of our operations, which could adversely affect our financial condition, results of operations, cash flows, or business reputation.</w:t>
      </w:r>
    </w:p>
    <w:p>
      <w:pPr>
        <w:spacing w:after="0" w:line="72" w:lineRule="exact"/>
        <w:rPr>
          <w:rFonts w:ascii="Arial" w:cs="Arial" w:eastAsia="Arial" w:hAnsi="Arial"/>
          <w:sz w:val="14"/>
          <w:szCs w:val="14"/>
          <w:color w:val="auto"/>
        </w:rPr>
      </w:pPr>
    </w:p>
    <w:p>
      <w:pPr>
        <w:ind w:left="520" w:right="28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3" w:lineRule="exact"/>
        <w:rPr>
          <w:rFonts w:ascii="Arial" w:cs="Arial" w:eastAsia="Arial" w:hAnsi="Arial"/>
          <w:sz w:val="14"/>
          <w:szCs w:val="14"/>
          <w:color w:val="auto"/>
        </w:rPr>
      </w:pPr>
    </w:p>
    <w:p>
      <w:pPr>
        <w:ind w:left="520" w:right="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Shipping and logistics are a critical part of our business and our supply chain and any changes or interruptions in shipping or logistics operations could adversely affect our operating results.</w:t>
      </w:r>
    </w:p>
    <w:p>
      <w:pPr>
        <w:spacing w:after="0" w:line="3"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w:t>
      </w:r>
    </w:p>
    <w:p>
      <w:pPr>
        <w:spacing w:after="0" w:line="31"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is subject to a large number of U.S. and non-U.S. laws and regulations, many of which are evolving.</w:t>
      </w:r>
    </w:p>
    <w:p>
      <w:pPr>
        <w:spacing w:after="0" w:line="61" w:lineRule="exact"/>
        <w:rPr>
          <w:rFonts w:ascii="Arial" w:cs="Arial" w:eastAsia="Arial" w:hAnsi="Arial"/>
          <w:sz w:val="14"/>
          <w:szCs w:val="14"/>
          <w:color w:val="auto"/>
        </w:rPr>
      </w:pPr>
    </w:p>
    <w:p>
      <w:pPr>
        <w:ind w:left="520" w:right="36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p>
    <w:p>
      <w:pPr>
        <w:spacing w:after="0" w:line="16" w:lineRule="exact"/>
        <w:rPr>
          <w:rFonts w:ascii="Arial" w:cs="Arial" w:eastAsia="Arial" w:hAnsi="Arial"/>
          <w:sz w:val="14"/>
          <w:szCs w:val="14"/>
          <w:color w:val="auto"/>
        </w:rPr>
      </w:pPr>
    </w:p>
    <w:p>
      <w:pPr>
        <w:ind w:left="520" w:right="38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the experience and expertise of our Co-Founder and Chief Executive Officer, senior management team, key technical and strategic employees and hourly personnel.</w:t>
      </w:r>
    </w:p>
    <w:p>
      <w:pPr>
        <w:spacing w:after="0" w:line="14" w:lineRule="exact"/>
        <w:rPr>
          <w:rFonts w:ascii="Arial" w:cs="Arial" w:eastAsia="Arial" w:hAnsi="Arial"/>
          <w:sz w:val="14"/>
          <w:szCs w:val="14"/>
          <w:color w:val="auto"/>
        </w:rPr>
      </w:pPr>
    </w:p>
    <w:p>
      <w:pPr>
        <w:ind w:left="520" w:right="420" w:hanging="260"/>
        <w:spacing w:after="0" w:line="290"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Failure to adequately obtain, maintain, protect and enforce our intellectual property and proprietary rights could harm our brand, devalue our proprietary content, and adversely affect our ability to compete effectively.</w:t>
      </w:r>
    </w:p>
    <w:p>
      <w:pPr>
        <w:spacing w:after="0" w:line="3" w:lineRule="exact"/>
        <w:rPr>
          <w:rFonts w:ascii="Arial" w:cs="Arial" w:eastAsia="Arial" w:hAnsi="Arial"/>
          <w:sz w:val="14"/>
          <w:szCs w:val="14"/>
          <w:color w:val="auto"/>
        </w:rPr>
      </w:pPr>
    </w:p>
    <w:p>
      <w:pPr>
        <w:ind w:left="520" w:right="80" w:hanging="260"/>
        <w:spacing w:after="0" w:line="27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rapidly changing and increasingly stringent laws and industry standards relating to data privacy, data security, data protection, and consumer protection. The restrictions, obligations, and costs imposed by these laws, or our actual or perceived failure to comply with them, could materially impair our ability to grow our business, negatively impact the results of our operations and subject us to liabilities that adversely affect our business, operations, and financial performance.</w:t>
      </w:r>
    </w:p>
    <w:p>
      <w:pPr>
        <w:spacing w:after="0" w:line="1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associated with brand and manufacturing partners from whom our products are sourced or co-manufactured.</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018" w:right="399" w:bottom="1440" w:gutter="0" w:footer="0" w:header="0"/>
        </w:sectPr>
      </w:pPr>
    </w:p>
    <w:bookmarkStart w:id="4" w:name="page5"/>
    <w:bookmarkEnd w:id="4"/>
    <w:p>
      <w:pPr>
        <w:ind w:left="520" w:right="6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rely on third parties to provide payment processing infrastructure underlying our business. If these third-party providers become unavailable or unavailable on favorable terms, our business could be adversely affected.</w:t>
      </w:r>
    </w:p>
    <w:p>
      <w:pPr>
        <w:spacing w:after="0" w:line="14" w:lineRule="exact"/>
        <w:rPr>
          <w:rFonts w:ascii="Arial" w:cs="Arial" w:eastAsia="Arial" w:hAnsi="Arial"/>
          <w:sz w:val="14"/>
          <w:szCs w:val="14"/>
          <w:color w:val="auto"/>
        </w:rPr>
      </w:pPr>
    </w:p>
    <w:p>
      <w:pPr>
        <w:ind w:left="520" w:right="26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depend on search engines, social media platforms, mobile application stores, content-based online advertising and other online sources to attract consumers to and promote our website and our mobile application, which may be affected by third-party interference beyond our control and, as we grow, our marketing and/or customer acquisition costs may rise.</w:t>
      </w:r>
    </w:p>
    <w:p>
      <w:pPr>
        <w:spacing w:after="0" w:line="16" w:lineRule="exact"/>
        <w:rPr>
          <w:rFonts w:ascii="Arial" w:cs="Arial" w:eastAsia="Arial" w:hAnsi="Arial"/>
          <w:sz w:val="14"/>
          <w:szCs w:val="14"/>
          <w:color w:val="auto"/>
        </w:rPr>
      </w:pPr>
    </w:p>
    <w:p>
      <w:pPr>
        <w:ind w:left="520" w:right="300" w:hanging="260"/>
        <w:spacing w:after="0" w:line="284"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failure by us, our brand partners, or our third-party manufacturers to comply with our vendor code of conduct, product safety, labor, or other laws, or to provide safe factory conditions for their workers, may damage our reputation and brand, and harm our business.</w:t>
      </w:r>
    </w:p>
    <w:p>
      <w:pPr>
        <w:ind w:left="520" w:right="40" w:hanging="260"/>
        <w:spacing w:after="0" w:line="274"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risks associated with our indebtedness and potential need for additional capital, including that new financing or restructuring or refinancing may not be available on acceptable terms or at all and that our operations may be adversely impacted by the covenants in our current debt agreement or future financing agreements.</w:t>
      </w:r>
    </w:p>
    <w:p>
      <w:pPr>
        <w:spacing w:after="0" w:line="14"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dual class structure of our common stock has the effect of concentrating voting control with those stockholders who held our capital stock prior to the listing of our Class A common stock on Nasdaq, including our Co-Founders, and their affiliates, which will limit the ability to influence the outcome of important transactions, including a change of control.</w:t>
      </w:r>
    </w:p>
    <w:p>
      <w:pPr>
        <w:spacing w:after="0" w:line="27"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share price may be volatile, and investors may be unable to sell their shares at or above the price they purchased them.</w:t>
      </w:r>
    </w:p>
    <w:p>
      <w:pPr>
        <w:spacing w:after="0" w:line="61" w:lineRule="exact"/>
        <w:rPr>
          <w:rFonts w:ascii="Arial" w:cs="Arial" w:eastAsia="Arial" w:hAnsi="Arial"/>
          <w:sz w:val="14"/>
          <w:szCs w:val="14"/>
          <w:color w:val="auto"/>
        </w:rPr>
      </w:pPr>
    </w:p>
    <w:p>
      <w:pPr>
        <w:ind w:left="520" w:right="580" w:hanging="260"/>
        <w:spacing w:after="0" w:line="29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COVID-19 pandemic had a material adverse impact on our business. Other future pandemics or public health crises may have a similar adverse impact on our business.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If we are unable to adequately address these and other risks we face,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4"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4"/>
          <w:szCs w:val="14"/>
          <w:b w:val="1"/>
          <w:bCs w:val="1"/>
          <w:color w:val="auto"/>
        </w:rPr>
        <w:t>FORWARD-LOOKING STATEMENTS</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 contained in this Quarterly Report may be forward-looking statements. In some cases, you can identify forward-looking statements by terms such as “aims,”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share-based compensation, business strategy and initiatives, including rental product depth and availability initiatives, sustainability initiatives, business plans, promotional and marketing strategy, impacts from our cost-savings initiatives, anticipated future expenditures, product acquisition expectations, compliance with our debt covenants, market growth and our objectives for future operations.</w:t>
      </w:r>
    </w:p>
    <w:p>
      <w:pPr>
        <w:spacing w:after="0" w:line="228"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 -looking statements, including, but not limited to, the important factors discussed in Part II, Item 1A, “Risk Factors” in this Quarterly Report for the quarter ended April 30, 2025.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58"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You should read this Quarterly Report on Form 10-Q and the documents that we reference in this Quarterly Report and have filed as exhibits to this Quarterly Report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6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60" w:type="dxa"/>
            <w:vAlign w:val="bottom"/>
            <w:gridSpan w:val="5"/>
          </w:tcPr>
          <w:p>
            <w:pPr>
              <w:ind w:left="740"/>
              <w:spacing w:after="0"/>
              <w:rPr>
                <w:sz w:val="20"/>
                <w:szCs w:val="20"/>
                <w:color w:val="auto"/>
              </w:rPr>
            </w:pPr>
            <w:r>
              <w:rPr>
                <w:rFonts w:ascii="Arial" w:cs="Arial" w:eastAsia="Arial" w:hAnsi="Arial"/>
                <w:sz w:val="14"/>
                <w:szCs w:val="14"/>
                <w:b w:val="1"/>
                <w:bCs w:val="1"/>
                <w:color w:val="auto"/>
              </w:rPr>
              <w:t>Part I - Financial Information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10200" w:type="dxa"/>
            <w:vAlign w:val="bottom"/>
            <w:gridSpan w:val="23"/>
          </w:tcPr>
          <w:p>
            <w:pPr>
              <w:spacing w:after="0"/>
              <w:rPr>
                <w:sz w:val="20"/>
                <w:szCs w:val="20"/>
                <w:color w:val="auto"/>
              </w:rPr>
            </w:pPr>
            <w:r>
              <w:rPr>
                <w:rFonts w:ascii="Arial" w:cs="Arial" w:eastAsia="Arial" w:hAnsi="Arial"/>
                <w:sz w:val="14"/>
                <w:szCs w:val="14"/>
                <w:b w:val="1"/>
                <w:bCs w:val="1"/>
                <w:color w:val="auto"/>
              </w:rPr>
              <w:t>Item 1. Financial Statements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6920" w:type="dxa"/>
            <w:vAlign w:val="bottom"/>
            <w:gridSpan w:val="18"/>
            <w:vMerge w:val="restart"/>
          </w:tcPr>
          <w:p>
            <w:pPr>
              <w:spacing w:after="0"/>
              <w:rPr>
                <w:sz w:val="20"/>
                <w:szCs w:val="20"/>
                <w:color w:val="auto"/>
              </w:rPr>
            </w:pPr>
            <w:r>
              <w:rPr>
                <w:rFonts w:ascii="Arial" w:cs="Arial" w:eastAsia="Arial" w:hAnsi="Arial"/>
                <w:sz w:val="14"/>
                <w:szCs w:val="14"/>
                <w:color w:val="0000FF"/>
              </w:rPr>
              <w:t>Condensed Consolidated Balance Sheets - Unaudited as of April 30, 2025 and Audited as of January 31, 2025</w:t>
            </w:r>
          </w:p>
        </w:tc>
        <w:tc>
          <w:tcPr>
            <w:tcW w:w="3260" w:type="dxa"/>
            <w:vAlign w:val="bottom"/>
            <w:gridSpan w:val="4"/>
            <w:vMerge w:val="restart"/>
          </w:tcPr>
          <w:p>
            <w:pPr>
              <w:spacing w:after="0"/>
              <w:rPr>
                <w:sz w:val="24"/>
                <w:szCs w:val="24"/>
                <w:color w:val="auto"/>
              </w:rPr>
            </w:pPr>
          </w:p>
        </w:tc>
        <w:tc>
          <w:tcPr>
            <w:tcW w:w="10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20" w:type="dxa"/>
            <w:vAlign w:val="bottom"/>
            <w:tcBorders>
              <w:bottom w:val="single" w:sz="8" w:color="0000FF"/>
            </w:tcBorders>
            <w:gridSpan w:val="18"/>
            <w:vMerge w:val="continue"/>
          </w:tcPr>
          <w:p>
            <w:pPr>
              <w:spacing w:after="0"/>
              <w:rPr>
                <w:sz w:val="12"/>
                <w:szCs w:val="12"/>
                <w:color w:val="auto"/>
              </w:rPr>
            </w:pPr>
          </w:p>
        </w:tc>
        <w:tc>
          <w:tcPr>
            <w:tcW w:w="3260" w:type="dxa"/>
            <w:vAlign w:val="bottom"/>
            <w:gridSpan w:val="4"/>
            <w:vMerge w:val="continue"/>
          </w:tcPr>
          <w:p>
            <w:pPr>
              <w:spacing w:after="0"/>
              <w:rPr>
                <w:sz w:val="12"/>
                <w:szCs w:val="12"/>
                <w:color w:val="auto"/>
              </w:rPr>
            </w:pPr>
          </w:p>
        </w:tc>
        <w:tc>
          <w:tcPr>
            <w:tcW w:w="1080" w:type="dxa"/>
            <w:vAlign w:val="bottom"/>
          </w:tcPr>
          <w:p>
            <w:pPr>
              <w:jc w:val="right"/>
              <w:spacing w:after="0" w:line="13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8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rPr>
              <w:t>Condensed Consolidated Statements of Operations - Unaudited for the three months ended April 30, 2025 and 2024</w:t>
            </w:r>
          </w:p>
        </w:tc>
        <w:tc>
          <w:tcPr>
            <w:tcW w:w="2900" w:type="dxa"/>
            <w:vAlign w:val="bottom"/>
            <w:gridSpan w:val="3"/>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180" w:type="dxa"/>
            <w:vAlign w:val="bottom"/>
            <w:gridSpan w:val="22"/>
          </w:tcPr>
          <w:p>
            <w:pPr>
              <w:spacing w:after="0"/>
              <w:rPr>
                <w:sz w:val="20"/>
                <w:szCs w:val="20"/>
                <w:color w:val="auto"/>
              </w:rPr>
            </w:pPr>
            <w:r>
              <w:rPr>
                <w:rFonts w:ascii="Arial" w:cs="Arial" w:eastAsia="Arial" w:hAnsi="Arial"/>
                <w:sz w:val="14"/>
                <w:szCs w:val="14"/>
                <w:color w:val="0000FF"/>
              </w:rPr>
              <w:t>Condensed Consolidated Statements of Changes in Stockholders’ Equity (Deficit) - Unaudited for the three months ended April 30, 2025 and 2024</w:t>
            </w: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140" w:type="dxa"/>
            <w:vAlign w:val="bottom"/>
            <w:tcBorders>
              <w:top w:val="single" w:sz="8" w:color="0000FF"/>
            </w:tcBorders>
            <w:gridSpan w:val="21"/>
          </w:tcPr>
          <w:p>
            <w:pPr>
              <w:spacing w:after="0"/>
              <w:rPr>
                <w:sz w:val="20"/>
                <w:szCs w:val="20"/>
                <w:color w:val="auto"/>
              </w:rPr>
            </w:pPr>
            <w:r>
              <w:rPr>
                <w:rFonts w:ascii="Arial" w:cs="Arial" w:eastAsia="Arial" w:hAnsi="Arial"/>
                <w:sz w:val="14"/>
                <w:szCs w:val="14"/>
                <w:color w:val="0000FF"/>
              </w:rPr>
              <w:t>Condensed Consolidated Statements of Cash Flows - Unaudited for the three months ended April 30, 2025 and 2024</w:t>
            </w:r>
          </w:p>
        </w:tc>
        <w:tc>
          <w:tcPr>
            <w:tcW w:w="10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20" w:type="dxa"/>
            <w:vAlign w:val="bottom"/>
            <w:tcBorders>
              <w:top w:val="single" w:sz="8" w:color="0000FF"/>
            </w:tcBorders>
            <w:gridSpan w:val="20"/>
          </w:tcPr>
          <w:p>
            <w:pPr>
              <w:spacing w:after="0"/>
              <w:rPr>
                <w:sz w:val="20"/>
                <w:szCs w:val="20"/>
                <w:color w:val="auto"/>
              </w:rPr>
            </w:pPr>
            <w:r>
              <w:rPr>
                <w:rFonts w:ascii="Arial" w:cs="Arial" w:eastAsia="Arial" w:hAnsi="Arial"/>
                <w:sz w:val="14"/>
                <w:szCs w:val="14"/>
                <w:b w:val="1"/>
                <w:bCs w:val="1"/>
                <w:color w:val="auto"/>
              </w:rPr>
              <w:t>Notes to Condensed Consolidated Financial Statements</w:t>
            </w:r>
          </w:p>
        </w:tc>
        <w:tc>
          <w:tcPr>
            <w:tcW w:w="286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line="153" w:lineRule="exact"/>
              <w:rPr>
                <w:sz w:val="20"/>
                <w:szCs w:val="20"/>
                <w:color w:val="auto"/>
              </w:rPr>
            </w:pPr>
            <w:r>
              <w:rPr>
                <w:rFonts w:ascii="Arial" w:cs="Arial" w:eastAsia="Arial" w:hAnsi="Arial"/>
                <w:sz w:val="14"/>
                <w:szCs w:val="14"/>
                <w:color w:val="0000FF"/>
              </w:rPr>
              <w:t>1.</w:t>
            </w:r>
          </w:p>
        </w:tc>
        <w:tc>
          <w:tcPr>
            <w:tcW w:w="600" w:type="dxa"/>
            <w:vAlign w:val="bottom"/>
            <w:tcBorders>
              <w:bottom w:val="single" w:sz="8" w:color="0000FF"/>
            </w:tcBorders>
            <w:gridSpan w:val="3"/>
          </w:tcPr>
          <w:p>
            <w:pPr>
              <w:ind w:left="20"/>
              <w:spacing w:after="0" w:line="153" w:lineRule="exact"/>
              <w:rPr>
                <w:sz w:val="20"/>
                <w:szCs w:val="20"/>
                <w:color w:val="auto"/>
              </w:rPr>
            </w:pPr>
            <w:r>
              <w:rPr>
                <w:rFonts w:ascii="Arial" w:cs="Arial" w:eastAsia="Arial" w:hAnsi="Arial"/>
                <w:sz w:val="14"/>
                <w:szCs w:val="14"/>
                <w:color w:val="0000FF"/>
                <w:w w:val="98"/>
              </w:rPr>
              <w:t>Business</w:t>
            </w:r>
          </w:p>
        </w:tc>
        <w:tc>
          <w:tcPr>
            <w:tcW w:w="9360" w:type="dxa"/>
            <w:vAlign w:val="bottom"/>
            <w:gridSpan w:val="17"/>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0000FF"/>
              </w:rPr>
              <w:t>2.</w:t>
            </w:r>
          </w:p>
        </w:tc>
        <w:tc>
          <w:tcPr>
            <w:tcW w:w="9960" w:type="dxa"/>
            <w:vAlign w:val="bottom"/>
            <w:gridSpan w:val="20"/>
          </w:tcPr>
          <w:p>
            <w:pPr>
              <w:ind w:left="20"/>
              <w:spacing w:after="0"/>
              <w:rPr>
                <w:sz w:val="20"/>
                <w:szCs w:val="20"/>
                <w:color w:val="auto"/>
              </w:rPr>
            </w:pPr>
            <w:r>
              <w:rPr>
                <w:rFonts w:ascii="Arial" w:cs="Arial" w:eastAsia="Arial" w:hAnsi="Arial"/>
                <w:sz w:val="14"/>
                <w:szCs w:val="14"/>
                <w:color w:val="0000FF"/>
              </w:rPr>
              <w:t>Summary of Significant Accounting Policies</w:t>
            </w:r>
          </w:p>
        </w:tc>
        <w:tc>
          <w:tcPr>
            <w:tcW w:w="10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rPr>
              <w:t>3.</w:t>
            </w:r>
          </w:p>
        </w:tc>
        <w:tc>
          <w:tcPr>
            <w:tcW w:w="54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4"/>
                <w:szCs w:val="14"/>
                <w:color w:val="0000FF"/>
                <w:w w:val="97"/>
              </w:rPr>
              <w:t>Liquidity</w:t>
            </w:r>
          </w:p>
        </w:tc>
        <w:tc>
          <w:tcPr>
            <w:tcW w:w="2200" w:type="dxa"/>
            <w:vAlign w:val="bottom"/>
            <w:tcBorders>
              <w:top w:val="single" w:sz="8" w:color="0000FF"/>
            </w:tcBorders>
            <w:gridSpan w:val="11"/>
          </w:tcPr>
          <w:p>
            <w:pPr>
              <w:spacing w:after="0"/>
              <w:rPr>
                <w:sz w:val="13"/>
                <w:szCs w:val="13"/>
                <w:color w:val="auto"/>
              </w:rPr>
            </w:pPr>
          </w:p>
        </w:tc>
        <w:tc>
          <w:tcPr>
            <w:tcW w:w="7220" w:type="dxa"/>
            <w:vAlign w:val="bottom"/>
            <w:gridSpan w:val="7"/>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4.</w:t>
            </w:r>
          </w:p>
        </w:tc>
        <w:tc>
          <w:tcPr>
            <w:tcW w:w="224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Restructuring and Related Charges</w:t>
            </w:r>
          </w:p>
        </w:tc>
        <w:tc>
          <w:tcPr>
            <w:tcW w:w="7720" w:type="dxa"/>
            <w:vAlign w:val="bottom"/>
            <w:gridSpan w:val="9"/>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5.</w:t>
            </w:r>
          </w:p>
        </w:tc>
        <w:tc>
          <w:tcPr>
            <w:tcW w:w="1800" w:type="dxa"/>
            <w:vAlign w:val="bottom"/>
            <w:tcBorders>
              <w:bottom w:val="single" w:sz="8" w:color="0000FF"/>
            </w:tcBorders>
            <w:gridSpan w:val="9"/>
          </w:tcPr>
          <w:p>
            <w:pPr>
              <w:ind w:left="20"/>
              <w:spacing w:after="0"/>
              <w:rPr>
                <w:sz w:val="20"/>
                <w:szCs w:val="20"/>
                <w:color w:val="auto"/>
              </w:rPr>
            </w:pPr>
            <w:r>
              <w:rPr>
                <w:rFonts w:ascii="Arial" w:cs="Arial" w:eastAsia="Arial" w:hAnsi="Arial"/>
                <w:sz w:val="14"/>
                <w:szCs w:val="14"/>
                <w:color w:val="0000FF"/>
              </w:rPr>
              <w:t>Leases - Lessee Accounting</w:t>
            </w:r>
          </w:p>
        </w:tc>
        <w:tc>
          <w:tcPr>
            <w:tcW w:w="8160" w:type="dxa"/>
            <w:vAlign w:val="bottom"/>
            <w:gridSpan w:val="11"/>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6.</w:t>
            </w:r>
          </w:p>
        </w:tc>
        <w:tc>
          <w:tcPr>
            <w:tcW w:w="1320" w:type="dxa"/>
            <w:vAlign w:val="bottom"/>
            <w:tcBorders>
              <w:bottom w:val="single" w:sz="8" w:color="0000FF"/>
            </w:tcBorders>
            <w:gridSpan w:val="6"/>
          </w:tcPr>
          <w:p>
            <w:pPr>
              <w:ind w:left="20"/>
              <w:spacing w:after="0"/>
              <w:rPr>
                <w:sz w:val="20"/>
                <w:szCs w:val="20"/>
                <w:color w:val="auto"/>
              </w:rPr>
            </w:pPr>
            <w:r>
              <w:rPr>
                <w:rFonts w:ascii="Arial" w:cs="Arial" w:eastAsia="Arial" w:hAnsi="Arial"/>
                <w:sz w:val="14"/>
                <w:szCs w:val="14"/>
                <w:color w:val="0000FF"/>
              </w:rPr>
              <w:t>Rental Product, Net</w:t>
            </w:r>
          </w:p>
        </w:tc>
        <w:tc>
          <w:tcPr>
            <w:tcW w:w="8640" w:type="dxa"/>
            <w:vAlign w:val="bottom"/>
            <w:gridSpan w:val="14"/>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7.</w:t>
            </w:r>
          </w:p>
        </w:tc>
        <w:tc>
          <w:tcPr>
            <w:tcW w:w="1040" w:type="dxa"/>
            <w:vAlign w:val="bottom"/>
            <w:tcBorders>
              <w:bottom w:val="single" w:sz="8" w:color="0000FF"/>
            </w:tcBorders>
            <w:gridSpan w:val="5"/>
          </w:tcPr>
          <w:p>
            <w:pPr>
              <w:ind w:left="20"/>
              <w:spacing w:after="0"/>
              <w:rPr>
                <w:sz w:val="20"/>
                <w:szCs w:val="20"/>
                <w:color w:val="auto"/>
              </w:rPr>
            </w:pPr>
            <w:r>
              <w:rPr>
                <w:rFonts w:ascii="Arial" w:cs="Arial" w:eastAsia="Arial" w:hAnsi="Arial"/>
                <w:sz w:val="14"/>
                <w:szCs w:val="14"/>
                <w:color w:val="0000FF"/>
                <w:w w:val="98"/>
              </w:rPr>
              <w:t>Long-Term Debt</w:t>
            </w:r>
          </w:p>
        </w:tc>
        <w:tc>
          <w:tcPr>
            <w:tcW w:w="8920" w:type="dxa"/>
            <w:vAlign w:val="bottom"/>
            <w:gridSpan w:val="1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8.</w:t>
            </w:r>
          </w:p>
        </w:tc>
        <w:tc>
          <w:tcPr>
            <w:tcW w:w="900" w:type="dxa"/>
            <w:vAlign w:val="bottom"/>
            <w:tcBorders>
              <w:bottom w:val="single" w:sz="8" w:color="0000FF"/>
            </w:tcBorders>
            <w:gridSpan w:val="4"/>
          </w:tcPr>
          <w:p>
            <w:pPr>
              <w:ind w:left="20"/>
              <w:spacing w:after="0"/>
              <w:rPr>
                <w:sz w:val="20"/>
                <w:szCs w:val="20"/>
                <w:color w:val="auto"/>
              </w:rPr>
            </w:pPr>
            <w:r>
              <w:rPr>
                <w:rFonts w:ascii="Arial" w:cs="Arial" w:eastAsia="Arial" w:hAnsi="Arial"/>
                <w:sz w:val="14"/>
                <w:szCs w:val="14"/>
                <w:color w:val="0000FF"/>
                <w:w w:val="97"/>
              </w:rPr>
              <w:t>Income Taxes</w:t>
            </w:r>
          </w:p>
        </w:tc>
        <w:tc>
          <w:tcPr>
            <w:tcW w:w="9060" w:type="dxa"/>
            <w:vAlign w:val="bottom"/>
            <w:gridSpan w:val="1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140" w:type="dxa"/>
            <w:vAlign w:val="bottom"/>
            <w:tcBorders>
              <w:bottom w:val="single" w:sz="8" w:color="0000FF"/>
            </w:tcBorders>
          </w:tcPr>
          <w:p>
            <w:pPr>
              <w:spacing w:after="0"/>
              <w:rPr>
                <w:sz w:val="20"/>
                <w:szCs w:val="20"/>
                <w:color w:val="auto"/>
              </w:rPr>
            </w:pPr>
            <w:r>
              <w:rPr>
                <w:rFonts w:ascii="Arial" w:cs="Arial" w:eastAsia="Arial" w:hAnsi="Arial"/>
                <w:sz w:val="14"/>
                <w:szCs w:val="14"/>
                <w:color w:val="0000FF"/>
              </w:rPr>
              <w:t>9.</w:t>
            </w:r>
          </w:p>
        </w:tc>
        <w:tc>
          <w:tcPr>
            <w:tcW w:w="300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Accrued Expenses and Other Current Liabilities</w:t>
            </w:r>
          </w:p>
        </w:tc>
        <w:tc>
          <w:tcPr>
            <w:tcW w:w="6960" w:type="dxa"/>
            <w:vAlign w:val="bottom"/>
            <w:gridSpan w:val="6"/>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10.</w:t>
            </w:r>
          </w:p>
        </w:tc>
        <w:tc>
          <w:tcPr>
            <w:tcW w:w="9880" w:type="dxa"/>
            <w:vAlign w:val="bottom"/>
            <w:gridSpan w:val="19"/>
          </w:tcPr>
          <w:p>
            <w:pPr>
              <w:ind w:left="20"/>
              <w:spacing w:after="0"/>
              <w:rPr>
                <w:sz w:val="20"/>
                <w:szCs w:val="20"/>
                <w:color w:val="auto"/>
              </w:rPr>
            </w:pPr>
            <w:r>
              <w:rPr>
                <w:rFonts w:ascii="Arial" w:cs="Arial" w:eastAsia="Arial" w:hAnsi="Arial"/>
                <w:sz w:val="14"/>
                <w:szCs w:val="14"/>
                <w:color w:val="0000FF"/>
              </w:rPr>
              <w:t>Fair Value Measurements</w:t>
            </w:r>
          </w:p>
        </w:tc>
        <w:tc>
          <w:tcPr>
            <w:tcW w:w="10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4"/>
                <w:szCs w:val="14"/>
                <w:color w:val="0000FF"/>
                <w:w w:val="99"/>
              </w:rPr>
              <w:t>11. Stockholders’ Equity</w:t>
            </w:r>
          </w:p>
        </w:tc>
        <w:tc>
          <w:tcPr>
            <w:tcW w:w="320" w:type="dxa"/>
            <w:vAlign w:val="bottom"/>
            <w:tcBorders>
              <w:top w:val="single" w:sz="8" w:color="0000FF"/>
            </w:tcBorders>
          </w:tcPr>
          <w:p>
            <w:pPr>
              <w:spacing w:after="0"/>
              <w:rPr>
                <w:sz w:val="13"/>
                <w:szCs w:val="13"/>
                <w:color w:val="auto"/>
              </w:rPr>
            </w:pPr>
          </w:p>
        </w:tc>
        <w:tc>
          <w:tcPr>
            <w:tcW w:w="8260" w:type="dxa"/>
            <w:vAlign w:val="bottom"/>
            <w:gridSpan w:val="12"/>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12.</w:t>
            </w:r>
          </w:p>
        </w:tc>
        <w:tc>
          <w:tcPr>
            <w:tcW w:w="2180" w:type="dxa"/>
            <w:vAlign w:val="bottom"/>
            <w:tcBorders>
              <w:bottom w:val="single" w:sz="8" w:color="0000FF"/>
            </w:tcBorders>
            <w:gridSpan w:val="11"/>
          </w:tcPr>
          <w:p>
            <w:pPr>
              <w:ind w:left="20"/>
              <w:spacing w:after="0"/>
              <w:rPr>
                <w:sz w:val="20"/>
                <w:szCs w:val="20"/>
                <w:color w:val="auto"/>
              </w:rPr>
            </w:pPr>
            <w:r>
              <w:rPr>
                <w:rFonts w:ascii="Arial" w:cs="Arial" w:eastAsia="Arial" w:hAnsi="Arial"/>
                <w:sz w:val="14"/>
                <w:szCs w:val="14"/>
                <w:color w:val="0000FF"/>
              </w:rPr>
              <w:t>Share-based Compensation Plans</w:t>
            </w:r>
          </w:p>
        </w:tc>
        <w:tc>
          <w:tcPr>
            <w:tcW w:w="7700" w:type="dxa"/>
            <w:vAlign w:val="bottom"/>
            <w:gridSpan w:val="8"/>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color w:val="0000FF"/>
              </w:rPr>
              <w:t>13.</w:t>
            </w:r>
          </w:p>
        </w:tc>
        <w:tc>
          <w:tcPr>
            <w:tcW w:w="3620" w:type="dxa"/>
            <w:vAlign w:val="bottom"/>
            <w:tcBorders>
              <w:bottom w:val="single" w:sz="8" w:color="0000FF"/>
            </w:tcBorders>
            <w:gridSpan w:val="14"/>
          </w:tcPr>
          <w:p>
            <w:pPr>
              <w:ind w:left="20"/>
              <w:spacing w:after="0"/>
              <w:rPr>
                <w:sz w:val="20"/>
                <w:szCs w:val="20"/>
                <w:color w:val="auto"/>
              </w:rPr>
            </w:pPr>
            <w:r>
              <w:rPr>
                <w:rFonts w:ascii="Arial" w:cs="Arial" w:eastAsia="Arial" w:hAnsi="Arial"/>
                <w:sz w:val="14"/>
                <w:szCs w:val="14"/>
                <w:color w:val="0000FF"/>
              </w:rPr>
              <w:t>Net Loss per Share Attributable to Common Stockholders</w:t>
            </w:r>
          </w:p>
        </w:tc>
        <w:tc>
          <w:tcPr>
            <w:tcW w:w="6260" w:type="dxa"/>
            <w:vAlign w:val="bottom"/>
            <w:gridSpan w:val="5"/>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0000FF"/>
              </w:rPr>
              <w:t>14.</w:t>
            </w:r>
          </w:p>
        </w:tc>
        <w:tc>
          <w:tcPr>
            <w:tcW w:w="9880" w:type="dxa"/>
            <w:vAlign w:val="bottom"/>
            <w:gridSpan w:val="19"/>
          </w:tcPr>
          <w:p>
            <w:pPr>
              <w:ind w:left="20"/>
              <w:spacing w:after="0"/>
              <w:rPr>
                <w:sz w:val="20"/>
                <w:szCs w:val="20"/>
                <w:color w:val="auto"/>
              </w:rPr>
            </w:pPr>
            <w:r>
              <w:rPr>
                <w:rFonts w:ascii="Arial" w:cs="Arial" w:eastAsia="Arial" w:hAnsi="Arial"/>
                <w:sz w:val="14"/>
                <w:szCs w:val="14"/>
                <w:color w:val="0000FF"/>
              </w:rPr>
              <w:t>Commitments and Contingencies</w:t>
            </w:r>
          </w:p>
        </w:tc>
        <w:tc>
          <w:tcPr>
            <w:tcW w:w="10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0"/>
        </w:trPr>
        <w:tc>
          <w:tcPr>
            <w:tcW w:w="100" w:type="dxa"/>
            <w:vAlign w:val="bottom"/>
            <w:gridSpan w:val="2"/>
          </w:tcPr>
          <w:p>
            <w:pPr>
              <w:spacing w:after="0"/>
              <w:rPr>
                <w:sz w:val="13"/>
                <w:szCs w:val="13"/>
                <w:color w:val="auto"/>
              </w:rPr>
            </w:pPr>
          </w:p>
        </w:tc>
        <w:tc>
          <w:tcPr>
            <w:tcW w:w="220" w:type="dxa"/>
            <w:vAlign w:val="bottom"/>
            <w:tcBorders>
              <w:top w:val="single" w:sz="8" w:color="0000FF"/>
            </w:tcBorders>
            <w:gridSpan w:val="2"/>
          </w:tcPr>
          <w:p>
            <w:pPr>
              <w:spacing w:after="0"/>
              <w:rPr>
                <w:sz w:val="20"/>
                <w:szCs w:val="20"/>
                <w:color w:val="auto"/>
              </w:rPr>
            </w:pPr>
            <w:r>
              <w:rPr>
                <w:rFonts w:ascii="Arial" w:cs="Arial" w:eastAsia="Arial" w:hAnsi="Arial"/>
                <w:sz w:val="14"/>
                <w:szCs w:val="14"/>
                <w:color w:val="0000FF"/>
              </w:rPr>
              <w:t>15.</w:t>
            </w:r>
          </w:p>
        </w:tc>
        <w:tc>
          <w:tcPr>
            <w:tcW w:w="2100" w:type="dxa"/>
            <w:vAlign w:val="bottom"/>
            <w:tcBorders>
              <w:top w:val="single" w:sz="8" w:color="0000FF"/>
            </w:tcBorders>
            <w:gridSpan w:val="9"/>
          </w:tcPr>
          <w:p>
            <w:pPr>
              <w:ind w:left="20"/>
              <w:spacing w:after="0"/>
              <w:rPr>
                <w:sz w:val="20"/>
                <w:szCs w:val="20"/>
                <w:color w:val="auto"/>
              </w:rPr>
            </w:pPr>
            <w:r>
              <w:rPr>
                <w:rFonts w:ascii="Arial" w:cs="Arial" w:eastAsia="Arial" w:hAnsi="Arial"/>
                <w:sz w:val="14"/>
                <w:szCs w:val="14"/>
                <w:color w:val="0000FF"/>
              </w:rPr>
              <w:t>Subsequent Events</w:t>
            </w:r>
          </w:p>
        </w:tc>
        <w:tc>
          <w:tcPr>
            <w:tcW w:w="7780" w:type="dxa"/>
            <w:vAlign w:val="bottom"/>
            <w:gridSpan w:val="10"/>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60" w:type="dxa"/>
            <w:vAlign w:val="bottom"/>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April 30,</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January 31,</w:t>
            </w:r>
          </w:p>
        </w:tc>
        <w:tc>
          <w:tcPr>
            <w:tcW w:w="0" w:type="dxa"/>
            <w:vAlign w:val="bottom"/>
          </w:tcPr>
          <w:p>
            <w:pPr>
              <w:spacing w:after="0"/>
              <w:rPr>
                <w:sz w:val="1"/>
                <w:szCs w:val="1"/>
                <w:color w:val="auto"/>
              </w:rPr>
            </w:pPr>
          </w:p>
        </w:tc>
      </w:tr>
      <w:tr>
        <w:trPr>
          <w:trHeight w:val="155"/>
        </w:trPr>
        <w:tc>
          <w:tcPr>
            <w:tcW w:w="836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2025</w:t>
            </w:r>
          </w:p>
        </w:tc>
        <w:tc>
          <w:tcPr>
            <w:tcW w:w="0" w:type="dxa"/>
            <w:vAlign w:val="bottom"/>
          </w:tcPr>
          <w:p>
            <w:pPr>
              <w:spacing w:after="0"/>
              <w:rPr>
                <w:sz w:val="1"/>
                <w:szCs w:val="1"/>
                <w:color w:val="auto"/>
              </w:rPr>
            </w:pPr>
          </w:p>
        </w:tc>
      </w:tr>
      <w:tr>
        <w:trPr>
          <w:trHeight w:val="161"/>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Cash and cash equivalents</w:t>
            </w:r>
          </w:p>
        </w:tc>
        <w:tc>
          <w:tcPr>
            <w:tcW w:w="1000" w:type="dxa"/>
            <w:vAlign w:val="bottom"/>
            <w:shd w:val="clear" w:color="auto" w:fill="CCEEFF"/>
          </w:tcPr>
          <w:p>
            <w:pPr>
              <w:jc w:val="right"/>
              <w:ind w:right="86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77.4</w:t>
            </w: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Restricted cash, current</w:t>
            </w:r>
          </w:p>
        </w:tc>
        <w:tc>
          <w:tcPr>
            <w:tcW w:w="100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5.1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current assets</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11.6</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w:t>
            </w:r>
          </w:p>
        </w:tc>
        <w:tc>
          <w:tcPr>
            <w:tcW w:w="0" w:type="dxa"/>
            <w:vAlign w:val="bottom"/>
          </w:tcPr>
          <w:p>
            <w:pPr>
              <w:spacing w:after="0"/>
              <w:rPr>
                <w:sz w:val="1"/>
                <w:szCs w:val="1"/>
                <w:color w:val="auto"/>
              </w:rPr>
            </w:pPr>
          </w:p>
        </w:tc>
      </w:tr>
      <w:tr>
        <w:trPr>
          <w:trHeight w:val="176"/>
        </w:trPr>
        <w:tc>
          <w:tcPr>
            <w:tcW w:w="8360" w:type="dxa"/>
            <w:vAlign w:val="bottom"/>
          </w:tcPr>
          <w:p>
            <w:pPr>
              <w:ind w:left="520"/>
              <w:spacing w:after="0"/>
              <w:rPr>
                <w:sz w:val="20"/>
                <w:szCs w:val="20"/>
                <w:color w:val="auto"/>
              </w:rPr>
            </w:pPr>
            <w:r>
              <w:rPr>
                <w:rFonts w:ascii="Arial" w:cs="Arial" w:eastAsia="Arial" w:hAnsi="Arial"/>
                <w:sz w:val="11"/>
                <w:szCs w:val="11"/>
                <w:color w:val="auto"/>
              </w:rPr>
              <w:t>Total current assets</w:t>
            </w:r>
          </w:p>
        </w:tc>
        <w:tc>
          <w:tcPr>
            <w:tcW w:w="100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87.1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93.9</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Restricted cash</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1"/>
                <w:szCs w:val="11"/>
                <w:color w:val="auto"/>
              </w:rPr>
              <w:t>Rental product, net</w:t>
            </w:r>
          </w:p>
        </w:tc>
        <w:tc>
          <w:tcPr>
            <w:tcW w:w="100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87.3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73.3</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assets, net</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26.8</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28.3</w:t>
            </w:r>
          </w:p>
        </w:tc>
        <w:tc>
          <w:tcPr>
            <w:tcW w:w="0" w:type="dxa"/>
            <w:vAlign w:val="bottom"/>
          </w:tcPr>
          <w:p>
            <w:pPr>
              <w:spacing w:after="0"/>
              <w:rPr>
                <w:sz w:val="1"/>
                <w:szCs w:val="1"/>
                <w:color w:val="auto"/>
              </w:rPr>
            </w:pPr>
          </w:p>
        </w:tc>
      </w:tr>
      <w:tr>
        <w:trPr>
          <w:trHeight w:val="177"/>
        </w:trPr>
        <w:tc>
          <w:tcPr>
            <w:tcW w:w="836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100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10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 assets</w:t>
            </w:r>
          </w:p>
        </w:tc>
        <w:tc>
          <w:tcPr>
            <w:tcW w:w="100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245.3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240.0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and Stockholders’ Equity (Deficit)</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36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Accounts payable</w:t>
            </w:r>
          </w:p>
        </w:tc>
        <w:tc>
          <w:tcPr>
            <w:tcW w:w="1000" w:type="dxa"/>
            <w:vAlign w:val="bottom"/>
          </w:tcPr>
          <w:p>
            <w:pPr>
              <w:jc w:val="right"/>
              <w:ind w:right="863"/>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16.6</w:t>
            </w:r>
          </w:p>
        </w:tc>
        <w:tc>
          <w:tcPr>
            <w:tcW w:w="80" w:type="dxa"/>
            <w:vAlign w:val="bottom"/>
          </w:tcPr>
          <w:p>
            <w:pPr>
              <w:spacing w:after="0"/>
              <w:rPr>
                <w:sz w:val="14"/>
                <w:szCs w:val="14"/>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1180" w:type="dxa"/>
            <w:vAlign w:val="bottom"/>
          </w:tcPr>
          <w:p>
            <w:pPr>
              <w:jc w:val="right"/>
              <w:spacing w:after="0"/>
              <w:rPr>
                <w:sz w:val="20"/>
                <w:szCs w:val="20"/>
                <w:color w:val="auto"/>
              </w:rPr>
            </w:pPr>
            <w:r>
              <w:rPr>
                <w:rFonts w:ascii="Arial" w:cs="Arial" w:eastAsia="Arial" w:hAnsi="Arial"/>
                <w:sz w:val="11"/>
                <w:szCs w:val="11"/>
                <w:color w:val="auto"/>
              </w:rPr>
              <w:t>6.2</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Accrued expenses and other current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w:t>
            </w:r>
          </w:p>
        </w:tc>
        <w:tc>
          <w:tcPr>
            <w:tcW w:w="0" w:type="dxa"/>
            <w:vAlign w:val="bottom"/>
          </w:tcPr>
          <w:p>
            <w:pPr>
              <w:spacing w:after="0"/>
              <w:rPr>
                <w:sz w:val="1"/>
                <w:szCs w:val="1"/>
                <w:color w:val="auto"/>
              </w:rPr>
            </w:pPr>
          </w:p>
        </w:tc>
      </w:tr>
      <w:tr>
        <w:trPr>
          <w:trHeight w:val="172"/>
        </w:trPr>
        <w:tc>
          <w:tcPr>
            <w:tcW w:w="8360" w:type="dxa"/>
            <w:vAlign w:val="bottom"/>
          </w:tcPr>
          <w:p>
            <w:pPr>
              <w:ind w:left="280"/>
              <w:spacing w:after="0"/>
              <w:rPr>
                <w:sz w:val="20"/>
                <w:szCs w:val="20"/>
                <w:color w:val="auto"/>
              </w:rPr>
            </w:pPr>
            <w:r>
              <w:rPr>
                <w:rFonts w:ascii="Arial" w:cs="Arial" w:eastAsia="Arial" w:hAnsi="Arial"/>
                <w:sz w:val="11"/>
                <w:szCs w:val="11"/>
                <w:color w:val="auto"/>
              </w:rPr>
              <w:t>Deferred revenue</w:t>
            </w:r>
          </w:p>
        </w:tc>
        <w:tc>
          <w:tcPr>
            <w:tcW w:w="100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12.7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80"/>
              <w:spacing w:after="0"/>
              <w:rPr>
                <w:sz w:val="20"/>
                <w:szCs w:val="20"/>
                <w:color w:val="auto"/>
              </w:rPr>
            </w:pPr>
            <w:r>
              <w:rPr>
                <w:rFonts w:ascii="Arial" w:cs="Arial" w:eastAsia="Arial" w:hAnsi="Arial"/>
                <w:sz w:val="11"/>
                <w:szCs w:val="11"/>
                <w:color w:val="auto"/>
              </w:rPr>
              <w:t>Customer credit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72"/>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Operating lease liabilities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4.9</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current liabilities</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71.3</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172"/>
        </w:trPr>
        <w:tc>
          <w:tcPr>
            <w:tcW w:w="8360" w:type="dxa"/>
            <w:vAlign w:val="bottom"/>
          </w:tcPr>
          <w:p>
            <w:pPr>
              <w:ind w:left="20"/>
              <w:spacing w:after="0"/>
              <w:rPr>
                <w:sz w:val="20"/>
                <w:szCs w:val="20"/>
                <w:color w:val="auto"/>
              </w:rPr>
            </w:pPr>
            <w:r>
              <w:rPr>
                <w:rFonts w:ascii="Arial" w:cs="Arial" w:eastAsia="Arial" w:hAnsi="Arial"/>
                <w:sz w:val="11"/>
                <w:szCs w:val="11"/>
                <w:color w:val="auto"/>
              </w:rPr>
              <w:t>Long-term debt, net</w:t>
            </w:r>
          </w:p>
        </w:tc>
        <w:tc>
          <w:tcPr>
            <w:tcW w:w="1000" w:type="dxa"/>
            <w:vAlign w:val="bottom"/>
          </w:tcPr>
          <w:p>
            <w:pPr>
              <w:spacing w:after="0"/>
              <w:rPr>
                <w:sz w:val="14"/>
                <w:szCs w:val="14"/>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340.6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333.7</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liabilities</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w:t>
            </w:r>
          </w:p>
        </w:tc>
        <w:tc>
          <w:tcPr>
            <w:tcW w:w="0" w:type="dxa"/>
            <w:vAlign w:val="bottom"/>
          </w:tcPr>
          <w:p>
            <w:pPr>
              <w:spacing w:after="0"/>
              <w:rPr>
                <w:sz w:val="1"/>
                <w:szCs w:val="1"/>
                <w:color w:val="auto"/>
              </w:rPr>
            </w:pPr>
          </w:p>
        </w:tc>
      </w:tr>
      <w:tr>
        <w:trPr>
          <w:trHeight w:val="17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liabilities</w:t>
            </w: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0.8</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liabilities</w:t>
            </w:r>
          </w:p>
        </w:tc>
        <w:tc>
          <w:tcPr>
            <w:tcW w:w="100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452.4</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422.5</w:t>
            </w:r>
          </w:p>
        </w:tc>
        <w:tc>
          <w:tcPr>
            <w:tcW w:w="0" w:type="dxa"/>
            <w:vAlign w:val="bottom"/>
          </w:tcPr>
          <w:p>
            <w:pPr>
              <w:spacing w:after="0"/>
              <w:rPr>
                <w:sz w:val="1"/>
                <w:szCs w:val="1"/>
                <w:color w:val="auto"/>
              </w:rPr>
            </w:pPr>
          </w:p>
        </w:tc>
      </w:tr>
      <w:tr>
        <w:trPr>
          <w:trHeight w:val="152"/>
        </w:trPr>
        <w:tc>
          <w:tcPr>
            <w:tcW w:w="8360" w:type="dxa"/>
            <w:vAlign w:val="bottom"/>
          </w:tcPr>
          <w:p>
            <w:pPr>
              <w:ind w:left="20"/>
              <w:spacing w:after="0"/>
              <w:rPr>
                <w:sz w:val="20"/>
                <w:szCs w:val="20"/>
                <w:color w:val="auto"/>
              </w:rPr>
            </w:pPr>
            <w:r>
              <w:rPr>
                <w:rFonts w:ascii="Arial" w:cs="Arial" w:eastAsia="Arial" w:hAnsi="Arial"/>
                <w:sz w:val="11"/>
                <w:szCs w:val="11"/>
                <w:color w:val="auto"/>
              </w:rPr>
              <w:t>Commitments and Contingencies (Note 14)</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Stockholders’ equity (deficit)</w:t>
            </w:r>
          </w:p>
        </w:tc>
        <w:tc>
          <w:tcPr>
            <w:tcW w:w="1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8360" w:type="dxa"/>
            <w:vAlign w:val="bottom"/>
          </w:tcPr>
          <w:p>
            <w:pPr>
              <w:ind w:left="280"/>
              <w:spacing w:after="0" w:line="121" w:lineRule="exact"/>
              <w:rPr>
                <w:sz w:val="20"/>
                <w:szCs w:val="20"/>
                <w:color w:val="auto"/>
              </w:rPr>
            </w:pPr>
            <w:r>
              <w:rPr>
                <w:rFonts w:ascii="Arial" w:cs="Arial" w:eastAsia="Arial" w:hAnsi="Arial"/>
                <w:sz w:val="11"/>
                <w:szCs w:val="11"/>
                <w:color w:val="auto"/>
              </w:rPr>
              <w:t>Class A common stock, $0.001 par value; 300,000,000 shares authorized as of April 30, 2025 and January 31, 2025; 3,825,951 and 3,761,469 shares issued and</w:t>
            </w:r>
          </w:p>
        </w:tc>
        <w:tc>
          <w:tcPr>
            <w:tcW w:w="1000" w:type="dxa"/>
            <w:vAlign w:val="bottom"/>
          </w:tcPr>
          <w:p>
            <w:pPr>
              <w:spacing w:after="0"/>
              <w:rPr>
                <w:sz w:val="10"/>
                <w:szCs w:val="10"/>
                <w:color w:val="auto"/>
              </w:rPr>
            </w:pPr>
          </w:p>
        </w:tc>
        <w:tc>
          <w:tcPr>
            <w:tcW w:w="500" w:type="dxa"/>
            <w:vAlign w:val="bottom"/>
            <w:gridSpan w:val="2"/>
          </w:tcPr>
          <w:p>
            <w:pPr>
              <w:jc w:val="right"/>
              <w:ind w:right="140"/>
              <w:spacing w:after="0" w:line="121"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1180" w:type="dxa"/>
            <w:vAlign w:val="bottom"/>
          </w:tcPr>
          <w:p>
            <w:pPr>
              <w:jc w:val="right"/>
              <w:spacing w:after="0" w:line="12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8"/>
        </w:trPr>
        <w:tc>
          <w:tcPr>
            <w:tcW w:w="8360" w:type="dxa"/>
            <w:vAlign w:val="bottom"/>
          </w:tcPr>
          <w:p>
            <w:pPr>
              <w:ind w:left="400"/>
              <w:spacing w:after="0"/>
              <w:rPr>
                <w:sz w:val="20"/>
                <w:szCs w:val="20"/>
                <w:color w:val="auto"/>
              </w:rPr>
            </w:pPr>
            <w:r>
              <w:rPr>
                <w:rFonts w:ascii="Arial" w:cs="Arial" w:eastAsia="Arial" w:hAnsi="Arial"/>
                <w:sz w:val="11"/>
                <w:szCs w:val="11"/>
                <w:color w:val="auto"/>
              </w:rPr>
              <w:t>outstanding as of April 30, 2025 and January 31, 2025, respectively</w:t>
            </w: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61530" cy="168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6827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1" w:lineRule="exact"/>
        <w:rPr>
          <w:sz w:val="20"/>
          <w:szCs w:val="20"/>
          <w:color w:val="auto"/>
        </w:rPr>
      </w:pPr>
    </w:p>
    <w:p>
      <w:pPr>
        <w:ind w:left="400" w:right="480" w:hanging="126"/>
        <w:spacing w:after="0" w:line="242" w:lineRule="auto"/>
        <w:rPr>
          <w:sz w:val="20"/>
          <w:szCs w:val="20"/>
          <w:color w:val="auto"/>
        </w:rPr>
      </w:pPr>
      <w:r>
        <w:rPr>
          <w:rFonts w:ascii="Arial" w:cs="Arial" w:eastAsia="Arial" w:hAnsi="Arial"/>
          <w:sz w:val="11"/>
          <w:szCs w:val="11"/>
          <w:color w:val="auto"/>
        </w:rPr>
        <w:t>Class B common stock, $0.001 par value; 50,000,000 shares authorized as of April 30, 2025 and January 31, 2025; 155,544 and 155,463 shares issued and outstanding as of April 30, 2025 and January 31, 2025, respectively</w:t>
      </w:r>
    </w:p>
    <w:p>
      <w:pPr>
        <w:spacing w:after="0" w:line="10" w:lineRule="exact"/>
        <w:rPr>
          <w:sz w:val="20"/>
          <w:szCs w:val="20"/>
          <w:color w:val="auto"/>
        </w:rPr>
      </w:pPr>
    </w:p>
    <w:p>
      <w:pPr>
        <w:ind w:left="400" w:right="240" w:hanging="126"/>
        <w:spacing w:after="0" w:line="242" w:lineRule="auto"/>
        <w:rPr>
          <w:sz w:val="20"/>
          <w:szCs w:val="20"/>
          <w:color w:val="auto"/>
        </w:rPr>
      </w:pPr>
      <w:r>
        <w:rPr>
          <w:rFonts w:ascii="Arial" w:cs="Arial" w:eastAsia="Arial" w:hAnsi="Arial"/>
          <w:sz w:val="11"/>
          <w:szCs w:val="11"/>
          <w:color w:val="auto"/>
        </w:rPr>
        <w:t>Preferred stock, $0.001 par value; 10,000,000 shares authorized as of April 30, 2025 and January 31, 2025; 0 shares issued and outstanding as of April 30, 2025 and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16153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Additional paid-in capital</w:t>
      </w:r>
    </w:p>
    <w:p>
      <w:pPr>
        <w:spacing w:after="0" w:line="54"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Accumulated deficit</w:t>
      </w:r>
    </w:p>
    <w:p>
      <w:pPr>
        <w:spacing w:after="0" w:line="20" w:lineRule="exact"/>
        <w:rPr>
          <w:sz w:val="20"/>
          <w:szCs w:val="20"/>
          <w:color w:val="auto"/>
        </w:rPr>
      </w:pPr>
      <w:r>
        <w:rPr>
          <w:sz w:val="20"/>
          <w:szCs w:val="20"/>
          <w:color w:val="auto"/>
        </w:rPr>
        <w:br w:type="column"/>
      </w:r>
    </w:p>
    <w:p>
      <w:pPr>
        <w:ind w:left="320"/>
        <w:spacing w:after="0"/>
        <w:tabs>
          <w:tab w:leader="none" w:pos="1800" w:val="left"/>
        </w:tabs>
        <w:rPr>
          <w:sz w:val="20"/>
          <w:szCs w:val="20"/>
          <w:color w:val="auto"/>
        </w:rPr>
      </w:pPr>
      <w:r>
        <w:rPr>
          <w:rFonts w:ascii="Arial" w:cs="Arial" w:eastAsia="Arial" w:hAnsi="Arial"/>
          <w:sz w:val="11"/>
          <w:szCs w:val="11"/>
          <w:color w:val="auto"/>
        </w:rPr>
        <w:t>—</w:t>
      </w:r>
      <w:r>
        <w:rPr>
          <w:sz w:val="20"/>
          <w:szCs w:val="20"/>
          <w:color w:val="auto"/>
        </w:rPr>
        <w:tab/>
      </w:r>
      <w:r>
        <w:rPr>
          <w:rFonts w:ascii="Arial" w:cs="Arial" w:eastAsia="Arial" w:hAnsi="Arial"/>
          <w:sz w:val="11"/>
          <w:szCs w:val="11"/>
          <w:color w:val="auto"/>
        </w:rPr>
        <w:t>—</w:t>
      </w:r>
    </w:p>
    <w:p>
      <w:pPr>
        <w:spacing w:after="0" w:line="209" w:lineRule="exact"/>
        <w:rPr>
          <w:sz w:val="20"/>
          <w:szCs w:val="20"/>
          <w:color w:val="auto"/>
        </w:rPr>
      </w:pPr>
    </w:p>
    <w:p>
      <w:pPr>
        <w:ind w:left="300"/>
        <w:spacing w:after="0"/>
        <w:tabs>
          <w:tab w:leader="none" w:pos="17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p>
    <w:p>
      <w:pPr>
        <w:spacing w:after="0" w:line="46" w:lineRule="exact"/>
        <w:rPr>
          <w:sz w:val="20"/>
          <w:szCs w:val="20"/>
          <w:color w:val="auto"/>
        </w:rPr>
      </w:pPr>
    </w:p>
    <w:p>
      <w:pPr>
        <w:ind w:left="140"/>
        <w:spacing w:after="0"/>
        <w:tabs>
          <w:tab w:leader="none" w:pos="1620" w:val="left"/>
        </w:tabs>
        <w:rPr>
          <w:sz w:val="20"/>
          <w:szCs w:val="20"/>
          <w:color w:val="auto"/>
        </w:rPr>
      </w:pPr>
      <w:r>
        <w:rPr>
          <w:rFonts w:ascii="Arial" w:cs="Arial" w:eastAsia="Arial" w:hAnsi="Arial"/>
          <w:sz w:val="11"/>
          <w:szCs w:val="11"/>
          <w:color w:val="auto"/>
        </w:rPr>
        <w:t>942.0</w:t>
      </w:r>
      <w:r>
        <w:rPr>
          <w:sz w:val="20"/>
          <w:szCs w:val="20"/>
          <w:color w:val="auto"/>
        </w:rPr>
        <w:tab/>
      </w:r>
      <w:r>
        <w:rPr>
          <w:rFonts w:ascii="Arial" w:cs="Arial" w:eastAsia="Arial" w:hAnsi="Arial"/>
          <w:sz w:val="11"/>
          <w:szCs w:val="11"/>
          <w:color w:val="auto"/>
        </w:rPr>
        <w:t>940.5</w:t>
      </w:r>
    </w:p>
    <w:p>
      <w:pPr>
        <w:spacing w:after="0" w:line="54" w:lineRule="exact"/>
        <w:rPr>
          <w:sz w:val="20"/>
          <w:szCs w:val="20"/>
          <w:color w:val="auto"/>
        </w:rPr>
      </w:pPr>
    </w:p>
    <w:p>
      <w:pPr>
        <w:spacing w:after="0"/>
        <w:tabs>
          <w:tab w:leader="none" w:pos="1480" w:val="left"/>
        </w:tabs>
        <w:rPr>
          <w:sz w:val="20"/>
          <w:szCs w:val="20"/>
          <w:color w:val="auto"/>
        </w:rPr>
      </w:pPr>
      <w:r>
        <w:rPr>
          <w:rFonts w:ascii="Arial" w:cs="Arial" w:eastAsia="Arial" w:hAnsi="Arial"/>
          <w:sz w:val="11"/>
          <w:szCs w:val="11"/>
          <w:color w:val="auto"/>
        </w:rPr>
        <w:t>(1,149.1)</w:t>
      </w:r>
      <w:r>
        <w:rPr>
          <w:sz w:val="20"/>
          <w:szCs w:val="20"/>
          <w:color w:val="auto"/>
        </w:rPr>
        <w:tab/>
      </w:r>
      <w:r>
        <w:rPr>
          <w:rFonts w:ascii="Arial" w:cs="Arial" w:eastAsia="Arial" w:hAnsi="Arial"/>
          <w:sz w:val="11"/>
          <w:szCs w:val="11"/>
          <w:color w:val="auto"/>
        </w:rPr>
        <w:t>(1,123.0)</w:t>
      </w:r>
    </w:p>
    <w:p>
      <w:pPr>
        <w:spacing w:after="0" w:line="32" w:lineRule="exact"/>
        <w:rPr>
          <w:sz w:val="20"/>
          <w:szCs w:val="20"/>
          <w:color w:val="auto"/>
        </w:rPr>
      </w:pPr>
    </w:p>
    <w:p>
      <w:pPr>
        <w:sectPr>
          <w:pgSz w:w="11900" w:h="16838" w:orient="portrait"/>
          <w:cols w:equalWidth="0" w:num="2">
            <w:col w:w="8580" w:space="720"/>
            <w:col w:w="198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Total stockholders’ equity (deficit)</w:t>
            </w: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(207.1)</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(182.5)</w:t>
            </w:r>
          </w:p>
        </w:tc>
      </w:tr>
      <w:tr>
        <w:trPr>
          <w:trHeight w:val="180"/>
        </w:trPr>
        <w:tc>
          <w:tcPr>
            <w:tcW w:w="8360" w:type="dxa"/>
            <w:vAlign w:val="bottom"/>
          </w:tcPr>
          <w:p>
            <w:pPr>
              <w:ind w:left="20"/>
              <w:spacing w:after="0"/>
              <w:rPr>
                <w:sz w:val="20"/>
                <w:szCs w:val="20"/>
                <w:color w:val="auto"/>
              </w:rPr>
            </w:pPr>
            <w:r>
              <w:rPr>
                <w:rFonts w:ascii="Arial" w:cs="Arial" w:eastAsia="Arial" w:hAnsi="Arial"/>
                <w:sz w:val="11"/>
                <w:szCs w:val="11"/>
                <w:color w:val="auto"/>
              </w:rPr>
              <w:t>Total liabilities and stockholders’ equity (deficit)</w:t>
            </w:r>
          </w:p>
        </w:tc>
        <w:tc>
          <w:tcPr>
            <w:tcW w:w="5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245.3</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240.0</w:t>
            </w:r>
          </w:p>
        </w:tc>
      </w:tr>
      <w:tr>
        <w:trPr>
          <w:trHeight w:val="20"/>
        </w:trPr>
        <w:tc>
          <w:tcPr>
            <w:tcW w:w="8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and per share amounts, unaudited)</w:t>
      </w:r>
    </w:p>
    <w:p>
      <w:pPr>
        <w:spacing w:after="0" w:line="206" w:lineRule="exact"/>
        <w:rPr>
          <w:sz w:val="20"/>
          <w:szCs w:val="20"/>
          <w:color w:val="auto"/>
        </w:rPr>
      </w:pPr>
    </w:p>
    <w:p>
      <w:pPr>
        <w:jc w:val="center"/>
        <w:ind w:left="8120"/>
        <w:spacing w:after="0"/>
        <w:rPr>
          <w:sz w:val="20"/>
          <w:szCs w:val="20"/>
          <w:color w:val="auto"/>
        </w:rPr>
      </w:pPr>
      <w:r>
        <w:rPr>
          <w:rFonts w:ascii="Arial" w:cs="Arial" w:eastAsia="Arial" w:hAnsi="Arial"/>
          <w:sz w:val="11"/>
          <w:szCs w:val="11"/>
          <w:b w:val="1"/>
          <w:bCs w:val="1"/>
          <w:color w:val="auto"/>
        </w:rPr>
        <w:t>Three Months Ended</w:t>
      </w:r>
    </w:p>
    <w:p>
      <w:pPr>
        <w:jc w:val="center"/>
        <w:ind w:left="8120"/>
        <w:spacing w:after="0"/>
        <w:rPr>
          <w:sz w:val="20"/>
          <w:szCs w:val="20"/>
          <w:color w:val="auto"/>
        </w:rPr>
      </w:pPr>
      <w:r>
        <w:rPr>
          <w:rFonts w:ascii="Arial" w:cs="Arial" w:eastAsia="Arial" w:hAnsi="Arial"/>
          <w:sz w:val="11"/>
          <w:szCs w:val="11"/>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5238115</wp:posOffset>
            </wp:positionH>
            <wp:positionV relativeFrom="paragraph">
              <wp:posOffset>11430</wp:posOffset>
            </wp:positionV>
            <wp:extent cx="185928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9280" cy="698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7"/>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1"/>
                <w:szCs w:val="11"/>
                <w:b w:val="1"/>
                <w:bCs w:val="1"/>
                <w:color w:val="auto"/>
              </w:rPr>
              <w:t>2024</w:t>
            </w:r>
          </w:p>
        </w:tc>
      </w:tr>
      <w:tr>
        <w:trPr>
          <w:trHeight w:val="177"/>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0"/>
        </w:trPr>
        <w:tc>
          <w:tcPr>
            <w:tcW w:w="8240" w:type="dxa"/>
            <w:vAlign w:val="bottom"/>
          </w:tcPr>
          <w:p>
            <w:pPr>
              <w:ind w:left="280"/>
              <w:spacing w:after="0"/>
              <w:rPr>
                <w:sz w:val="20"/>
                <w:szCs w:val="20"/>
                <w:color w:val="auto"/>
              </w:rPr>
            </w:pPr>
            <w:r>
              <w:rPr>
                <w:rFonts w:ascii="Arial" w:cs="Arial" w:eastAsia="Arial" w:hAnsi="Arial"/>
                <w:sz w:val="13"/>
                <w:szCs w:val="13"/>
                <w:color w:val="auto"/>
              </w:rPr>
              <w:t>Subscription and Reserve rental revenue</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62.0</w:t>
            </w:r>
          </w:p>
        </w:tc>
        <w:tc>
          <w:tcPr>
            <w:tcW w:w="80" w:type="dxa"/>
            <w:vAlign w:val="bottom"/>
          </w:tcPr>
          <w:p>
            <w:pPr>
              <w:spacing w:after="0"/>
              <w:rPr>
                <w:sz w:val="16"/>
                <w:szCs w:val="16"/>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66.1</w:t>
            </w:r>
          </w:p>
        </w:tc>
      </w:tr>
      <w:tr>
        <w:trPr>
          <w:trHeight w:val="192"/>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revenue</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170"/>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Total revenue, net</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75.0</w:t>
            </w: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 and expenses: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4"/>
        </w:trPr>
        <w:tc>
          <w:tcPr>
            <w:tcW w:w="8240" w:type="dxa"/>
            <w:vAlign w:val="bottom"/>
          </w:tcPr>
          <w:p>
            <w:pPr>
              <w:ind w:left="280"/>
              <w:spacing w:after="0"/>
              <w:rPr>
                <w:sz w:val="20"/>
                <w:szCs w:val="20"/>
                <w:color w:val="auto"/>
              </w:rPr>
            </w:pPr>
            <w:r>
              <w:rPr>
                <w:rFonts w:ascii="Arial" w:cs="Arial" w:eastAsia="Arial" w:hAnsi="Arial"/>
                <w:sz w:val="13"/>
                <w:szCs w:val="13"/>
                <w:color w:val="auto"/>
              </w:rPr>
              <w:t>Fulfillment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20.6</w:t>
            </w:r>
          </w:p>
        </w:tc>
      </w:tr>
      <w:tr>
        <w:trPr>
          <w:trHeight w:val="19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Technology</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184"/>
        </w:trPr>
        <w:tc>
          <w:tcPr>
            <w:tcW w:w="8240" w:type="dxa"/>
            <w:vAlign w:val="bottom"/>
          </w:tcPr>
          <w:p>
            <w:pPr>
              <w:ind w:left="280"/>
              <w:spacing w:after="0"/>
              <w:rPr>
                <w:sz w:val="20"/>
                <w:szCs w:val="20"/>
                <w:color w:val="auto"/>
              </w:rPr>
            </w:pPr>
            <w:r>
              <w:rPr>
                <w:rFonts w:ascii="Arial" w:cs="Arial" w:eastAsia="Arial" w:hAnsi="Arial"/>
                <w:sz w:val="13"/>
                <w:szCs w:val="13"/>
                <w:color w:val="auto"/>
              </w:rPr>
              <w:t>Marketing</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9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General and administrative</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r>
      <w:tr>
        <w:trPr>
          <w:trHeight w:val="184"/>
        </w:trPr>
        <w:tc>
          <w:tcPr>
            <w:tcW w:w="8240" w:type="dxa"/>
            <w:vAlign w:val="bottom"/>
          </w:tcPr>
          <w:p>
            <w:pPr>
              <w:ind w:left="280"/>
              <w:spacing w:after="0"/>
              <w:rPr>
                <w:sz w:val="20"/>
                <w:szCs w:val="20"/>
                <w:color w:val="auto"/>
              </w:rPr>
            </w:pPr>
            <w:r>
              <w:rPr>
                <w:rFonts w:ascii="Arial" w:cs="Arial" w:eastAsia="Arial" w:hAnsi="Arial"/>
                <w:sz w:val="13"/>
                <w:szCs w:val="13"/>
                <w:color w:val="auto"/>
              </w:rPr>
              <w:t>Rental product depreciation and revenue share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26.0</w:t>
            </w:r>
          </w:p>
        </w:tc>
      </w:tr>
      <w:tr>
        <w:trPr>
          <w:trHeight w:val="198"/>
        </w:trPr>
        <w:tc>
          <w:tcPr>
            <w:tcW w:w="82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depreciation and amortization</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90"/>
        </w:trPr>
        <w:tc>
          <w:tcPr>
            <w:tcW w:w="8240" w:type="dxa"/>
            <w:vAlign w:val="bottom"/>
          </w:tcPr>
          <w:p>
            <w:pPr>
              <w:ind w:left="280"/>
              <w:spacing w:after="0"/>
              <w:rPr>
                <w:sz w:val="20"/>
                <w:szCs w:val="20"/>
                <w:color w:val="auto"/>
              </w:rPr>
            </w:pPr>
            <w:r>
              <w:rPr>
                <w:rFonts w:ascii="Arial" w:cs="Arial" w:eastAsia="Arial" w:hAnsi="Arial"/>
                <w:sz w:val="13"/>
                <w:szCs w:val="13"/>
                <w:color w:val="auto"/>
              </w:rPr>
              <w:t>Restructuring charges</w:t>
            </w:r>
          </w:p>
        </w:tc>
        <w:tc>
          <w:tcPr>
            <w:tcW w:w="34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172"/>
        </w:trPr>
        <w:tc>
          <w:tcPr>
            <w:tcW w:w="824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Total costs and expenses</w:t>
            </w: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89.3</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91.5</w:t>
            </w:r>
          </w:p>
        </w:tc>
      </w:tr>
      <w:tr>
        <w:trPr>
          <w:trHeight w:val="170"/>
        </w:trPr>
        <w:tc>
          <w:tcPr>
            <w:tcW w:w="8240" w:type="dxa"/>
            <w:vAlign w:val="bottom"/>
          </w:tcPr>
          <w:p>
            <w:pPr>
              <w:ind w:left="780"/>
              <w:spacing w:after="0"/>
              <w:rPr>
                <w:sz w:val="20"/>
                <w:szCs w:val="20"/>
                <w:color w:val="auto"/>
              </w:rPr>
            </w:pPr>
            <w:r>
              <w:rPr>
                <w:rFonts w:ascii="Arial" w:cs="Arial" w:eastAsia="Arial" w:hAnsi="Arial"/>
                <w:sz w:val="13"/>
                <w:szCs w:val="13"/>
                <w:color w:val="auto"/>
              </w:rPr>
              <w:t>Operating loss</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(16.5)</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 / (expense), net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r>
      <w:tr>
        <w:trPr>
          <w:trHeight w:val="190"/>
        </w:trPr>
        <w:tc>
          <w:tcPr>
            <w:tcW w:w="824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Other income / (expense), net</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r>
      <w:tr>
        <w:trPr>
          <w:trHeight w:val="172"/>
        </w:trPr>
        <w:tc>
          <w:tcPr>
            <w:tcW w:w="8240" w:type="dxa"/>
            <w:vAlign w:val="bottom"/>
            <w:shd w:val="clear" w:color="auto" w:fill="CCEEFF"/>
          </w:tcPr>
          <w:p>
            <w:pPr>
              <w:ind w:left="700"/>
              <w:spacing w:after="0"/>
              <w:rPr>
                <w:sz w:val="20"/>
                <w:szCs w:val="20"/>
                <w:color w:val="auto"/>
              </w:rPr>
            </w:pPr>
            <w:r>
              <w:rPr>
                <w:rFonts w:ascii="Arial" w:cs="Arial" w:eastAsia="Arial" w:hAnsi="Arial"/>
                <w:sz w:val="13"/>
                <w:szCs w:val="13"/>
                <w:color w:val="auto"/>
              </w:rPr>
              <w:t>Net loss before income tax benefit / (expense)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18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 (expense)</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92"/>
        </w:trPr>
        <w:tc>
          <w:tcPr>
            <w:tcW w:w="824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3"/>
                <w:szCs w:val="13"/>
                <w:color w:val="auto"/>
              </w:rPr>
              <w:t>Net loss</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240" w:type="dxa"/>
            <w:vAlign w:val="bottom"/>
          </w:tcPr>
          <w:p>
            <w:pPr>
              <w:ind w:left="20"/>
              <w:spacing w:after="0"/>
              <w:rPr>
                <w:sz w:val="20"/>
                <w:szCs w:val="20"/>
                <w:color w:val="auto"/>
              </w:rPr>
            </w:pPr>
            <w:r>
              <w:rPr>
                <w:rFonts w:ascii="Arial" w:cs="Arial" w:eastAsia="Arial" w:hAnsi="Arial"/>
                <w:sz w:val="13"/>
                <w:szCs w:val="13"/>
                <w:color w:val="auto"/>
              </w:rPr>
              <w:t>Net loss per share attributable to common stockholders, basic and diluted</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shares used in computing net loss per share attributable to common stockholders, basic and diluted</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3,967,101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3,646,202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Condensed Consolidated Statements of Changes in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1615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except share amounts,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580" w:type="dxa"/>
            <w:vAlign w:val="bottom"/>
          </w:tcPr>
          <w:p>
            <w:pPr>
              <w:spacing w:after="0"/>
              <w:rPr>
                <w:sz w:val="7"/>
                <w:szCs w:val="7"/>
                <w:color w:val="auto"/>
              </w:rPr>
            </w:pPr>
          </w:p>
        </w:tc>
        <w:tc>
          <w:tcPr>
            <w:tcW w:w="2000" w:type="dxa"/>
            <w:vAlign w:val="bottom"/>
            <w:gridSpan w:val="3"/>
          </w:tcPr>
          <w:p>
            <w:pPr>
              <w:jc w:val="right"/>
              <w:ind w:right="512"/>
              <w:spacing w:after="0"/>
              <w:rPr>
                <w:sz w:val="20"/>
                <w:szCs w:val="20"/>
                <w:color w:val="auto"/>
              </w:rPr>
            </w:pPr>
            <w:r>
              <w:rPr>
                <w:rFonts w:ascii="Arial" w:cs="Arial" w:eastAsia="Arial" w:hAnsi="Arial"/>
                <w:sz w:val="8"/>
                <w:szCs w:val="8"/>
                <w:b w:val="1"/>
                <w:bCs w:val="1"/>
                <w:color w:val="auto"/>
              </w:rPr>
              <w:t>Common Stock</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rPr>
                <w:sz w:val="20"/>
                <w:szCs w:val="20"/>
                <w:color w:val="auto"/>
              </w:rPr>
            </w:pPr>
            <w:r>
              <w:rPr>
                <w:rFonts w:ascii="Arial" w:cs="Arial" w:eastAsia="Arial" w:hAnsi="Arial"/>
                <w:sz w:val="8"/>
                <w:szCs w:val="8"/>
                <w:b w:val="1"/>
                <w:bCs w:val="1"/>
                <w:color w:val="auto"/>
              </w:rPr>
              <w:t>Additional</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jc w:val="center"/>
              <w:ind w:right="112"/>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42"/>
        </w:trPr>
        <w:tc>
          <w:tcPr>
            <w:tcW w:w="558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vMerge w:val="restart"/>
          </w:tcPr>
          <w:p>
            <w:pPr>
              <w:jc w:val="right"/>
              <w:ind w:right="34"/>
              <w:spacing w:after="0" w:line="85" w:lineRule="exact"/>
              <w:rPr>
                <w:sz w:val="20"/>
                <w:szCs w:val="20"/>
                <w:color w:val="auto"/>
              </w:rPr>
            </w:pPr>
            <w:r>
              <w:rPr>
                <w:rFonts w:ascii="Arial" w:cs="Arial" w:eastAsia="Arial" w:hAnsi="Arial"/>
                <w:sz w:val="8"/>
                <w:szCs w:val="8"/>
                <w:b w:val="1"/>
                <w:bCs w:val="1"/>
                <w:color w:val="auto"/>
              </w:rPr>
              <w:t>Paid-in</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restart"/>
          </w:tcPr>
          <w:p>
            <w:pPr>
              <w:ind w:left="100"/>
              <w:spacing w:after="0" w:line="85" w:lineRule="exact"/>
              <w:rPr>
                <w:sz w:val="20"/>
                <w:szCs w:val="20"/>
                <w:color w:val="auto"/>
              </w:rPr>
            </w:pPr>
            <w:r>
              <w:rPr>
                <w:rFonts w:ascii="Arial" w:cs="Arial" w:eastAsia="Arial" w:hAnsi="Arial"/>
                <w:sz w:val="8"/>
                <w:szCs w:val="8"/>
                <w:b w:val="1"/>
                <w:bCs w:val="1"/>
                <w:color w:val="auto"/>
              </w:rPr>
              <w:t>Accumulated</w:t>
            </w:r>
          </w:p>
        </w:tc>
        <w:tc>
          <w:tcPr>
            <w:tcW w:w="160" w:type="dxa"/>
            <w:vAlign w:val="bottom"/>
          </w:tcPr>
          <w:p>
            <w:pPr>
              <w:spacing w:after="0"/>
              <w:rPr>
                <w:sz w:val="3"/>
                <w:szCs w:val="3"/>
                <w:color w:val="auto"/>
              </w:rPr>
            </w:pPr>
          </w:p>
        </w:tc>
        <w:tc>
          <w:tcPr>
            <w:tcW w:w="980" w:type="dxa"/>
            <w:vAlign w:val="bottom"/>
            <w:vMerge w:val="restart"/>
          </w:tcPr>
          <w:p>
            <w:pPr>
              <w:jc w:val="center"/>
              <w:ind w:right="112"/>
              <w:spacing w:after="0" w:line="85" w:lineRule="exact"/>
              <w:rPr>
                <w:sz w:val="20"/>
                <w:szCs w:val="20"/>
                <w:color w:val="auto"/>
              </w:rPr>
            </w:pPr>
            <w:r>
              <w:rPr>
                <w:rFonts w:ascii="Arial" w:cs="Arial" w:eastAsia="Arial" w:hAnsi="Arial"/>
                <w:sz w:val="8"/>
                <w:szCs w:val="8"/>
                <w:b w:val="1"/>
                <w:bCs w:val="1"/>
                <w:color w:val="auto"/>
              </w:rPr>
              <w:t>Stockholders’</w:t>
            </w:r>
          </w:p>
        </w:tc>
        <w:tc>
          <w:tcPr>
            <w:tcW w:w="0" w:type="dxa"/>
            <w:vAlign w:val="bottom"/>
          </w:tcPr>
          <w:p>
            <w:pPr>
              <w:spacing w:after="0"/>
              <w:rPr>
                <w:sz w:val="1"/>
                <w:szCs w:val="1"/>
                <w:color w:val="auto"/>
              </w:rPr>
            </w:pPr>
          </w:p>
        </w:tc>
      </w:tr>
      <w:tr>
        <w:trPr>
          <w:trHeight w:val="23"/>
        </w:trPr>
        <w:tc>
          <w:tcPr>
            <w:tcW w:w="5580" w:type="dxa"/>
            <w:vAlign w:val="bottom"/>
          </w:tcPr>
          <w:p>
            <w:pPr>
              <w:spacing w:after="0" w:line="20" w:lineRule="exact"/>
              <w:rPr>
                <w:sz w:val="1"/>
                <w:szCs w:val="1"/>
                <w:color w:val="auto"/>
              </w:rPr>
            </w:pPr>
          </w:p>
        </w:tc>
        <w:tc>
          <w:tcPr>
            <w:tcW w:w="1180" w:type="dxa"/>
            <w:vAlign w:val="bottom"/>
            <w:gridSpan w:val="2"/>
            <w:vMerge w:val="restart"/>
          </w:tcPr>
          <w:p>
            <w:pPr>
              <w:ind w:left="400"/>
              <w:spacing w:after="0"/>
              <w:rPr>
                <w:sz w:val="20"/>
                <w:szCs w:val="20"/>
                <w:color w:val="auto"/>
              </w:rPr>
            </w:pPr>
            <w:r>
              <w:rPr>
                <w:rFonts w:ascii="Arial" w:cs="Arial" w:eastAsia="Arial" w:hAnsi="Arial"/>
                <w:sz w:val="8"/>
                <w:szCs w:val="8"/>
                <w:b w:val="1"/>
                <w:bCs w:val="1"/>
                <w:color w:val="auto"/>
              </w:rPr>
              <w:t>Shares</w:t>
            </w:r>
          </w:p>
        </w:tc>
        <w:tc>
          <w:tcPr>
            <w:tcW w:w="820" w:type="dxa"/>
            <w:vAlign w:val="bottom"/>
            <w:vMerge w:val="restart"/>
          </w:tcPr>
          <w:p>
            <w:pPr>
              <w:jc w:val="right"/>
              <w:ind w:right="72"/>
              <w:spacing w:after="0"/>
              <w:rPr>
                <w:sz w:val="20"/>
                <w:szCs w:val="20"/>
                <w:color w:val="auto"/>
              </w:rPr>
            </w:pPr>
            <w:r>
              <w:rPr>
                <w:rFonts w:ascii="Arial" w:cs="Arial" w:eastAsia="Arial" w:hAnsi="Arial"/>
                <w:sz w:val="8"/>
                <w:szCs w:val="8"/>
                <w:b w:val="1"/>
                <w:bCs w:val="1"/>
                <w:color w:val="auto"/>
              </w:rPr>
              <w:t>Amount</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5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34"/>
              <w:spacing w:after="0"/>
              <w:rPr>
                <w:sz w:val="20"/>
                <w:szCs w:val="20"/>
                <w:color w:val="auto"/>
              </w:rPr>
            </w:pPr>
            <w:r>
              <w:rPr>
                <w:rFonts w:ascii="Arial" w:cs="Arial" w:eastAsia="Arial" w:hAnsi="Arial"/>
                <w:sz w:val="8"/>
                <w:szCs w:val="8"/>
                <w:b w:val="1"/>
                <w:bCs w:val="1"/>
                <w:color w:val="auto"/>
              </w:rPr>
              <w:t>Capital</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240"/>
              <w:spacing w:after="0"/>
              <w:rPr>
                <w:sz w:val="20"/>
                <w:szCs w:val="20"/>
                <w:color w:val="auto"/>
              </w:rPr>
            </w:pPr>
            <w:r>
              <w:rPr>
                <w:rFonts w:ascii="Arial" w:cs="Arial" w:eastAsia="Arial" w:hAnsi="Arial"/>
                <w:sz w:val="8"/>
                <w:szCs w:val="8"/>
                <w:b w:val="1"/>
                <w:bCs w:val="1"/>
                <w:color w:val="auto"/>
              </w:rPr>
              <w:t>Deficit</w:t>
            </w:r>
          </w:p>
        </w:tc>
        <w:tc>
          <w:tcPr>
            <w:tcW w:w="160" w:type="dxa"/>
            <w:vAlign w:val="bottom"/>
          </w:tcPr>
          <w:p>
            <w:pPr>
              <w:spacing w:after="0"/>
              <w:rPr>
                <w:sz w:val="10"/>
                <w:szCs w:val="10"/>
                <w:color w:val="auto"/>
              </w:rPr>
            </w:pPr>
          </w:p>
        </w:tc>
        <w:tc>
          <w:tcPr>
            <w:tcW w:w="980" w:type="dxa"/>
            <w:vAlign w:val="bottom"/>
          </w:tcPr>
          <w:p>
            <w:pPr>
              <w:jc w:val="center"/>
              <w:ind w:right="112"/>
              <w:spacing w:after="0"/>
              <w:rPr>
                <w:sz w:val="20"/>
                <w:szCs w:val="20"/>
                <w:color w:val="auto"/>
              </w:rPr>
            </w:pPr>
            <w:r>
              <w:rPr>
                <w:rFonts w:ascii="Arial" w:cs="Arial" w:eastAsia="Arial" w:hAnsi="Arial"/>
                <w:sz w:val="8"/>
                <w:szCs w:val="8"/>
                <w:b w:val="1"/>
                <w:bCs w:val="1"/>
                <w:color w:val="auto"/>
              </w:rPr>
              <w:t>Equity (Deficit)</w:t>
            </w:r>
          </w:p>
        </w:tc>
        <w:tc>
          <w:tcPr>
            <w:tcW w:w="0" w:type="dxa"/>
            <w:vAlign w:val="bottom"/>
          </w:tcPr>
          <w:p>
            <w:pPr>
              <w:spacing w:after="0"/>
              <w:rPr>
                <w:sz w:val="1"/>
                <w:szCs w:val="1"/>
                <w:color w:val="auto"/>
              </w:rPr>
            </w:pPr>
          </w:p>
        </w:tc>
      </w:tr>
      <w:tr>
        <w:trPr>
          <w:trHeight w:val="13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January 31,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3,916,932</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940.5</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(1,123.0)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(182.5)</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64,563</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(26.1)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(26.1)</w:t>
            </w:r>
          </w:p>
        </w:tc>
        <w:tc>
          <w:tcPr>
            <w:tcW w:w="0" w:type="dxa"/>
            <w:vAlign w:val="bottom"/>
          </w:tcPr>
          <w:p>
            <w:pPr>
              <w:spacing w:after="0"/>
              <w:rPr>
                <w:sz w:val="1"/>
                <w:szCs w:val="1"/>
                <w:color w:val="auto"/>
              </w:rPr>
            </w:pP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April 30, 2025</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3,981,495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942.0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(1,149.1)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(207.1)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5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January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3,545,515</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930.8</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(1,053.1)</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(122.3)</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Stock issued under stock incentive plan</w:t>
            </w:r>
          </w:p>
        </w:tc>
        <w:tc>
          <w:tcPr>
            <w:tcW w:w="1080" w:type="dxa"/>
            <w:vAlign w:val="bottom"/>
          </w:tcPr>
          <w:p>
            <w:pPr>
              <w:jc w:val="right"/>
              <w:spacing w:after="0"/>
              <w:rPr>
                <w:sz w:val="20"/>
                <w:szCs w:val="20"/>
                <w:color w:val="auto"/>
              </w:rPr>
            </w:pPr>
            <w:r>
              <w:rPr>
                <w:rFonts w:ascii="Arial" w:cs="Arial" w:eastAsia="Arial" w:hAnsi="Arial"/>
                <w:sz w:val="10"/>
                <w:szCs w:val="10"/>
                <w:color w:val="auto"/>
              </w:rPr>
              <w:t>129,807</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60" w:type="dxa"/>
            <w:vAlign w:val="bottom"/>
            <w:gridSpan w:val="2"/>
          </w:tcPr>
          <w:p>
            <w:pPr>
              <w:ind w:left="7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7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w:t>
            </w:r>
          </w:p>
        </w:tc>
        <w:tc>
          <w:tcPr>
            <w:tcW w:w="0" w:type="dxa"/>
            <w:vAlign w:val="bottom"/>
          </w:tcPr>
          <w:p>
            <w:pPr>
              <w:spacing w:after="0"/>
              <w:rPr>
                <w:sz w:val="1"/>
                <w:szCs w:val="1"/>
                <w:color w:val="auto"/>
              </w:rPr>
            </w:pPr>
          </w:p>
        </w:tc>
      </w:tr>
      <w:tr>
        <w:trPr>
          <w:trHeight w:val="134"/>
        </w:trPr>
        <w:tc>
          <w:tcPr>
            <w:tcW w:w="5580" w:type="dxa"/>
            <w:vAlign w:val="bottom"/>
          </w:tcPr>
          <w:p>
            <w:pPr>
              <w:ind w:left="280"/>
              <w:spacing w:after="0"/>
              <w:rPr>
                <w:sz w:val="20"/>
                <w:szCs w:val="20"/>
                <w:color w:val="auto"/>
              </w:rPr>
            </w:pPr>
            <w:r>
              <w:rPr>
                <w:rFonts w:ascii="Arial" w:cs="Arial" w:eastAsia="Arial" w:hAnsi="Arial"/>
                <w:sz w:val="10"/>
                <w:szCs w:val="10"/>
                <w:color w:val="auto"/>
              </w:rPr>
              <w:t>Net loss</w:t>
            </w: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20" w:type="dxa"/>
            <w:vAlign w:val="bottom"/>
          </w:tcPr>
          <w:p>
            <w:pPr>
              <w:spacing w:after="0"/>
              <w:rPr>
                <w:sz w:val="11"/>
                <w:szCs w:val="11"/>
                <w:color w:val="auto"/>
              </w:rPr>
            </w:pPr>
          </w:p>
        </w:tc>
        <w:tc>
          <w:tcPr>
            <w:tcW w:w="360" w:type="dxa"/>
            <w:vAlign w:val="bottom"/>
            <w:gridSpan w:val="2"/>
          </w:tcPr>
          <w:p>
            <w:pPr>
              <w:ind w:left="120"/>
              <w:spacing w:after="0"/>
              <w:rPr>
                <w:sz w:val="20"/>
                <w:szCs w:val="20"/>
                <w:color w:val="auto"/>
              </w:rPr>
            </w:pPr>
            <w:r>
              <w:rPr>
                <w:rFonts w:ascii="Arial" w:cs="Arial" w:eastAsia="Arial" w:hAnsi="Arial"/>
                <w:sz w:val="10"/>
                <w:szCs w:val="10"/>
                <w:color w:val="auto"/>
              </w:rPr>
              <w:t>—</w:t>
            </w:r>
          </w:p>
        </w:tc>
        <w:tc>
          <w:tcPr>
            <w:tcW w:w="72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(22.0)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(22.0)</w:t>
            </w:r>
          </w:p>
        </w:tc>
        <w:tc>
          <w:tcPr>
            <w:tcW w:w="0" w:type="dxa"/>
            <w:vAlign w:val="bottom"/>
          </w:tcPr>
          <w:p>
            <w:pPr>
              <w:spacing w:after="0"/>
              <w:rPr>
                <w:sz w:val="1"/>
                <w:szCs w:val="1"/>
                <w:color w:val="auto"/>
              </w:rPr>
            </w:pPr>
          </w:p>
        </w:tc>
      </w:tr>
      <w:tr>
        <w:trPr>
          <w:trHeight w:val="15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Balances as of April 30, 2024</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3,675,322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87"/>
              </w:rPr>
              <w:t>933.8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(1,075.1)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(141.3)</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02"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Three Months Ended</w:t>
      </w:r>
    </w:p>
    <w:p>
      <w:pPr>
        <w:jc w:val="center"/>
        <w:ind w:left="8320"/>
        <w:spacing w:after="0"/>
        <w:rPr>
          <w:sz w:val="20"/>
          <w:szCs w:val="20"/>
          <w:color w:val="auto"/>
        </w:rPr>
      </w:pPr>
      <w:r>
        <w:rPr>
          <w:rFonts w:ascii="Arial" w:cs="Arial" w:eastAsia="Arial" w:hAnsi="Arial"/>
          <w:sz w:val="13"/>
          <w:szCs w:val="13"/>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5080</wp:posOffset>
            </wp:positionV>
            <wp:extent cx="187325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3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2025</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2024</w:t>
            </w:r>
          </w:p>
        </w:tc>
      </w:tr>
      <w:tr>
        <w:trPr>
          <w:trHeight w:val="17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9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Net loss</w:t>
            </w:r>
          </w:p>
        </w:tc>
        <w:tc>
          <w:tcPr>
            <w:tcW w:w="960" w:type="dxa"/>
            <w:vAlign w:val="bottom"/>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(22.0)</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loss to net cash (used in) provided by operating activities: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Rental product depreciation and write-offs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Write-off of rental product sold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Other depreciation and amortization</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3.3</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Proceeds from rental product sold</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(Gain) / loss from liquidation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Amortization of debt discount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r>
      <w:tr>
        <w:trPr>
          <w:trHeight w:val="184"/>
        </w:trPr>
        <w:tc>
          <w:tcPr>
            <w:tcW w:w="8340" w:type="dxa"/>
            <w:vAlign w:val="bottom"/>
          </w:tcPr>
          <w:p>
            <w:pPr>
              <w:ind w:left="280"/>
              <w:spacing w:after="0"/>
              <w:rPr>
                <w:sz w:val="20"/>
                <w:szCs w:val="20"/>
                <w:color w:val="auto"/>
              </w:rPr>
            </w:pPr>
            <w:r>
              <w:rPr>
                <w:rFonts w:ascii="Arial" w:cs="Arial" w:eastAsia="Arial" w:hAnsi="Arial"/>
                <w:sz w:val="13"/>
                <w:szCs w:val="13"/>
                <w:color w:val="auto"/>
              </w:rPr>
              <w:t>Share-based compensation expense</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198"/>
        </w:trPr>
        <w:tc>
          <w:tcPr>
            <w:tcW w:w="8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operating assets and liabilities: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Prepaid expenses and other current assets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0.9</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Operating lease right-of-use assets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Other assets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(0.4)</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Accounts payable, accrued expenses and other current liabilities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84"/>
        </w:trPr>
        <w:tc>
          <w:tcPr>
            <w:tcW w:w="8340" w:type="dxa"/>
            <w:vAlign w:val="bottom"/>
          </w:tcPr>
          <w:p>
            <w:pPr>
              <w:ind w:left="520"/>
              <w:spacing w:after="0"/>
              <w:rPr>
                <w:sz w:val="20"/>
                <w:szCs w:val="20"/>
                <w:color w:val="auto"/>
              </w:rPr>
            </w:pPr>
            <w:r>
              <w:rPr>
                <w:rFonts w:ascii="Arial" w:cs="Arial" w:eastAsia="Arial" w:hAnsi="Arial"/>
                <w:sz w:val="13"/>
                <w:szCs w:val="13"/>
                <w:color w:val="auto"/>
              </w:rPr>
              <w:t>Deferred revenue and customer credit liabilities</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98"/>
        </w:trPr>
        <w:tc>
          <w:tcPr>
            <w:tcW w:w="8340" w:type="dxa"/>
            <w:vAlign w:val="bottom"/>
            <w:shd w:val="clear" w:color="auto" w:fill="CCEEFF"/>
          </w:tcPr>
          <w:p>
            <w:pPr>
              <w:ind w:left="520"/>
              <w:spacing w:after="0"/>
              <w:rPr>
                <w:sz w:val="20"/>
                <w:szCs w:val="20"/>
                <w:color w:val="auto"/>
              </w:rPr>
            </w:pPr>
            <w:r>
              <w:rPr>
                <w:rFonts w:ascii="Arial" w:cs="Arial" w:eastAsia="Arial" w:hAnsi="Arial"/>
                <w:sz w:val="13"/>
                <w:szCs w:val="13"/>
                <w:color w:val="auto"/>
              </w:rPr>
              <w:t>Operating lease liabilities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w:t>
            </w:r>
          </w:p>
        </w:tc>
      </w:tr>
      <w:tr>
        <w:trPr>
          <w:trHeight w:val="184"/>
        </w:trPr>
        <w:tc>
          <w:tcPr>
            <w:tcW w:w="8340" w:type="dxa"/>
            <w:vAlign w:val="bottom"/>
            <w:tcBorders>
              <w:bottom w:val="single" w:sz="8" w:color="CCEEFF"/>
            </w:tcBorders>
          </w:tcPr>
          <w:p>
            <w:pPr>
              <w:ind w:left="520"/>
              <w:spacing w:after="0"/>
              <w:rPr>
                <w:sz w:val="20"/>
                <w:szCs w:val="20"/>
                <w:color w:val="auto"/>
              </w:rPr>
            </w:pPr>
            <w:r>
              <w:rPr>
                <w:rFonts w:ascii="Arial" w:cs="Arial" w:eastAsia="Arial" w:hAnsi="Arial"/>
                <w:sz w:val="13"/>
                <w:szCs w:val="13"/>
                <w:color w:val="auto"/>
              </w:rPr>
              <w:t>Other liabilities</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8"/>
        </w:trPr>
        <w:tc>
          <w:tcPr>
            <w:tcW w:w="83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Net cash (used in) provided by operating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r>
      <w:tr>
        <w:trPr>
          <w:trHeight w:val="167"/>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5"/>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rental product</w:t>
            </w:r>
          </w:p>
        </w:tc>
        <w:tc>
          <w:tcPr>
            <w:tcW w:w="9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Proceeds from liquidation of rental product</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sale of rental product</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r>
      <w:tr>
        <w:trPr>
          <w:trHeight w:val="184"/>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Purchases of fixed and intangible assets</w:t>
            </w:r>
          </w:p>
        </w:tc>
        <w:tc>
          <w:tcPr>
            <w:tcW w:w="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r>
      <w:tr>
        <w:trPr>
          <w:trHeight w:val="178"/>
        </w:trPr>
        <w:tc>
          <w:tcPr>
            <w:tcW w:w="8340" w:type="dxa"/>
            <w:vAlign w:val="bottom"/>
            <w:shd w:val="clear" w:color="auto" w:fill="CCEEFF"/>
          </w:tcPr>
          <w:p>
            <w:pPr>
              <w:ind w:left="780"/>
              <w:spacing w:after="0"/>
              <w:rPr>
                <w:sz w:val="20"/>
                <w:szCs w:val="20"/>
                <w:color w:val="auto"/>
              </w:rPr>
            </w:pPr>
            <w:r>
              <w:rPr>
                <w:rFonts w:ascii="Arial" w:cs="Arial" w:eastAsia="Arial" w:hAnsi="Arial"/>
                <w:sz w:val="13"/>
                <w:szCs w:val="13"/>
                <w:color w:val="auto"/>
              </w:rPr>
              <w:t>Net cash (used in) provided by investing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r>
      <w:tr>
        <w:trPr>
          <w:trHeight w:val="150"/>
        </w:trPr>
        <w:tc>
          <w:tcPr>
            <w:tcW w:w="834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financing payments</w:t>
            </w:r>
          </w:p>
        </w:tc>
        <w:tc>
          <w:tcPr>
            <w:tcW w:w="9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w:t>
            </w:r>
          </w:p>
        </w:tc>
      </w:tr>
      <w:tr>
        <w:trPr>
          <w:trHeight w:val="159"/>
        </w:trPr>
        <w:tc>
          <w:tcPr>
            <w:tcW w:w="8340" w:type="dxa"/>
            <w:vAlign w:val="bottom"/>
            <w:tcBorders>
              <w:bottom w:val="single" w:sz="8" w:color="CCEEFF"/>
            </w:tcBorders>
          </w:tcPr>
          <w:p>
            <w:pPr>
              <w:ind w:left="780"/>
              <w:spacing w:after="0"/>
              <w:rPr>
                <w:sz w:val="20"/>
                <w:szCs w:val="20"/>
                <w:color w:val="auto"/>
              </w:rPr>
            </w:pPr>
            <w:r>
              <w:rPr>
                <w:rFonts w:ascii="Arial" w:cs="Arial" w:eastAsia="Arial" w:hAnsi="Arial"/>
                <w:sz w:val="13"/>
                <w:szCs w:val="13"/>
                <w:color w:val="auto"/>
              </w:rPr>
              <w:t>Net cash (used in) provided by financing activities</w:t>
            </w: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r>
      <w:tr>
        <w:trPr>
          <w:trHeight w:val="162"/>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increase in cash and cash equivalents and restricted cash</w:t>
            </w:r>
          </w:p>
        </w:tc>
        <w:tc>
          <w:tcPr>
            <w:tcW w:w="9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r>
      <w:tr>
        <w:trPr>
          <w:trHeight w:val="16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and restricted cash at beginning of period</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w:t>
            </w:r>
          </w:p>
        </w:tc>
      </w:tr>
      <w:tr>
        <w:trPr>
          <w:trHeight w:val="187"/>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at end of period</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 unaudited)</w:t>
      </w:r>
    </w:p>
    <w:p>
      <w:pPr>
        <w:spacing w:after="0" w:line="223"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Three Months Ended</w:t>
      </w:r>
    </w:p>
    <w:p>
      <w:pPr>
        <w:spacing w:after="0" w:line="11" w:lineRule="exact"/>
        <w:rPr>
          <w:sz w:val="20"/>
          <w:szCs w:val="20"/>
          <w:color w:val="auto"/>
        </w:rPr>
      </w:pPr>
    </w:p>
    <w:p>
      <w:pPr>
        <w:jc w:val="center"/>
        <w:ind w:left="8320"/>
        <w:spacing w:after="0"/>
        <w:rPr>
          <w:sz w:val="20"/>
          <w:szCs w:val="20"/>
          <w:color w:val="auto"/>
        </w:rPr>
      </w:pPr>
      <w:r>
        <w:rPr>
          <w:rFonts w:ascii="Arial" w:cs="Arial" w:eastAsia="Arial" w:hAnsi="Arial"/>
          <w:sz w:val="13"/>
          <w:szCs w:val="13"/>
          <w:b w:val="1"/>
          <w:bCs w:val="1"/>
          <w:color w:val="auto"/>
        </w:rPr>
        <w:t>April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4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rPr>
              <w:t>2025</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2024</w:t>
            </w:r>
          </w:p>
        </w:tc>
      </w:tr>
      <w:tr>
        <w:trPr>
          <w:trHeight w:val="17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Cash and Cash Equivalents and Restricted Cash to the Condensed Consolidated Balance Sheets:</w:t>
            </w: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70.4</w:t>
            </w:r>
          </w:p>
        </w:tc>
        <w:tc>
          <w:tcPr>
            <w:tcW w:w="100" w:type="dxa"/>
            <w:vAlign w:val="bottom"/>
          </w:tcPr>
          <w:p>
            <w:pPr>
              <w:spacing w:after="0"/>
              <w:rPr>
                <w:sz w:val="16"/>
                <w:szCs w:val="16"/>
                <w:color w:val="auto"/>
              </w:rPr>
            </w:pPr>
          </w:p>
        </w:tc>
        <w:tc>
          <w:tcPr>
            <w:tcW w:w="320" w:type="dxa"/>
            <w:vAlign w:val="bottom"/>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82.0</w:t>
            </w:r>
          </w:p>
        </w:tc>
      </w:tr>
      <w:tr>
        <w:trPr>
          <w:trHeight w:val="198"/>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current</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84"/>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Restricted cash, noncurrent</w:t>
            </w: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r>
      <w:tr>
        <w:trPr>
          <w:trHeight w:val="19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and cash equivalents and restricted cash</w:t>
            </w:r>
          </w:p>
        </w:tc>
        <w:tc>
          <w:tcPr>
            <w:tcW w:w="98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1"/>
        </w:trPr>
        <w:tc>
          <w:tcPr>
            <w:tcW w:w="8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Cash Flow Information:</w:t>
            </w: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4"/>
        </w:trPr>
        <w:tc>
          <w:tcPr>
            <w:tcW w:w="8340" w:type="dxa"/>
            <w:vAlign w:val="bottom"/>
          </w:tcPr>
          <w:p>
            <w:pPr>
              <w:ind w:left="20"/>
              <w:spacing w:after="0"/>
              <w:rPr>
                <w:sz w:val="20"/>
                <w:szCs w:val="20"/>
                <w:color w:val="auto"/>
              </w:rPr>
            </w:pPr>
            <w:r>
              <w:rPr>
                <w:rFonts w:ascii="Arial" w:cs="Arial" w:eastAsia="Arial" w:hAnsi="Arial"/>
                <w:sz w:val="13"/>
                <w:szCs w:val="13"/>
                <w:color w:val="auto"/>
              </w:rPr>
              <w:t>Cash payments (receipts) for:</w:t>
            </w: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Fixed operating lease payments, net</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Fixed assets and intangibles received in the prior period</w:t>
            </w:r>
          </w:p>
        </w:tc>
        <w:tc>
          <w:tcPr>
            <w:tcW w:w="9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0.3</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Rental product received in the prior period</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69"/>
        </w:trPr>
        <w:tc>
          <w:tcPr>
            <w:tcW w:w="8340" w:type="dxa"/>
            <w:vAlign w:val="bottom"/>
          </w:tcPr>
          <w:p>
            <w:pPr>
              <w:ind w:left="180"/>
              <w:spacing w:after="0"/>
              <w:rPr>
                <w:sz w:val="20"/>
                <w:szCs w:val="20"/>
                <w:color w:val="auto"/>
              </w:rPr>
            </w:pPr>
            <w:r>
              <w:rPr>
                <w:rFonts w:ascii="Arial" w:cs="Arial" w:eastAsia="Arial" w:hAnsi="Arial"/>
                <w:sz w:val="13"/>
                <w:szCs w:val="13"/>
                <w:color w:val="auto"/>
              </w:rPr>
              <w:t>Non-cash financing and investing activities:</w:t>
            </w: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2"/>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Financing lease right-of-use asset amortization</w:t>
            </w:r>
          </w:p>
        </w:tc>
        <w:tc>
          <w:tcPr>
            <w:tcW w:w="980" w:type="dxa"/>
            <w:vAlign w:val="bottom"/>
            <w:shd w:val="clear" w:color="auto" w:fill="CCEEFF"/>
          </w:tcPr>
          <w:p>
            <w:pPr>
              <w:jc w:val="right"/>
              <w:ind w:right="836"/>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r>
      <w:tr>
        <w:trPr>
          <w:trHeight w:val="184"/>
        </w:trPr>
        <w:tc>
          <w:tcPr>
            <w:tcW w:w="8340" w:type="dxa"/>
            <w:vAlign w:val="bottom"/>
          </w:tcPr>
          <w:p>
            <w:pPr>
              <w:ind w:left="360"/>
              <w:spacing w:after="0"/>
              <w:rPr>
                <w:sz w:val="20"/>
                <w:szCs w:val="20"/>
                <w:color w:val="auto"/>
              </w:rPr>
            </w:pPr>
            <w:r>
              <w:rPr>
                <w:rFonts w:ascii="Arial" w:cs="Arial" w:eastAsia="Arial" w:hAnsi="Arial"/>
                <w:sz w:val="13"/>
                <w:szCs w:val="13"/>
                <w:color w:val="auto"/>
              </w:rPr>
              <w:t>Purchases of fixed assets and intangibles not yet settled</w:t>
            </w:r>
          </w:p>
        </w:tc>
        <w:tc>
          <w:tcPr>
            <w:tcW w:w="9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0.2</w:t>
            </w:r>
          </w:p>
        </w:tc>
      </w:tr>
      <w:tr>
        <w:trPr>
          <w:trHeight w:val="198"/>
        </w:trPr>
        <w:tc>
          <w:tcPr>
            <w:tcW w:w="83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Purchases of rental product not yet settled</w:t>
            </w: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04" w:lineRule="exact"/>
        <w:rPr>
          <w:sz w:val="20"/>
          <w:szCs w:val="20"/>
          <w:color w:val="auto"/>
        </w:rPr>
      </w:pPr>
    </w:p>
    <w:p>
      <w:pPr>
        <w:ind w:left="380" w:hanging="375"/>
        <w:spacing w:after="0"/>
        <w:tabs>
          <w:tab w:leader="none" w:pos="38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Business</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93" w:lineRule="exact"/>
        <w:rPr>
          <w:rFonts w:ascii="Arial" w:cs="Arial" w:eastAsia="Arial" w:hAnsi="Arial"/>
          <w:sz w:val="14"/>
          <w:szCs w:val="14"/>
          <w:b w:val="1"/>
          <w:bCs w:val="1"/>
          <w:color w:val="auto"/>
        </w:rPr>
      </w:pPr>
    </w:p>
    <w:p>
      <w:pPr>
        <w:ind w:left="380" w:right="6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Rent the Runway, Inc.’s (the “Company”) mission is to power women to feel their best every day. Launched in November 2009, the Company has built the world’s first shared designer closet with thousands of styles by hundreds of brand partners. The Company gives customers access to its “unlimited closet” through its subscription offering (“Subscription”) or the ability to rent a-la-carte through its reserve offering (“Reserve”). The Company’s corporate headquarters is located in Brooklyn, New York and its operational facilities are located in Secaucus, New Jersey, and Arlington, Texas. Its wholly-owned subsidiary, Rent the Runway Limited, is located in Galway, Ireland, and is focused on software development and support activities.</w:t>
      </w:r>
    </w:p>
    <w:p>
      <w:pPr>
        <w:spacing w:after="0" w:line="54" w:lineRule="exact"/>
        <w:rPr>
          <w:rFonts w:ascii="Arial" w:cs="Arial" w:eastAsia="Arial" w:hAnsi="Arial"/>
          <w:sz w:val="14"/>
          <w:szCs w:val="14"/>
          <w:b w:val="1"/>
          <w:bCs w:val="1"/>
          <w:color w:val="auto"/>
        </w:rPr>
      </w:pPr>
    </w:p>
    <w:p>
      <w:pPr>
        <w:ind w:left="380" w:right="6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All revenue is currently generated in the United States. Substantially all revenue is derived from rental subscription fees and a-la-carte rental fees, with a portion derived from the sale of apparel and accessories and other fees.</w:t>
      </w:r>
    </w:p>
    <w:p>
      <w:pPr>
        <w:spacing w:after="0" w:line="120" w:lineRule="exact"/>
        <w:rPr>
          <w:rFonts w:ascii="Arial" w:cs="Arial" w:eastAsia="Arial" w:hAnsi="Arial"/>
          <w:sz w:val="14"/>
          <w:szCs w:val="14"/>
          <w:b w:val="1"/>
          <w:bCs w:val="1"/>
          <w:color w:val="auto"/>
        </w:rPr>
      </w:pPr>
    </w:p>
    <w:p>
      <w:pPr>
        <w:ind w:left="380" w:right="7920" w:hanging="375"/>
        <w:spacing w:after="0" w:line="379" w:lineRule="auto"/>
        <w:tabs>
          <w:tab w:leader="none" w:pos="371"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 Basis of Presentation</w:t>
      </w:r>
    </w:p>
    <w:p>
      <w:pPr>
        <w:ind w:left="380" w:right="10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accompanying unaudited condensed consolidated financial statements include the accounts of the Company and its subsidiary. All intercompany accounts and transactions have been eliminated in consolidation. The Company’s condensed consolidated financial statements were prepared in accordance with generally accepted accounting principles in the United States (“U.S. GAAP”). As further discussed in the Reverse Stock Split section below, all per share amounts and common shares amounts have been adjusted on a retroactive basis to reflect the Reverse Stock Split (as defined below) which became effective in April 2024.</w:t>
      </w:r>
    </w:p>
    <w:p>
      <w:pPr>
        <w:spacing w:after="0" w:line="52" w:lineRule="exact"/>
        <w:rPr>
          <w:rFonts w:ascii="Arial" w:cs="Arial" w:eastAsia="Arial" w:hAnsi="Arial"/>
          <w:sz w:val="14"/>
          <w:szCs w:val="14"/>
          <w:b w:val="1"/>
          <w:bCs w:val="1"/>
          <w:color w:val="auto"/>
        </w:rPr>
      </w:pPr>
    </w:p>
    <w:p>
      <w:pPr>
        <w:ind w:left="380" w:right="2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unaudited interim condensed consolidated financial statements and related disclosures have been prepared by management on a basis consistent with the annual consolidated financial statements and, in the opinion of management, include all adjustments necessary for a fair statement of the results for the interim periods presented.</w:t>
      </w:r>
    </w:p>
    <w:p>
      <w:pPr>
        <w:spacing w:after="0" w:line="35" w:lineRule="exact"/>
        <w:rPr>
          <w:rFonts w:ascii="Arial" w:cs="Arial" w:eastAsia="Arial" w:hAnsi="Arial"/>
          <w:sz w:val="14"/>
          <w:szCs w:val="14"/>
          <w:b w:val="1"/>
          <w:bCs w:val="1"/>
          <w:color w:val="auto"/>
        </w:rPr>
      </w:pPr>
    </w:p>
    <w:p>
      <w:pPr>
        <w:ind w:left="38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The results for the three months ended April 30, 2025 are not necessarily indicative of the operating results expected for the year ending January 31, 2026 or any future period. The condensed consolidated balance sheet as of January 31, 2025 is derived from the audited consolidated financial statements. Certain information and notes normally included in financial statements prepared in accordance with U.S. GAAP have been condensed or omitted under the Securities and Exchange Commission’s (the “SEC”) rules and regulations. Accordingly, the unaudited condensed consolidated financial statements and notes included herein should be read in conjunction with the Company’s audited consolidated financial statements and notes for the year ended January 31, 2025, which can be found in the Company’s Annual Report on Form 10-K filed with the SEC on April 15, 2025.</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Reverse Stock Split</w:t>
      </w:r>
    </w:p>
    <w:p>
      <w:pPr>
        <w:spacing w:after="0" w:line="94" w:lineRule="exact"/>
        <w:rPr>
          <w:sz w:val="20"/>
          <w:szCs w:val="20"/>
          <w:color w:val="auto"/>
        </w:rPr>
      </w:pPr>
    </w:p>
    <w:p>
      <w:pPr>
        <w:jc w:val="both"/>
        <w:ind w:left="380" w:right="80"/>
        <w:spacing w:after="0" w:line="290" w:lineRule="auto"/>
        <w:rPr>
          <w:sz w:val="20"/>
          <w:szCs w:val="20"/>
          <w:color w:val="auto"/>
        </w:rPr>
      </w:pPr>
      <w:r>
        <w:rPr>
          <w:rFonts w:ascii="Arial" w:cs="Arial" w:eastAsia="Arial" w:hAnsi="Arial"/>
          <w:sz w:val="14"/>
          <w:szCs w:val="14"/>
          <w:color w:val="auto"/>
        </w:rPr>
        <w:t>The Company’s Amended and Restated Certificate of Incorporation as of October 29, 2021 authorizes the Company to issue 300,000,000 shares of Class A common stock, par value $0.001 per share, 50,000,000 shares of Class B common stock, par value $0.001 per share and 10,000,000 shares of preferred stock, par value $0.001 per share.</w:t>
      </w:r>
    </w:p>
    <w:p>
      <w:pPr>
        <w:spacing w:after="0" w:line="35"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In March 2024, the Company’s stockholders approved, and the Company’s Board of Directors selected, a 1-for-20 reverse stock split of outstanding shares of Class A common stock and Class B common stock (the “Reverse Stock Split”). The 1-for-20 Reverse Stock Split became effective on April 2, 2024 and began trading on the Nasdaq Capital Market on a post-split basis on April 3, 2024. See Note 11 - Stockholders’ Equity for additional information.</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Fiscal Year</w:t>
      </w:r>
    </w:p>
    <w:p>
      <w:pPr>
        <w:spacing w:after="0" w:line="94" w:lineRule="exact"/>
        <w:rPr>
          <w:sz w:val="20"/>
          <w:szCs w:val="20"/>
          <w:color w:val="auto"/>
        </w:rPr>
      </w:pPr>
    </w:p>
    <w:p>
      <w:pPr>
        <w:ind w:left="380" w:right="400"/>
        <w:spacing w:after="0" w:line="290" w:lineRule="auto"/>
        <w:rPr>
          <w:sz w:val="20"/>
          <w:szCs w:val="20"/>
          <w:color w:val="auto"/>
        </w:rPr>
      </w:pPr>
      <w:r>
        <w:rPr>
          <w:rFonts w:ascii="Arial" w:cs="Arial" w:eastAsia="Arial" w:hAnsi="Arial"/>
          <w:sz w:val="14"/>
          <w:szCs w:val="14"/>
          <w:color w:val="auto"/>
        </w:rPr>
        <w:t>The Company’s fiscal year ends on January 31 of the next calendar year. For example, references to “fiscal year 2025” refer to the fiscal year ending January 31, 2026, references to “fiscal year 2024” refer to the fiscal year ended January 31, 2025, and references to “fiscal year 2023” refer to the fiscal year ended January 31, 2024.</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Segment Information</w:t>
      </w:r>
    </w:p>
    <w:p>
      <w:pPr>
        <w:spacing w:after="0" w:line="94" w:lineRule="exact"/>
        <w:rPr>
          <w:sz w:val="20"/>
          <w:szCs w:val="20"/>
          <w:color w:val="auto"/>
        </w:rPr>
      </w:pPr>
    </w:p>
    <w:p>
      <w:pPr>
        <w:ind w:left="380" w:right="120"/>
        <w:spacing w:after="0" w:line="265" w:lineRule="auto"/>
        <w:rPr>
          <w:sz w:val="20"/>
          <w:szCs w:val="20"/>
          <w:color w:val="auto"/>
        </w:rPr>
      </w:pPr>
      <w:r>
        <w:rPr>
          <w:rFonts w:ascii="Arial" w:cs="Arial" w:eastAsia="Arial" w:hAnsi="Arial"/>
          <w:sz w:val="14"/>
          <w:szCs w:val="14"/>
          <w:color w:val="auto"/>
        </w:rPr>
        <w:t>Operating segments are defined as components of an entity for which discrete financial information is available that is regularly reviewed by the chief operating decision maker (“CODM”) in deciding how to allocate resources and in assessing performance. The Company’s Chief Executive Officer is the Company’s CODM. The Company has one operating and reportable segment as the CODM reviews financial information on a consolidated basis for purposes of making operating decisions, allocating resources, and evaluating financial performance.</w:t>
      </w:r>
    </w:p>
    <w:p>
      <w:pPr>
        <w:spacing w:after="0" w:line="53"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The key measure of segment profit or loss that the CODM uses to make operating decisions, allocate resources, and evaluate financial performance is the Company’s net loss as reported in the Company’s condensed consolidated statements of operations.</w:t>
      </w:r>
    </w:p>
    <w:p>
      <w:pPr>
        <w:spacing w:after="0" w:line="35" w:lineRule="exact"/>
        <w:rPr>
          <w:sz w:val="20"/>
          <w:szCs w:val="20"/>
          <w:color w:val="auto"/>
        </w:rPr>
      </w:pPr>
    </w:p>
    <w:p>
      <w:pPr>
        <w:ind w:left="380" w:right="20"/>
        <w:spacing w:after="0" w:line="265" w:lineRule="auto"/>
        <w:rPr>
          <w:sz w:val="20"/>
          <w:szCs w:val="20"/>
          <w:color w:val="auto"/>
        </w:rPr>
      </w:pPr>
      <w:r>
        <w:rPr>
          <w:rFonts w:ascii="Arial" w:cs="Arial" w:eastAsia="Arial" w:hAnsi="Arial"/>
          <w:sz w:val="14"/>
          <w:szCs w:val="14"/>
          <w:color w:val="auto"/>
        </w:rPr>
        <w:t>Significant expenses within net loss include fulfillment, technology, marketing, and general and administrative expenses, rental product depreciation and revenue share, and other depreciation and amortization. These operating expenses are each separately presented in the condensed consolidated statements of operations. Other segment items within net loss include interest income (expense), net, other income (expense), net and income tax benefit (expense). The CODM evaluates financial performance by comparing consolidated expenses against the budget and forecasted expenses to inform decision-making.</w:t>
      </w:r>
    </w:p>
    <w:p>
      <w:pPr>
        <w:spacing w:after="0" w:line="53" w:lineRule="exact"/>
        <w:rPr>
          <w:sz w:val="20"/>
          <w:szCs w:val="20"/>
          <w:color w:val="auto"/>
        </w:rPr>
      </w:pPr>
    </w:p>
    <w:p>
      <w:pPr>
        <w:ind w:left="380" w:right="1440"/>
        <w:spacing w:after="0" w:line="379" w:lineRule="auto"/>
        <w:rPr>
          <w:sz w:val="20"/>
          <w:szCs w:val="20"/>
          <w:color w:val="auto"/>
        </w:rPr>
      </w:pPr>
      <w:r>
        <w:rPr>
          <w:rFonts w:ascii="Arial" w:cs="Arial" w:eastAsia="Arial" w:hAnsi="Arial"/>
          <w:sz w:val="14"/>
          <w:szCs w:val="14"/>
          <w:color w:val="auto"/>
        </w:rPr>
        <w:t xml:space="preserve">All revenue is attributed to customers based in the United States and substantially all the Company’s long-lived assets are located in the United States. </w:t>
      </w:r>
      <w:r>
        <w:rPr>
          <w:rFonts w:ascii="Arial" w:cs="Arial" w:eastAsia="Arial" w:hAnsi="Arial"/>
          <w:sz w:val="14"/>
          <w:szCs w:val="14"/>
          <w:b w:val="1"/>
          <w:bCs w:val="1"/>
          <w:color w:val="auto"/>
        </w:rPr>
        <w:t>Use of Estimates</w:t>
      </w:r>
    </w:p>
    <w:p>
      <w:pPr>
        <w:spacing w:after="0" w:line="1"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preparation of financial statements in conformity with U.S. GAAP requires management to make estimates and assumptions that affect the reported amounts of assets and liabilities at the date of the financial statements and the reported amounts of revenue and expenses during the reporting period. The Company bases its estimates on historical experience, market conditions, and on various other assumptions that are believed to be reasonable. Actual results could differ from those estimates. Significant items subject to such estimates and assumptions include the useful life and salvage value of rental product, incremental borrowing rate to determine lease liabilities, valuation of share-based compensation and warrants, and recoverability of long-lived assets.</w:t>
      </w:r>
    </w:p>
    <w:p>
      <w:pPr>
        <w:spacing w:after="0" w:line="55"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As of April 30, 2025, the effects of the macroeconomic environment on the Company’s business, results of operations, and financial condition continue to evolve. As a result, many of the Company’s estimates and assumptions required increased judgment and carry a higher degree of variability and volatility. As additional information becomes available, the Company’s estimates may change materially in future periods.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Concentrations of Credit Risks</w:t>
      </w:r>
    </w:p>
    <w:p>
      <w:pPr>
        <w:spacing w:after="0" w:line="94" w:lineRule="exact"/>
        <w:rPr>
          <w:sz w:val="20"/>
          <w:szCs w:val="20"/>
          <w:color w:val="auto"/>
        </w:rPr>
      </w:pPr>
    </w:p>
    <w:p>
      <w:pPr>
        <w:ind w:left="380" w:right="480"/>
        <w:spacing w:after="0" w:line="290"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places its cash investments with high credit quality financial institutions. The Company believes no significant credit risk exists with respect to these financial instruments.</w:t>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 single customer accounted for more than 5% of the Company’s revenue during the three months ended April 30, 2025 and 2024.</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Fair Value Measurements and Financial Instruments</w:t>
      </w:r>
    </w:p>
    <w:p>
      <w:pPr>
        <w:spacing w:after="0" w:line="94"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Fair value accounting is applied for all financial assets and liabilities and non-financial assets and liabilities that are recognized or disclosed at fair value in the condensed consolidated financial statements on a recurring basis, at least annually. Fair value is defined as the price that would be received to sell an asset or paid to transfer a liability in an orderly transaction between market participants at the measurement date.</w:t>
      </w:r>
    </w:p>
    <w:p>
      <w:pPr>
        <w:spacing w:after="0" w:line="134" w:lineRule="exact"/>
        <w:rPr>
          <w:sz w:val="20"/>
          <w:szCs w:val="20"/>
          <w:color w:val="auto"/>
        </w:rPr>
      </w:pPr>
    </w:p>
    <w:p>
      <w:pPr>
        <w:ind w:left="380" w:right="220"/>
        <w:spacing w:after="0" w:line="271" w:lineRule="auto"/>
        <w:rPr>
          <w:sz w:val="20"/>
          <w:szCs w:val="20"/>
          <w:color w:val="auto"/>
        </w:rPr>
      </w:pPr>
      <w:r>
        <w:rPr>
          <w:rFonts w:ascii="Arial" w:cs="Arial" w:eastAsia="Arial" w:hAnsi="Arial"/>
          <w:sz w:val="14"/>
          <w:szCs w:val="14"/>
          <w:color w:val="auto"/>
        </w:rPr>
        <w:t>Assets and liabilities recorded at fair value in the condensed consolidated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134"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1:</w:t>
        <w:tab/>
        <w:t>Observable inputs, such as quoted prices in active markets for identical assets and liabilities.</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2:</w:t>
        <w:tab/>
        <w:t>Inputs other than the quoted prices in active markets that are observable either directly or indirectly.</w:t>
      </w:r>
    </w:p>
    <w:p>
      <w:pPr>
        <w:spacing w:after="0" w:line="179" w:lineRule="exact"/>
        <w:rPr>
          <w:sz w:val="20"/>
          <w:szCs w:val="20"/>
          <w:color w:val="auto"/>
        </w:rPr>
      </w:pPr>
    </w:p>
    <w:p>
      <w:pPr>
        <w:ind w:left="380"/>
        <w:spacing w:after="0"/>
        <w:tabs>
          <w:tab w:leader="none" w:pos="1020" w:val="left"/>
        </w:tabs>
        <w:rPr>
          <w:sz w:val="20"/>
          <w:szCs w:val="20"/>
          <w:color w:val="auto"/>
        </w:rPr>
      </w:pPr>
      <w:r>
        <w:rPr>
          <w:rFonts w:ascii="Arial" w:cs="Arial" w:eastAsia="Arial" w:hAnsi="Arial"/>
          <w:sz w:val="14"/>
          <w:szCs w:val="14"/>
          <w:color w:val="auto"/>
        </w:rPr>
        <w:t>Level 3:</w:t>
        <w:tab/>
        <w:t>Unobservable inputs, in which there is little or no market data which require the Company to develop its own assumptions.</w:t>
      </w:r>
    </w:p>
    <w:p>
      <w:pPr>
        <w:spacing w:after="0" w:line="179" w:lineRule="exact"/>
        <w:rPr>
          <w:sz w:val="20"/>
          <w:szCs w:val="20"/>
          <w:color w:val="auto"/>
        </w:rPr>
      </w:pPr>
    </w:p>
    <w:p>
      <w:pPr>
        <w:ind w:left="380" w:right="80"/>
        <w:spacing w:after="0" w:line="265" w:lineRule="auto"/>
        <w:rPr>
          <w:sz w:val="20"/>
          <w:szCs w:val="20"/>
          <w:color w:val="auto"/>
        </w:rPr>
      </w:pPr>
      <w:r>
        <w:rPr>
          <w:rFonts w:ascii="Arial" w:cs="Arial" w:eastAsia="Arial" w:hAnsi="Arial"/>
          <w:sz w:val="14"/>
          <w:szCs w:val="14"/>
          <w:color w:val="auto"/>
        </w:rPr>
        <w:t>Observable inputs are based on market data obtained from independent sources. Unobservable inputs reflect the Company’s assessment of the assumptions market participants would use to value certain financial instruments. This hierarchy requires the Company to use observable market data, when available, and to minimize the use of unobservable inputs when determining fair value. The categorization of financial instruments within the valuation hierarchy is based upon the lowest level of input that is significant to the fair value measurement.</w:t>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Prepaid Expenses and Other Current Assets</w:t>
      </w:r>
    </w:p>
    <w:p>
      <w:pPr>
        <w:spacing w:after="0" w:line="94" w:lineRule="exact"/>
        <w:rPr>
          <w:sz w:val="20"/>
          <w:szCs w:val="20"/>
          <w:color w:val="auto"/>
        </w:rPr>
      </w:pPr>
    </w:p>
    <w:p>
      <w:pPr>
        <w:ind w:left="380" w:right="280"/>
        <w:spacing w:after="0" w:line="290" w:lineRule="auto"/>
        <w:rPr>
          <w:sz w:val="20"/>
          <w:szCs w:val="20"/>
          <w:color w:val="auto"/>
        </w:rPr>
      </w:pPr>
      <w:r>
        <w:rPr>
          <w:rFonts w:ascii="Arial" w:cs="Arial" w:eastAsia="Arial" w:hAnsi="Arial"/>
          <w:sz w:val="14"/>
          <w:szCs w:val="14"/>
          <w:color w:val="auto"/>
        </w:rPr>
        <w:t>Prepaid expenses and other current assets consist primarily of accounts receivable, net, interest receivable, prepaid insurance, prepaid technology expenses and prepaid taxes.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Rental Product, Net</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considers rental product to be a long-term productive asset and, as such, classifies it as a noncurrent asset on the Condensed Consolidated Balance Sheets.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jc w:val="both"/>
        <w:ind w:left="380" w:right="80"/>
        <w:spacing w:after="0" w:line="271" w:lineRule="auto"/>
        <w:rPr>
          <w:sz w:val="20"/>
          <w:szCs w:val="20"/>
          <w:color w:val="auto"/>
        </w:rPr>
      </w:pPr>
      <w:r>
        <w:rPr>
          <w:rFonts w:ascii="Arial" w:cs="Arial" w:eastAsia="Arial" w:hAnsi="Arial"/>
          <w:sz w:val="14"/>
          <w:szCs w:val="14"/>
          <w:color w:val="auto"/>
        </w:rPr>
        <w:t>Rental product is stated at cost, less accumulated depreciation. The Company depreciates rental product, less an estimated salvage value, over the estimated useful lives of the assets using the straight-line method. The useful life is determined based on historical trends and an assessment of any future changes. The salvage value considers the historical trends and projected liquidation proceeds for the assets. The estimated useful lives and salvage values are described below:</w:t>
      </w:r>
    </w:p>
    <w:p>
      <w:pPr>
        <w:spacing w:after="0" w:line="174" w:lineRule="exact"/>
        <w:rPr>
          <w:sz w:val="20"/>
          <w:szCs w:val="20"/>
          <w:color w:val="auto"/>
        </w:rPr>
      </w:pPr>
    </w:p>
    <w:tbl>
      <w:tblPr>
        <w:tblLayout w:type="fixed"/>
        <w:tblInd w:w="400" w:type="dxa"/>
        <w:tblCellMar>
          <w:top w:w="0" w:type="dxa"/>
          <w:left w:w="0" w:type="dxa"/>
          <w:bottom w:w="0" w:type="dxa"/>
          <w:right w:w="0" w:type="dxa"/>
        </w:tblCellMar>
      </w:tblPr>
      <w:tr>
        <w:trPr>
          <w:trHeight w:val="154"/>
        </w:trPr>
        <w:tc>
          <w:tcPr>
            <w:tcW w:w="7120" w:type="dxa"/>
            <w:vAlign w:val="bottom"/>
          </w:tcPr>
          <w:p>
            <w:pPr>
              <w:spacing w:after="0"/>
              <w:rPr>
                <w:sz w:val="13"/>
                <w:szCs w:val="13"/>
                <w:color w:val="auto"/>
              </w:rPr>
            </w:pPr>
          </w:p>
        </w:tc>
        <w:tc>
          <w:tcPr>
            <w:tcW w:w="1500" w:type="dxa"/>
            <w:vAlign w:val="bottom"/>
            <w:gridSpan w:val="2"/>
          </w:tcPr>
          <w:p>
            <w:pPr>
              <w:ind w:left="420"/>
              <w:spacing w:after="0"/>
              <w:rPr>
                <w:sz w:val="20"/>
                <w:szCs w:val="20"/>
                <w:color w:val="auto"/>
              </w:rPr>
            </w:pPr>
            <w:r>
              <w:rPr>
                <w:rFonts w:ascii="Arial" w:cs="Arial" w:eastAsia="Arial" w:hAnsi="Arial"/>
                <w:sz w:val="11"/>
                <w:szCs w:val="11"/>
                <w:b w:val="1"/>
                <w:bCs w:val="1"/>
                <w:color w:val="auto"/>
              </w:rPr>
              <w:t>Useful Life</w:t>
            </w:r>
          </w:p>
        </w:tc>
        <w:tc>
          <w:tcPr>
            <w:tcW w:w="1560" w:type="dxa"/>
            <w:vAlign w:val="bottom"/>
          </w:tcPr>
          <w:p>
            <w:pPr>
              <w:jc w:val="right"/>
              <w:ind w:right="334"/>
              <w:spacing w:after="0"/>
              <w:rPr>
                <w:sz w:val="20"/>
                <w:szCs w:val="20"/>
                <w:color w:val="auto"/>
              </w:rPr>
            </w:pPr>
            <w:r>
              <w:rPr>
                <w:rFonts w:ascii="Arial" w:cs="Arial" w:eastAsia="Arial" w:hAnsi="Arial"/>
                <w:sz w:val="11"/>
                <w:szCs w:val="11"/>
                <w:b w:val="1"/>
                <w:bCs w:val="1"/>
                <w:color w:val="auto"/>
              </w:rPr>
              <w:t>Salvage Value</w:t>
            </w:r>
          </w:p>
        </w:tc>
      </w:tr>
      <w:tr>
        <w:trPr>
          <w:trHeight w:val="167"/>
        </w:trPr>
        <w:tc>
          <w:tcPr>
            <w:tcW w:w="7120" w:type="dxa"/>
            <w:vAlign w:val="bottom"/>
          </w:tcPr>
          <w:p>
            <w:pPr>
              <w:spacing w:after="0"/>
              <w:rPr>
                <w:sz w:val="20"/>
                <w:szCs w:val="20"/>
                <w:color w:val="auto"/>
              </w:rPr>
            </w:pPr>
            <w:r>
              <w:rPr>
                <w:rFonts w:ascii="Arial" w:cs="Arial" w:eastAsia="Arial" w:hAnsi="Arial"/>
                <w:sz w:val="14"/>
                <w:szCs w:val="14"/>
                <w:color w:val="auto"/>
              </w:rPr>
              <w:t>Apparel</w:t>
            </w:r>
          </w:p>
        </w:tc>
        <w:tc>
          <w:tcPr>
            <w:tcW w:w="142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3 years</w:t>
            </w:r>
          </w:p>
        </w:tc>
        <w:tc>
          <w:tcPr>
            <w:tcW w:w="80" w:type="dxa"/>
            <w:vAlign w:val="bottom"/>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20 %</w:t>
            </w:r>
          </w:p>
        </w:tc>
      </w:tr>
      <w:tr>
        <w:trPr>
          <w:trHeight w:val="186"/>
        </w:trPr>
        <w:tc>
          <w:tcPr>
            <w:tcW w:w="7120" w:type="dxa"/>
            <w:vAlign w:val="bottom"/>
          </w:tcPr>
          <w:p>
            <w:pPr>
              <w:spacing w:after="0"/>
              <w:rPr>
                <w:sz w:val="20"/>
                <w:szCs w:val="20"/>
                <w:color w:val="auto"/>
              </w:rPr>
            </w:pPr>
            <w:r>
              <w:rPr>
                <w:rFonts w:ascii="Arial" w:cs="Arial" w:eastAsia="Arial" w:hAnsi="Arial"/>
                <w:sz w:val="14"/>
                <w:szCs w:val="14"/>
                <w:color w:val="auto"/>
              </w:rPr>
              <w:t>Accessories</w:t>
            </w:r>
          </w:p>
        </w:tc>
        <w:tc>
          <w:tcPr>
            <w:tcW w:w="1500" w:type="dxa"/>
            <w:vAlign w:val="bottom"/>
            <w:gridSpan w:val="2"/>
          </w:tcPr>
          <w:p>
            <w:pPr>
              <w:ind w:left="940"/>
              <w:spacing w:after="0"/>
              <w:rPr>
                <w:sz w:val="20"/>
                <w:szCs w:val="20"/>
                <w:color w:val="auto"/>
              </w:rPr>
            </w:pPr>
            <w:r>
              <w:rPr>
                <w:rFonts w:ascii="Arial" w:cs="Arial" w:eastAsia="Arial" w:hAnsi="Arial"/>
                <w:sz w:val="14"/>
                <w:szCs w:val="14"/>
                <w:color w:val="auto"/>
              </w:rPr>
              <w:t>2 years</w:t>
            </w:r>
          </w:p>
        </w:tc>
        <w:tc>
          <w:tcPr>
            <w:tcW w:w="1560" w:type="dxa"/>
            <w:vAlign w:val="bottom"/>
          </w:tcPr>
          <w:p>
            <w:pPr>
              <w:jc w:val="right"/>
              <w:spacing w:after="0"/>
              <w:rPr>
                <w:sz w:val="20"/>
                <w:szCs w:val="20"/>
                <w:color w:val="auto"/>
              </w:rPr>
            </w:pPr>
            <w:r>
              <w:rPr>
                <w:rFonts w:ascii="Arial" w:cs="Arial" w:eastAsia="Arial" w:hAnsi="Arial"/>
                <w:sz w:val="14"/>
                <w:szCs w:val="14"/>
                <w:color w:val="auto"/>
              </w:rPr>
              <w:t>30 %</w:t>
            </w:r>
          </w:p>
        </w:tc>
      </w:tr>
    </w:tbl>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 accordance with its policy, the Company reviews the estimated useful lives and salvage values of rental product on an ongoing basis.</w:t>
      </w:r>
    </w:p>
    <w:p>
      <w:pPr>
        <w:spacing w:after="0" w:line="94" w:lineRule="exact"/>
        <w:rPr>
          <w:sz w:val="20"/>
          <w:szCs w:val="20"/>
          <w:color w:val="auto"/>
        </w:rPr>
      </w:pPr>
    </w:p>
    <w:p>
      <w:pPr>
        <w:ind w:left="380" w:right="280"/>
        <w:spacing w:after="0" w:line="265" w:lineRule="auto"/>
        <w:rPr>
          <w:sz w:val="20"/>
          <w:szCs w:val="20"/>
          <w:color w:val="auto"/>
        </w:rPr>
      </w:pPr>
      <w:r>
        <w:rPr>
          <w:rFonts w:ascii="Arial" w:cs="Arial" w:eastAsia="Arial" w:hAnsi="Arial"/>
          <w:sz w:val="14"/>
          <w:szCs w:val="14"/>
          <w:color w:val="auto"/>
        </w:rPr>
        <w:t>The Company offers its customers an opportunity to purchase items in rentable condition prior to the end of their useful life. In such instances, the Company considers the disposal of rental product to be a sale and, as such, records the proceeds as other revenue and the net book value of the items at the time of sale as rental product depreciation in the condensed consolidated statements of operations within Rental product depreciation and revenue share. Write-offs for losses on lost, damaged, and unreturned apparel and accessories are also recorded within Rental product depreciation and revenue share.</w:t>
      </w:r>
    </w:p>
    <w:p>
      <w:pPr>
        <w:spacing w:after="0" w:line="53" w:lineRule="exact"/>
        <w:rPr>
          <w:sz w:val="20"/>
          <w:szCs w:val="20"/>
          <w:color w:val="auto"/>
        </w:rPr>
      </w:pPr>
    </w:p>
    <w:p>
      <w:pPr>
        <w:ind w:left="380" w:right="60"/>
        <w:spacing w:after="0" w:line="265" w:lineRule="auto"/>
        <w:rPr>
          <w:sz w:val="20"/>
          <w:szCs w:val="20"/>
          <w:color w:val="auto"/>
        </w:rPr>
      </w:pPr>
      <w:r>
        <w:rPr>
          <w:rFonts w:ascii="Arial" w:cs="Arial" w:eastAsia="Arial" w:hAnsi="Arial"/>
          <w:sz w:val="14"/>
          <w:szCs w:val="14"/>
          <w:color w:val="auto"/>
        </w:rPr>
        <w:t>Once it is no longer considered rentable, rental product in a sellable condition is classified as held for sale and written down to salvage value. The value of rental product held for sale as of April 30, 2025 and January 31, 2025 was $1.9 million and $2.0 million, respectively. The accelerated depreciation related to rental product held for sale was $1.5 million and $1.1 million for the three months ended April 30, 2025 and 2024, respectively. The accelerated depreciation is presented on the condensed consolidated statements of operations within Rental product depreciation and revenue share.</w:t>
      </w:r>
    </w:p>
    <w:p>
      <w:pPr>
        <w:spacing w:after="0" w:line="53" w:lineRule="exact"/>
        <w:rPr>
          <w:sz w:val="20"/>
          <w:szCs w:val="20"/>
          <w:color w:val="auto"/>
        </w:rPr>
      </w:pPr>
    </w:p>
    <w:p>
      <w:pPr>
        <w:ind w:left="380" w:right="400"/>
        <w:spacing w:after="0" w:line="271" w:lineRule="auto"/>
        <w:rPr>
          <w:sz w:val="20"/>
          <w:szCs w:val="20"/>
          <w:color w:val="auto"/>
        </w:rPr>
      </w:pPr>
      <w:r>
        <w:rPr>
          <w:rFonts w:ascii="Arial" w:cs="Arial" w:eastAsia="Arial" w:hAnsi="Arial"/>
          <w:sz w:val="14"/>
          <w:szCs w:val="14"/>
          <w:color w:val="auto"/>
        </w:rPr>
        <w:t>When rental product is liquidated, the Company records the gain or loss calculated as proceeds, net of the remaining salvage value and costs to sell, within general and administrative expenses on the condensed consolidated statement of operations. The gain or loss from the liquidation of rental product is included as an adjustment to reconcile net loss to net cash used by operating activities in the condensed consolidated statements of cash flows.</w:t>
      </w:r>
    </w:p>
    <w:p>
      <w:pPr>
        <w:spacing w:after="0" w:line="49" w:lineRule="exact"/>
        <w:rPr>
          <w:sz w:val="20"/>
          <w:szCs w:val="20"/>
          <w:color w:val="auto"/>
        </w:rPr>
      </w:pPr>
    </w:p>
    <w:p>
      <w:pPr>
        <w:ind w:left="380"/>
        <w:spacing w:after="0" w:line="265" w:lineRule="auto"/>
        <w:rPr>
          <w:sz w:val="20"/>
          <w:szCs w:val="20"/>
          <w:color w:val="auto"/>
        </w:rPr>
      </w:pPr>
      <w:r>
        <w:rPr>
          <w:rFonts w:ascii="Arial" w:cs="Arial" w:eastAsia="Arial" w:hAnsi="Arial"/>
          <w:sz w:val="14"/>
          <w:szCs w:val="14"/>
          <w:color w:val="auto"/>
        </w:rPr>
        <w:t>The purchases of rental product as well as the proceeds from the sale and liquidation of rental product are classified as cash flows from investing activities on the condensed consolidated statements of cash flows because the predominant activity of the rental product purchased is to generate rental revenue and such classification is consistent with the classification of long-term asset activity. Proceeds from the sale of rental product were $4.9 million and $6.8 million for the three months ended April 30, 2025 and 2024, respectively. Proceeds from the liquidation of rental product were $0.9 million and $1.1 million for the three months ended April 30, 2025 and 2024, respectively.</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Revenue Recognition</w:t>
      </w:r>
    </w:p>
    <w:p>
      <w:pPr>
        <w:spacing w:after="0" w:line="94" w:lineRule="exact"/>
        <w:rPr>
          <w:sz w:val="20"/>
          <w:szCs w:val="20"/>
          <w:color w:val="auto"/>
        </w:rPr>
      </w:pPr>
    </w:p>
    <w:p>
      <w:pPr>
        <w:ind w:left="380" w:right="40"/>
        <w:spacing w:after="0" w:line="263" w:lineRule="auto"/>
        <w:rPr>
          <w:sz w:val="20"/>
          <w:szCs w:val="20"/>
          <w:color w:val="auto"/>
        </w:rPr>
      </w:pPr>
      <w:r>
        <w:rPr>
          <w:rFonts w:ascii="Arial" w:cs="Arial" w:eastAsia="Arial" w:hAnsi="Arial"/>
          <w:sz w:val="14"/>
          <w:szCs w:val="14"/>
          <w:color w:val="auto"/>
        </w:rPr>
        <w:t>Subscription and a-la-carte rental fees (“Subscription and Reserve rental revenue”) are recognized in accordance with Accounting Standard Update (“ASU”) 2016-02</w:t>
      </w:r>
      <w:r>
        <w:rPr>
          <w:rFonts w:ascii="Arial" w:cs="Arial" w:eastAsia="Arial" w:hAnsi="Arial"/>
          <w:sz w:val="14"/>
          <w:szCs w:val="14"/>
          <w:i w:val="1"/>
          <w:iCs w:val="1"/>
          <w:color w:val="auto"/>
        </w:rPr>
        <w:t>, Leases,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Topic 842 </w:t>
      </w:r>
      <w:r>
        <w:rPr>
          <w:rFonts w:ascii="Arial" w:cs="Arial" w:eastAsia="Arial" w:hAnsi="Arial"/>
          <w:sz w:val="14"/>
          <w:szCs w:val="14"/>
          <w:color w:val="auto"/>
        </w:rPr>
        <w:t>(“ASC 842”). Other revenue, primarily related to the sale of rental product, is recognized under ASU 2014-09,</w:t>
      </w:r>
      <w:r>
        <w:rPr>
          <w:rFonts w:ascii="Arial" w:cs="Arial" w:eastAsia="Arial" w:hAnsi="Arial"/>
          <w:sz w:val="14"/>
          <w:szCs w:val="14"/>
          <w:i w:val="1"/>
          <w:iCs w:val="1"/>
          <w:color w:val="auto"/>
        </w:rPr>
        <w:t xml:space="preserve"> Revenue from Contracts with Customers, Topic</w:t>
      </w:r>
    </w:p>
    <w:p>
      <w:pPr>
        <w:spacing w:after="0" w:line="1" w:lineRule="exact"/>
        <w:rPr>
          <w:sz w:val="20"/>
          <w:szCs w:val="20"/>
          <w:color w:val="auto"/>
        </w:rPr>
      </w:pPr>
    </w:p>
    <w:p>
      <w:pPr>
        <w:ind w:left="380" w:right="220"/>
        <w:spacing w:after="0" w:line="269" w:lineRule="auto"/>
        <w:rPr>
          <w:sz w:val="20"/>
          <w:szCs w:val="20"/>
          <w:color w:val="auto"/>
        </w:rPr>
      </w:pPr>
      <w:r>
        <w:rPr>
          <w:rFonts w:ascii="Arial" w:cs="Arial" w:eastAsia="Arial" w:hAnsi="Arial"/>
          <w:sz w:val="14"/>
          <w:szCs w:val="14"/>
          <w:i w:val="1"/>
          <w:iCs w:val="1"/>
          <w:color w:val="auto"/>
        </w:rPr>
        <w:t xml:space="preserve">606 </w:t>
      </w:r>
      <w:r>
        <w:rPr>
          <w:rFonts w:ascii="Arial" w:cs="Arial" w:eastAsia="Arial" w:hAnsi="Arial"/>
          <w:sz w:val="14"/>
          <w:szCs w:val="14"/>
          <w:color w:val="auto"/>
        </w:rPr>
        <w:t>(“ASC 606”) at the date of delivery of the product to the customer. Other revenue represented 11% and 12% of total revenue for the three months ended April 30, 2025</w:t>
      </w:r>
      <w:r>
        <w:rPr>
          <w:rFonts w:ascii="Arial" w:cs="Arial" w:eastAsia="Arial" w:hAnsi="Arial"/>
          <w:sz w:val="14"/>
          <w:szCs w:val="14"/>
          <w:i w:val="1"/>
          <w:iCs w:val="1"/>
          <w:color w:val="auto"/>
        </w:rPr>
        <w:t xml:space="preserve"> </w:t>
      </w:r>
      <w:r>
        <w:rPr>
          <w:rFonts w:ascii="Arial" w:cs="Arial" w:eastAsia="Arial" w:hAnsi="Arial"/>
          <w:sz w:val="14"/>
          <w:szCs w:val="14"/>
          <w:color w:val="auto"/>
        </w:rPr>
        <w:t>and 2024, respectively.</w:t>
      </w:r>
    </w:p>
    <w:p>
      <w:pPr>
        <w:spacing w:after="0" w:line="49" w:lineRule="exact"/>
        <w:rPr>
          <w:sz w:val="20"/>
          <w:szCs w:val="20"/>
          <w:color w:val="auto"/>
        </w:rPr>
      </w:pPr>
    </w:p>
    <w:p>
      <w:pPr>
        <w:ind w:left="380" w:right="240"/>
        <w:spacing w:after="0" w:line="271" w:lineRule="auto"/>
        <w:rPr>
          <w:sz w:val="20"/>
          <w:szCs w:val="20"/>
          <w:color w:val="auto"/>
        </w:rPr>
      </w:pPr>
      <w:r>
        <w:rPr>
          <w:rFonts w:ascii="Arial" w:cs="Arial" w:eastAsia="Arial" w:hAnsi="Arial"/>
          <w:sz w:val="14"/>
          <w:szCs w:val="14"/>
          <w:color w:val="auto"/>
        </w:rPr>
        <w:t>Revenue is presented net of promotional discounts, customer credits and refunds. Promotional discounts are recognized in accordance with either ASC 842 or ASC 606, based on the guidance applied to the rental fees or product sales to which the promotional discounts are related. Revenue is presented net of taxes that are collected from customers and remitted to governmental authorities.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spacing w:after="0" w:line="257" w:lineRule="auto"/>
        <w:rPr>
          <w:sz w:val="20"/>
          <w:szCs w:val="20"/>
          <w:color w:val="auto"/>
        </w:rPr>
      </w:pPr>
      <w:r>
        <w:rPr>
          <w:rFonts w:ascii="Arial" w:cs="Arial" w:eastAsia="Arial" w:hAnsi="Arial"/>
          <w:sz w:val="14"/>
          <w:szCs w:val="14"/>
          <w:color w:val="auto"/>
        </w:rPr>
        <w:t>The Company issued gift cards during the three months ended April 30, 2025 and the year ended January 31, 2025. The new gift cards issued were immaterial to the Company’s condensed consolidated financial statements. During the years ended January 31, 2024 and 2023, the Company did not issue any new gift cards but customers were able to redeem gift cards sold in previous years. The Company recognizes a liability at the time a gift card or customer credit is issued. Upon redemption of the gift card or credit, revenue is recognized in line with the customer’s rental or item purchase. The Company’s gift card liability is presented within Accrued expenses and other current liabilities on the Condensed Consolidated Balance Sheets and the Company’s customer credit liability is presented on the Condensed Consolidated Balance Sheets. During the three months ended April 30, 2025, $0.4 million of credits included in the customer credit liability as of January 31, 2025 were redeemed. Gift cards and customer credits do not have expiration dates. Over time, a portion of these instruments is not redeemed. The Company recognizes breakage income related to these instruments based on the redemption pattern method. The Company continues to maintain the full liability for the unredeemed portion of the gift cards and credits when the Company has any legal obligation to remit such credits to government authorities in relevant jurisdictions.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Subscription and Reserve Rental Revenue</w:t>
      </w:r>
    </w:p>
    <w:p>
      <w:pPr>
        <w:spacing w:after="0" w:line="92" w:lineRule="exact"/>
        <w:rPr>
          <w:sz w:val="20"/>
          <w:szCs w:val="20"/>
          <w:color w:val="auto"/>
        </w:rPr>
      </w:pPr>
    </w:p>
    <w:p>
      <w:pPr>
        <w:ind w:left="380" w:right="80"/>
        <w:spacing w:after="0" w:line="271" w:lineRule="auto"/>
        <w:rPr>
          <w:sz w:val="20"/>
          <w:szCs w:val="20"/>
          <w:color w:val="auto"/>
        </w:rPr>
      </w:pPr>
      <w:r>
        <w:rPr>
          <w:rFonts w:ascii="Arial" w:cs="Arial" w:eastAsia="Arial" w:hAnsi="Arial"/>
          <w:sz w:val="14"/>
          <w:szCs w:val="14"/>
          <w:color w:val="auto"/>
        </w:rPr>
        <w:t>Subscription fees are recognized ratably over the subscription period, commencing on the date the subscriber enrolls in the rental program. The fees are collected upon enrollment. The subscription automatically renews on a monthly basis until cancelled or paused by the customer. Subscribers can pause or cancel their subscriptions at any time.</w:t>
      </w:r>
    </w:p>
    <w:p>
      <w:pPr>
        <w:spacing w:after="0" w:line="49" w:lineRule="exact"/>
        <w:rPr>
          <w:sz w:val="20"/>
          <w:szCs w:val="20"/>
          <w:color w:val="auto"/>
        </w:rPr>
      </w:pPr>
    </w:p>
    <w:p>
      <w:pPr>
        <w:ind w:left="380" w:right="120"/>
        <w:spacing w:after="0" w:line="262" w:lineRule="auto"/>
        <w:rPr>
          <w:sz w:val="20"/>
          <w:szCs w:val="20"/>
          <w:color w:val="auto"/>
        </w:rPr>
      </w:pPr>
      <w:r>
        <w:rPr>
          <w:rFonts w:ascii="Arial" w:cs="Arial" w:eastAsia="Arial" w:hAnsi="Arial"/>
          <w:sz w:val="14"/>
          <w:szCs w:val="14"/>
          <w:color w:val="auto"/>
        </w:rPr>
        <w:t>The Company recognizes fees for a-la-carte rentals ratably over the rental period, which starts with the date of delivery of rental product to the customer. A-la-carte rental orders can be placed up to four months prior to the rental start date (increased from two months prior to the rental start date beginning in June 2024) and the customer’s payment form is charged upon order confirmation. The Company defers recognizing the fees and any related promotions for a-la-carte rentals until the date of delivery, and then recognizes those fees ratably over the four- or eight-day rental period. Additionally, the Company receives consideration from late fees associated with its subscription and reserve rental programs, which are considered variable lease payments.</w:t>
      </w:r>
    </w:p>
    <w:p>
      <w:pPr>
        <w:spacing w:after="0" w:line="55" w:lineRule="exact"/>
        <w:rPr>
          <w:sz w:val="20"/>
          <w:szCs w:val="20"/>
          <w:color w:val="auto"/>
        </w:rPr>
      </w:pPr>
    </w:p>
    <w:p>
      <w:pPr>
        <w:ind w:left="380" w:right="220"/>
        <w:spacing w:after="0" w:line="290" w:lineRule="auto"/>
        <w:rPr>
          <w:sz w:val="20"/>
          <w:szCs w:val="20"/>
          <w:color w:val="auto"/>
        </w:rPr>
      </w:pPr>
      <w:r>
        <w:rPr>
          <w:rFonts w:ascii="Arial" w:cs="Arial" w:eastAsia="Arial" w:hAnsi="Arial"/>
          <w:sz w:val="14"/>
          <w:szCs w:val="14"/>
          <w:color w:val="auto"/>
        </w:rPr>
        <w:t>The Company accrues for credits and refunds issued subsequent to the balance sheet date that relate to rentals prior to the balance sheet date. These amounts were not material as of April 30, 2025 and January 31, 2025.</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Other Revenue</w:t>
      </w:r>
    </w:p>
    <w:p>
      <w:pPr>
        <w:spacing w:after="0" w:line="92" w:lineRule="exact"/>
        <w:rPr>
          <w:sz w:val="20"/>
          <w:szCs w:val="20"/>
          <w:color w:val="auto"/>
        </w:rPr>
      </w:pPr>
    </w:p>
    <w:p>
      <w:pPr>
        <w:ind w:left="380" w:right="140"/>
        <w:spacing w:after="0" w:line="262" w:lineRule="auto"/>
        <w:rPr>
          <w:sz w:val="20"/>
          <w:szCs w:val="20"/>
          <w:color w:val="auto"/>
        </w:rPr>
      </w:pPr>
      <w:r>
        <w:rPr>
          <w:rFonts w:ascii="Arial" w:cs="Arial" w:eastAsia="Arial" w:hAnsi="Arial"/>
          <w:sz w:val="14"/>
          <w:szCs w:val="14"/>
          <w:color w:val="auto"/>
        </w:rPr>
        <w:t>Other revenue consists primarily of revenue from the sale of rental product. The Company recognizes revenue from the sale of rental product in accordance with ASC 606. Sale of rental product occurs when a customer purchases rental product at a discounted price, calculated as a percentage of retail value. Payment is due upon order confirmation and there is no financing component. The single performance obligation associated with rental product sales is generally satisfied upon delivery of the rental product to the customer. The Company does not have any material contractual receivables, assets or liabilities with respect to other revenue as of April 30, 2025 and January 31, 2025.</w:t>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From time to time, other revenue may include revenue generated from pilots and other growth initiatives which may cause quarterly fluctuations in the Other revenue line.</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7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Share-Based Compensation</w:t>
      </w:r>
    </w:p>
    <w:p>
      <w:pPr>
        <w:spacing w:after="0" w:line="94" w:lineRule="exact"/>
        <w:rPr>
          <w:sz w:val="20"/>
          <w:szCs w:val="20"/>
          <w:color w:val="auto"/>
        </w:rPr>
      </w:pPr>
    </w:p>
    <w:p>
      <w:pPr>
        <w:ind w:left="380"/>
        <w:spacing w:after="0" w:line="260" w:lineRule="auto"/>
        <w:rPr>
          <w:sz w:val="20"/>
          <w:szCs w:val="20"/>
          <w:color w:val="auto"/>
        </w:rPr>
      </w:pPr>
      <w:r>
        <w:rPr>
          <w:rFonts w:ascii="Arial" w:cs="Arial" w:eastAsia="Arial" w:hAnsi="Arial"/>
          <w:sz w:val="14"/>
          <w:szCs w:val="14"/>
          <w:color w:val="auto"/>
        </w:rPr>
        <w:t>The Company recognizes all employee share-based compensation as an expense in the condensed consolidated financial statements. Equity classified awards are measured at the grant date fair value of the award. The Company estimates grant date fair value of stock options using the Black-Scholes option pricing model. The fair value of stock options is recognized as compensation expense on a straight-line basis over the requisite service period of the award. Determining the fair value of options at the grant date requires judgment, including the expected term that stock options will be outstanding prior to exercise, the associated volatility, and the expected dividend yield. The fair value of common stock post-initial public offering (“IPO”) is based on the closing price of the common stock on the date of grant as reported on Nasdaq. Upon grant of awards, the Company also estimates an amount of forfeitures that will occur prior to vesting. There were no stock options granted during the three months ended April 30, 2025 and 2024.</w:t>
      </w:r>
    </w:p>
    <w:p>
      <w:pPr>
        <w:spacing w:after="0" w:line="142" w:lineRule="exact"/>
        <w:rPr>
          <w:sz w:val="20"/>
          <w:szCs w:val="20"/>
          <w:color w:val="auto"/>
        </w:rPr>
      </w:pPr>
    </w:p>
    <w:p>
      <w:pPr>
        <w:ind w:left="380" w:right="80"/>
        <w:spacing w:after="0" w:line="259" w:lineRule="auto"/>
        <w:rPr>
          <w:sz w:val="20"/>
          <w:szCs w:val="20"/>
          <w:color w:val="auto"/>
        </w:rPr>
      </w:pPr>
      <w:r>
        <w:rPr>
          <w:rFonts w:ascii="Arial" w:cs="Arial" w:eastAsia="Arial" w:hAnsi="Arial"/>
          <w:sz w:val="14"/>
          <w:szCs w:val="14"/>
          <w:color w:val="auto"/>
        </w:rPr>
        <w:t>The Company has granted two types of restricted stock units (“RSUs”). Prior to the Company’s IPO, the Company granted RSUs which vest only upon satisfaction of both time-based service and liquidity-based conditions. The Company records share-based compensation expense for such RSUs on an accelerated attribution method over the requisite service period and only once the liquidity-based condition is satisfied. The liquidity-based vesting condition was satisfied upon the effectiveness of the Company’s IPO. Share-based compensation related to any remaining time-based service for these RSUs after the liquidity-based event is recorded over the remaining requisite service period. Post IPO, the Company has granted RSUs which vest upon satisfaction of time-based service conditions. The Company records share-based compensation expense for these RSUs on a straight-line basis over the requisite service period. See Note 12 - Share-based Compensation Plans for a description of the accounting for share-based awards.</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Interest Income and Expense</w:t>
      </w:r>
    </w:p>
    <w:p>
      <w:pPr>
        <w:spacing w:after="0" w:line="94" w:lineRule="exact"/>
        <w:rPr>
          <w:sz w:val="20"/>
          <w:szCs w:val="20"/>
          <w:color w:val="auto"/>
        </w:rPr>
      </w:pPr>
    </w:p>
    <w:p>
      <w:pPr>
        <w:ind w:left="380" w:right="120"/>
        <w:spacing w:after="0" w:line="271" w:lineRule="auto"/>
        <w:rPr>
          <w:sz w:val="20"/>
          <w:szCs w:val="20"/>
          <w:color w:val="auto"/>
        </w:rPr>
      </w:pPr>
      <w:r>
        <w:rPr>
          <w:rFonts w:ascii="Arial" w:cs="Arial" w:eastAsia="Arial" w:hAnsi="Arial"/>
          <w:sz w:val="14"/>
          <w:szCs w:val="14"/>
          <w:color w:val="auto"/>
        </w:rPr>
        <w:t>Interest income and expense consist primarily of interest on the Company’s debt facility, debt discount amortization, and financing lease interest expense offset by interest income earned. The Company recognized interest and debt discount amortization expense of $7.0 million and $6.5 million during the three months ended April 30, 2025 and 2024, respectively.</w:t>
      </w:r>
    </w:p>
    <w:p>
      <w:pPr>
        <w:spacing w:after="0" w:line="4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Interim Impairment Evaluation</w:t>
      </w:r>
    </w:p>
    <w:p>
      <w:pPr>
        <w:spacing w:after="0" w:line="94" w:lineRule="exact"/>
        <w:rPr>
          <w:sz w:val="20"/>
          <w:szCs w:val="20"/>
          <w:color w:val="auto"/>
        </w:rPr>
      </w:pPr>
    </w:p>
    <w:p>
      <w:pPr>
        <w:ind w:left="380"/>
        <w:spacing w:after="0" w:line="263" w:lineRule="auto"/>
        <w:rPr>
          <w:sz w:val="20"/>
          <w:szCs w:val="20"/>
          <w:color w:val="auto"/>
        </w:rPr>
      </w:pPr>
      <w:r>
        <w:rPr>
          <w:rFonts w:ascii="Arial" w:cs="Arial" w:eastAsia="Arial" w:hAnsi="Arial"/>
          <w:sz w:val="14"/>
          <w:szCs w:val="14"/>
          <w:color w:val="auto"/>
        </w:rPr>
        <w:t>During the three months ended April 30, 2025 and year ended January 31, 2025, the Company concluded a triggering event had occurred during the first quarter of fiscal year 2025 and the fourth quarter of fiscal year 2024 due to a decline in the Company’s stock price. For the three months ended April 30, 2025 and year ended January 31, 2025, the Company performed a quantitative assessment and concluded the undiscounted cash flows expected to be generated by the use and/or eventual disposition of the Company’s long-lived assets exceeded their carrying values. Therefore, no impairment was recognized for the three months ended April 30, 2025 and year ended January 31, 2025.</w:t>
      </w:r>
    </w:p>
    <w:p>
      <w:pPr>
        <w:spacing w:after="0" w:line="31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96"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Recently Issued Accounting Pronouncements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Statement - Reporting Comprehensive Income - Expense Disaggregation Disclosures</w:t>
      </w:r>
    </w:p>
    <w:p>
      <w:pPr>
        <w:spacing w:after="0" w:line="92" w:lineRule="exact"/>
        <w:rPr>
          <w:sz w:val="20"/>
          <w:szCs w:val="20"/>
          <w:color w:val="auto"/>
        </w:rPr>
      </w:pPr>
    </w:p>
    <w:p>
      <w:pPr>
        <w:ind w:left="380" w:right="80"/>
        <w:spacing w:after="0" w:line="259"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 Expense Disaggregation Disclosures (Subtopic 220-40)</w:t>
      </w:r>
      <w:r>
        <w:rPr>
          <w:rFonts w:ascii="Arial" w:cs="Arial" w:eastAsia="Arial" w:hAnsi="Arial"/>
          <w:sz w:val="14"/>
          <w:szCs w:val="14"/>
          <w:color w:val="auto"/>
        </w:rPr>
        <w:t xml:space="preserve">. In January 2025, the FASB issued ASU 2025-01, </w:t>
      </w:r>
      <w:r>
        <w:rPr>
          <w:rFonts w:ascii="Arial" w:cs="Arial" w:eastAsia="Arial" w:hAnsi="Arial"/>
          <w:sz w:val="14"/>
          <w:szCs w:val="14"/>
          <w:i w:val="1"/>
          <w:iCs w:val="1"/>
          <w:color w:val="auto"/>
        </w:rPr>
        <w:t>Income Statement—Reporting Comprehensive Income—Expense Disaggregation Disclosures (Subtopic 220-40): Clarifying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the Effective Date </w:t>
      </w:r>
      <w:r>
        <w:rPr>
          <w:rFonts w:ascii="Arial" w:cs="Arial" w:eastAsia="Arial" w:hAnsi="Arial"/>
          <w:sz w:val="14"/>
          <w:szCs w:val="14"/>
          <w:color w:val="auto"/>
        </w:rPr>
        <w:t>to clarify the effective date of ASU 2024-03. The amendments require disclosure of additional information about specific expense categories in the notes to</w:t>
      </w:r>
      <w:r>
        <w:rPr>
          <w:rFonts w:ascii="Arial" w:cs="Arial" w:eastAsia="Arial" w:hAnsi="Arial"/>
          <w:sz w:val="14"/>
          <w:szCs w:val="14"/>
          <w:i w:val="1"/>
          <w:iCs w:val="1"/>
          <w:color w:val="auto"/>
        </w:rPr>
        <w:t xml:space="preserve"> </w:t>
      </w:r>
      <w:r>
        <w:rPr>
          <w:rFonts w:ascii="Arial" w:cs="Arial" w:eastAsia="Arial" w:hAnsi="Arial"/>
          <w:sz w:val="14"/>
          <w:szCs w:val="14"/>
          <w:color w:val="auto"/>
        </w:rPr>
        <w:t>the financial statements. This standard is effective for annual reporting periods beginning after December 15, 2026, and interim reporting periods within annual reporting periods beginning after December 15, 2027. Early adoption is permitted. The amendments are to be applied either prospectively to financial statements issued for reporting periods after the effective date of this Update or retrospectively to any or all prior periods presented in the financial statements. The Company is currently evaluating the impact that the adoption of this standard will have on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86" w:lineRule="exact"/>
        <w:rPr>
          <w:sz w:val="20"/>
          <w:szCs w:val="20"/>
          <w:color w:val="auto"/>
        </w:rPr>
      </w:pPr>
    </w:p>
    <w:p>
      <w:pPr>
        <w:ind w:left="380"/>
        <w:spacing w:after="0"/>
        <w:rPr>
          <w:sz w:val="20"/>
          <w:szCs w:val="20"/>
          <w:color w:val="auto"/>
        </w:rPr>
      </w:pPr>
      <w:r>
        <w:rPr>
          <w:rFonts w:ascii="Arial" w:cs="Arial" w:eastAsia="Arial" w:hAnsi="Arial"/>
          <w:sz w:val="14"/>
          <w:szCs w:val="14"/>
          <w:i w:val="1"/>
          <w:iCs w:val="1"/>
          <w:color w:val="auto"/>
        </w:rPr>
        <w:t>Income Taxes (Topic 740): Improvements to Income Tax Disclosures</w:t>
      </w:r>
    </w:p>
    <w:p>
      <w:pPr>
        <w:spacing w:after="0" w:line="92" w:lineRule="exact"/>
        <w:rPr>
          <w:sz w:val="20"/>
          <w:szCs w:val="20"/>
          <w:color w:val="auto"/>
        </w:rPr>
      </w:pPr>
    </w:p>
    <w:p>
      <w:pPr>
        <w:ind w:left="380" w:right="20"/>
        <w:spacing w:after="0" w:line="265" w:lineRule="auto"/>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The amendments primarily require enhanced disclosures and disaggregation of income tax information by jurisdiction in the annual income tax rate reconciliation and quantitative and qualitative disclosures regarding income taxes paid. These amendments are to be applied prospectively, with the option to apply the standard retrospectively, for annual periods beginning after December 15, 2025. Early adoption is permitted. The Company is currently evaluating the impact that the adoption of this standard will have on the consolidated financial statements.</w:t>
      </w:r>
    </w:p>
    <w:p>
      <w:pPr>
        <w:spacing w:after="0" w:line="223" w:lineRule="exact"/>
        <w:rPr>
          <w:sz w:val="20"/>
          <w:szCs w:val="20"/>
          <w:color w:val="auto"/>
        </w:rPr>
      </w:pPr>
    </w:p>
    <w:p>
      <w:pPr>
        <w:ind w:left="380" w:hanging="375"/>
        <w:spacing w:after="0"/>
        <w:tabs>
          <w:tab w:leader="none" w:pos="38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Liquidity</w:t>
      </w:r>
    </w:p>
    <w:p>
      <w:pPr>
        <w:spacing w:after="0" w:line="93" w:lineRule="exact"/>
        <w:rPr>
          <w:rFonts w:ascii="Arial" w:cs="Arial" w:eastAsia="Arial" w:hAnsi="Arial"/>
          <w:sz w:val="14"/>
          <w:szCs w:val="14"/>
          <w:b w:val="1"/>
          <w:bCs w:val="1"/>
          <w:color w:val="auto"/>
        </w:rPr>
      </w:pPr>
    </w:p>
    <w:p>
      <w:pPr>
        <w:ind w:left="380" w:right="80"/>
        <w:spacing w:after="0" w:line="262" w:lineRule="auto"/>
        <w:rPr>
          <w:rFonts w:ascii="Arial" w:cs="Arial" w:eastAsia="Arial" w:hAnsi="Arial"/>
          <w:sz w:val="14"/>
          <w:szCs w:val="14"/>
          <w:b w:val="1"/>
          <w:bCs w:val="1"/>
          <w:color w:val="auto"/>
        </w:rPr>
      </w:pPr>
      <w:r>
        <w:rPr>
          <w:rFonts w:ascii="Arial" w:cs="Arial" w:eastAsia="Arial" w:hAnsi="Arial"/>
          <w:sz w:val="14"/>
          <w:szCs w:val="14"/>
          <w:color w:val="auto"/>
        </w:rPr>
        <w:t>The Company has incurred net losses from operations of $(26.1) million for the three months ended April 30, 2025, has incurred significant recurring net losses since inception, has an accumulated deficit of $(1,149.1) million as of April 30, 2025, and has historically relied on debt and equity financing to fund its operations. The Company’s cash flows from operations for the three months ended April 30, 2025 were $8.3 million compared to $4.6 million for the three months ended April 30, 2024. Cash out flows from investing activities for the three months ended April 30, 2025 were $(14.7) million compared to $(6.0) million for the three months ended April 30, 2024. As of April 30, 2025, the Company held cash and cash equivalents of $70.4 million and long-term debt of $340.6 million with a maturity date in October 2026.</w:t>
      </w:r>
    </w:p>
    <w:p>
      <w:pPr>
        <w:spacing w:after="0" w:line="54" w:lineRule="exact"/>
        <w:rPr>
          <w:rFonts w:ascii="Arial" w:cs="Arial" w:eastAsia="Arial" w:hAnsi="Arial"/>
          <w:sz w:val="14"/>
          <w:szCs w:val="14"/>
          <w:b w:val="1"/>
          <w:bCs w:val="1"/>
          <w:color w:val="auto"/>
        </w:rPr>
      </w:pPr>
    </w:p>
    <w:p>
      <w:pPr>
        <w:ind w:left="380"/>
        <w:spacing w:after="0" w:line="258" w:lineRule="auto"/>
        <w:rPr>
          <w:rFonts w:ascii="Arial" w:cs="Arial" w:eastAsia="Arial" w:hAnsi="Arial"/>
          <w:sz w:val="14"/>
          <w:szCs w:val="14"/>
          <w:b w:val="1"/>
          <w:bCs w:val="1"/>
          <w:color w:val="auto"/>
        </w:rPr>
      </w:pPr>
      <w:r>
        <w:rPr>
          <w:rFonts w:ascii="Arial" w:cs="Arial" w:eastAsia="Arial" w:hAnsi="Arial"/>
          <w:sz w:val="14"/>
          <w:szCs w:val="14"/>
          <w:color w:val="auto"/>
        </w:rPr>
        <w:t>The Company experienced year-over-year revenue growth and a reduction in net losses in fiscal years 2024 and 2023 and significantly reduced its cash outflows from operations plus cash outflows generated (used) in investing during the year ended January 31, 2025. The Company experienced an increase in net loss and an increase in cash outflows as measured by cash flows from operations plus cash flows generated (used) in investing during the three months ended April 30, 2025 as compared to the three months ended April 30, 2024 due to a decrease in revenue and the Company intentionally increasing its investment in rental product and purchasing more units in fiscal year 2025. To the extent the Company is impacted by macroeconomic trends, or other factors, including, but not limited to, lower demand for our business, increased rental product spend, or tariffs, the Company plans to reduce fixed and variable costs accordingly and has established plans to preserve existing cash liquidity, which includes additional reductions to labor, operating expenses, and/or capital expenditures. However, these actions will not provide sufficient incremental liquidity to fund the Company’s long-term obligations when they become current.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83" w:lineRule="exact"/>
        <w:rPr>
          <w:sz w:val="20"/>
          <w:szCs w:val="20"/>
          <w:color w:val="auto"/>
        </w:rPr>
      </w:pPr>
    </w:p>
    <w:p>
      <w:pPr>
        <w:ind w:left="380" w:right="160"/>
        <w:spacing w:after="0"/>
        <w:rPr>
          <w:sz w:val="20"/>
          <w:szCs w:val="20"/>
          <w:color w:val="auto"/>
        </w:rPr>
      </w:pPr>
      <w:r>
        <w:rPr>
          <w:rFonts w:ascii="Arial" w:cs="Arial" w:eastAsia="Arial" w:hAnsi="Arial"/>
          <w:sz w:val="14"/>
          <w:szCs w:val="14"/>
          <w:color w:val="auto"/>
        </w:rPr>
        <w:t>On March 31, 2025, the Company entered into an Eleventh Amendment to the Credit Agreement with CHS (US) Management LLC (formerly Double Helix Pte Ltd. prior to January 2025) as administrative agent, and CHS US Investments LLC, as lender (the “Eleventh Amendment”). The Eleventh Amendment amended the 2023 Amended Temasek Facility (as defined herein) to extend the deadline to mutually agree upon the Company’s fiscal year 2025 expenditure levels – covering rental product capital expenditures, fixed operating expenditures and marketing expenditures – from March 31, 2025 to May 30, 2025 (the “Covenant Deadline”). On May 29, 2025, the Company entered into a Twelfth Amendment to the Credit Agreement with CHS (US) Management LLC (formerly Double Helix Pte Ltd. prior to January 2025) as administrative agent, and CHS US Investments LLC, as lender (the “Twelfth Amendment”) (the 2023 Amended Temasek Facility, as amended by the Eleventh Amendment and Twelfth</w:t>
      </w:r>
    </w:p>
    <w:p>
      <w:pPr>
        <w:spacing w:after="0" w:line="3" w:lineRule="exact"/>
        <w:rPr>
          <w:sz w:val="20"/>
          <w:szCs w:val="20"/>
          <w:color w:val="auto"/>
        </w:rPr>
      </w:pPr>
    </w:p>
    <w:p>
      <w:pPr>
        <w:ind w:left="380"/>
        <w:spacing w:after="0" w:line="229" w:lineRule="auto"/>
        <w:rPr>
          <w:sz w:val="20"/>
          <w:szCs w:val="20"/>
          <w:color w:val="auto"/>
        </w:rPr>
      </w:pPr>
      <w:r>
        <w:rPr>
          <w:rFonts w:ascii="Arial" w:cs="Arial" w:eastAsia="Arial" w:hAnsi="Arial"/>
          <w:sz w:val="14"/>
          <w:szCs w:val="14"/>
          <w:color w:val="auto"/>
        </w:rPr>
        <w:t>Amendment, the “2025 Amended Facility”). The Twelfth Amendment further extended the Covenant Deadline from May 30, 2025 to July 31, 2025. The 2023 Amended Temasek Facility modified the Company’s obligations under the 2022 Amended Temasek Facility (as defined herein) to (i) eliminate all interest (both payment-in-kind and cash</w:t>
      </w:r>
    </w:p>
    <w:p>
      <w:pPr>
        <w:ind w:left="380" w:right="300"/>
        <w:spacing w:after="0"/>
        <w:rPr>
          <w:sz w:val="20"/>
          <w:szCs w:val="20"/>
          <w:color w:val="auto"/>
        </w:rPr>
      </w:pPr>
      <w:r>
        <w:rPr>
          <w:rFonts w:ascii="Arial" w:cs="Arial" w:eastAsia="Arial" w:hAnsi="Arial"/>
          <w:sz w:val="14"/>
          <w:szCs w:val="14"/>
          <w:color w:val="auto"/>
        </w:rPr>
        <w:t>interest) for a period of six full fiscal quarters beginning with the fourth quarter of fiscal year 2023; (ii) reduce the minimum liquidity maintenance covenant under the 2023 Amended Temasek Facility from $50 million to $30 million; and (iii) provide that the Company may not exceed mutually agreed upon quarterly and annual spend levels for rental product 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as defined in the agreement. In the event that the Company fails to comply with the covenants specified in the 2023 Amended Temasek Facility, the lender has the right to declare all borrowings outstanding, together with accrued and unpaid interest and fees, to be immediately due and payable.</w:t>
      </w:r>
    </w:p>
    <w:p>
      <w:pPr>
        <w:spacing w:after="0" w:line="177" w:lineRule="exact"/>
        <w:rPr>
          <w:sz w:val="20"/>
          <w:szCs w:val="20"/>
          <w:color w:val="auto"/>
        </w:rPr>
      </w:pPr>
    </w:p>
    <w:p>
      <w:pPr>
        <w:ind w:left="380" w:right="100"/>
        <w:spacing w:after="0" w:line="260" w:lineRule="auto"/>
        <w:rPr>
          <w:sz w:val="20"/>
          <w:szCs w:val="20"/>
          <w:color w:val="auto"/>
        </w:rPr>
      </w:pPr>
      <w:r>
        <w:rPr>
          <w:rFonts w:ascii="Arial" w:cs="Arial" w:eastAsia="Arial" w:hAnsi="Arial"/>
          <w:sz w:val="14"/>
          <w:szCs w:val="14"/>
          <w:color w:val="auto"/>
        </w:rPr>
        <w:t>The Company’s 2025 Amended Facility matures in October 2026. While there is no assurance that the Company will be able to restructure its long term debt obligations, the Company intends to work constructively with the lender regarding the terms of such debt agreement. If the Company is unable to successfully restructure its long term debt beyond the period of twelve months from the date these financial statements are issued, its liquidity, results of operations, cash flows, and financial condition may be materially adversely impacted. However, the Company believes that it will have sufficient liquidity from cash on-hand and future operations to sustain its business operations, including interest payments that resumed on May 1, 2025, and satisfy the $30 million minimum liquidity maintenance covenant for at least the next twelve months from the date these financial statements are issued.</w:t>
      </w:r>
    </w:p>
    <w:p>
      <w:pPr>
        <w:spacing w:after="0" w:line="142" w:lineRule="exact"/>
        <w:rPr>
          <w:sz w:val="20"/>
          <w:szCs w:val="20"/>
          <w:color w:val="auto"/>
        </w:rPr>
      </w:pPr>
    </w:p>
    <w:p>
      <w:pPr>
        <w:ind w:left="380" w:right="8520" w:hanging="375"/>
        <w:spacing w:after="0" w:line="371" w:lineRule="auto"/>
        <w:tabs>
          <w:tab w:leader="none" w:pos="371"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Restructuring and Related Charges </w:t>
      </w:r>
      <w:r>
        <w:rPr>
          <w:rFonts w:ascii="Arial" w:cs="Arial" w:eastAsia="Arial" w:hAnsi="Arial"/>
          <w:sz w:val="14"/>
          <w:szCs w:val="14"/>
          <w:b w:val="1"/>
          <w:bCs w:val="1"/>
          <w:i w:val="1"/>
          <w:iCs w:val="1"/>
          <w:color w:val="auto"/>
        </w:rPr>
        <w:t>January 2024 Restructuring Plan</w:t>
      </w:r>
    </w:p>
    <w:p>
      <w:pPr>
        <w:ind w:left="380" w:right="6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On January 9, 2024, the Company announced a restructuring plan to focus its workforce and cost structure on key growth opportunities and support its profitability goals. The plan included a reduction in workforce of approximately 10% of its corporate employees (primarily a reduction in force, with some open role closures/reduced backfills, and excludes potential hiring of new employees or other additions to the Company’s costs and expenses).</w:t>
      </w:r>
    </w:p>
    <w:p>
      <w:pPr>
        <w:spacing w:after="0" w:line="48" w:lineRule="exact"/>
        <w:rPr>
          <w:rFonts w:ascii="Arial" w:cs="Arial" w:eastAsia="Arial" w:hAnsi="Arial"/>
          <w:sz w:val="14"/>
          <w:szCs w:val="14"/>
          <w:b w:val="1"/>
          <w:bCs w:val="1"/>
          <w:color w:val="auto"/>
        </w:rPr>
      </w:pPr>
    </w:p>
    <w:p>
      <w:pPr>
        <w:ind w:left="380" w:right="180"/>
        <w:spacing w:after="0" w:line="260" w:lineRule="auto"/>
        <w:rPr>
          <w:rFonts w:ascii="Arial" w:cs="Arial" w:eastAsia="Arial" w:hAnsi="Arial"/>
          <w:sz w:val="14"/>
          <w:szCs w:val="14"/>
          <w:b w:val="1"/>
          <w:bCs w:val="1"/>
          <w:color w:val="auto"/>
        </w:rPr>
      </w:pPr>
      <w:r>
        <w:rPr>
          <w:rFonts w:ascii="Arial" w:cs="Arial" w:eastAsia="Arial" w:hAnsi="Arial"/>
          <w:sz w:val="14"/>
          <w:szCs w:val="14"/>
          <w:color w:val="auto"/>
        </w:rPr>
        <w:t>Restructuring charges of $0.2 million for severance and related costs were recognized during the three months ended April 30, 2024 and are reflected in Restructuring charges on the Company’s Condensed Consolidated Statements of Operations. Restructuring charges of $0.2 million and $2.0 million for severance and related costs were recognized during the years ended January 31, 2025 and 2024, respectively, and were reflected in Restructuring charges on the Company’s Condensed Consolidated Statements of Operations. Cumulative charges related to severance and related costs incurred to date in connection with the January 2024 restructuring plan were $2.2 million. Accrued restructuring charges were none and $0.2 million as of April 30, 2025 and January 31, 2025, respectively. The restructuring plan was completed during the first quarter of fiscal year 2025.</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hanging="375"/>
        <w:spacing w:after="0"/>
        <w:tabs>
          <w:tab w:leader="none" w:pos="38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Leases - Lessee Accounting</w:t>
      </w:r>
    </w:p>
    <w:p>
      <w:pPr>
        <w:spacing w:after="0" w:line="199" w:lineRule="exact"/>
        <w:rPr>
          <w:rFonts w:ascii="Arial" w:cs="Arial" w:eastAsia="Arial" w:hAnsi="Arial"/>
          <w:sz w:val="14"/>
          <w:szCs w:val="14"/>
          <w:b w:val="1"/>
          <w:bCs w:val="1"/>
          <w:color w:val="auto"/>
        </w:rPr>
      </w:pPr>
    </w:p>
    <w:p>
      <w:pPr>
        <w:ind w:left="3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During the year ended January 31, 2025, the Company entered into a sublease agreement for the ninth floor of its corporate headquarters in Brooklyn, NY for the remainder of the lease term through November 2032. The sublease commenced in December 2024 and does not relieve the Company of its primary lease obligations. The Company recorded immaterial additional assets for the sublease and the net amount received from the sublease is recorded in general and administrative expenses on the Condensed Consolidated Statements of Operations.</w:t>
      </w:r>
    </w:p>
    <w:p>
      <w:pPr>
        <w:spacing w:after="0" w:line="137" w:lineRule="exact"/>
        <w:rPr>
          <w:rFonts w:ascii="Arial" w:cs="Arial" w:eastAsia="Arial" w:hAnsi="Arial"/>
          <w:sz w:val="14"/>
          <w:szCs w:val="14"/>
          <w:b w:val="1"/>
          <w:bCs w:val="1"/>
          <w:color w:val="auto"/>
        </w:rPr>
      </w:pPr>
    </w:p>
    <w:p>
      <w:pPr>
        <w:ind w:left="380" w:right="14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minimum fixed lease obligations under existing agreements as a lessee, excluding variable payments and short-term lease payments, as of April 30, 2025:</w:t>
      </w:r>
    </w:p>
    <w:p>
      <w:pPr>
        <w:spacing w:after="0" w:line="182"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6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Operating</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Financing</w:t>
            </w:r>
          </w:p>
        </w:tc>
      </w:tr>
      <w:tr>
        <w:trPr>
          <w:trHeight w:val="161"/>
        </w:trPr>
        <w:tc>
          <w:tcPr>
            <w:tcW w:w="7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year:</w:t>
            </w:r>
          </w:p>
        </w:tc>
        <w:tc>
          <w:tcPr>
            <w:tcW w:w="10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2025</w:t>
            </w:r>
          </w:p>
        </w:tc>
        <w:tc>
          <w:tcPr>
            <w:tcW w:w="1060" w:type="dxa"/>
            <w:vAlign w:val="bottom"/>
          </w:tcPr>
          <w:p>
            <w:pPr>
              <w:jc w:val="right"/>
              <w:ind w:right="894"/>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0.2</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2026</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2027</w:t>
            </w: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2028</w:t>
            </w:r>
          </w:p>
        </w:tc>
        <w:tc>
          <w:tcPr>
            <w:tcW w:w="10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tcPr>
          <w:p>
            <w:pPr>
              <w:ind w:left="200"/>
              <w:spacing w:after="0"/>
              <w:rPr>
                <w:sz w:val="20"/>
                <w:szCs w:val="20"/>
                <w:color w:val="auto"/>
              </w:rPr>
            </w:pPr>
            <w:r>
              <w:rPr>
                <w:rFonts w:ascii="Arial" w:cs="Arial" w:eastAsia="Arial" w:hAnsi="Arial"/>
                <w:sz w:val="14"/>
                <w:szCs w:val="14"/>
                <w:color w:val="auto"/>
              </w:rPr>
              <w:t>2029</w:t>
            </w:r>
          </w:p>
        </w:tc>
        <w:tc>
          <w:tcPr>
            <w:tcW w:w="1060" w:type="dxa"/>
            <w:vAlign w:val="bottom"/>
          </w:tcPr>
          <w:p>
            <w:pPr>
              <w:spacing w:after="0"/>
              <w:rPr>
                <w:sz w:val="15"/>
                <w:szCs w:val="15"/>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0.1</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Thereafter</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811"/>
              <w:spacing w:after="0"/>
              <w:rPr>
                <w:sz w:val="20"/>
                <w:szCs w:val="20"/>
                <w:color w:val="auto"/>
              </w:rPr>
            </w:pPr>
            <w:r>
              <w:rPr>
                <w:rFonts w:ascii="Arial" w:cs="Arial" w:eastAsia="Arial" w:hAnsi="Arial"/>
                <w:sz w:val="14"/>
                <w:szCs w:val="14"/>
                <w:color w:val="auto"/>
              </w:rPr>
              <w:t>0.2</w:t>
            </w:r>
          </w:p>
        </w:tc>
      </w:tr>
      <w:tr>
        <w:trPr>
          <w:trHeight w:val="171"/>
        </w:trPr>
        <w:tc>
          <w:tcPr>
            <w:tcW w:w="7620" w:type="dxa"/>
            <w:vAlign w:val="bottom"/>
          </w:tcPr>
          <w:p>
            <w:pPr>
              <w:ind w:left="280"/>
              <w:spacing w:after="0"/>
              <w:rPr>
                <w:sz w:val="20"/>
                <w:szCs w:val="20"/>
                <w:color w:val="auto"/>
              </w:rPr>
            </w:pPr>
            <w:r>
              <w:rPr>
                <w:rFonts w:ascii="Arial" w:cs="Arial" w:eastAsia="Arial" w:hAnsi="Arial"/>
                <w:sz w:val="14"/>
                <w:szCs w:val="14"/>
                <w:color w:val="auto"/>
              </w:rPr>
              <w:t>Total minimum lease payments</w:t>
            </w:r>
          </w:p>
        </w:tc>
        <w:tc>
          <w:tcPr>
            <w:tcW w:w="1060" w:type="dxa"/>
            <w:vAlign w:val="bottom"/>
          </w:tcPr>
          <w:p>
            <w:pPr>
              <w:spacing w:after="0"/>
              <w:rPr>
                <w:sz w:val="14"/>
                <w:szCs w:val="14"/>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71.5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left="811"/>
              <w:spacing w:after="0"/>
              <w:rPr>
                <w:sz w:val="20"/>
                <w:szCs w:val="20"/>
                <w:color w:val="auto"/>
              </w:rPr>
            </w:pPr>
            <w:r>
              <w:rPr>
                <w:rFonts w:ascii="Arial" w:cs="Arial" w:eastAsia="Arial" w:hAnsi="Arial"/>
                <w:sz w:val="14"/>
                <w:szCs w:val="14"/>
                <w:color w:val="auto"/>
              </w:rPr>
              <w:t>0.8</w:t>
            </w:r>
          </w:p>
        </w:tc>
      </w:tr>
      <w:tr>
        <w:trPr>
          <w:trHeight w:val="180"/>
        </w:trPr>
        <w:tc>
          <w:tcPr>
            <w:tcW w:w="7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Imputed interest</w:t>
            </w:r>
          </w:p>
        </w:tc>
        <w:tc>
          <w:tcPr>
            <w:tcW w:w="10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center"/>
              <w:ind w:left="791"/>
              <w:spacing w:after="0"/>
              <w:rPr>
                <w:sz w:val="20"/>
                <w:szCs w:val="20"/>
                <w:color w:val="auto"/>
              </w:rPr>
            </w:pPr>
            <w:r>
              <w:rPr>
                <w:rFonts w:ascii="Arial" w:cs="Arial" w:eastAsia="Arial" w:hAnsi="Arial"/>
                <w:sz w:val="14"/>
                <w:szCs w:val="14"/>
                <w:color w:val="auto"/>
              </w:rPr>
              <w:t>(0.3)</w:t>
            </w:r>
          </w:p>
        </w:tc>
      </w:tr>
      <w:tr>
        <w:trPr>
          <w:trHeight w:val="171"/>
        </w:trPr>
        <w:tc>
          <w:tcPr>
            <w:tcW w:w="7620" w:type="dxa"/>
            <w:vAlign w:val="bottom"/>
          </w:tcPr>
          <w:p>
            <w:pPr>
              <w:ind w:left="300"/>
              <w:spacing w:after="0"/>
              <w:rPr>
                <w:sz w:val="20"/>
                <w:szCs w:val="20"/>
                <w:color w:val="auto"/>
              </w:rPr>
            </w:pPr>
            <w:r>
              <w:rPr>
                <w:rFonts w:ascii="Arial" w:cs="Arial" w:eastAsia="Arial" w:hAnsi="Arial"/>
                <w:sz w:val="14"/>
                <w:szCs w:val="14"/>
                <w:color w:val="auto"/>
              </w:rPr>
              <w:t>Lease liabilities as of April 30, 2025</w:t>
            </w:r>
          </w:p>
        </w:tc>
        <w:tc>
          <w:tcPr>
            <w:tcW w:w="106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44.6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center"/>
              <w:ind w:left="811"/>
              <w:spacing w:after="0"/>
              <w:rPr>
                <w:sz w:val="20"/>
                <w:szCs w:val="20"/>
                <w:color w:val="auto"/>
              </w:rPr>
            </w:pPr>
            <w:r>
              <w:rPr>
                <w:rFonts w:ascii="Arial" w:cs="Arial" w:eastAsia="Arial" w:hAnsi="Arial"/>
                <w:sz w:val="14"/>
                <w:szCs w:val="14"/>
                <w:color w:val="auto"/>
              </w:rPr>
              <w:t>0.5</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hanging="375"/>
        <w:spacing w:after="0"/>
        <w:tabs>
          <w:tab w:leader="none" w:pos="38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Rental Product, Net</w:t>
      </w:r>
    </w:p>
    <w:p>
      <w:pPr>
        <w:spacing w:after="0" w:line="9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Rental product, net consisted of the following:</w:t>
      </w:r>
    </w:p>
    <w:p>
      <w:pPr>
        <w:spacing w:after="0" w:line="219" w:lineRule="exact"/>
        <w:rPr>
          <w:sz w:val="20"/>
          <w:szCs w:val="20"/>
          <w:color w:val="auto"/>
        </w:rPr>
      </w:pPr>
    </w:p>
    <w:tbl>
      <w:tblPr>
        <w:tblLayout w:type="fixed"/>
        <w:tblInd w:w="38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Arial" w:cs="Arial" w:eastAsia="Arial" w:hAnsi="Arial"/>
                <w:sz w:val="11"/>
                <w:szCs w:val="11"/>
                <w:b w:val="1"/>
                <w:bCs w:val="1"/>
                <w:color w:val="auto"/>
              </w:rPr>
              <w:t>April 30,</w:t>
            </w:r>
          </w:p>
        </w:tc>
        <w:tc>
          <w:tcPr>
            <w:tcW w:w="260" w:type="dxa"/>
            <w:vAlign w:val="bottom"/>
          </w:tcPr>
          <w:p>
            <w:pPr>
              <w:spacing w:after="0"/>
              <w:rPr>
                <w:sz w:val="13"/>
                <w:szCs w:val="13"/>
                <w:color w:val="auto"/>
              </w:rPr>
            </w:pPr>
          </w:p>
        </w:tc>
        <w:tc>
          <w:tcPr>
            <w:tcW w:w="1180" w:type="dxa"/>
            <w:vAlign w:val="bottom"/>
          </w:tcPr>
          <w:p>
            <w:pPr>
              <w:jc w:val="right"/>
              <w:ind w:right="333"/>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73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2025</w:t>
            </w:r>
          </w:p>
        </w:tc>
      </w:tr>
      <w:tr>
        <w:trPr>
          <w:trHeight w:val="150"/>
        </w:trPr>
        <w:tc>
          <w:tcPr>
            <w:tcW w:w="7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Apparel</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138.2</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Accessories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171"/>
        </w:trPr>
        <w:tc>
          <w:tcPr>
            <w:tcW w:w="73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w:t>
            </w:r>
          </w:p>
        </w:tc>
      </w:tr>
      <w:tr>
        <w:trPr>
          <w:trHeight w:val="21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w:t>
            </w:r>
          </w:p>
        </w:tc>
      </w:tr>
      <w:tr>
        <w:trPr>
          <w:trHeight w:val="196"/>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Rental product, net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380"/>
        <w:spacing w:after="0" w:line="290" w:lineRule="auto"/>
        <w:rPr>
          <w:sz w:val="20"/>
          <w:szCs w:val="20"/>
          <w:color w:val="auto"/>
        </w:rPr>
      </w:pPr>
      <w:r>
        <w:rPr>
          <w:rFonts w:ascii="Arial" w:cs="Arial" w:eastAsia="Arial" w:hAnsi="Arial"/>
          <w:sz w:val="14"/>
          <w:szCs w:val="14"/>
          <w:color w:val="auto"/>
        </w:rPr>
        <w:t>Depreciation and write-offs related to rental product, including write-offs of rental products sold, was $13.2 million and $14.9 million for the three months ended April 30, 2025 and 2024, respectively.</w:t>
      </w: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right="9820" w:hanging="375"/>
        <w:spacing w:after="0" w:line="379" w:lineRule="auto"/>
        <w:tabs>
          <w:tab w:leader="none" w:pos="371"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Long-Term Debt Summary</w:t>
      </w: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summarizes the Company’s long-term debt outstanding as of April 30, 2025 and January 31, 2025:</w:t>
      </w:r>
    </w:p>
    <w:p>
      <w:pPr>
        <w:spacing w:after="0" w:line="219" w:lineRule="exact"/>
        <w:rPr>
          <w:sz w:val="20"/>
          <w:szCs w:val="20"/>
          <w:color w:val="auto"/>
        </w:rPr>
      </w:pPr>
    </w:p>
    <w:p>
      <w:pPr>
        <w:jc w:val="right"/>
        <w:ind w:right="980"/>
        <w:spacing w:after="0"/>
        <w:tabs>
          <w:tab w:leader="none" w:pos="600" w:val="left"/>
        </w:tabs>
        <w:rPr>
          <w:sz w:val="20"/>
          <w:szCs w:val="20"/>
          <w:color w:val="auto"/>
        </w:rPr>
      </w:pPr>
      <w:r>
        <w:rPr>
          <w:rFonts w:ascii="Arial" w:cs="Arial" w:eastAsia="Arial" w:hAnsi="Arial"/>
          <w:sz w:val="11"/>
          <w:szCs w:val="11"/>
          <w:b w:val="1"/>
          <w:bCs w:val="1"/>
          <w:color w:val="auto"/>
        </w:rPr>
        <w:t>April 30,</w:t>
      </w:r>
      <w:r>
        <w:rPr>
          <w:sz w:val="20"/>
          <w:szCs w:val="20"/>
          <w:color w:val="auto"/>
        </w:rPr>
        <w:tab/>
      </w:r>
      <w:r>
        <w:rPr>
          <w:rFonts w:ascii="Arial" w:cs="Arial" w:eastAsia="Arial" w:hAnsi="Arial"/>
          <w:sz w:val="11"/>
          <w:szCs w:val="11"/>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17780</wp:posOffset>
            </wp:positionV>
            <wp:extent cx="187325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pacing w:after="0" w:line="23" w:lineRule="exact"/>
        <w:rPr>
          <w:sz w:val="20"/>
          <w:szCs w:val="20"/>
          <w:color w:val="auto"/>
        </w:rPr>
      </w:pPr>
    </w:p>
    <w:p>
      <w:pPr>
        <w:ind w:left="8340"/>
        <w:spacing w:after="0"/>
        <w:tabs>
          <w:tab w:leader="none" w:pos="9840" w:val="left"/>
        </w:tabs>
        <w:rPr>
          <w:sz w:val="20"/>
          <w:szCs w:val="20"/>
          <w:color w:val="auto"/>
        </w:rPr>
      </w:pPr>
      <w:r>
        <w:rPr>
          <w:rFonts w:ascii="Arial" w:cs="Arial" w:eastAsia="Arial" w:hAnsi="Arial"/>
          <w:sz w:val="11"/>
          <w:szCs w:val="11"/>
          <w:b w:val="1"/>
          <w:bCs w:val="1"/>
          <w:color w:val="auto"/>
        </w:rPr>
        <w:t>2025</w:t>
      </w:r>
      <w:r>
        <w:rPr>
          <w:sz w:val="20"/>
          <w:szCs w:val="20"/>
          <w:color w:val="auto"/>
        </w:rPr>
        <w:tab/>
      </w:r>
      <w:r>
        <w:rPr>
          <w:rFonts w:ascii="Arial" w:cs="Arial" w:eastAsia="Arial" w:hAnsi="Arial"/>
          <w:sz w:val="11"/>
          <w:szCs w:val="11"/>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17780</wp:posOffset>
            </wp:positionV>
            <wp:extent cx="187325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7325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p>
      <w:pPr>
        <w:spacing w:after="0" w:line="20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Debt Facility principal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28575</wp:posOffset>
            </wp:positionV>
            <wp:extent cx="6548755" cy="13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48755" cy="134620"/>
                    </a:xfrm>
                    <a:prstGeom prst="rect">
                      <a:avLst/>
                    </a:prstGeom>
                    <a:noFill/>
                  </pic:spPr>
                </pic:pic>
              </a:graphicData>
            </a:graphic>
          </wp:anchor>
        </w:drawing>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 payment-in-kind interest</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Add (Less): unamortized debt premium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28575</wp:posOffset>
            </wp:positionV>
            <wp:extent cx="6548755" cy="13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48755" cy="134620"/>
                    </a:xfrm>
                    <a:prstGeom prst="rect">
                      <a:avLst/>
                    </a:prstGeom>
                    <a:noFill/>
                  </pic:spPr>
                </pic:pic>
              </a:graphicData>
            </a:graphic>
          </wp:anchor>
        </w:drawing>
      </w:r>
    </w:p>
    <w:p>
      <w:pPr>
        <w:spacing w:after="0" w:line="31"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Debt Facility, net</w:t>
      </w:r>
    </w:p>
    <w:p>
      <w:pPr>
        <w:spacing w:after="0" w:line="5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28575</wp:posOffset>
            </wp:positionV>
            <wp:extent cx="6548755" cy="134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48755" cy="134620"/>
                    </a:xfrm>
                    <a:prstGeom prst="rect">
                      <a:avLst/>
                    </a:prstGeom>
                    <a:noFill/>
                  </pic:spPr>
                </pic:pic>
              </a:graphicData>
            </a:graphic>
          </wp:anchor>
        </w:drawing>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noncurrent long-term debt</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Debt Facility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000" w:hanging="996"/>
        <w:spacing w:after="0"/>
        <w:tabs>
          <w:tab w:leader="none" w:pos="1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271.6</w:t>
      </w:r>
    </w:p>
    <w:p>
      <w:pPr>
        <w:spacing w:after="0" w:line="51"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40.3</w:t>
      </w:r>
    </w:p>
    <w:p>
      <w:pPr>
        <w:spacing w:after="0" w:line="51"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28.7</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340.6</w:t>
      </w:r>
    </w:p>
    <w:p>
      <w:pPr>
        <w:spacing w:after="0" w:line="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t>
      </w:r>
    </w:p>
    <w:p>
      <w:pPr>
        <w:spacing w:after="0" w:line="30" w:lineRule="exact"/>
        <w:rPr>
          <w:sz w:val="20"/>
          <w:szCs w:val="20"/>
          <w:color w:val="auto"/>
        </w:rPr>
      </w:pPr>
    </w:p>
    <w:p>
      <w:pPr>
        <w:ind w:left="1000" w:hanging="996"/>
        <w:spacing w:after="0"/>
        <w:tabs>
          <w:tab w:leader="none" w:pos="1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340.6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90932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000" w:hanging="999"/>
        <w:spacing w:after="0"/>
        <w:tabs>
          <w:tab w:leader="none" w:pos="1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271.6</w:t>
      </w:r>
    </w:p>
    <w:p>
      <w:pPr>
        <w:spacing w:after="0" w:line="51"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40.3</w:t>
      </w:r>
    </w:p>
    <w:p>
      <w:pPr>
        <w:spacing w:after="0" w:line="51"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21.8</w:t>
      </w:r>
    </w:p>
    <w:p>
      <w:pPr>
        <w:spacing w:after="0" w:line="51" w:lineRule="exact"/>
        <w:rPr>
          <w:sz w:val="20"/>
          <w:szCs w:val="20"/>
          <w:color w:val="auto"/>
        </w:rPr>
      </w:pPr>
    </w:p>
    <w:p>
      <w:pPr>
        <w:jc w:val="right"/>
        <w:ind w:right="640"/>
        <w:spacing w:after="0"/>
        <w:rPr>
          <w:sz w:val="20"/>
          <w:szCs w:val="20"/>
          <w:color w:val="auto"/>
        </w:rPr>
      </w:pPr>
      <w:r>
        <w:rPr>
          <w:rFonts w:ascii="Arial" w:cs="Arial" w:eastAsia="Arial" w:hAnsi="Arial"/>
          <w:sz w:val="14"/>
          <w:szCs w:val="14"/>
          <w:color w:val="auto"/>
        </w:rPr>
        <w:t>333.7</w:t>
      </w:r>
    </w:p>
    <w:p>
      <w:pPr>
        <w:spacing w:after="0" w:line="51" w:lineRule="exact"/>
        <w:rPr>
          <w:sz w:val="20"/>
          <w:szCs w:val="20"/>
          <w:color w:val="auto"/>
        </w:rPr>
      </w:pPr>
    </w:p>
    <w:p>
      <w:pPr>
        <w:jc w:val="right"/>
        <w:ind w:right="640"/>
        <w:spacing w:after="0"/>
        <w:rPr>
          <w:sz w:val="20"/>
          <w:szCs w:val="20"/>
          <w:color w:val="auto"/>
        </w:rPr>
      </w:pPr>
      <w:r>
        <w:rPr>
          <w:rFonts w:ascii="Arial" w:cs="Arial" w:eastAsia="Arial" w:hAnsi="Arial"/>
          <w:sz w:val="14"/>
          <w:szCs w:val="14"/>
          <w:color w:val="auto"/>
        </w:rPr>
        <w:t>—</w:t>
      </w:r>
    </w:p>
    <w:p>
      <w:pPr>
        <w:spacing w:after="0" w:line="30" w:lineRule="exact"/>
        <w:rPr>
          <w:sz w:val="20"/>
          <w:szCs w:val="20"/>
          <w:color w:val="auto"/>
        </w:rPr>
      </w:pPr>
    </w:p>
    <w:p>
      <w:pPr>
        <w:ind w:left="1000" w:hanging="999"/>
        <w:spacing w:after="0"/>
        <w:tabs>
          <w:tab w:leader="none" w:pos="10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333.7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34925</wp:posOffset>
            </wp:positionV>
            <wp:extent cx="90932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550" w:lineRule="exact"/>
        <w:rPr>
          <w:sz w:val="20"/>
          <w:szCs w:val="20"/>
          <w:color w:val="auto"/>
        </w:rPr>
      </w:pPr>
    </w:p>
    <w:p>
      <w:pPr>
        <w:sectPr>
          <w:pgSz w:w="11900" w:h="16838" w:orient="portrait"/>
          <w:cols w:equalWidth="0" w:num="3">
            <w:col w:w="7040" w:space="720"/>
            <w:col w:w="1360" w:space="160"/>
            <w:col w:w="2000"/>
          </w:cols>
          <w:pgMar w:left="300" w:top="123" w:right="319" w:bottom="1440" w:gutter="0" w:footer="0" w:header="0"/>
          <w:type w:val="continuous"/>
        </w:sectPr>
      </w:pPr>
    </w:p>
    <w:p>
      <w:pPr>
        <w:ind w:left="380"/>
        <w:spacing w:after="0" w:line="258" w:lineRule="auto"/>
        <w:rPr>
          <w:sz w:val="20"/>
          <w:szCs w:val="20"/>
          <w:color w:val="auto"/>
        </w:rPr>
      </w:pPr>
      <w:r>
        <w:rPr>
          <w:rFonts w:ascii="Arial" w:cs="Arial" w:eastAsia="Arial" w:hAnsi="Arial"/>
          <w:sz w:val="14"/>
          <w:szCs w:val="14"/>
          <w:color w:val="auto"/>
        </w:rPr>
        <w:t>In January 2023, the Company entered into an amendment to the 2021 Amended Temasek Facility (the “2022 Temasek Facility Amendment”). The 2021 Amended Temasek Facility as further amended by the 2022 Temasek Facility Amendment is referred to as the “2022 Amended Temasek Facility”. This transaction was accounted for as a debt modification. The terms of the amendment provided for (i) an extension of the maturity to October 2026, (ii) a reduction of the cash portion of the interest rate to 2% per year through July 2024, increasing to 5% thereafter for the duration of the 2022 Amended Temasek Facility, and (iii) a 1% increase in the total interest rate in February 2024 from 12% to 13% and annual rate increases of 1% thereafter for the duration of the 2022 Amended Temasek Facility. In connection with the 2022 Temasek Facility Amendment, the Company granted a warrant to purchase up to 100,000 shares of the Company’s Class A common stock at an exercise price of $100.00 per share. The warrant will expire on January 31, 2030. The effective interest rate for the 2021 Amended Temasek Facility for the period from the date of issuance through the date of the 2022 Amended Temasek Facility was 14.29%. The effective interest rate for the 2022 Amended Temasek Facility as of January 31, 2023 was 15.15%.</w:t>
      </w:r>
    </w:p>
    <w:p>
      <w:pPr>
        <w:spacing w:after="0" w:line="164" w:lineRule="exact"/>
        <w:rPr>
          <w:sz w:val="20"/>
          <w:szCs w:val="20"/>
          <w:color w:val="auto"/>
        </w:rPr>
      </w:pPr>
    </w:p>
    <w:p>
      <w:pPr>
        <w:ind w:left="380" w:right="360"/>
        <w:spacing w:after="0" w:line="290" w:lineRule="auto"/>
        <w:rPr>
          <w:sz w:val="20"/>
          <w:szCs w:val="20"/>
          <w:color w:val="auto"/>
        </w:rPr>
      </w:pPr>
      <w:r>
        <w:rPr>
          <w:rFonts w:ascii="Arial" w:cs="Arial" w:eastAsia="Arial" w:hAnsi="Arial"/>
          <w:sz w:val="14"/>
          <w:szCs w:val="14"/>
          <w:color w:val="auto"/>
        </w:rPr>
        <w:t>In January 2023, in connection with the 2022 Amended Temasek Facility, the Company recorded a debt discount of $6.9 million related to the allocation of proceeds to warrants issued. These amounts are being accreted to the principal amount of the 2022 Amended Temasek Facility through the recognition of noncash interest expense.</w:t>
      </w:r>
    </w:p>
    <w:p>
      <w:pPr>
        <w:spacing w:after="0" w:line="131" w:lineRule="exact"/>
        <w:rPr>
          <w:sz w:val="20"/>
          <w:szCs w:val="20"/>
          <w:color w:val="auto"/>
        </w:rPr>
      </w:pPr>
    </w:p>
    <w:p>
      <w:pPr>
        <w:ind w:left="380"/>
        <w:spacing w:after="0" w:line="247" w:lineRule="auto"/>
        <w:rPr>
          <w:sz w:val="20"/>
          <w:szCs w:val="20"/>
          <w:color w:val="auto"/>
        </w:rPr>
      </w:pPr>
      <w:r>
        <w:rPr>
          <w:rFonts w:ascii="Arial" w:cs="Arial" w:eastAsia="Arial" w:hAnsi="Arial"/>
          <w:sz w:val="14"/>
          <w:szCs w:val="14"/>
          <w:color w:val="auto"/>
        </w:rPr>
        <w:t>In December 2023, the Company entered into an amendment to the 2022 Amended Temasek Facility (the “2023 Amended Temasek Facility”). This transaction was accounted for as a troubled debt restructuring. The terms of the amendment provide for (i) elimination of all interest (both payment-in-kind and cash interest) for a period of six full fiscal</w:t>
      </w:r>
    </w:p>
    <w:p>
      <w:pPr>
        <w:spacing w:after="0" w:line="1" w:lineRule="exact"/>
        <w:rPr>
          <w:sz w:val="20"/>
          <w:szCs w:val="20"/>
          <w:color w:val="auto"/>
        </w:rPr>
      </w:pPr>
    </w:p>
    <w:p>
      <w:pPr>
        <w:ind w:left="380" w:right="240"/>
        <w:spacing w:after="0" w:line="229" w:lineRule="auto"/>
        <w:rPr>
          <w:sz w:val="20"/>
          <w:szCs w:val="20"/>
          <w:color w:val="auto"/>
        </w:rPr>
      </w:pPr>
      <w:r>
        <w:rPr>
          <w:rFonts w:ascii="Arial" w:cs="Arial" w:eastAsia="Arial" w:hAnsi="Arial"/>
          <w:sz w:val="14"/>
          <w:szCs w:val="14"/>
          <w:color w:val="auto"/>
        </w:rPr>
        <w:t>quarters beginning with the fourth quarter of fiscal year 2023; (ii) reduction of the minimum liquidity maintenance covenant under the 2023 Amended Temasek Facility from $50 million to $30 million; and (iii) additional covenants requiring the Company to comply with mutually agreed upon quarterly and annual spend levels for rental product</w:t>
      </w:r>
    </w:p>
    <w:p>
      <w:pPr>
        <w:ind w:left="380" w:right="40"/>
        <w:spacing w:after="0"/>
        <w:rPr>
          <w:sz w:val="20"/>
          <w:szCs w:val="20"/>
          <w:color w:val="auto"/>
        </w:rPr>
      </w:pPr>
      <w:r>
        <w:rPr>
          <w:rFonts w:ascii="Arial" w:cs="Arial" w:eastAsia="Arial" w:hAnsi="Arial"/>
          <w:sz w:val="14"/>
          <w:szCs w:val="14"/>
          <w:color w:val="auto"/>
        </w:rPr>
        <w:t>capital expenditures, fixed operating expenditures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The Company did not record a gain in connection with the restructuring as the total undiscounted future cash payments specified in the 2023 Temasek Facility Amendment exceeded the carrying value of debt. The effective interest rate for the 2023 Amended Temasek Facility as of January 31, 2024 was 8.44%. The Company amortizes the debt discount or premium using the effective interest method over the remaining term of the facility including the six full fiscal quarters during which payment-in-kind and cash interest were eliminated.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84" w:lineRule="exact"/>
        <w:rPr>
          <w:sz w:val="20"/>
          <w:szCs w:val="20"/>
          <w:color w:val="auto"/>
        </w:rPr>
      </w:pPr>
    </w:p>
    <w:p>
      <w:pPr>
        <w:ind w:left="380" w:right="80"/>
        <w:spacing w:after="0" w:line="262" w:lineRule="auto"/>
        <w:rPr>
          <w:sz w:val="20"/>
          <w:szCs w:val="20"/>
          <w:color w:val="auto"/>
        </w:rPr>
      </w:pPr>
      <w:r>
        <w:rPr>
          <w:rFonts w:ascii="Arial" w:cs="Arial" w:eastAsia="Arial" w:hAnsi="Arial"/>
          <w:sz w:val="14"/>
          <w:szCs w:val="14"/>
          <w:color w:val="auto"/>
        </w:rPr>
        <w:t>Other than described above, the 2023 Amended Temasek Facility did not change the covenants under the 2022 Amended Temasek Facility, which require the Company to comply with specified nonfinancial covenants including, but not limited to, restrictions on the incurrence of debt, payment of dividends, investments, sale of assets, mergers and acquisitions, modifications of certain agreements and its fiscal year, and granting of liens. The 2023 Amended Temasek Facility also contains various events of default, including failure to comply with the minimum liquidity maintenance covenant and maximum expenditure thresholds, the occurrence of which could result in the acceleration of outstanding borrowings under the 2023 Amended Temasek Facility for the Company.</w:t>
      </w:r>
    </w:p>
    <w:p>
      <w:pPr>
        <w:spacing w:after="0" w:line="150" w:lineRule="exact"/>
        <w:rPr>
          <w:sz w:val="20"/>
          <w:szCs w:val="20"/>
          <w:color w:val="auto"/>
        </w:rPr>
      </w:pPr>
    </w:p>
    <w:p>
      <w:pPr>
        <w:ind w:left="380" w:right="140"/>
        <w:spacing w:after="0" w:line="249" w:lineRule="auto"/>
        <w:rPr>
          <w:sz w:val="20"/>
          <w:szCs w:val="20"/>
          <w:color w:val="auto"/>
        </w:rPr>
      </w:pPr>
      <w:r>
        <w:rPr>
          <w:rFonts w:ascii="Arial" w:cs="Arial" w:eastAsia="Arial" w:hAnsi="Arial"/>
          <w:sz w:val="14"/>
          <w:szCs w:val="14"/>
          <w:color w:val="auto"/>
        </w:rPr>
        <w:t>In March 2025 and May 2025, the Company entered into an Eleventh Amendment and Twelfth Amendment to the 2023 Amended Temasek Facility to extend the deadline to mutually agree upon the Company’s fiscal year 2025 expenditure levels - covering rental product capital expenditures, fixed operating expenditures and marketing expenditures - from March 31, 2025 to May 30, 2025 and then from May 30, 2025 to July 31, 2025, respectively (the 2023 Amended Temasek Facility, as amended by the Eleventh Amendment and Twelfth Amendment (the “2025 Amended Facility”).</w:t>
      </w:r>
    </w:p>
    <w:p>
      <w:pPr>
        <w:spacing w:after="0" w:line="149" w:lineRule="exact"/>
        <w:rPr>
          <w:sz w:val="20"/>
          <w:szCs w:val="20"/>
          <w:color w:val="auto"/>
        </w:rPr>
      </w:pPr>
    </w:p>
    <w:p>
      <w:pPr>
        <w:ind w:left="380" w:right="280"/>
        <w:spacing w:after="0" w:line="271" w:lineRule="auto"/>
        <w:rPr>
          <w:sz w:val="20"/>
          <w:szCs w:val="20"/>
          <w:color w:val="auto"/>
        </w:rPr>
      </w:pPr>
      <w:r>
        <w:rPr>
          <w:rFonts w:ascii="Arial" w:cs="Arial" w:eastAsia="Arial" w:hAnsi="Arial"/>
          <w:sz w:val="14"/>
          <w:szCs w:val="14"/>
          <w:color w:val="auto"/>
        </w:rPr>
        <w:t>The Company determined that all of the embedded features of the Temasek Facility, 2021 Amended Temasek Facility, 2022 Amended Temasek Facility, 2023 Amended Temasek Facility, and 2025 Amended Facility were clearly and closely related to the debt host and did not require bifurcation as a derivative liability, or the fair value of the feature was immaterial to the Company’s condensed consolidated financial statements.</w:t>
      </w:r>
    </w:p>
    <w:p>
      <w:pPr>
        <w:spacing w:after="0" w:line="155" w:lineRule="exact"/>
        <w:rPr>
          <w:sz w:val="20"/>
          <w:szCs w:val="20"/>
          <w:color w:val="auto"/>
        </w:rPr>
      </w:pPr>
    </w:p>
    <w:p>
      <w:pPr>
        <w:ind w:left="380" w:right="200"/>
        <w:spacing w:after="0" w:line="271" w:lineRule="auto"/>
        <w:rPr>
          <w:sz w:val="20"/>
          <w:szCs w:val="20"/>
          <w:color w:val="auto"/>
        </w:rPr>
      </w:pPr>
      <w:r>
        <w:rPr>
          <w:rFonts w:ascii="Arial" w:cs="Arial" w:eastAsia="Arial" w:hAnsi="Arial"/>
          <w:sz w:val="14"/>
          <w:szCs w:val="14"/>
          <w:color w:val="auto"/>
        </w:rPr>
        <w:t>In January 2025, CHS (US) Management LLC replaced Double Helix Pte Ltd. as administrative agent for Temasek Holdings. In March 2025, all of the rights and obligations under the 2025 Amended Facility previously held by Double Helix Pte Ltd were assigned to CHS US Investments LLC, an entity under common Control (as defined in the 2025 Amended Facility) with Temasek Holdings (Private) Limited, pursuant to an assignment agreement executed in accordance with the credit facility.</w:t>
      </w:r>
    </w:p>
    <w:p>
      <w:pPr>
        <w:spacing w:after="0" w:line="136"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Covenants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was in compliance with all applicable financial covenants as of April 30, 2025 and through the date of this filing.</w:t>
      </w:r>
    </w:p>
    <w:p>
      <w:pPr>
        <w:spacing w:after="0" w:line="263" w:lineRule="exact"/>
        <w:rPr>
          <w:sz w:val="20"/>
          <w:szCs w:val="20"/>
          <w:color w:val="auto"/>
        </w:rPr>
      </w:pPr>
    </w:p>
    <w:p>
      <w:pPr>
        <w:ind w:left="380" w:hanging="375"/>
        <w:spacing w:after="0"/>
        <w:tabs>
          <w:tab w:leader="none" w:pos="38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84" w:lineRule="exact"/>
        <w:rPr>
          <w:rFonts w:ascii="Arial" w:cs="Arial" w:eastAsia="Arial" w:hAnsi="Arial"/>
          <w:sz w:val="14"/>
          <w:szCs w:val="14"/>
          <w:b w:val="1"/>
          <w:bCs w:val="1"/>
          <w:color w:val="auto"/>
        </w:rPr>
      </w:pPr>
    </w:p>
    <w:p>
      <w:pPr>
        <w:ind w:left="380" w:right="10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provision or benefit from income taxes in interim periods is determined using an estimate of the annual effective tax rate, adjusted for discrete items, if any, that are taken into account in the relevant period. Each quarter the Company updates its estimate of the annual effective tax rate, and if its estimated tax rate changes, the Company makes a cumulative adjustment. The estimate of the annual effective income tax rate for the full year is applied to the respective interim period, taking into account year-to-date amounts and projected results for the full year.</w:t>
      </w:r>
    </w:p>
    <w:p>
      <w:pPr>
        <w:spacing w:after="0" w:line="52"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color w:val="auto"/>
        </w:rPr>
        <w:t>The Company continues to maintain a full valuation allowance on all United States net deferred tax assets for all periods presented.</w:t>
      </w:r>
    </w:p>
    <w:p>
      <w:pPr>
        <w:spacing w:after="0" w:line="93" w:lineRule="exact"/>
        <w:rPr>
          <w:rFonts w:ascii="Arial" w:cs="Arial" w:eastAsia="Arial" w:hAnsi="Arial"/>
          <w:sz w:val="14"/>
          <w:szCs w:val="14"/>
          <w:b w:val="1"/>
          <w:bCs w:val="1"/>
          <w:color w:val="auto"/>
        </w:rPr>
      </w:pPr>
    </w:p>
    <w:p>
      <w:pPr>
        <w:ind w:left="380"/>
        <w:spacing w:after="0" w:line="268" w:lineRule="auto"/>
        <w:rPr>
          <w:rFonts w:ascii="Arial" w:cs="Arial" w:eastAsia="Arial" w:hAnsi="Arial"/>
          <w:sz w:val="14"/>
          <w:szCs w:val="14"/>
          <w:b w:val="1"/>
          <w:bCs w:val="1"/>
          <w:color w:val="auto"/>
        </w:rPr>
      </w:pPr>
      <w:r>
        <w:rPr>
          <w:rFonts w:ascii="Arial" w:cs="Arial" w:eastAsia="Arial" w:hAnsi="Arial"/>
          <w:sz w:val="14"/>
          <w:szCs w:val="14"/>
          <w:color w:val="auto"/>
        </w:rPr>
        <w:t>The amount of unrecognized tax benefits as of April 30, 2025 and January 31, 2025 was $1.2 million and $1.2 million, respectively. The Company recognizes interest and penalties related to unrecognized tax benefits in income tax expense. The total amount of unrecognized benefits relating to the Company’s tax position is subject to change based on future events including, but not limited to, the settlements of ongoing audits and/or the expiration of applicable statutes of limitations. The outcomes and timing of such events are highly uncertain and a reasonable estimate of the range of gross unrecognized tax benefits, excluding interest and penalties, that could potentially be reduced during the next 12 months cannot be made at this time</w:t>
      </w:r>
      <w:r>
        <w:rPr>
          <w:rFonts w:ascii="Arial" w:cs="Arial" w:eastAsia="Arial" w:hAnsi="Arial"/>
          <w:sz w:val="16"/>
          <w:szCs w:val="16"/>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jc w:val="right"/>
              <w:ind w:right="69"/>
              <w:spacing w:after="0"/>
              <w:rPr>
                <w:sz w:val="20"/>
                <w:szCs w:val="20"/>
                <w:color w:val="auto"/>
              </w:rPr>
            </w:pPr>
            <w:r>
              <w:rPr>
                <w:rFonts w:ascii="Arial" w:cs="Arial" w:eastAsia="Arial" w:hAnsi="Arial"/>
                <w:sz w:val="14"/>
                <w:szCs w:val="14"/>
                <w:b w:val="1"/>
                <w:bCs w:val="1"/>
                <w:color w:val="auto"/>
                <w:w w:val="85"/>
              </w:rPr>
              <w:t>9.</w:t>
            </w:r>
          </w:p>
        </w:tc>
        <w:tc>
          <w:tcPr>
            <w:tcW w:w="7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Accrued Expenses and Other Current Liabilities</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7"/>
        </w:trPr>
        <w:tc>
          <w:tcPr>
            <w:tcW w:w="260" w:type="dxa"/>
            <w:vAlign w:val="bottom"/>
          </w:tcPr>
          <w:p>
            <w:pPr>
              <w:spacing w:after="0"/>
              <w:rPr>
                <w:sz w:val="21"/>
                <w:szCs w:val="21"/>
                <w:color w:val="auto"/>
              </w:rPr>
            </w:pPr>
          </w:p>
        </w:tc>
        <w:tc>
          <w:tcPr>
            <w:tcW w:w="7460" w:type="dxa"/>
            <w:vAlign w:val="bottom"/>
            <w:gridSpan w:val="2"/>
          </w:tcPr>
          <w:p>
            <w:pPr>
              <w:ind w:left="120"/>
              <w:spacing w:after="0"/>
              <w:rPr>
                <w:sz w:val="20"/>
                <w:szCs w:val="20"/>
                <w:color w:val="auto"/>
              </w:rPr>
            </w:pPr>
            <w:r>
              <w:rPr>
                <w:rFonts w:ascii="Arial" w:cs="Arial" w:eastAsia="Arial" w:hAnsi="Arial"/>
                <w:sz w:val="14"/>
                <w:szCs w:val="14"/>
                <w:color w:val="auto"/>
              </w:rPr>
              <w:t>Accrued expenses and other current liabilities consisted of the following:</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348"/>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02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April 30,</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January 31,</w:t>
            </w:r>
          </w:p>
        </w:tc>
      </w:tr>
      <w:tr>
        <w:trPr>
          <w:trHeight w:val="150"/>
        </w:trPr>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40" w:type="dxa"/>
            <w:vAlign w:val="bottom"/>
          </w:tcPr>
          <w:p>
            <w:pPr>
              <w:spacing w:after="0"/>
              <w:rPr>
                <w:sz w:val="13"/>
                <w:szCs w:val="13"/>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2025</w:t>
            </w:r>
          </w:p>
        </w:tc>
      </w:tr>
      <w:tr>
        <w:trPr>
          <w:trHeight w:val="193"/>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40" w:type="dxa"/>
            <w:vAlign w:val="bottom"/>
          </w:tcPr>
          <w:p>
            <w:pPr>
              <w:ind w:left="20"/>
              <w:spacing w:after="0"/>
              <w:rPr>
                <w:sz w:val="20"/>
                <w:szCs w:val="20"/>
                <w:color w:val="auto"/>
              </w:rPr>
            </w:pPr>
            <w:r>
              <w:rPr>
                <w:rFonts w:ascii="Arial" w:cs="Arial" w:eastAsia="Arial" w:hAnsi="Arial"/>
                <w:sz w:val="14"/>
                <w:szCs w:val="14"/>
                <w:color w:val="auto"/>
              </w:rPr>
              <w:t>Accrued operating and general expenses</w:t>
            </w:r>
          </w:p>
        </w:tc>
        <w:tc>
          <w:tcPr>
            <w:tcW w:w="1020" w:type="dxa"/>
            <w:vAlign w:val="bottom"/>
          </w:tcPr>
          <w:p>
            <w:pPr>
              <w:jc w:val="right"/>
              <w:ind w:right="856"/>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12"/>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 share payable</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12"/>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40" w:type="dxa"/>
            <w:vAlign w:val="bottom"/>
          </w:tcPr>
          <w:p>
            <w:pPr>
              <w:ind w:left="20"/>
              <w:spacing w:after="0"/>
              <w:rPr>
                <w:sz w:val="20"/>
                <w:szCs w:val="20"/>
                <w:color w:val="auto"/>
              </w:rPr>
            </w:pPr>
            <w:r>
              <w:rPr>
                <w:rFonts w:ascii="Arial" w:cs="Arial" w:eastAsia="Arial" w:hAnsi="Arial"/>
                <w:sz w:val="14"/>
                <w:szCs w:val="14"/>
                <w:color w:val="auto"/>
              </w:rPr>
              <w:t>Accrued payroll related expenses</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12"/>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financing</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212"/>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40" w:type="dxa"/>
            <w:vAlign w:val="bottom"/>
          </w:tcPr>
          <w:p>
            <w:pPr>
              <w:ind w:left="20"/>
              <w:spacing w:after="0"/>
              <w:rPr>
                <w:sz w:val="20"/>
                <w:szCs w:val="20"/>
                <w:color w:val="auto"/>
              </w:rPr>
            </w:pPr>
            <w:r>
              <w:rPr>
                <w:rFonts w:ascii="Arial" w:cs="Arial" w:eastAsia="Arial" w:hAnsi="Arial"/>
                <w:sz w:val="14"/>
                <w:szCs w:val="14"/>
                <w:color w:val="auto"/>
              </w:rPr>
              <w:t>Sales and other taxes</w:t>
            </w: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12"/>
        </w:trPr>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Gift card liability</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71"/>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340" w:type="dxa"/>
            <w:vAlign w:val="bottom"/>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1020" w:type="dxa"/>
            <w:vAlign w:val="bottom"/>
            <w:tcBorders>
              <w:bottom w:val="single" w:sz="8" w:color="auto"/>
            </w:tcBorders>
          </w:tcPr>
          <w:p>
            <w:pPr>
              <w:jc w:val="right"/>
              <w:ind w:right="856"/>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borrowing rate for the short-term financing obligation was 5.50% as of January 31, 2025.</w:t>
      </w:r>
    </w:p>
    <w:p>
      <w:pPr>
        <w:spacing w:after="0" w:line="179" w:lineRule="exact"/>
        <w:rPr>
          <w:sz w:val="20"/>
          <w:szCs w:val="20"/>
          <w:color w:val="auto"/>
        </w:rPr>
      </w:pPr>
    </w:p>
    <w:p>
      <w:pPr>
        <w:ind w:left="380" w:hanging="375"/>
        <w:spacing w:after="0"/>
        <w:tabs>
          <w:tab w:leader="none" w:pos="38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78" w:lineRule="exact"/>
        <w:rPr>
          <w:rFonts w:ascii="Arial" w:cs="Arial" w:eastAsia="Arial" w:hAnsi="Arial"/>
          <w:sz w:val="14"/>
          <w:szCs w:val="14"/>
          <w:b w:val="1"/>
          <w:bCs w:val="1"/>
          <w:color w:val="auto"/>
        </w:rPr>
      </w:pPr>
    </w:p>
    <w:p>
      <w:pPr>
        <w:ind w:left="38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As of April 30, 2025 and January 31, 2025, the carrying amounts of the Company’s cash and cash equivalents, current and noncurrent restricted cash, prepaid expenses and other current assets, accounts payable and accrued expenses and other current liabilities approximated their estimated fair value due to their relatively short maturities.</w:t>
      </w:r>
    </w:p>
    <w:p>
      <w:pPr>
        <w:spacing w:after="0" w:line="35" w:lineRule="exact"/>
        <w:rPr>
          <w:rFonts w:ascii="Arial" w:cs="Arial" w:eastAsia="Arial" w:hAnsi="Arial"/>
          <w:sz w:val="14"/>
          <w:szCs w:val="14"/>
          <w:b w:val="1"/>
          <w:bCs w:val="1"/>
          <w:color w:val="auto"/>
        </w:rPr>
      </w:pPr>
    </w:p>
    <w:p>
      <w:pPr>
        <w:ind w:left="38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long-term debt is reported at carrying value on the Company’s Condensed Consolidated Balance Sheets. Refer to Note 7 — Long-Term Debt. The Company estimates the fair value of its long-term debt using a discounted cash flow approach based on the Company’s implied credit spread using the higher end of the distribution for option adjusted spreads for similar financial instruments with similar credit ratings, and, as such, long-term debt is classified as Level 3 within the fair value hierarchy. As of April 30, 2025, the estimated fair value of the Company’s long-term debt was $306.0 million.</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48" w:lineRule="exact"/>
        <w:rPr>
          <w:sz w:val="20"/>
          <w:szCs w:val="20"/>
          <w:color w:val="auto"/>
        </w:rPr>
      </w:pPr>
    </w:p>
    <w:p>
      <w:pPr>
        <w:ind w:left="380" w:right="9480" w:hanging="375"/>
        <w:spacing w:after="0" w:line="379" w:lineRule="auto"/>
        <w:tabs>
          <w:tab w:leader="none" w:pos="367"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Stockholders’ Equity </w:t>
      </w:r>
      <w:r>
        <w:rPr>
          <w:rFonts w:ascii="Arial" w:cs="Arial" w:eastAsia="Arial" w:hAnsi="Arial"/>
          <w:sz w:val="14"/>
          <w:szCs w:val="14"/>
          <w:b w:val="1"/>
          <w:bCs w:val="1"/>
          <w:i w:val="1"/>
          <w:iCs w:val="1"/>
          <w:color w:val="auto"/>
        </w:rPr>
        <w:t>Reverse Stock Split</w:t>
      </w:r>
    </w:p>
    <w:p>
      <w:pPr>
        <w:ind w:left="380" w:right="4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In March 2024, the Company’s stockholders approved, and the Company’s Board of Directors selected, a 1-for-20 reverse stock split (the “Reverse Stock Split”) of outstanding shares of Class A common stock and Class B common stock. The Reverse Stock Split became effective on April 2, 2024 and began trading on the Nasdaq Capital Market on a post-split basis on April 3, 2024. Following the Reverse Stock Split, the number of authorized shares of Class A common stock remained at 300,000,000, the number of authorized shares of Class B common stock remained at 50,000,000, and the number of authorized shares of preferred stock remained at 10,000,000. The par value per share of Class A common stock and Class B common stock remained at $0.001. The Company filed an Amendment to the Twelfth Amended and Restated Certificate of Incorporation with the Secretary of State of the State of Delaware on April 2, 2024 to implement the 1-for-20 Reverse Stock Split. All per share amounts and common shares amounts have been adjusted on a retroactive basis to reflect the Reverse Stock Split for all periods.</w:t>
      </w:r>
    </w:p>
    <w:p>
      <w:pPr>
        <w:spacing w:after="0" w:line="57" w:lineRule="exact"/>
        <w:rPr>
          <w:rFonts w:ascii="Arial" w:cs="Arial" w:eastAsia="Arial" w:hAnsi="Arial"/>
          <w:sz w:val="14"/>
          <w:szCs w:val="14"/>
          <w:b w:val="1"/>
          <w:bCs w:val="1"/>
          <w:color w:val="auto"/>
        </w:rPr>
      </w:pPr>
    </w:p>
    <w:p>
      <w:pPr>
        <w:ind w:left="38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The Company’s stockholders’ equity, in the aggregate, remained unchanged following the Reverse Stock Split. Per share net loss increased because there were fewer shares of Class A common stock and Class B common stock outstanding. There were no other accounting consequences, including changes to the amount of stock-based compensation expense to be recognized in any period, that arose as a result of the Reverse Stock Split. No fractional shares were issued in connection with the Reverse Stock Split. Instead, holders of Class A common stock and Class B common stock holding fractional shares were entitled to receive, in lieu of such fractional shares, a cash payment in an amount determined based on the closing price of the Company’s Class A common stock on the effective date of the Reverse Stock Split. The cash payments were immaterial to the Company’s consolidated financial statements. The Reverse Stock Split impacted all stockholders uniformly and did not affect any stockholder’s percentage of ownership or proportionate voting power other than very minor impacts from the treatment of fractional shares.</w:t>
      </w:r>
    </w:p>
    <w:p>
      <w:pPr>
        <w:spacing w:after="0" w:line="59"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Common Stock</w:t>
      </w:r>
    </w:p>
    <w:p>
      <w:pPr>
        <w:spacing w:after="0" w:line="91" w:lineRule="exact"/>
        <w:rPr>
          <w:rFonts w:ascii="Arial" w:cs="Arial" w:eastAsia="Arial" w:hAnsi="Arial"/>
          <w:sz w:val="14"/>
          <w:szCs w:val="14"/>
          <w:b w:val="1"/>
          <w:bCs w:val="1"/>
          <w:color w:val="auto"/>
        </w:rPr>
      </w:pPr>
    </w:p>
    <w:p>
      <w:pPr>
        <w:ind w:left="380" w:right="14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Holders of Class A common stock are entitled to one vote per share and holders of Class B common stock are entitled to twenty votes per share, as well as dividends if and when declared by the Board of Directors and, upon liquidation, dissolution, winding up or other liquidation event of the Company, all assets available for distribution to common stockholders. There are no redemption provisions with respect to common stock.</w:t>
      </w:r>
    </w:p>
    <w:p>
      <w:pPr>
        <w:spacing w:after="0" w:line="50"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Preferred Stock</w:t>
      </w:r>
    </w:p>
    <w:p>
      <w:pPr>
        <w:spacing w:after="0" w:line="91" w:lineRule="exact"/>
        <w:rPr>
          <w:rFonts w:ascii="Arial" w:cs="Arial" w:eastAsia="Arial" w:hAnsi="Arial"/>
          <w:sz w:val="14"/>
          <w:szCs w:val="14"/>
          <w:b w:val="1"/>
          <w:bCs w:val="1"/>
          <w:color w:val="auto"/>
        </w:rPr>
      </w:pPr>
    </w:p>
    <w:p>
      <w:pPr>
        <w:ind w:left="380" w:right="36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Upon the IPO, the Company authorized 10,000,000 shares of preferred stock, with a par value of $0.001 per share. No shares were issued or outstanding as of April 30,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38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Warrants</w:t>
      </w:r>
    </w:p>
    <w:p>
      <w:pPr>
        <w:spacing w:after="0" w:line="92" w:lineRule="exact"/>
        <w:rPr>
          <w:sz w:val="20"/>
          <w:szCs w:val="20"/>
          <w:color w:val="auto"/>
        </w:rPr>
      </w:pPr>
    </w:p>
    <w:p>
      <w:pPr>
        <w:ind w:left="380" w:right="580"/>
        <w:spacing w:after="0" w:line="290" w:lineRule="auto"/>
        <w:rPr>
          <w:sz w:val="20"/>
          <w:szCs w:val="20"/>
          <w:color w:val="auto"/>
        </w:rPr>
      </w:pPr>
      <w:r>
        <w:rPr>
          <w:rFonts w:ascii="Arial" w:cs="Arial" w:eastAsia="Arial" w:hAnsi="Arial"/>
          <w:sz w:val="14"/>
          <w:szCs w:val="14"/>
          <w:color w:val="auto"/>
        </w:rPr>
        <w:t>As of April 30, 2025 and January 31, 2025, the Company had the following outstanding warrants, adjusted on a retroactive basis to reflect the Reverse Stock Split as discussed above:</w:t>
      </w:r>
    </w:p>
    <w:p>
      <w:pPr>
        <w:spacing w:after="0" w:line="171"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2820" w:type="dxa"/>
            <w:vAlign w:val="bottom"/>
          </w:tcPr>
          <w:p>
            <w:pPr>
              <w:spacing w:after="0"/>
              <w:rPr>
                <w:sz w:val="11"/>
                <w:szCs w:val="11"/>
                <w:color w:val="auto"/>
              </w:rPr>
            </w:pPr>
          </w:p>
        </w:tc>
        <w:tc>
          <w:tcPr>
            <w:tcW w:w="1680" w:type="dxa"/>
            <w:vAlign w:val="bottom"/>
            <w:gridSpan w:val="2"/>
          </w:tcPr>
          <w:p>
            <w:pPr>
              <w:jc w:val="center"/>
              <w:ind w:left="72"/>
              <w:spacing w:after="0"/>
              <w:rPr>
                <w:sz w:val="20"/>
                <w:szCs w:val="20"/>
                <w:color w:val="auto"/>
              </w:rPr>
            </w:pPr>
            <w:r>
              <w:rPr>
                <w:rFonts w:ascii="Arial" w:cs="Arial" w:eastAsia="Arial" w:hAnsi="Arial"/>
                <w:sz w:val="11"/>
                <w:szCs w:val="11"/>
                <w:b w:val="1"/>
                <w:bCs w:val="1"/>
                <w:color w:val="auto"/>
              </w:rPr>
              <w:t>Date</w:t>
            </w:r>
          </w:p>
        </w:tc>
        <w:tc>
          <w:tcPr>
            <w:tcW w:w="1360" w:type="dxa"/>
            <w:vAlign w:val="bottom"/>
          </w:tcPr>
          <w:p>
            <w:pPr>
              <w:jc w:val="right"/>
              <w:ind w:right="331"/>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Class of</w:t>
            </w:r>
          </w:p>
        </w:tc>
        <w:tc>
          <w:tcPr>
            <w:tcW w:w="120" w:type="dxa"/>
            <w:vAlign w:val="bottom"/>
          </w:tcPr>
          <w:p>
            <w:pPr>
              <w:spacing w:after="0"/>
              <w:rPr>
                <w:sz w:val="11"/>
                <w:szCs w:val="11"/>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Exercise</w:t>
            </w:r>
          </w:p>
        </w:tc>
        <w:tc>
          <w:tcPr>
            <w:tcW w:w="220" w:type="dxa"/>
            <w:vAlign w:val="bottom"/>
          </w:tcPr>
          <w:p>
            <w:pPr>
              <w:spacing w:after="0"/>
              <w:rPr>
                <w:sz w:val="11"/>
                <w:szCs w:val="11"/>
                <w:color w:val="auto"/>
              </w:rPr>
            </w:pPr>
          </w:p>
        </w:tc>
        <w:tc>
          <w:tcPr>
            <w:tcW w:w="1140" w:type="dxa"/>
            <w:vAlign w:val="bottom"/>
          </w:tcPr>
          <w:p>
            <w:pPr>
              <w:jc w:val="right"/>
              <w:ind w:right="351"/>
              <w:spacing w:after="0"/>
              <w:rPr>
                <w:sz w:val="20"/>
                <w:szCs w:val="20"/>
                <w:color w:val="auto"/>
              </w:rPr>
            </w:pPr>
            <w:r>
              <w:rPr>
                <w:rFonts w:ascii="Arial" w:cs="Arial" w:eastAsia="Arial" w:hAnsi="Arial"/>
                <w:sz w:val="11"/>
                <w:szCs w:val="11"/>
                <w:b w:val="1"/>
                <w:bCs w:val="1"/>
                <w:color w:val="auto"/>
              </w:rPr>
              <w:t>Fair Value</w:t>
            </w:r>
          </w:p>
        </w:tc>
      </w:tr>
      <w:tr>
        <w:trPr>
          <w:trHeight w:val="165"/>
        </w:trPr>
        <w:tc>
          <w:tcPr>
            <w:tcW w:w="2820" w:type="dxa"/>
            <w:vAlign w:val="bottom"/>
          </w:tcPr>
          <w:p>
            <w:pPr>
              <w:ind w:left="940"/>
              <w:spacing w:after="0"/>
              <w:rPr>
                <w:sz w:val="20"/>
                <w:szCs w:val="20"/>
                <w:color w:val="auto"/>
              </w:rPr>
            </w:pPr>
            <w:r>
              <w:rPr>
                <w:rFonts w:ascii="Arial" w:cs="Arial" w:eastAsia="Arial" w:hAnsi="Arial"/>
                <w:sz w:val="11"/>
                <w:szCs w:val="11"/>
                <w:b w:val="1"/>
                <w:bCs w:val="1"/>
                <w:color w:val="auto"/>
              </w:rPr>
              <w:t>Outstanding Warrants</w:t>
            </w:r>
          </w:p>
        </w:tc>
        <w:tc>
          <w:tcPr>
            <w:tcW w:w="1680" w:type="dxa"/>
            <w:vAlign w:val="bottom"/>
            <w:gridSpan w:val="2"/>
          </w:tcPr>
          <w:p>
            <w:pPr>
              <w:jc w:val="center"/>
              <w:ind w:left="92"/>
              <w:spacing w:after="0"/>
              <w:rPr>
                <w:sz w:val="20"/>
                <w:szCs w:val="20"/>
                <w:color w:val="auto"/>
              </w:rPr>
            </w:pPr>
            <w:r>
              <w:rPr>
                <w:rFonts w:ascii="Arial" w:cs="Arial" w:eastAsia="Arial" w:hAnsi="Arial"/>
                <w:sz w:val="11"/>
                <w:szCs w:val="11"/>
                <w:b w:val="1"/>
                <w:bCs w:val="1"/>
                <w:color w:val="auto"/>
              </w:rPr>
              <w:t>Issued</w:t>
            </w:r>
          </w:p>
        </w:tc>
        <w:tc>
          <w:tcPr>
            <w:tcW w:w="1360" w:type="dxa"/>
            <w:vAlign w:val="bottom"/>
          </w:tcPr>
          <w:p>
            <w:pPr>
              <w:jc w:val="right"/>
              <w:ind w:right="43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4"/>
                <w:szCs w:val="14"/>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Price (Per Warrant)</w:t>
            </w:r>
          </w:p>
        </w:tc>
        <w:tc>
          <w:tcPr>
            <w:tcW w:w="220" w:type="dxa"/>
            <w:vAlign w:val="bottom"/>
          </w:tcPr>
          <w:p>
            <w:pPr>
              <w:spacing w:after="0"/>
              <w:rPr>
                <w:sz w:val="14"/>
                <w:szCs w:val="14"/>
                <w:color w:val="auto"/>
              </w:rPr>
            </w:pPr>
          </w:p>
        </w:tc>
        <w:tc>
          <w:tcPr>
            <w:tcW w:w="1140" w:type="dxa"/>
            <w:vAlign w:val="bottom"/>
          </w:tcPr>
          <w:p>
            <w:pPr>
              <w:jc w:val="right"/>
              <w:ind w:right="311"/>
              <w:spacing w:after="0"/>
              <w:rPr>
                <w:sz w:val="20"/>
                <w:szCs w:val="20"/>
                <w:color w:val="auto"/>
              </w:rPr>
            </w:pPr>
            <w:r>
              <w:rPr>
                <w:rFonts w:ascii="Arial" w:cs="Arial" w:eastAsia="Arial" w:hAnsi="Arial"/>
                <w:sz w:val="11"/>
                <w:szCs w:val="11"/>
                <w:b w:val="1"/>
                <w:bCs w:val="1"/>
                <w:color w:val="auto"/>
              </w:rPr>
              <w:t>at Issuance</w:t>
            </w:r>
          </w:p>
        </w:tc>
      </w:tr>
      <w:tr>
        <w:trPr>
          <w:trHeight w:val="203"/>
        </w:trPr>
        <w:tc>
          <w:tcPr>
            <w:tcW w:w="2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classified:</w:t>
            </w:r>
          </w:p>
        </w:tc>
        <w:tc>
          <w:tcPr>
            <w:tcW w:w="1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680" w:type="dxa"/>
            <w:vAlign w:val="bottom"/>
            <w:gridSpan w:val="2"/>
          </w:tcPr>
          <w:p>
            <w:pPr>
              <w:jc w:val="center"/>
              <w:ind w:left="72"/>
              <w:spacing w:after="0"/>
              <w:rPr>
                <w:sz w:val="20"/>
                <w:szCs w:val="20"/>
                <w:color w:val="auto"/>
              </w:rPr>
            </w:pPr>
            <w:r>
              <w:rPr>
                <w:rFonts w:ascii="Arial" w:cs="Arial" w:eastAsia="Arial" w:hAnsi="Arial"/>
                <w:sz w:val="14"/>
                <w:szCs w:val="14"/>
                <w:color w:val="auto"/>
              </w:rPr>
              <w:t>Nov-16</w:t>
            </w:r>
          </w:p>
        </w:tc>
        <w:tc>
          <w:tcPr>
            <w:tcW w:w="1360" w:type="dxa"/>
            <w:vAlign w:val="bottom"/>
          </w:tcPr>
          <w:p>
            <w:pPr>
              <w:jc w:val="right"/>
              <w:spacing w:after="0"/>
              <w:rPr>
                <w:sz w:val="20"/>
                <w:szCs w:val="20"/>
                <w:color w:val="auto"/>
              </w:rPr>
            </w:pPr>
            <w:r>
              <w:rPr>
                <w:rFonts w:ascii="Arial" w:cs="Arial" w:eastAsia="Arial" w:hAnsi="Arial"/>
                <w:sz w:val="14"/>
                <w:szCs w:val="14"/>
                <w:color w:val="auto"/>
              </w:rPr>
              <w:t>4,144</w:t>
            </w:r>
          </w:p>
        </w:tc>
        <w:tc>
          <w:tcPr>
            <w:tcW w:w="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Common</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8"/>
                <w:szCs w:val="18"/>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68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98"/>
              </w:rPr>
              <w:t>Jun-17</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Common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2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680" w:type="dxa"/>
            <w:vAlign w:val="bottom"/>
            <w:gridSpan w:val="2"/>
          </w:tcPr>
          <w:p>
            <w:pPr>
              <w:jc w:val="center"/>
              <w:ind w:left="72"/>
              <w:spacing w:after="0"/>
              <w:rPr>
                <w:sz w:val="20"/>
                <w:szCs w:val="20"/>
                <w:color w:val="auto"/>
              </w:rPr>
            </w:pPr>
            <w:r>
              <w:rPr>
                <w:rFonts w:ascii="Arial" w:cs="Arial" w:eastAsia="Arial" w:hAnsi="Arial"/>
                <w:sz w:val="14"/>
                <w:szCs w:val="14"/>
                <w:color w:val="auto"/>
              </w:rPr>
              <w:t>Sep-17</w:t>
            </w:r>
          </w:p>
        </w:tc>
        <w:tc>
          <w:tcPr>
            <w:tcW w:w="1360" w:type="dxa"/>
            <w:vAlign w:val="bottom"/>
          </w:tcPr>
          <w:p>
            <w:pPr>
              <w:jc w:val="right"/>
              <w:spacing w:after="0"/>
              <w:rPr>
                <w:sz w:val="20"/>
                <w:szCs w:val="20"/>
                <w:color w:val="auto"/>
              </w:rPr>
            </w:pPr>
            <w:r>
              <w:rPr>
                <w:rFonts w:ascii="Arial" w:cs="Arial" w:eastAsia="Arial" w:hAnsi="Arial"/>
                <w:sz w:val="14"/>
                <w:szCs w:val="14"/>
                <w:color w:val="auto"/>
              </w:rPr>
              <w:t>746</w:t>
            </w:r>
          </w:p>
        </w:tc>
        <w:tc>
          <w:tcPr>
            <w:tcW w:w="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Common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68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98"/>
              </w:rPr>
              <w:t>Jan-18</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Common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2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68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Apr-18</w:t>
            </w:r>
          </w:p>
        </w:tc>
        <w:tc>
          <w:tcPr>
            <w:tcW w:w="1360" w:type="dxa"/>
            <w:vAlign w:val="bottom"/>
          </w:tcPr>
          <w:p>
            <w:pPr>
              <w:jc w:val="right"/>
              <w:spacing w:after="0"/>
              <w:rPr>
                <w:sz w:val="20"/>
                <w:szCs w:val="20"/>
                <w:color w:val="auto"/>
              </w:rPr>
            </w:pPr>
            <w:r>
              <w:rPr>
                <w:rFonts w:ascii="Arial" w:cs="Arial" w:eastAsia="Arial" w:hAnsi="Arial"/>
                <w:sz w:val="14"/>
                <w:szCs w:val="14"/>
                <w:color w:val="auto"/>
              </w:rPr>
              <w:t>828</w:t>
            </w:r>
          </w:p>
        </w:tc>
        <w:tc>
          <w:tcPr>
            <w:tcW w:w="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Common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68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rPr>
              <w:t>Nov-15</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Common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20" w:type="dxa"/>
            <w:vAlign w:val="bottom"/>
          </w:tcPr>
          <w:p>
            <w:pPr>
              <w:ind w:left="20"/>
              <w:spacing w:after="0"/>
              <w:rPr>
                <w:sz w:val="20"/>
                <w:szCs w:val="20"/>
                <w:color w:val="auto"/>
              </w:rPr>
            </w:pPr>
            <w:r>
              <w:rPr>
                <w:rFonts w:ascii="Arial" w:cs="Arial" w:eastAsia="Arial" w:hAnsi="Arial"/>
                <w:sz w:val="14"/>
                <w:szCs w:val="14"/>
                <w:color w:val="auto"/>
              </w:rPr>
              <w:t>TriplePoint</w:t>
            </w:r>
          </w:p>
        </w:tc>
        <w:tc>
          <w:tcPr>
            <w:tcW w:w="1680" w:type="dxa"/>
            <w:vAlign w:val="bottom"/>
            <w:gridSpan w:val="2"/>
          </w:tcPr>
          <w:p>
            <w:pPr>
              <w:jc w:val="center"/>
              <w:ind w:left="72"/>
              <w:spacing w:after="0"/>
              <w:rPr>
                <w:sz w:val="20"/>
                <w:szCs w:val="20"/>
                <w:color w:val="auto"/>
              </w:rPr>
            </w:pPr>
            <w:r>
              <w:rPr>
                <w:rFonts w:ascii="Arial" w:cs="Arial" w:eastAsia="Arial" w:hAnsi="Arial"/>
                <w:sz w:val="14"/>
                <w:szCs w:val="14"/>
                <w:color w:val="auto"/>
                <w:w w:val="98"/>
              </w:rPr>
              <w:t>Jun-16</w:t>
            </w:r>
          </w:p>
        </w:tc>
        <w:tc>
          <w:tcPr>
            <w:tcW w:w="1360" w:type="dxa"/>
            <w:vAlign w:val="bottom"/>
          </w:tcPr>
          <w:p>
            <w:pPr>
              <w:jc w:val="right"/>
              <w:spacing w:after="0"/>
              <w:rPr>
                <w:sz w:val="20"/>
                <w:szCs w:val="20"/>
                <w:color w:val="auto"/>
              </w:rPr>
            </w:pPr>
            <w:r>
              <w:rPr>
                <w:rFonts w:ascii="Arial" w:cs="Arial" w:eastAsia="Arial" w:hAnsi="Arial"/>
                <w:sz w:val="14"/>
                <w:szCs w:val="14"/>
                <w:color w:val="auto"/>
              </w:rPr>
              <w:t>1,408</w:t>
            </w:r>
          </w:p>
        </w:tc>
        <w:tc>
          <w:tcPr>
            <w:tcW w:w="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Common</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1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TriplePoint</w:t>
            </w:r>
          </w:p>
        </w:tc>
        <w:tc>
          <w:tcPr>
            <w:tcW w:w="168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rPr>
              <w:t>Sep-16</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Common</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202"/>
        </w:trPr>
        <w:tc>
          <w:tcPr>
            <w:tcW w:w="2820" w:type="dxa"/>
            <w:vAlign w:val="bottom"/>
          </w:tcPr>
          <w:p>
            <w:pPr>
              <w:ind w:left="20"/>
              <w:spacing w:after="0"/>
              <w:rPr>
                <w:sz w:val="20"/>
                <w:szCs w:val="20"/>
                <w:color w:val="auto"/>
              </w:rPr>
            </w:pPr>
            <w:r>
              <w:rPr>
                <w:rFonts w:ascii="Arial" w:cs="Arial" w:eastAsia="Arial" w:hAnsi="Arial"/>
                <w:sz w:val="14"/>
                <w:szCs w:val="14"/>
                <w:color w:val="auto"/>
              </w:rPr>
              <w:t>CHS (US) Management LLC</w:t>
            </w:r>
          </w:p>
        </w:tc>
        <w:tc>
          <w:tcPr>
            <w:tcW w:w="1680" w:type="dxa"/>
            <w:vAlign w:val="bottom"/>
            <w:gridSpan w:val="2"/>
          </w:tcPr>
          <w:p>
            <w:pPr>
              <w:jc w:val="center"/>
              <w:ind w:left="72"/>
              <w:spacing w:after="0"/>
              <w:rPr>
                <w:sz w:val="20"/>
                <w:szCs w:val="20"/>
                <w:color w:val="auto"/>
              </w:rPr>
            </w:pPr>
            <w:r>
              <w:rPr>
                <w:rFonts w:ascii="Arial" w:cs="Arial" w:eastAsia="Arial" w:hAnsi="Arial"/>
                <w:sz w:val="14"/>
                <w:szCs w:val="14"/>
                <w:color w:val="auto"/>
                <w:w w:val="99"/>
              </w:rPr>
              <w:t>Oct-21</w:t>
            </w:r>
          </w:p>
        </w:tc>
        <w:tc>
          <w:tcPr>
            <w:tcW w:w="1360" w:type="dxa"/>
            <w:vAlign w:val="bottom"/>
          </w:tcPr>
          <w:p>
            <w:pPr>
              <w:jc w:val="right"/>
              <w:spacing w:after="0"/>
              <w:rPr>
                <w:sz w:val="20"/>
                <w:szCs w:val="20"/>
                <w:color w:val="auto"/>
              </w:rPr>
            </w:pPr>
            <w:r>
              <w:rPr>
                <w:rFonts w:ascii="Arial" w:cs="Arial" w:eastAsia="Arial" w:hAnsi="Arial"/>
                <w:sz w:val="14"/>
                <w:szCs w:val="14"/>
                <w:color w:val="auto"/>
              </w:rPr>
              <w:t>19,717</w:t>
            </w:r>
          </w:p>
        </w:tc>
        <w:tc>
          <w:tcPr>
            <w:tcW w:w="8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Common</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22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CHS (US) Management LLC</w:t>
            </w:r>
          </w:p>
        </w:tc>
        <w:tc>
          <w:tcPr>
            <w:tcW w:w="1680" w:type="dxa"/>
            <w:vAlign w:val="bottom"/>
            <w:gridSpan w:val="2"/>
            <w:shd w:val="clear" w:color="auto" w:fill="CCEEFF"/>
          </w:tcPr>
          <w:p>
            <w:pPr>
              <w:jc w:val="center"/>
              <w:ind w:left="72"/>
              <w:spacing w:after="0"/>
              <w:rPr>
                <w:sz w:val="20"/>
                <w:szCs w:val="20"/>
                <w:color w:val="auto"/>
              </w:rPr>
            </w:pPr>
            <w:r>
              <w:rPr>
                <w:rFonts w:ascii="Arial" w:cs="Arial" w:eastAsia="Arial" w:hAnsi="Arial"/>
                <w:sz w:val="14"/>
                <w:szCs w:val="14"/>
                <w:color w:val="auto"/>
                <w:w w:val="98"/>
              </w:rPr>
              <w:t>Jan-23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Common</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93"/>
        </w:trPr>
        <w:tc>
          <w:tcPr>
            <w:tcW w:w="28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131,574</w:t>
            </w: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1"/>
        </w:trPr>
        <w:tc>
          <w:tcPr>
            <w:tcW w:w="2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80" w:right="460"/>
        <w:spacing w:after="0" w:line="290" w:lineRule="auto"/>
        <w:rPr>
          <w:sz w:val="20"/>
          <w:szCs w:val="20"/>
          <w:color w:val="auto"/>
        </w:rPr>
      </w:pPr>
      <w:r>
        <w:rPr>
          <w:rFonts w:ascii="Arial" w:cs="Arial" w:eastAsia="Arial" w:hAnsi="Arial"/>
          <w:sz w:val="14"/>
          <w:szCs w:val="14"/>
          <w:color w:val="auto"/>
        </w:rPr>
        <w:t>As of April 30, 2025 and January 31, 2025, all outstanding warrants were equity-classified and recorded as additional paid-in capital. Equity-classified contracts are not subsequently remeasured unless reclassification is required from equity to liability classification.</w:t>
      </w:r>
    </w:p>
    <w:p>
      <w:pPr>
        <w:spacing w:after="0" w:line="35" w:lineRule="exact"/>
        <w:rPr>
          <w:sz w:val="20"/>
          <w:szCs w:val="20"/>
          <w:color w:val="auto"/>
        </w:rPr>
      </w:pPr>
    </w:p>
    <w:p>
      <w:pPr>
        <w:ind w:left="380"/>
        <w:spacing w:after="0" w:line="271" w:lineRule="auto"/>
        <w:rPr>
          <w:sz w:val="20"/>
          <w:szCs w:val="20"/>
          <w:color w:val="auto"/>
        </w:rPr>
      </w:pPr>
      <w:r>
        <w:rPr>
          <w:rFonts w:ascii="Arial" w:cs="Arial" w:eastAsia="Arial" w:hAnsi="Arial"/>
          <w:sz w:val="14"/>
          <w:szCs w:val="14"/>
          <w:color w:val="auto"/>
        </w:rPr>
        <w:t>The fair value was estimated using the Black-Scholes option pricing model. The fair value is subjective and is affected by changes in inputs to the valuation model including the fair value per share of the underlying stock, the expected term of each warrant, volatility of the Company’s stock and peer company stock, and risk-free rates based on the U.S. Treasury yield curves.</w:t>
      </w:r>
    </w:p>
    <w:p>
      <w:pPr>
        <w:spacing w:after="0" w:line="219" w:lineRule="exact"/>
        <w:rPr>
          <w:sz w:val="20"/>
          <w:szCs w:val="20"/>
          <w:color w:val="auto"/>
        </w:rPr>
      </w:pPr>
    </w:p>
    <w:p>
      <w:pPr>
        <w:ind w:left="380" w:hanging="375"/>
        <w:spacing w:after="0"/>
        <w:tabs>
          <w:tab w:leader="none" w:pos="38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Share-based Compensation Plans</w:t>
      </w:r>
    </w:p>
    <w:p>
      <w:pPr>
        <w:spacing w:after="0" w:line="244"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i w:val="1"/>
          <w:iCs w:val="1"/>
          <w:u w:val="single" w:color="auto"/>
          <w:color w:val="auto"/>
        </w:rPr>
        <w:t>2009 Stock Incentive Plan and 2019 Stock Incentive Plan</w:t>
      </w:r>
    </w:p>
    <w:p>
      <w:pPr>
        <w:spacing w:after="0" w:line="91" w:lineRule="exact"/>
        <w:rPr>
          <w:rFonts w:ascii="Arial" w:cs="Arial" w:eastAsia="Arial" w:hAnsi="Arial"/>
          <w:sz w:val="14"/>
          <w:szCs w:val="14"/>
          <w:b w:val="1"/>
          <w:bCs w:val="1"/>
          <w:color w:val="auto"/>
        </w:rPr>
      </w:pPr>
    </w:p>
    <w:p>
      <w:pPr>
        <w:ind w:left="380" w:right="20"/>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In 2009, the Company adopted its stock incentive plan (the “2009 Plan”) to grant equity to employees and service providers. In 2019, the Company adopted a new stock incentive plan (the “2019 Plan”) which replaced the 2009 Plan. The Company has granted RSUs and stock options, each of which is settleable in shares. Options are generally granted for a 10-year term, and generally vest and become fully exercisable over four years of service. RSU awards have both service-based and liquidity-based vesting conditions. The liquidity-based vesting condition was satisfied in connection with the effectiveness of the Company’s IPO. The service-based requirement of RSUs was typically satisfied over four years. While no shares are available for future issuance under the 2009 Plan or the 2019 Plan, they continue to govern outstanding equity awards granted thereunder. Outstanding awards granted under the 2009 Plan and 2019 Plan are exercisable for or settled in shares of Class A common stock, or, if approved by the board of directors,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4"/>
          <w:szCs w:val="14"/>
          <w:i w:val="1"/>
          <w:iCs w:val="1"/>
          <w:u w:val="single" w:color="auto"/>
          <w:color w:val="auto"/>
        </w:rPr>
        <w:t>Amended and Restated 2021 Incentive Award Plan</w:t>
      </w:r>
    </w:p>
    <w:p>
      <w:pPr>
        <w:spacing w:after="0" w:line="92" w:lineRule="exact"/>
        <w:rPr>
          <w:sz w:val="20"/>
          <w:szCs w:val="20"/>
          <w:color w:val="auto"/>
        </w:rPr>
      </w:pPr>
    </w:p>
    <w:p>
      <w:pPr>
        <w:ind w:left="380" w:right="80"/>
        <w:spacing w:after="0" w:line="260" w:lineRule="auto"/>
        <w:rPr>
          <w:sz w:val="20"/>
          <w:szCs w:val="20"/>
          <w:color w:val="auto"/>
        </w:rPr>
      </w:pPr>
      <w:r>
        <w:rPr>
          <w:rFonts w:ascii="Arial" w:cs="Arial" w:eastAsia="Arial" w:hAnsi="Arial"/>
          <w:sz w:val="14"/>
          <w:szCs w:val="14"/>
          <w:color w:val="auto"/>
        </w:rPr>
        <w:t>The Company's Amended and Restated 2021 Incentive Award Plan (the "2021 Plan") was adopted by its board of directors and approved by stockholders in October 2021 and became effective upon the effective date of the IPO. The 2021 Plan replaced the 2019 Plan and no further grants will be made under the 2019 Plan. The terms of equity awards granted under the 2021 Plan in the year ended January 31, 2022 were generally consistent with those granted under the 2019 Plan, as described above. RSUs granted under the 2021 Plan in the year ended January 31, 2022 generally vest over four years and do not have liquidity-based vesting conditions. RSUs granted under the 2021 Plan during the three months ended April 30, 2025 and years ended January 31, 2025 and 2024 have a shorter vesting period of one to two years. As of April 30, 2025, there were 310,776 shares of Class A common stock available for issuance under the 2021 Plan. There will not be any further equity grants of Class B common stock.</w:t>
      </w:r>
    </w:p>
    <w:p>
      <w:pPr>
        <w:spacing w:after="0" w:line="57" w:lineRule="exact"/>
        <w:rPr>
          <w:sz w:val="20"/>
          <w:szCs w:val="20"/>
          <w:color w:val="auto"/>
        </w:rPr>
      </w:pPr>
    </w:p>
    <w:p>
      <w:pPr>
        <w:ind w:left="380"/>
        <w:spacing w:after="0" w:line="262" w:lineRule="auto"/>
        <w:rPr>
          <w:sz w:val="20"/>
          <w:szCs w:val="20"/>
          <w:color w:val="auto"/>
        </w:rPr>
      </w:pPr>
      <w:r>
        <w:rPr>
          <w:rFonts w:ascii="Arial" w:cs="Arial" w:eastAsia="Arial" w:hAnsi="Arial"/>
          <w:sz w:val="14"/>
          <w:szCs w:val="14"/>
          <w:color w:val="auto"/>
        </w:rPr>
        <w:t>The grant date fair value of each option award is estimated on the date of grant using the Black-Scholes option pricing model. The option pricing model considers several variables and assumptions in estimating the fair value of share-based awards. Because the Company’s shares are only recently publicly traded and there is a lack of historical company-specific data available, the expected term is estimated under the simplified method using the vesting and contractual terms, and expected volatility is estimated based on the average historical volatility of similar entities with publicly traded shares. The risk-free rate for the expected term of the option is based on the U.S. Treasury yield curve at the date of grant. There were no stock options granted during the three months ended April 30, 2025 or year ended January 31, 2025.</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Stock Options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 option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Weighted</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Average</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Remaining</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Contract</w:t>
            </w:r>
          </w:p>
        </w:tc>
        <w:tc>
          <w:tcPr>
            <w:tcW w:w="260" w:type="dxa"/>
            <w:vAlign w:val="bottom"/>
          </w:tcPr>
          <w:p>
            <w:pPr>
              <w:spacing w:after="0"/>
              <w:rPr>
                <w:sz w:val="11"/>
                <w:szCs w:val="11"/>
                <w:color w:val="auto"/>
              </w:rPr>
            </w:pPr>
          </w:p>
        </w:tc>
        <w:tc>
          <w:tcPr>
            <w:tcW w:w="1120" w:type="dxa"/>
            <w:vAlign w:val="bottom"/>
          </w:tcPr>
          <w:p>
            <w:pPr>
              <w:jc w:val="center"/>
              <w:ind w:right="196"/>
              <w:spacing w:after="0"/>
              <w:rPr>
                <w:sz w:val="20"/>
                <w:szCs w:val="20"/>
                <w:color w:val="auto"/>
              </w:rPr>
            </w:pPr>
            <w:r>
              <w:rPr>
                <w:rFonts w:ascii="Arial" w:cs="Arial" w:eastAsia="Arial" w:hAnsi="Arial"/>
                <w:sz w:val="11"/>
                <w:szCs w:val="11"/>
                <w:b w:val="1"/>
                <w:bCs w:val="1"/>
                <w:color w:val="auto"/>
                <w:w w:val="99"/>
              </w:rPr>
              <w:t>Aggregate</w:t>
            </w:r>
          </w:p>
        </w:tc>
        <w:tc>
          <w:tcPr>
            <w:tcW w:w="0" w:type="dxa"/>
            <w:vAlign w:val="bottom"/>
          </w:tcPr>
          <w:p>
            <w:pPr>
              <w:spacing w:after="0"/>
              <w:rPr>
                <w:sz w:val="1"/>
                <w:szCs w:val="1"/>
                <w:color w:val="auto"/>
              </w:rPr>
            </w:pPr>
          </w:p>
        </w:tc>
      </w:tr>
      <w:tr>
        <w:trPr>
          <w:trHeight w:val="138"/>
        </w:trPr>
        <w:tc>
          <w:tcPr>
            <w:tcW w:w="4320" w:type="dxa"/>
            <w:vAlign w:val="bottom"/>
          </w:tcPr>
          <w:p>
            <w:pPr>
              <w:spacing w:after="0"/>
              <w:rPr>
                <w:sz w:val="11"/>
                <w:szCs w:val="11"/>
                <w:color w:val="auto"/>
              </w:rPr>
            </w:pPr>
          </w:p>
        </w:tc>
        <w:tc>
          <w:tcPr>
            <w:tcW w:w="1380" w:type="dxa"/>
            <w:vAlign w:val="bottom"/>
          </w:tcPr>
          <w:p>
            <w:pPr>
              <w:jc w:val="right"/>
              <w:ind w:right="333"/>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rPr>
              <w:t>Exercise</w:t>
            </w:r>
          </w:p>
        </w:tc>
        <w:tc>
          <w:tcPr>
            <w:tcW w:w="14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Term</w:t>
            </w:r>
          </w:p>
        </w:tc>
        <w:tc>
          <w:tcPr>
            <w:tcW w:w="260" w:type="dxa"/>
            <w:vAlign w:val="bottom"/>
          </w:tcPr>
          <w:p>
            <w:pPr>
              <w:spacing w:after="0"/>
              <w:rPr>
                <w:sz w:val="11"/>
                <w:szCs w:val="11"/>
                <w:color w:val="auto"/>
              </w:rPr>
            </w:pPr>
          </w:p>
        </w:tc>
        <w:tc>
          <w:tcPr>
            <w:tcW w:w="1120" w:type="dxa"/>
            <w:vAlign w:val="bottom"/>
          </w:tcPr>
          <w:p>
            <w:pPr>
              <w:jc w:val="center"/>
              <w:ind w:right="176"/>
              <w:spacing w:after="0"/>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65"/>
        </w:trPr>
        <w:tc>
          <w:tcPr>
            <w:tcW w:w="43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5"/>
              <w:spacing w:after="0"/>
              <w:rPr>
                <w:sz w:val="20"/>
                <w:szCs w:val="20"/>
                <w:color w:val="auto"/>
              </w:rPr>
            </w:pPr>
            <w:r>
              <w:rPr>
                <w:rFonts w:ascii="Arial" w:cs="Arial" w:eastAsia="Arial" w:hAnsi="Arial"/>
                <w:sz w:val="11"/>
                <w:szCs w:val="11"/>
                <w:b w:val="1"/>
                <w:bCs w:val="1"/>
                <w:color w:val="auto"/>
              </w:rPr>
              <w:t>Price</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(in years)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Balances as of January 31, 2025</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160.84</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4320" w:type="dxa"/>
            <w:vAlign w:val="bottom"/>
          </w:tcPr>
          <w:p>
            <w:pPr>
              <w:ind w:left="3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106.09</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April 30, 2025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31,509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164.37</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Exercisable as of April 30, 2025</w:t>
            </w: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163.68</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3.84</w:t>
            </w: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8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CCEEFF"/>
              <w:bottom w:val="single" w:sz="8" w:color="CCEEFF"/>
            </w:tcBorders>
            <w:vMerge w:val="restart"/>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line="20" w:lineRule="exact"/>
              <w:rPr>
                <w:sz w:val="1"/>
                <w:szCs w:val="1"/>
                <w:color w:val="auto"/>
              </w:rPr>
            </w:pPr>
          </w:p>
        </w:tc>
      </w:tr>
      <w:tr>
        <w:trPr>
          <w:trHeight w:val="155"/>
        </w:trPr>
        <w:tc>
          <w:tcPr>
            <w:tcW w:w="4320" w:type="dxa"/>
            <w:vAlign w:val="bottom"/>
            <w:vMerge w:val="continue"/>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31,185</w:t>
            </w:r>
          </w:p>
        </w:tc>
        <w:tc>
          <w:tcPr>
            <w:tcW w:w="340" w:type="dxa"/>
            <w:vAlign w:val="bottom"/>
            <w:gridSpan w:val="2"/>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380" w:right="160"/>
        <w:spacing w:after="0" w:line="290" w:lineRule="auto"/>
        <w:rPr>
          <w:sz w:val="20"/>
          <w:szCs w:val="20"/>
          <w:color w:val="auto"/>
        </w:rPr>
      </w:pPr>
      <w:r>
        <w:rPr>
          <w:rFonts w:ascii="Arial" w:cs="Arial" w:eastAsia="Arial" w:hAnsi="Arial"/>
          <w:sz w:val="14"/>
          <w:szCs w:val="14"/>
          <w:color w:val="auto"/>
        </w:rPr>
        <w:t>As of April 30, 2025, unrecognized compensation cost related to stock options granted was immaterial and is expected to be recognized over a weighted average period of 0.5 years.</w:t>
      </w:r>
    </w:p>
    <w:p>
      <w:pPr>
        <w:spacing w:after="0" w:line="131" w:lineRule="exact"/>
        <w:rPr>
          <w:sz w:val="20"/>
          <w:szCs w:val="20"/>
          <w:color w:val="auto"/>
        </w:rPr>
      </w:pPr>
    </w:p>
    <w:p>
      <w:pPr>
        <w:ind w:left="380"/>
        <w:spacing w:after="0" w:line="247" w:lineRule="auto"/>
        <w:rPr>
          <w:sz w:val="20"/>
          <w:szCs w:val="20"/>
          <w:color w:val="auto"/>
        </w:rPr>
      </w:pPr>
      <w:r>
        <w:rPr>
          <w:rFonts w:ascii="Arial" w:cs="Arial" w:eastAsia="Arial" w:hAnsi="Arial"/>
          <w:sz w:val="14"/>
          <w:szCs w:val="14"/>
          <w:color w:val="auto"/>
        </w:rPr>
        <w:t>During the year ended January 31, 2024, the Company completed an option exchange designed to incentivize and retain employees, directors and other service providers by providing the ability to exchange outstanding stock options for RSUs representing the right to receive Class A common stock. Stock options relating to 331,370 shares of</w:t>
      </w:r>
    </w:p>
    <w:p>
      <w:pPr>
        <w:spacing w:after="0" w:line="1" w:lineRule="exact"/>
        <w:rPr>
          <w:sz w:val="20"/>
          <w:szCs w:val="20"/>
          <w:color w:val="auto"/>
        </w:rPr>
      </w:pPr>
    </w:p>
    <w:p>
      <w:pPr>
        <w:ind w:left="380" w:right="700"/>
        <w:spacing w:after="0" w:line="238" w:lineRule="auto"/>
        <w:rPr>
          <w:sz w:val="20"/>
          <w:szCs w:val="20"/>
          <w:color w:val="auto"/>
        </w:rPr>
      </w:pPr>
      <w:r>
        <w:rPr>
          <w:rFonts w:ascii="Arial" w:cs="Arial" w:eastAsia="Arial" w:hAnsi="Arial"/>
          <w:sz w:val="14"/>
          <w:szCs w:val="14"/>
          <w:color w:val="auto"/>
        </w:rPr>
        <w:t>Class A and Class B common stock were forfeited in exchange for 132,546 RSUs which generally vest over two years. The Company will recognize $0.8 million of incremental stock compensation expense from the RSUs granted as a result of the option exchange which will be recognized over the two year vesting period.</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Company currently uses authorized and unissued shares to satisfy the exercise of stock option awards.</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RSUs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RSUs activity during the period indicated is as follows:</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38"/>
        </w:trPr>
        <w:tc>
          <w:tcPr>
            <w:tcW w:w="7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38"/>
        </w:trPr>
        <w:tc>
          <w:tcPr>
            <w:tcW w:w="7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38"/>
        </w:trPr>
        <w:tc>
          <w:tcPr>
            <w:tcW w:w="7380" w:type="dxa"/>
            <w:vAlign w:val="bottom"/>
          </w:tcPr>
          <w:p>
            <w:pPr>
              <w:spacing w:after="0"/>
              <w:rPr>
                <w:sz w:val="11"/>
                <w:szCs w:val="11"/>
                <w:color w:val="auto"/>
              </w:rPr>
            </w:pPr>
          </w:p>
        </w:tc>
        <w:tc>
          <w:tcPr>
            <w:tcW w:w="1380" w:type="dxa"/>
            <w:vAlign w:val="bottom"/>
            <w:vMerge w:val="restart"/>
          </w:tcPr>
          <w:p>
            <w:pPr>
              <w:jc w:val="right"/>
              <w:ind w:right="333"/>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rPr>
              <w:t>Grant-Date</w:t>
            </w:r>
          </w:p>
        </w:tc>
        <w:tc>
          <w:tcPr>
            <w:tcW w:w="0" w:type="dxa"/>
            <w:vAlign w:val="bottom"/>
          </w:tcPr>
          <w:p>
            <w:pPr>
              <w:spacing w:after="0"/>
              <w:rPr>
                <w:sz w:val="1"/>
                <w:szCs w:val="1"/>
                <w:color w:val="auto"/>
              </w:rPr>
            </w:pPr>
          </w:p>
        </w:tc>
      </w:tr>
      <w:tr>
        <w:trPr>
          <w:trHeight w:val="127"/>
        </w:trPr>
        <w:tc>
          <w:tcPr>
            <w:tcW w:w="73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center"/>
              <w:ind w:right="196"/>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65"/>
        </w:trPr>
        <w:tc>
          <w:tcPr>
            <w:tcW w:w="73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rPr>
              <w:t>per Share</w:t>
            </w:r>
          </w:p>
        </w:tc>
        <w:tc>
          <w:tcPr>
            <w:tcW w:w="0" w:type="dxa"/>
            <w:vAlign w:val="bottom"/>
          </w:tcPr>
          <w:p>
            <w:pPr>
              <w:spacing w:after="0"/>
              <w:rPr>
                <w:sz w:val="1"/>
                <w:szCs w:val="1"/>
                <w:color w:val="auto"/>
              </w:rPr>
            </w:pPr>
          </w:p>
        </w:tc>
      </w:tr>
      <w:tr>
        <w:trPr>
          <w:trHeight w:val="203"/>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January 31, 2025</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333,899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0" w:type="dxa"/>
            <w:vAlign w:val="bottom"/>
          </w:tcPr>
          <w:p>
            <w:pPr>
              <w:spacing w:after="0"/>
              <w:rPr>
                <w:sz w:val="1"/>
                <w:szCs w:val="1"/>
                <w:color w:val="auto"/>
              </w:rPr>
            </w:pPr>
          </w:p>
        </w:tc>
      </w:tr>
      <w:tr>
        <w:trPr>
          <w:trHeight w:val="202"/>
        </w:trPr>
        <w:tc>
          <w:tcPr>
            <w:tcW w:w="7380" w:type="dxa"/>
            <w:vAlign w:val="bottom"/>
          </w:tcPr>
          <w:p>
            <w:pPr>
              <w:ind w:left="36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spacing w:after="0"/>
              <w:rPr>
                <w:sz w:val="20"/>
                <w:szCs w:val="20"/>
                <w:color w:val="auto"/>
              </w:rPr>
            </w:pPr>
            <w:r>
              <w:rPr>
                <w:rFonts w:ascii="Arial" w:cs="Arial" w:eastAsia="Arial" w:hAnsi="Arial"/>
                <w:sz w:val="14"/>
                <w:szCs w:val="14"/>
                <w:color w:val="auto"/>
              </w:rPr>
              <w:t>89,740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22"/>
        </w:trPr>
        <w:tc>
          <w:tcPr>
            <w:tcW w:w="73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Vested/Released</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30.50</w:t>
            </w:r>
          </w:p>
        </w:tc>
        <w:tc>
          <w:tcPr>
            <w:tcW w:w="0" w:type="dxa"/>
            <w:vAlign w:val="bottom"/>
          </w:tcPr>
          <w:p>
            <w:pPr>
              <w:spacing w:after="0"/>
              <w:rPr>
                <w:sz w:val="1"/>
                <w:szCs w:val="1"/>
                <w:color w:val="auto"/>
              </w:rPr>
            </w:pPr>
          </w:p>
        </w:tc>
      </w:tr>
      <w:tr>
        <w:trPr>
          <w:trHeight w:val="203"/>
        </w:trPr>
        <w:tc>
          <w:tcPr>
            <w:tcW w:w="73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Forfeited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(10,704)</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and outstanding as of April 30, 2025</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348,372</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right="40"/>
        <w:spacing w:after="0" w:line="290" w:lineRule="auto"/>
        <w:rPr>
          <w:sz w:val="20"/>
          <w:szCs w:val="20"/>
          <w:color w:val="auto"/>
        </w:rPr>
      </w:pPr>
      <w:r>
        <w:rPr>
          <w:rFonts w:ascii="Arial" w:cs="Arial" w:eastAsia="Arial" w:hAnsi="Arial"/>
          <w:sz w:val="14"/>
          <w:szCs w:val="14"/>
          <w:color w:val="auto"/>
        </w:rPr>
        <w:t>As of April 30, 2025, there was $3.6 million of unrecognized compensation cost related to RSUs granted that is expected to be recognized over a weighted average period of 1 year. Of the total unrecognized compensation cost, $0.3 million related to RSUs granted as a result of the option exchange.</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350"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Share-Based Compensation Summary</w:t>
      </w:r>
    </w:p>
    <w:p>
      <w:pPr>
        <w:spacing w:after="0" w:line="123" w:lineRule="exact"/>
        <w:rPr>
          <w:sz w:val="20"/>
          <w:szCs w:val="20"/>
          <w:color w:val="auto"/>
        </w:rPr>
      </w:pPr>
    </w:p>
    <w:p>
      <w:pPr>
        <w:ind w:left="380" w:right="620"/>
        <w:spacing w:after="0" w:line="290" w:lineRule="auto"/>
        <w:rPr>
          <w:sz w:val="20"/>
          <w:szCs w:val="20"/>
          <w:color w:val="auto"/>
        </w:rPr>
      </w:pPr>
      <w:r>
        <w:rPr>
          <w:rFonts w:ascii="Arial" w:cs="Arial" w:eastAsia="Arial" w:hAnsi="Arial"/>
          <w:sz w:val="14"/>
          <w:szCs w:val="14"/>
          <w:color w:val="auto"/>
        </w:rPr>
        <w:t>The classification of share-based compensation for the three months ended April 30, 2025 and 2024, respectively, presented within each line item of the Condensed Consolidated Statements of Operations is as follows:</w:t>
      </w:r>
    </w:p>
    <w:p>
      <w:pPr>
        <w:spacing w:after="0" w:line="171" w:lineRule="exact"/>
        <w:rPr>
          <w:sz w:val="20"/>
          <w:szCs w:val="20"/>
          <w:color w:val="auto"/>
        </w:rPr>
      </w:pPr>
    </w:p>
    <w:p>
      <w:pPr>
        <w:jc w:val="center"/>
        <w:ind w:left="5680"/>
        <w:spacing w:after="0"/>
        <w:rPr>
          <w:sz w:val="20"/>
          <w:szCs w:val="20"/>
          <w:color w:val="auto"/>
        </w:rPr>
      </w:pPr>
      <w:r>
        <w:rPr>
          <w:rFonts w:ascii="Arial" w:cs="Arial" w:eastAsia="Arial" w:hAnsi="Arial"/>
          <w:sz w:val="11"/>
          <w:szCs w:val="11"/>
          <w:b w:val="1"/>
          <w:bCs w:val="1"/>
          <w:color w:val="auto"/>
        </w:rPr>
        <w:t>Three Months Ended</w:t>
      </w:r>
    </w:p>
    <w:p>
      <w:pPr>
        <w:spacing w:after="0" w:line="21" w:lineRule="exact"/>
        <w:rPr>
          <w:sz w:val="20"/>
          <w:szCs w:val="20"/>
          <w:color w:val="auto"/>
        </w:rPr>
      </w:pPr>
    </w:p>
    <w:p>
      <w:pPr>
        <w:jc w:val="center"/>
        <w:ind w:left="5680"/>
        <w:spacing w:after="0"/>
        <w:rPr>
          <w:sz w:val="20"/>
          <w:szCs w:val="20"/>
          <w:color w:val="auto"/>
        </w:rPr>
      </w:pPr>
      <w:r>
        <w:rPr>
          <w:rFonts w:ascii="Arial" w:cs="Arial" w:eastAsia="Arial" w:hAnsi="Arial"/>
          <w:sz w:val="11"/>
          <w:szCs w:val="11"/>
          <w:b w:val="1"/>
          <w:bCs w:val="1"/>
          <w:color w:val="auto"/>
        </w:rPr>
        <w:t>April 30,</w:t>
      </w:r>
    </w:p>
    <w:p>
      <w:pPr>
        <w:spacing w:after="0" w:line="1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62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00" w:type="dxa"/>
            <w:vAlign w:val="bottom"/>
            <w:tcBorders>
              <w:top w:val="single" w:sz="8" w:color="auto"/>
              <w:bottom w:val="single" w:sz="8" w:color="auto"/>
            </w:tcBorders>
            <w:shd w:val="clear" w:color="auto" w:fill="CCEEFF"/>
          </w:tcPr>
          <w:p>
            <w:pPr>
              <w:jc w:val="right"/>
              <w:ind w:right="532"/>
              <w:spacing w:after="0"/>
              <w:rPr>
                <w:sz w:val="20"/>
                <w:szCs w:val="20"/>
                <w:color w:val="auto"/>
              </w:rPr>
            </w:pPr>
            <w:r>
              <w:rPr>
                <w:rFonts w:ascii="Arial" w:cs="Arial" w:eastAsia="Arial" w:hAnsi="Arial"/>
                <w:sz w:val="11"/>
                <w:szCs w:val="11"/>
                <w:b w:val="1"/>
                <w:bCs w:val="1"/>
                <w:color w:val="auto"/>
              </w:rPr>
              <w:t>2024</w:t>
            </w:r>
          </w:p>
        </w:tc>
      </w:tr>
      <w:tr>
        <w:trPr>
          <w:trHeight w:val="203"/>
        </w:trPr>
        <w:tc>
          <w:tcPr>
            <w:tcW w:w="6620" w:type="dxa"/>
            <w:vAlign w:val="bottom"/>
          </w:tcPr>
          <w:p>
            <w:pPr>
              <w:ind w:left="20"/>
              <w:spacing w:after="0"/>
              <w:rPr>
                <w:sz w:val="20"/>
                <w:szCs w:val="20"/>
                <w:color w:val="auto"/>
              </w:rPr>
            </w:pPr>
            <w:r>
              <w:rPr>
                <w:rFonts w:ascii="Arial" w:cs="Arial" w:eastAsia="Arial" w:hAnsi="Arial"/>
                <w:sz w:val="14"/>
                <w:szCs w:val="14"/>
                <w:color w:val="auto"/>
              </w:rPr>
              <w:t>Technology</w:t>
            </w:r>
          </w:p>
        </w:tc>
        <w:tc>
          <w:tcPr>
            <w:tcW w:w="1020" w:type="dxa"/>
            <w:vAlign w:val="bottom"/>
          </w:tcPr>
          <w:p>
            <w:pPr>
              <w:jc w:val="right"/>
              <w:ind w:right="854"/>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212"/>
        </w:trPr>
        <w:tc>
          <w:tcPr>
            <w:tcW w:w="6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w:t>
            </w:r>
          </w:p>
        </w:tc>
        <w:tc>
          <w:tcPr>
            <w:tcW w:w="10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r>
      <w:tr>
        <w:trPr>
          <w:trHeight w:val="228"/>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share-based compensation</w:t>
            </w: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380" w:right="60"/>
        <w:spacing w:after="0" w:line="274" w:lineRule="auto"/>
        <w:rPr>
          <w:sz w:val="20"/>
          <w:szCs w:val="20"/>
          <w:color w:val="auto"/>
        </w:rPr>
      </w:pPr>
      <w:r>
        <w:rPr>
          <w:rFonts w:ascii="Arial" w:cs="Arial" w:eastAsia="Arial" w:hAnsi="Arial"/>
          <w:sz w:val="14"/>
          <w:szCs w:val="14"/>
          <w:color w:val="auto"/>
        </w:rPr>
        <w:t>The Company recognized $0.4 million and $0.4 million of share-based compensation expense during the three months ended April 30, 2025 and 2024, respectively, including incremental share-based compensation expense as a result of the option exchange discussed above.</w:t>
      </w:r>
    </w:p>
    <w:p>
      <w:pPr>
        <w:spacing w:after="0" w:line="216" w:lineRule="exact"/>
        <w:rPr>
          <w:sz w:val="20"/>
          <w:szCs w:val="20"/>
          <w:color w:val="auto"/>
        </w:rPr>
      </w:pPr>
    </w:p>
    <w:p>
      <w:pPr>
        <w:ind w:left="380" w:hanging="375"/>
        <w:spacing w:after="0"/>
        <w:tabs>
          <w:tab w:leader="none" w:pos="38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 Attributable to Common Stockholders</w:t>
      </w:r>
    </w:p>
    <w:p>
      <w:pPr>
        <w:spacing w:after="0" w:line="93" w:lineRule="exact"/>
        <w:rPr>
          <w:rFonts w:ascii="Arial" w:cs="Arial" w:eastAsia="Arial" w:hAnsi="Arial"/>
          <w:sz w:val="14"/>
          <w:szCs w:val="14"/>
          <w:b w:val="1"/>
          <w:bCs w:val="1"/>
          <w:color w:val="auto"/>
        </w:rPr>
      </w:pPr>
    </w:p>
    <w:p>
      <w:pPr>
        <w:ind w:left="380" w:right="12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computes net loss per share attributable to common stockholders under the two-class method required for multiple classes of common stock and participating securities. The rights of the Class A common stock and Class B common stock are substantially identical, other than voting rights. Accordingly, the net loss per share attributable to common stockholders will be the same for Class A and Class B common stock on an individual or combined basis.</w:t>
      </w:r>
    </w:p>
    <w:p>
      <w:pPr>
        <w:spacing w:after="0" w:line="48" w:lineRule="exact"/>
        <w:rPr>
          <w:rFonts w:ascii="Arial" w:cs="Arial" w:eastAsia="Arial" w:hAnsi="Arial"/>
          <w:sz w:val="14"/>
          <w:szCs w:val="14"/>
          <w:b w:val="1"/>
          <w:bCs w:val="1"/>
          <w:color w:val="auto"/>
        </w:rPr>
      </w:pPr>
    </w:p>
    <w:p>
      <w:pPr>
        <w:ind w:left="380" w:right="50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following table sets forth the computation of basic and diluted net loss per share attributable to common stockholders, adjusted on a retroactive basis to reflect the Reverse Stock Split as discussed in Note 11, Stockholders’ Equity:</w:t>
      </w:r>
    </w:p>
    <w:p>
      <w:pPr>
        <w:spacing w:after="0" w:line="171" w:lineRule="exact"/>
        <w:rPr>
          <w:sz w:val="20"/>
          <w:szCs w:val="20"/>
          <w:color w:val="auto"/>
        </w:rPr>
      </w:pPr>
    </w:p>
    <w:p>
      <w:pPr>
        <w:jc w:val="center"/>
        <w:ind w:left="6520"/>
        <w:spacing w:after="0"/>
        <w:rPr>
          <w:sz w:val="20"/>
          <w:szCs w:val="20"/>
          <w:color w:val="auto"/>
        </w:rPr>
      </w:pPr>
      <w:r>
        <w:rPr>
          <w:rFonts w:ascii="Arial" w:cs="Arial" w:eastAsia="Arial" w:hAnsi="Arial"/>
          <w:sz w:val="11"/>
          <w:szCs w:val="11"/>
          <w:b w:val="1"/>
          <w:bCs w:val="1"/>
          <w:color w:val="auto"/>
        </w:rPr>
        <w:t>Three Months Ended</w:t>
      </w:r>
    </w:p>
    <w:p>
      <w:pPr>
        <w:spacing w:after="0" w:line="11" w:lineRule="exact"/>
        <w:rPr>
          <w:sz w:val="20"/>
          <w:szCs w:val="20"/>
          <w:color w:val="auto"/>
        </w:rPr>
      </w:pPr>
    </w:p>
    <w:p>
      <w:pPr>
        <w:jc w:val="center"/>
        <w:ind w:left="6520"/>
        <w:spacing w:after="0"/>
        <w:rPr>
          <w:sz w:val="20"/>
          <w:szCs w:val="20"/>
          <w:color w:val="auto"/>
        </w:rPr>
      </w:pPr>
      <w:r>
        <w:rPr>
          <w:rFonts w:ascii="Arial" w:cs="Arial" w:eastAsia="Arial" w:hAnsi="Arial"/>
          <w:sz w:val="11"/>
          <w:szCs w:val="11"/>
          <w:b w:val="1"/>
          <w:bCs w:val="1"/>
          <w:color w:val="auto"/>
        </w:rPr>
        <w:t>April 30,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724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2024</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Numerator:</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Arial" w:cs="Arial" w:eastAsia="Arial" w:hAnsi="Arial"/>
                <w:sz w:val="14"/>
                <w:szCs w:val="14"/>
                <w:color w:val="auto"/>
              </w:rPr>
              <w:t>Net loss attributable to common stockholders</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0" w:type="dxa"/>
            <w:vAlign w:val="bottom"/>
          </w:tcPr>
          <w:p>
            <w:pPr>
              <w:spacing w:after="0"/>
              <w:rPr>
                <w:sz w:val="15"/>
                <w:szCs w:val="15"/>
                <w:color w:val="auto"/>
              </w:rPr>
            </w:pPr>
          </w:p>
        </w:tc>
        <w:tc>
          <w:tcPr>
            <w:tcW w:w="7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7240" w:type="dxa"/>
            <w:vAlign w:val="bottom"/>
          </w:tcPr>
          <w:p>
            <w:pPr>
              <w:ind w:left="360"/>
              <w:spacing w:after="0"/>
              <w:rPr>
                <w:sz w:val="20"/>
                <w:szCs w:val="20"/>
                <w:color w:val="auto"/>
              </w:rPr>
            </w:pPr>
            <w:r>
              <w:rPr>
                <w:rFonts w:ascii="Arial" w:cs="Arial" w:eastAsia="Arial" w:hAnsi="Arial"/>
                <w:sz w:val="14"/>
                <w:szCs w:val="14"/>
                <w:color w:val="auto"/>
              </w:rPr>
              <w:t>Weighted-average shares used in computing net loss per share attributable to common stockholders, basic</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240" w:type="dxa"/>
            <w:vAlign w:val="bottom"/>
            <w:tcBorders>
              <w:bottom w:val="single" w:sz="8" w:color="CCEEFF"/>
            </w:tcBorders>
          </w:tcPr>
          <w:p>
            <w:pPr>
              <w:ind w:left="540"/>
              <w:spacing w:after="0"/>
              <w:rPr>
                <w:sz w:val="20"/>
                <w:szCs w:val="20"/>
                <w:color w:val="auto"/>
              </w:rPr>
            </w:pPr>
            <w:r>
              <w:rPr>
                <w:rFonts w:ascii="Arial" w:cs="Arial" w:eastAsia="Arial" w:hAnsi="Arial"/>
                <w:sz w:val="14"/>
                <w:szCs w:val="14"/>
                <w:color w:val="auto"/>
              </w:rPr>
              <w:t>and diluted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3,967,101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3,646,202</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(6.03)</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line="20" w:lineRule="exact"/>
              <w:rPr>
                <w:sz w:val="1"/>
                <w:szCs w:val="1"/>
                <w:color w:val="auto"/>
              </w:rPr>
            </w:pPr>
          </w:p>
        </w:tc>
        <w:tc>
          <w:tcPr>
            <w:tcW w:w="7240" w:type="dxa"/>
            <w:vAlign w:val="bottom"/>
            <w:tcBorders>
              <w:top w:val="single" w:sz="8" w:color="CCEEFF"/>
              <w:bottom w:val="single" w:sz="8" w:color="CCEEFF"/>
            </w:tcBorders>
            <w:vMerge w:val="restart"/>
          </w:tcPr>
          <w:p>
            <w:pPr>
              <w:ind w:left="5180"/>
              <w:spacing w:after="0"/>
              <w:rPr>
                <w:sz w:val="20"/>
                <w:szCs w:val="20"/>
                <w:color w:val="auto"/>
              </w:rPr>
            </w:pPr>
            <w:r>
              <w:rPr>
                <w:rFonts w:ascii="Arial" w:cs="Arial" w:eastAsia="Arial" w:hAnsi="Arial"/>
                <w:sz w:val="14"/>
                <w:szCs w:val="14"/>
                <w:color w:val="auto"/>
              </w:rPr>
              <w:t>26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380" w:type="dxa"/>
            <w:vAlign w:val="bottom"/>
            <w:vMerge w:val="continue"/>
          </w:tcPr>
          <w:p>
            <w:pPr>
              <w:spacing w:after="0"/>
              <w:rPr>
                <w:sz w:val="24"/>
                <w:szCs w:val="24"/>
                <w:color w:val="auto"/>
              </w:rPr>
            </w:pPr>
          </w:p>
        </w:tc>
        <w:tc>
          <w:tcPr>
            <w:tcW w:w="7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80" w:type="dxa"/>
            <w:vAlign w:val="bottom"/>
            <w:tcBorders>
              <w:bottom w:val="single" w:sz="8" w:color="9A9A9A"/>
            </w:tcBorders>
          </w:tcPr>
          <w:p>
            <w:pPr>
              <w:spacing w:after="0"/>
              <w:rPr>
                <w:sz w:val="7"/>
                <w:szCs w:val="7"/>
                <w:color w:val="auto"/>
              </w:rPr>
            </w:pPr>
          </w:p>
        </w:tc>
        <w:tc>
          <w:tcPr>
            <w:tcW w:w="7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00" w:lineRule="exact"/>
        <w:rPr>
          <w:sz w:val="20"/>
          <w:szCs w:val="20"/>
          <w:color w:val="auto"/>
        </w:rPr>
      </w:pPr>
    </w:p>
    <w:p>
      <w:pPr>
        <w:spacing w:after="0" w:line="263" w:lineRule="exact"/>
        <w:rPr>
          <w:sz w:val="20"/>
          <w:szCs w:val="20"/>
          <w:color w:val="auto"/>
        </w:rPr>
      </w:pPr>
    </w:p>
    <w:p>
      <w:pPr>
        <w:jc w:val="both"/>
        <w:ind w:left="380"/>
        <w:spacing w:after="0" w:line="271" w:lineRule="auto"/>
        <w:rPr>
          <w:sz w:val="20"/>
          <w:szCs w:val="20"/>
          <w:color w:val="auto"/>
        </w:rPr>
      </w:pPr>
      <w:r>
        <w:rPr>
          <w:rFonts w:ascii="Arial" w:cs="Arial" w:eastAsia="Arial" w:hAnsi="Arial"/>
          <w:sz w:val="14"/>
          <w:szCs w:val="14"/>
          <w:color w:val="auto"/>
        </w:rPr>
        <w:t>The following potentially dilutive outstanding securities based on amounts outstanding at each period end, adjusted on a retroactive basis to reflect the Reverse Stock Split as discussed in Note 11, Stockholders’ Equity, were excluded from the computation of diluted loss per share attributable to common stockholders because including them would have been anti-dilutive:</w:t>
      </w:r>
    </w:p>
    <w:p>
      <w:pPr>
        <w:spacing w:after="0" w:line="185" w:lineRule="exact"/>
        <w:rPr>
          <w:sz w:val="20"/>
          <w:szCs w:val="20"/>
          <w:color w:val="auto"/>
        </w:rPr>
      </w:pPr>
    </w:p>
    <w:p>
      <w:pPr>
        <w:jc w:val="center"/>
        <w:ind w:left="6700"/>
        <w:spacing w:after="0"/>
        <w:rPr>
          <w:sz w:val="20"/>
          <w:szCs w:val="20"/>
          <w:color w:val="auto"/>
        </w:rPr>
      </w:pPr>
      <w:r>
        <w:rPr>
          <w:rFonts w:ascii="Arial" w:cs="Arial" w:eastAsia="Arial" w:hAnsi="Arial"/>
          <w:sz w:val="11"/>
          <w:szCs w:val="11"/>
          <w:b w:val="1"/>
          <w:bCs w:val="1"/>
          <w:color w:val="auto"/>
        </w:rPr>
        <w:t>Three Months Ended</w:t>
      </w:r>
    </w:p>
    <w:p>
      <w:pPr>
        <w:spacing w:after="0" w:line="21" w:lineRule="exact"/>
        <w:rPr>
          <w:sz w:val="20"/>
          <w:szCs w:val="20"/>
          <w:color w:val="auto"/>
        </w:rPr>
      </w:pPr>
    </w:p>
    <w:p>
      <w:pPr>
        <w:jc w:val="center"/>
        <w:ind w:left="6700"/>
        <w:spacing w:after="0"/>
        <w:rPr>
          <w:sz w:val="20"/>
          <w:szCs w:val="20"/>
          <w:color w:val="auto"/>
        </w:rPr>
      </w:pPr>
      <w:r>
        <w:rPr>
          <w:rFonts w:ascii="Arial" w:cs="Arial" w:eastAsia="Arial" w:hAnsi="Arial"/>
          <w:sz w:val="11"/>
          <w:szCs w:val="11"/>
          <w:b w:val="1"/>
          <w:bCs w:val="1"/>
          <w:color w:val="auto"/>
        </w:rPr>
        <w:t>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18415</wp:posOffset>
            </wp:positionV>
            <wp:extent cx="212915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29155" cy="6985"/>
                    </a:xfrm>
                    <a:prstGeom prst="rect">
                      <a:avLst/>
                    </a:prstGeom>
                    <a:noFill/>
                  </pic:spPr>
                </pic:pic>
              </a:graphicData>
            </a:graphic>
          </wp:anchor>
        </w:drawing>
      </w:r>
    </w:p>
    <w:p>
      <w:pPr>
        <w:spacing w:after="0" w:line="34" w:lineRule="exact"/>
        <w:rPr>
          <w:sz w:val="20"/>
          <w:szCs w:val="20"/>
          <w:color w:val="auto"/>
        </w:rPr>
      </w:pPr>
    </w:p>
    <w:tbl>
      <w:tblPr>
        <w:tblLayout w:type="fixed"/>
        <w:tblInd w:w="380" w:type="dxa"/>
        <w:tblCellMar>
          <w:top w:w="0" w:type="dxa"/>
          <w:left w:w="0" w:type="dxa"/>
          <w:bottom w:w="0" w:type="dxa"/>
          <w:right w:w="0" w:type="dxa"/>
        </w:tblCellMar>
      </w:tblPr>
      <w:tr>
        <w:trPr>
          <w:trHeight w:val="160"/>
        </w:trPr>
        <w:tc>
          <w:tcPr>
            <w:tcW w:w="69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2024</w:t>
            </w:r>
          </w:p>
        </w:tc>
      </w:tr>
      <w:tr>
        <w:trPr>
          <w:trHeight w:val="208"/>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31,509</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38,985</w:t>
            </w:r>
          </w:p>
        </w:tc>
      </w:tr>
      <w:tr>
        <w:trPr>
          <w:trHeight w:val="202"/>
        </w:trPr>
        <w:tc>
          <w:tcPr>
            <w:tcW w:w="7940" w:type="dxa"/>
            <w:vAlign w:val="bottom"/>
            <w:gridSpan w:val="2"/>
          </w:tcPr>
          <w:p>
            <w:pPr>
              <w:ind w:left="20"/>
              <w:spacing w:after="0"/>
              <w:rPr>
                <w:sz w:val="20"/>
                <w:szCs w:val="20"/>
                <w:color w:val="auto"/>
              </w:rPr>
            </w:pPr>
            <w:r>
              <w:rPr>
                <w:rFonts w:ascii="Arial" w:cs="Arial" w:eastAsia="Arial" w:hAnsi="Arial"/>
                <w:sz w:val="14"/>
                <w:szCs w:val="14"/>
                <w:color w:val="auto"/>
              </w:rPr>
              <w:t>Common stock warrants</w:t>
            </w:r>
          </w:p>
        </w:tc>
        <w:tc>
          <w:tcPr>
            <w:tcW w:w="640" w:type="dxa"/>
            <w:vAlign w:val="bottom"/>
          </w:tcPr>
          <w:p>
            <w:pPr>
              <w:jc w:val="right"/>
              <w:spacing w:after="0"/>
              <w:rPr>
                <w:sz w:val="20"/>
                <w:szCs w:val="20"/>
                <w:color w:val="auto"/>
              </w:rPr>
            </w:pPr>
            <w:r>
              <w:rPr>
                <w:rFonts w:ascii="Arial" w:cs="Arial" w:eastAsia="Arial" w:hAnsi="Arial"/>
                <w:sz w:val="14"/>
                <w:szCs w:val="14"/>
                <w:color w:val="auto"/>
              </w:rPr>
              <w:t>131,574</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131,574</w:t>
            </w:r>
          </w:p>
        </w:tc>
      </w:tr>
      <w:tr>
        <w:trPr>
          <w:trHeight w:val="222"/>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RSUs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348,372</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548,877</w:t>
            </w:r>
          </w:p>
        </w:tc>
      </w:tr>
      <w:tr>
        <w:trPr>
          <w:trHeight w:val="203"/>
        </w:trPr>
        <w:tc>
          <w:tcPr>
            <w:tcW w:w="7940" w:type="dxa"/>
            <w:vAlign w:val="bottom"/>
            <w:gridSpan w:val="2"/>
          </w:tcPr>
          <w:p>
            <w:pPr>
              <w:ind w:left="360"/>
              <w:spacing w:after="0"/>
              <w:rPr>
                <w:sz w:val="20"/>
                <w:szCs w:val="20"/>
                <w:color w:val="auto"/>
              </w:rPr>
            </w:pPr>
            <w:r>
              <w:rPr>
                <w:rFonts w:ascii="Arial" w:cs="Arial" w:eastAsia="Arial" w:hAnsi="Arial"/>
                <w:sz w:val="14"/>
                <w:szCs w:val="14"/>
                <w:color w:val="auto"/>
              </w:rPr>
              <w:t>Total</w:t>
            </w:r>
          </w:p>
        </w:tc>
        <w:tc>
          <w:tcPr>
            <w:tcW w:w="640" w:type="dxa"/>
            <w:vAlign w:val="bottom"/>
          </w:tcPr>
          <w:p>
            <w:pPr>
              <w:jc w:val="right"/>
              <w:spacing w:after="0"/>
              <w:rPr>
                <w:sz w:val="20"/>
                <w:szCs w:val="20"/>
                <w:color w:val="auto"/>
              </w:rPr>
            </w:pPr>
            <w:r>
              <w:rPr>
                <w:rFonts w:ascii="Arial" w:cs="Arial" w:eastAsia="Arial" w:hAnsi="Arial"/>
                <w:sz w:val="14"/>
                <w:szCs w:val="14"/>
                <w:color w:val="auto"/>
              </w:rPr>
              <w:t>511,455</w:t>
            </w:r>
          </w:p>
        </w:tc>
        <w:tc>
          <w:tcPr>
            <w:tcW w:w="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719,436</w:t>
            </w:r>
          </w:p>
        </w:tc>
      </w:tr>
      <w:tr>
        <w:trPr>
          <w:trHeight w:val="20"/>
        </w:trPr>
        <w:tc>
          <w:tcPr>
            <w:tcW w:w="6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80" w:hanging="375"/>
        <w:spacing w:after="0"/>
        <w:tabs>
          <w:tab w:leader="none" w:pos="38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93" w:lineRule="exact"/>
        <w:rPr>
          <w:rFonts w:ascii="Arial" w:cs="Arial" w:eastAsia="Arial" w:hAnsi="Arial"/>
          <w:sz w:val="14"/>
          <w:szCs w:val="14"/>
          <w:b w:val="1"/>
          <w:bCs w:val="1"/>
          <w:color w:val="auto"/>
        </w:rPr>
      </w:pPr>
    </w:p>
    <w:p>
      <w:pPr>
        <w:ind w:left="380" w:right="180"/>
        <w:spacing w:after="0" w:line="271" w:lineRule="auto"/>
        <w:rPr>
          <w:rFonts w:ascii="Arial" w:cs="Arial" w:eastAsia="Arial" w:hAnsi="Arial"/>
          <w:sz w:val="14"/>
          <w:szCs w:val="14"/>
          <w:b w:val="1"/>
          <w:bCs w:val="1"/>
          <w:color w:val="auto"/>
        </w:rPr>
      </w:pPr>
      <w:r>
        <w:rPr>
          <w:rFonts w:ascii="Arial" w:cs="Arial" w:eastAsia="Arial" w:hAnsi="Arial"/>
          <w:sz w:val="14"/>
          <w:szCs w:val="14"/>
          <w:color w:val="auto"/>
        </w:rPr>
        <w:t>The Company had restricted cash balances for cash collateralized standby letters of credit as of April 30, 2025 and January 31, 2025 of $9.0 million and $9.1 million, respectively, primarily to satisfy security deposit requirements on its leases. The restricted cash balances also consisted of letters of credit for rental product purchases and credit card transactions.</w:t>
      </w:r>
    </w:p>
    <w:p>
      <w:pPr>
        <w:spacing w:after="0" w:line="154" w:lineRule="exact"/>
        <w:rPr>
          <w:rFonts w:ascii="Arial" w:cs="Arial" w:eastAsia="Arial" w:hAnsi="Arial"/>
          <w:sz w:val="14"/>
          <w:szCs w:val="14"/>
          <w:b w:val="1"/>
          <w:bCs w:val="1"/>
          <w:color w:val="auto"/>
        </w:rPr>
      </w:pPr>
    </w:p>
    <w:p>
      <w:pPr>
        <w:ind w:left="380" w:right="160"/>
        <w:spacing w:after="0" w:line="290" w:lineRule="auto"/>
        <w:rPr>
          <w:rFonts w:ascii="Arial" w:cs="Arial" w:eastAsia="Arial" w:hAnsi="Arial"/>
          <w:sz w:val="14"/>
          <w:szCs w:val="14"/>
          <w:b w:val="1"/>
          <w:bCs w:val="1"/>
          <w:color w:val="auto"/>
        </w:rPr>
      </w:pPr>
      <w:r>
        <w:rPr>
          <w:rFonts w:ascii="Arial" w:cs="Arial" w:eastAsia="Arial" w:hAnsi="Arial"/>
          <w:sz w:val="14"/>
          <w:szCs w:val="14"/>
          <w:color w:val="auto"/>
        </w:rPr>
        <w:t>The Company has non-cancelable minimum purchase commitments that are related to technology services and are due over approximately 2.6 years. As of April 30, 2025, these commitments were $13.1 million.</w:t>
      </w:r>
    </w:p>
    <w:p>
      <w:pPr>
        <w:spacing w:after="0" w:line="143" w:lineRule="exact"/>
        <w:rPr>
          <w:rFonts w:ascii="Arial" w:cs="Arial" w:eastAsia="Arial" w:hAnsi="Arial"/>
          <w:sz w:val="14"/>
          <w:szCs w:val="14"/>
          <w:b w:val="1"/>
          <w:bCs w:val="1"/>
          <w:color w:val="auto"/>
        </w:rPr>
      </w:pPr>
    </w:p>
    <w:p>
      <w:pPr>
        <w:ind w:left="380"/>
        <w:spacing w:after="0"/>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Legal Proceedings</w:t>
      </w:r>
    </w:p>
    <w:p>
      <w:pPr>
        <w:spacing w:after="0" w:line="91" w:lineRule="exact"/>
        <w:rPr>
          <w:rFonts w:ascii="Arial" w:cs="Arial" w:eastAsia="Arial" w:hAnsi="Arial"/>
          <w:sz w:val="14"/>
          <w:szCs w:val="14"/>
          <w:b w:val="1"/>
          <w:bCs w:val="1"/>
          <w:color w:val="auto"/>
        </w:rPr>
      </w:pPr>
    </w:p>
    <w:p>
      <w:pPr>
        <w:ind w:left="380" w:right="20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From time to time in the normal course of business, various claims and litigation have been asserted or commenced against the Company. Due to uncertainties inherent in litigation and other claims, the Company can give no assurance that it will prevail in any such matters, which could subject the Company to significant liability for damages. Any claims or litigation could have an adverse effect on the Company’s results of operations, cash flows, or business and financial condition in the period the claims or litigation are resolved. Accruals for loss contingencies are recorded when a loss is probable, and the amount of such loss can be reasonably estimated.</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RENT THE RUNWAY, INC.</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(Dollars in millions, except share and per share amounts)</w:t>
      </w:r>
    </w:p>
    <w:p>
      <w:pPr>
        <w:spacing w:after="0" w:line="293" w:lineRule="exact"/>
        <w:rPr>
          <w:sz w:val="20"/>
          <w:szCs w:val="20"/>
          <w:color w:val="auto"/>
        </w:rPr>
      </w:pPr>
    </w:p>
    <w:p>
      <w:pPr>
        <w:ind w:left="380"/>
        <w:spacing w:after="0" w:line="244" w:lineRule="auto"/>
        <w:rPr>
          <w:sz w:val="20"/>
          <w:szCs w:val="20"/>
          <w:color w:val="auto"/>
        </w:rPr>
      </w:pPr>
      <w:r>
        <w:rPr>
          <w:rFonts w:ascii="Arial" w:cs="Arial" w:eastAsia="Arial" w:hAnsi="Arial"/>
          <w:sz w:val="14"/>
          <w:szCs w:val="14"/>
          <w:color w:val="auto"/>
        </w:rPr>
        <w:t xml:space="preserve">On November 14, 2022, a purported stockholder of the Company filed a putative class action lawsuit in the Eastern District of New York against the Company, certain of its officers and directors, and the underwriters of its IPO, entitled Rajat Sharma v. Rent the Runway, Inc., et al. 22-cv-6935 (the “Securities Action”). The complaint alleges that the defendants violated Sections 11 and 15 of the Securities Act of 1933, as amended (the “Securities Act”), by making allegedly materially misleading statements, and by omitting material facts necessary to make the statements made therein not misleading concerning, </w:t>
      </w:r>
      <w:r>
        <w:rPr>
          <w:rFonts w:ascii="Arial" w:cs="Arial" w:eastAsia="Arial" w:hAnsi="Arial"/>
          <w:sz w:val="14"/>
          <w:szCs w:val="14"/>
          <w:i w:val="1"/>
          <w:iCs w:val="1"/>
          <w:color w:val="auto"/>
        </w:rPr>
        <w:t>inter alia</w:t>
      </w:r>
      <w:r>
        <w:rPr>
          <w:rFonts w:ascii="Arial" w:cs="Arial" w:eastAsia="Arial" w:hAnsi="Arial"/>
          <w:sz w:val="14"/>
          <w:szCs w:val="14"/>
          <w:color w:val="auto"/>
        </w:rPr>
        <w:t>, the Company’s growth at the time of the IPO. The lawsuit seeks, among other things, compensatory damages, an award of attorneys’ fees and costs and such other relief as deemed just and proper by the court. On June 8, 2023, the court appointed Delaware Public Employees’ Retirement System and Denver Employees Retirement Plan as lead plaintiffs. On August 21, 2023, lead plaintiffs filed an amended complaint against the Company, certain of its officers and directors, and the underwriters of its IPO. The amended complaint alleges that defendants violated Sections 11, 12(a)(2) and 15 of the Securities Act by allegedly making certain false and misleading statements, and by omitting material facts necessary to make the statements made therein not misleading, concerning, among other things, the Company’s growth prospects and fulfillment costs at the time of the IPO. The lawsuit seeks an award of damages, attorney’s fees and costs, and such other relief as the court deems just and proper. All defendants moved to dismiss the amended complaint, with the motion fully briefed as of February 23, 2024. On September 25, 2024, the court issued an order granting in part and denying in part defendants’ motion to dismiss, dismissing the claims based on the Company’s growth prospects statements but allowing certain other claims to proceed. On October 9, 2024, defendants moved for reconsideration of the September 25, 2024 order and/or for certification under 28 U.S.C. § 1292(b), which motion was fully submitted as of October 30, 2024. In response to an application filed by defendants on November 19, 2024, on November 20, 2024, the Court issued an order adjourning defendants’ deadline to file an answer to the amended complaint sine die. On May 16, 2025, the Court issued an order granting Defendants’ motion to extend the time to answer the amended complaint until after the motion for reconsideration is resolved. The Court also determined that a phased approach to discovery was appropriate so as to permit the exchange of “key documents” and to promote the preservation of documents and evidence and directed the parties to submit a proposed initial discovery plan, which they did. The Court approved the initial discovery plan on June 3, 2025. The Company intends to vigorously defend itself against these claims. The Company believes it has meritorious defenses to the claims asserted in the amended complaint and any liability for such claims is not currently probable and the potential loss or range of loss is not reasonably estimable.</w:t>
      </w:r>
    </w:p>
    <w:p>
      <w:pPr>
        <w:spacing w:after="0" w:line="62" w:lineRule="exact"/>
        <w:rPr>
          <w:sz w:val="20"/>
          <w:szCs w:val="20"/>
          <w:color w:val="auto"/>
        </w:rPr>
      </w:pPr>
    </w:p>
    <w:p>
      <w:pPr>
        <w:ind w:left="380" w:right="80"/>
        <w:spacing w:after="0" w:line="259" w:lineRule="auto"/>
        <w:rPr>
          <w:sz w:val="20"/>
          <w:szCs w:val="20"/>
          <w:color w:val="auto"/>
        </w:rPr>
      </w:pPr>
      <w:r>
        <w:rPr>
          <w:rFonts w:ascii="Arial" w:cs="Arial" w:eastAsia="Arial" w:hAnsi="Arial"/>
          <w:sz w:val="14"/>
          <w:szCs w:val="14"/>
          <w:color w:val="auto"/>
        </w:rPr>
        <w:t>On October 18, 2024, a purported stockholder of the Company filed a putative stockholder derivative lawsuit on behalf of the Company in the Eastern District of New York against certain of the Company’s officers and directors (“Defendants”), and nominally against the Company, entitled Bandyopadhyay v. Hyman, et al., 24-cv-7321. The complaint, which is largely predicated on the same alleged facts and violations alleged in the Securities Action, asserts claims for breach of fiduciary duty, aiding and abetting breach of fiduciary duty, unjust enrichment, waste, and contribution and indemnification and seeks an award of damages, certain equitable relief, and attorneys’ fees and costs. The lawsuit is in its preliminary stages. On December 31, 2024, the Court issued an order staying the derivative action until the resolution of any motions for summary judgment in the Securities Action or notification of a settlement in-principle in the Securities Action, whichever occurs earlier. Defendants intend to vigorously defend themselves against these claims and believe that they have meritorious defenses to the claims asserted in the complaint.</w:t>
      </w:r>
    </w:p>
    <w:p>
      <w:pPr>
        <w:spacing w:after="0" w:line="227" w:lineRule="exact"/>
        <w:rPr>
          <w:sz w:val="20"/>
          <w:szCs w:val="20"/>
          <w:color w:val="auto"/>
        </w:rPr>
      </w:pPr>
    </w:p>
    <w:p>
      <w:pPr>
        <w:ind w:left="380" w:hanging="375"/>
        <w:spacing w:after="0"/>
        <w:tabs>
          <w:tab w:leader="none" w:pos="38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93" w:lineRule="exact"/>
        <w:rPr>
          <w:rFonts w:ascii="Arial" w:cs="Arial" w:eastAsia="Arial" w:hAnsi="Arial"/>
          <w:sz w:val="14"/>
          <w:szCs w:val="14"/>
          <w:b w:val="1"/>
          <w:bCs w:val="1"/>
          <w:color w:val="auto"/>
        </w:rPr>
      </w:pPr>
    </w:p>
    <w:p>
      <w:pPr>
        <w:ind w:left="380" w:right="24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 xml:space="preserve">In May 2025, the Company agreed to settle a pre-litigation dispute that existed as of April 30, 2025. The settlement agreement is in the process of being finalized. The full amount of the settlement is expected to be paid directly by the Company’s insurance carriers, subject to an immaterial standard deductible. In accordance with ASC 855, </w:t>
      </w:r>
      <w:r>
        <w:rPr>
          <w:rFonts w:ascii="Arial" w:cs="Arial" w:eastAsia="Arial" w:hAnsi="Arial"/>
          <w:sz w:val="14"/>
          <w:szCs w:val="14"/>
          <w:i w:val="1"/>
          <w:iCs w:val="1"/>
          <w:color w:val="auto"/>
        </w:rPr>
        <w:t>Subsequent Events</w:t>
      </w:r>
      <w:r>
        <w:rPr>
          <w:rFonts w:ascii="Arial" w:cs="Arial" w:eastAsia="Arial" w:hAnsi="Arial"/>
          <w:sz w:val="14"/>
          <w:szCs w:val="14"/>
          <w:color w:val="auto"/>
        </w:rPr>
        <w:t>, the anticipated settlement amount and related insurance proceeds have been recognized in the Company’s financial statements for the quarter ended</w:t>
      </w:r>
      <w:r>
        <w:rPr>
          <w:rFonts w:ascii="Arial" w:cs="Arial" w:eastAsia="Arial" w:hAnsi="Arial"/>
          <w:sz w:val="14"/>
          <w:szCs w:val="14"/>
          <w:i w:val="1"/>
          <w:iCs w:val="1"/>
          <w:color w:val="auto"/>
        </w:rPr>
        <w:t xml:space="preserve"> </w:t>
      </w:r>
      <w:r>
        <w:rPr>
          <w:rFonts w:ascii="Arial" w:cs="Arial" w:eastAsia="Arial" w:hAnsi="Arial"/>
          <w:sz w:val="14"/>
          <w:szCs w:val="14"/>
          <w:color w:val="auto"/>
        </w:rPr>
        <w:t>April 30, 2025. The overall impact of the settlement is not material to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80"/>
        <w:spacing w:after="0" w:line="264" w:lineRule="auto"/>
        <w:rPr>
          <w:sz w:val="20"/>
          <w:szCs w:val="20"/>
          <w:color w:val="auto"/>
        </w:rPr>
      </w:pPr>
      <w:r>
        <w:rPr>
          <w:rFonts w:ascii="Arial" w:cs="Arial" w:eastAsia="Arial" w:hAnsi="Arial"/>
          <w:sz w:val="14"/>
          <w:szCs w:val="14"/>
          <w:i w:val="1"/>
          <w:iCs w:val="1"/>
          <w:color w:val="auto"/>
        </w:rPr>
        <w:t>The following discussion of our financial condition and results of operations should be read in conjunction with our unaudited condensed consolidated financial statements and the related notes included elsewhere in this Quarterly Report on Form 10-Q and the audited financial statements and notes thereto as of and for the year ended January 31, 2025 and the related Management’s Discussion and Analysis of Financial Condition and Results of Operations in our Annual Report on Form 10-K for the fiscal year ended January 31, 2025 (the “2024 Annual Report on Form 10-K”).</w:t>
      </w:r>
    </w:p>
    <w:p>
      <w:pPr>
        <w:spacing w:after="0" w:line="162"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i w:val="1"/>
          <w:iCs w:val="1"/>
          <w:color w:val="auto"/>
        </w:rPr>
        <w:t>In addition to historical financial information, the following discussion contains forward-looking statements that reflect our plans, estimates and beliefs. Our actual results may differ materially from those described in or implied by any forward-looking statements. Factors that could cause or contribute to these differences include those discussed below and elsewhere in this Quarterly Report on Form 10-Q, particularly in Part II, Item 1A,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We give customers ongoing access to our “unlimited closet” — with thousands of styles by hundreds of designer brands — through our Subscription offering or the ability to rent a-la-carte through our Reserve offering. We also give our subscribers and customers the ability to buy our products through our Resale offering, which offers customers pre-loved styles from our closet at a discount to retail price, up to 90% off of designer retail value. These offerings allow us to engage and serve our subscribers and customers across diverse use cases from everyday life to special occasions. We have served approximately 3 million lifetime customers across all of our offerings and we had 182,209 ending Total Subscribers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(active and paused) as of April 30, 2025. We had 147,157 Active Subscribers as of April 30, 2025. The majority of our revenue is highly recurring and is generated by our subscribers. For the three months ended April 30, 2025 and 2024, respectively, 88% and 88% of our total revenue (including Reserve and Resale revenue) was generated by subscribers while they were active or paused.</w:t>
      </w:r>
    </w:p>
    <w:p>
      <w:pPr>
        <w:spacing w:after="0" w:line="66"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variety, breadth and quantity of products we carry is important to our business, and we strategically manage the capital efficient acquisition of a high volume of items every year. We have successfully disproved the myth that fashion apparel items and accessories only last one season as we are able to rent or “turn” our products multiple times over many years. We price our rental items at a fraction of their retail or comparable value, creating an attractive price and value proposition for our subscribers and customers.</w:t>
      </w:r>
    </w:p>
    <w:p>
      <w:pPr>
        <w:spacing w:after="0" w:line="49"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source virtually all of our products, which includes apparel and accessories, directly from, or in partnership with, designer brands. Prior to 2018, we purchased nearly all of our products from our brand partners typically at a discount to wholesale cost, which we refer to as “Wholesale” items. In late 2018, we began to procure products through Share by RTR and Exclusive Designs. See “—Our Product Acquisition Strategy” below for a description of the three ways in which we procure products.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Fiscal First Quarter and Recent Business Highlights:</w:t>
      </w:r>
    </w:p>
    <w:p>
      <w:pPr>
        <w:spacing w:after="0" w:line="92" w:lineRule="exact"/>
        <w:rPr>
          <w:sz w:val="20"/>
          <w:szCs w:val="20"/>
          <w:color w:val="auto"/>
        </w:rPr>
      </w:pPr>
    </w:p>
    <w:p>
      <w:pPr>
        <w:ind w:left="380" w:right="100" w:hanging="248"/>
        <w:spacing w:after="0" w:line="258" w:lineRule="auto"/>
        <w:tabs>
          <w:tab w:leader="none" w:pos="376" w:val="left"/>
        </w:tabs>
        <w:numPr>
          <w:ilvl w:val="1"/>
          <w:numId w:val="22"/>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 xml:space="preserve">Began deploying our new rental product strategy on site: </w:t>
      </w:r>
      <w:r>
        <w:rPr>
          <w:rFonts w:ascii="Arial" w:cs="Arial" w:eastAsia="Arial" w:hAnsi="Arial"/>
          <w:sz w:val="14"/>
          <w:szCs w:val="14"/>
          <w:color w:val="auto"/>
        </w:rPr>
        <w:t>Our historic investment in rental product began reaching customers, with a 24% increase in new rental product</w:t>
      </w:r>
      <w:r>
        <w:rPr>
          <w:rFonts w:ascii="Arial" w:cs="Arial" w:eastAsia="Arial" w:hAnsi="Arial"/>
          <w:sz w:val="14"/>
          <w:szCs w:val="14"/>
          <w:b w:val="1"/>
          <w:bCs w:val="1"/>
          <w:color w:val="auto"/>
        </w:rPr>
        <w:t xml:space="preserve"> </w:t>
      </w:r>
      <w:r>
        <w:rPr>
          <w:rFonts w:ascii="Arial" w:cs="Arial" w:eastAsia="Arial" w:hAnsi="Arial"/>
          <w:sz w:val="14"/>
          <w:szCs w:val="14"/>
          <w:color w:val="auto"/>
        </w:rPr>
        <w:t>receipts in the first quarter of fiscal year 2025 versus the first quarter of fiscal year 2024. In the first quarter of fiscal year 2025, we launched 36 new brands and over 1,000 new styles. We expect that the remainder of the year will be even more impactful, with rental product receipts expected to increase +134% year-over-year. We also expect to launch over 40 new brands and post over 2,700 new styles.</w:t>
      </w:r>
    </w:p>
    <w:p>
      <w:pPr>
        <w:jc w:val="both"/>
        <w:ind w:left="380" w:right="120" w:hanging="375"/>
        <w:spacing w:after="0" w:line="253" w:lineRule="auto"/>
        <w:tabs>
          <w:tab w:leader="none" w:pos="376"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 xml:space="preserve">Expanded rental product from pillar brands: </w:t>
      </w:r>
      <w:r>
        <w:rPr>
          <w:rFonts w:ascii="Arial" w:cs="Arial" w:eastAsia="Arial" w:hAnsi="Arial"/>
          <w:sz w:val="14"/>
          <w:szCs w:val="14"/>
          <w:color w:val="auto"/>
        </w:rPr>
        <w:t>In the first quarter of fiscal year 2025, we released four new collaborations with Sea NY, Plan C, Ganni and Simon Miller, and</w:t>
      </w:r>
      <w:r>
        <w:rPr>
          <w:rFonts w:ascii="Arial" w:cs="Arial" w:eastAsia="Arial" w:hAnsi="Arial"/>
          <w:sz w:val="14"/>
          <w:szCs w:val="14"/>
          <w:b w:val="1"/>
          <w:bCs w:val="1"/>
          <w:color w:val="auto"/>
        </w:rPr>
        <w:t xml:space="preserve"> </w:t>
      </w:r>
      <w:r>
        <w:rPr>
          <w:rFonts w:ascii="Arial" w:cs="Arial" w:eastAsia="Arial" w:hAnsi="Arial"/>
          <w:sz w:val="14"/>
          <w:szCs w:val="14"/>
          <w:color w:val="auto"/>
        </w:rPr>
        <w:t>increased the number of styles from popular brands like Staud, Ulla Johnson, Veronica Beard, and Tanya Taylor. Pillar brands are leading the way in customer engagement, with more demand, love rate, and hearts per style.</w:t>
      </w:r>
    </w:p>
    <w:p>
      <w:pPr>
        <w:ind w:left="380" w:right="80" w:hanging="375"/>
        <w:spacing w:after="0" w:line="269" w:lineRule="auto"/>
        <w:tabs>
          <w:tab w:leader="none" w:pos="376" w:val="left"/>
        </w:tabs>
        <w:numPr>
          <w:ilvl w:val="0"/>
          <w:numId w:val="22"/>
        </w:numPr>
        <w:rPr>
          <w:rFonts w:ascii="Arial" w:cs="Arial" w:eastAsia="Arial" w:hAnsi="Arial"/>
          <w:sz w:val="14"/>
          <w:szCs w:val="14"/>
          <w:color w:val="auto"/>
        </w:rPr>
      </w:pPr>
      <w:r>
        <w:rPr>
          <w:rFonts w:ascii="Arial" w:cs="Arial" w:eastAsia="Arial" w:hAnsi="Arial"/>
          <w:sz w:val="14"/>
          <w:szCs w:val="14"/>
          <w:b w:val="1"/>
          <w:bCs w:val="1"/>
          <w:color w:val="auto"/>
        </w:rPr>
        <w:t>Continued to demonstrate that RTR is a valuable marketing channel for many brands</w:t>
      </w:r>
      <w:r>
        <w:rPr>
          <w:rFonts w:ascii="Arial" w:cs="Arial" w:eastAsia="Arial" w:hAnsi="Arial"/>
          <w:sz w:val="14"/>
          <w:szCs w:val="14"/>
          <w:color w:val="auto"/>
        </w:rPr>
        <w:t>, providing an effective way for them to reach new customers outside of traditional</w:t>
      </w:r>
      <w:r>
        <w:rPr>
          <w:rFonts w:ascii="Arial" w:cs="Arial" w:eastAsia="Arial" w:hAnsi="Arial"/>
          <w:sz w:val="14"/>
          <w:szCs w:val="14"/>
          <w:b w:val="1"/>
          <w:bCs w:val="1"/>
          <w:color w:val="auto"/>
        </w:rPr>
        <w:t xml:space="preserve"> </w:t>
      </w:r>
      <w:r>
        <w:rPr>
          <w:rFonts w:ascii="Arial" w:cs="Arial" w:eastAsia="Arial" w:hAnsi="Arial"/>
          <w:sz w:val="14"/>
          <w:szCs w:val="14"/>
          <w:color w:val="auto"/>
        </w:rPr>
        <w:t>marketing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34747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29" w:lineRule="exact"/>
        <w:rPr>
          <w:sz w:val="20"/>
          <w:szCs w:val="20"/>
          <w:color w:val="auto"/>
        </w:rPr>
      </w:pPr>
    </w:p>
    <w:p>
      <w:pPr>
        <w:ind w:right="40" w:firstLine="5"/>
        <w:spacing w:after="0" w:line="194" w:lineRule="auto"/>
        <w:tabs>
          <w:tab w:leader="none" w:pos="108" w:val="left"/>
        </w:tabs>
        <w:numPr>
          <w:ilvl w:val="0"/>
          <w:numId w:val="23"/>
        </w:numPr>
        <w:rPr>
          <w:rFonts w:ascii="Arial" w:cs="Arial" w:eastAsia="Arial" w:hAnsi="Arial"/>
          <w:sz w:val="22"/>
          <w:szCs w:val="22"/>
          <w:color w:val="auto"/>
          <w:vertAlign w:val="superscript"/>
        </w:rPr>
      </w:pPr>
      <w:r>
        <w:rPr>
          <w:rFonts w:ascii="Arial" w:cs="Arial" w:eastAsia="Arial" w:hAnsi="Arial"/>
          <w:sz w:val="11"/>
          <w:szCs w:val="11"/>
          <w:color w:val="auto"/>
        </w:rPr>
        <w:t>Ending Total Subscribers represents the number of subscribers with an active or paused membership as of the last day of the period and excludes subscribers who had an active or paused subscription during the period, but ended their subscription prior to the last day of the fiscal period.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both"/>
        <w:ind w:left="380" w:hanging="375"/>
        <w:spacing w:after="0" w:line="260" w:lineRule="auto"/>
        <w:tabs>
          <w:tab w:leader="none" w:pos="37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 xml:space="preserve">Improved the new member experience, providing white glove service to early term customers: </w:t>
      </w:r>
      <w:r>
        <w:rPr>
          <w:rFonts w:ascii="Arial" w:cs="Arial" w:eastAsia="Arial" w:hAnsi="Arial"/>
          <w:sz w:val="14"/>
          <w:szCs w:val="14"/>
          <w:color w:val="auto"/>
        </w:rPr>
        <w:t>In the first quarter of fiscal year 2025, we launched styling support, a 60-day customer promise where customers can get new items sent to them at no cost if they’re unsatisfied with any of the items in their order, and called 50% of new members to ensure they had a smooth introduction. By the end of the second quarter of fiscal year 2025, we anticipate 100% of our early term customers will receive a call.</w:t>
      </w:r>
    </w:p>
    <w:p>
      <w:pPr>
        <w:ind w:left="380" w:right="160" w:hanging="375"/>
        <w:spacing w:after="0" w:line="253" w:lineRule="auto"/>
        <w:tabs>
          <w:tab w:leader="none" w:pos="37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 xml:space="preserve">Introduced highly requested product features, including back-in-stock notifications: </w:t>
      </w:r>
      <w:r>
        <w:rPr>
          <w:rFonts w:ascii="Arial" w:cs="Arial" w:eastAsia="Arial" w:hAnsi="Arial"/>
          <w:sz w:val="14"/>
          <w:szCs w:val="14"/>
          <w:color w:val="auto"/>
        </w:rPr>
        <w:t>Historically the most requested new feature, beginning in the first quarter of fiscal</w:t>
      </w:r>
      <w:r>
        <w:rPr>
          <w:rFonts w:ascii="Arial" w:cs="Arial" w:eastAsia="Arial" w:hAnsi="Arial"/>
          <w:sz w:val="14"/>
          <w:szCs w:val="14"/>
          <w:b w:val="1"/>
          <w:bCs w:val="1"/>
          <w:color w:val="auto"/>
        </w:rPr>
        <w:t xml:space="preserve"> </w:t>
      </w:r>
      <w:r>
        <w:rPr>
          <w:rFonts w:ascii="Arial" w:cs="Arial" w:eastAsia="Arial" w:hAnsi="Arial"/>
          <w:sz w:val="14"/>
          <w:szCs w:val="14"/>
          <w:color w:val="auto"/>
        </w:rPr>
        <w:t>year 2025, customers can request to be notified when an item is back in stock. As of June 1, 25% of all subscribers engaged with back in stock notifications and 48% of subscribers successfully added a back in stock item to their bag from a notification.</w:t>
      </w:r>
    </w:p>
    <w:p>
      <w:pPr>
        <w:ind w:left="380" w:right="180" w:hanging="375"/>
        <w:spacing w:after="0" w:line="253" w:lineRule="auto"/>
        <w:tabs>
          <w:tab w:leader="none" w:pos="37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 xml:space="preserve">Reconnected with our customers: </w:t>
      </w:r>
      <w:r>
        <w:rPr>
          <w:rFonts w:ascii="Arial" w:cs="Arial" w:eastAsia="Arial" w:hAnsi="Arial"/>
          <w:sz w:val="14"/>
          <w:szCs w:val="14"/>
          <w:color w:val="auto"/>
        </w:rPr>
        <w:t>Through authentic, transparent communications and branding and unique member experiences, we’ve shown our customers we heard</w:t>
      </w:r>
      <w:r>
        <w:rPr>
          <w:rFonts w:ascii="Arial" w:cs="Arial" w:eastAsia="Arial" w:hAnsi="Arial"/>
          <w:sz w:val="14"/>
          <w:szCs w:val="14"/>
          <w:b w:val="1"/>
          <w:bCs w:val="1"/>
          <w:color w:val="auto"/>
        </w:rPr>
        <w:t xml:space="preserve"> </w:t>
      </w:r>
      <w:r>
        <w:rPr>
          <w:rFonts w:ascii="Arial" w:cs="Arial" w:eastAsia="Arial" w:hAnsi="Arial"/>
          <w:sz w:val="14"/>
          <w:szCs w:val="14"/>
          <w:color w:val="auto"/>
        </w:rPr>
        <w:t>them during the first quarter of fiscal year 2025 and we’ve continued this campaign in the second quarter of fiscal year 2025.</w:t>
      </w:r>
    </w:p>
    <w:p>
      <w:pPr>
        <w:ind w:left="380" w:right="60" w:hanging="375"/>
        <w:spacing w:after="0" w:line="253" w:lineRule="auto"/>
        <w:tabs>
          <w:tab w:leader="none" w:pos="37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 xml:space="preserve">Increased customer engagement: </w:t>
      </w:r>
      <w:r>
        <w:rPr>
          <w:rFonts w:ascii="Arial" w:cs="Arial" w:eastAsia="Arial" w:hAnsi="Arial"/>
          <w:sz w:val="14"/>
          <w:szCs w:val="14"/>
          <w:color w:val="auto"/>
        </w:rPr>
        <w:t>We’ve seen higher engagement with our Spring 2025 rental product, which has 23% higher share of views, 46% more hearts, and a 14%</w:t>
      </w:r>
      <w:r>
        <w:rPr>
          <w:rFonts w:ascii="Arial" w:cs="Arial" w:eastAsia="Arial" w:hAnsi="Arial"/>
          <w:sz w:val="14"/>
          <w:szCs w:val="14"/>
          <w:b w:val="1"/>
          <w:bCs w:val="1"/>
          <w:color w:val="auto"/>
        </w:rPr>
        <w:t xml:space="preserve"> </w:t>
      </w:r>
      <w:r>
        <w:rPr>
          <w:rFonts w:ascii="Arial" w:cs="Arial" w:eastAsia="Arial" w:hAnsi="Arial"/>
          <w:sz w:val="14"/>
          <w:szCs w:val="14"/>
          <w:color w:val="auto"/>
        </w:rPr>
        <w:t>higher love rate than our Spring 2024 buy. Customers are also adding more items to their shipments, with gross bookings of April 2025 add-on spots up 11% versus the prior year.</w:t>
      </w:r>
    </w:p>
    <w:p>
      <w:pPr>
        <w:ind w:left="380" w:right="80" w:hanging="375"/>
        <w:spacing w:after="0" w:line="261" w:lineRule="auto"/>
        <w:tabs>
          <w:tab w:leader="none" w:pos="376" w:val="left"/>
        </w:tabs>
        <w:numPr>
          <w:ilvl w:val="0"/>
          <w:numId w:val="24"/>
        </w:numPr>
        <w:rPr>
          <w:rFonts w:ascii="Arial" w:cs="Arial" w:eastAsia="Arial" w:hAnsi="Arial"/>
          <w:sz w:val="14"/>
          <w:szCs w:val="14"/>
          <w:color w:val="auto"/>
        </w:rPr>
      </w:pPr>
      <w:r>
        <w:rPr>
          <w:rFonts w:ascii="Arial" w:cs="Arial" w:eastAsia="Arial" w:hAnsi="Arial"/>
          <w:sz w:val="14"/>
          <w:szCs w:val="14"/>
          <w:b w:val="1"/>
          <w:bCs w:val="1"/>
          <w:color w:val="auto"/>
        </w:rPr>
        <w:t xml:space="preserve">Launched a new organic media strategy: </w:t>
      </w:r>
      <w:r>
        <w:rPr>
          <w:rFonts w:ascii="Arial" w:cs="Arial" w:eastAsia="Arial" w:hAnsi="Arial"/>
          <w:sz w:val="14"/>
          <w:szCs w:val="14"/>
          <w:color w:val="auto"/>
        </w:rPr>
        <w:t>We engaged with our opinionated community members on Reddit and introduced new content series on social media,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new spokespeople and highlights of our team. The engagement rate on our social channels is up 163% since we launched our new strategy in April and May as compared to the two months prior.</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Key Operating and Financial Results. </w:t>
      </w:r>
      <w:r>
        <w:rPr>
          <w:rFonts w:ascii="Arial" w:cs="Arial" w:eastAsia="Arial" w:hAnsi="Arial"/>
          <w:sz w:val="14"/>
          <w:szCs w:val="14"/>
          <w:color w:val="auto"/>
        </w:rPr>
        <w:t>We have achieved the following operating and financial results for the three months ended April 30, 2025 and 2024, respectively:</w:t>
      </w:r>
    </w:p>
    <w:p>
      <w:pPr>
        <w:spacing w:after="0" w:line="200" w:lineRule="exact"/>
        <w:rPr>
          <w:sz w:val="20"/>
          <w:szCs w:val="20"/>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Revenue was $69.6 million and $75.0 million, respectively, representing a decrease of (7.2)% year-over-year;</w:t>
      </w:r>
    </w:p>
    <w:p>
      <w:pPr>
        <w:spacing w:after="0" w:line="91"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147,157 and 145,837 ending Active Subscribers</w:t>
      </w:r>
      <w:r>
        <w:rPr>
          <w:rFonts w:ascii="Arial" w:cs="Arial" w:eastAsia="Arial" w:hAnsi="Arial"/>
          <w:sz w:val="18"/>
          <w:szCs w:val="18"/>
          <w:color w:val="auto"/>
          <w:vertAlign w:val="superscript"/>
        </w:rPr>
        <w:t>2</w:t>
      </w:r>
      <w:r>
        <w:rPr>
          <w:rFonts w:ascii="Arial" w:cs="Arial" w:eastAsia="Arial" w:hAnsi="Arial"/>
          <w:sz w:val="14"/>
          <w:szCs w:val="14"/>
          <w:color w:val="auto"/>
        </w:rPr>
        <w:t>, respectively, representing an increase of 1% year-over-year;</w:t>
      </w:r>
    </w:p>
    <w:p>
      <w:pPr>
        <w:spacing w:after="0" w:line="47"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133,468 and 135,896 Average Active Subscribers</w:t>
      </w:r>
      <w:r>
        <w:rPr>
          <w:rFonts w:ascii="Arial" w:cs="Arial" w:eastAsia="Arial" w:hAnsi="Arial"/>
          <w:sz w:val="18"/>
          <w:szCs w:val="18"/>
          <w:color w:val="auto"/>
          <w:vertAlign w:val="superscript"/>
        </w:rPr>
        <w:t>3</w:t>
      </w:r>
      <w:r>
        <w:rPr>
          <w:rFonts w:ascii="Arial" w:cs="Arial" w:eastAsia="Arial" w:hAnsi="Arial"/>
          <w:sz w:val="14"/>
          <w:szCs w:val="14"/>
          <w:color w:val="auto"/>
        </w:rPr>
        <w:t>, respectively, representing a change of (2)% year-over-year;</w:t>
      </w:r>
    </w:p>
    <w:p>
      <w:pPr>
        <w:spacing w:after="0" w:line="49"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182,209 and 185,346 ending Total Subscribers (including paused subscribers), respectively, representing a change of (2)% year-over-year;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Gross Profit was $21.9 million and $28.4 million, respectively, representing a gross margin of 31.5% and 37.9%, respectively;</w:t>
      </w:r>
    </w:p>
    <w:p>
      <w:pPr>
        <w:spacing w:after="0" w:line="93" w:lineRule="exact"/>
        <w:rPr>
          <w:rFonts w:ascii="Arial" w:cs="Arial" w:eastAsia="Arial" w:hAnsi="Arial"/>
          <w:sz w:val="14"/>
          <w:szCs w:val="14"/>
          <w:color w:val="auto"/>
        </w:rPr>
      </w:pPr>
    </w:p>
    <w:p>
      <w:pPr>
        <w:ind w:left="580" w:right="28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Loss was $(26.1) million and $(22.0) million, respectively. Net Loss as a percentage of revenue was (37.5)% and (29.3)%, respectively, and included $0.2 million of restructuring and related charges for the three months ended April 30, 2024;</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Adjusted EBITDA was $(1.3) million and $6.5 million, respectively, representing an Adjusted EBITDA margin of (1.9)% and 8.7%, respectively;</w:t>
      </w:r>
    </w:p>
    <w:p>
      <w:pPr>
        <w:spacing w:after="0" w:line="93" w:lineRule="exact"/>
        <w:rPr>
          <w:rFonts w:ascii="Arial" w:cs="Arial" w:eastAsia="Arial" w:hAnsi="Arial"/>
          <w:sz w:val="14"/>
          <w:szCs w:val="14"/>
          <w:color w:val="auto"/>
        </w:rPr>
      </w:pPr>
    </w:p>
    <w:p>
      <w:pPr>
        <w:ind w:left="580" w:right="56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cash (used in) provided by operating activities was $8.3 million and $4.6 million, and net cash used in investing activities was $(14.7) million and $(6.0) million, respectively;</w:t>
      </w:r>
    </w:p>
    <w:p>
      <w:pPr>
        <w:spacing w:after="0" w:line="35" w:lineRule="exact"/>
        <w:rPr>
          <w:rFonts w:ascii="Arial" w:cs="Arial" w:eastAsia="Arial" w:hAnsi="Arial"/>
          <w:sz w:val="14"/>
          <w:szCs w:val="14"/>
          <w:color w:val="auto"/>
        </w:rPr>
      </w:pPr>
    </w:p>
    <w:p>
      <w:pPr>
        <w:ind w:left="580" w:right="180" w:hanging="193"/>
        <w:spacing w:after="0" w:line="290" w:lineRule="auto"/>
        <w:tabs>
          <w:tab w:leader="none" w:pos="576"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cash (used in) provided by operating activities as a percentage of revenue was 11.9% and 6.1% and net cash used in investing activities as a percentage of revenue was (21.1)% and (8.0)%, respectively;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Cash and Cash Equivalents was $70.4 million and $82.0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134747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273" w:lineRule="exact"/>
        <w:rPr>
          <w:sz w:val="20"/>
          <w:szCs w:val="20"/>
          <w:color w:val="auto"/>
        </w:rPr>
      </w:pPr>
    </w:p>
    <w:p>
      <w:pPr>
        <w:ind w:left="100" w:hanging="95"/>
        <w:spacing w:after="0"/>
        <w:tabs>
          <w:tab w:leader="none" w:pos="100" w:val="left"/>
        </w:tabs>
        <w:numPr>
          <w:ilvl w:val="0"/>
          <w:numId w:val="26"/>
        </w:numPr>
        <w:rPr>
          <w:rFonts w:ascii="Arial" w:cs="Arial" w:eastAsia="Arial" w:hAnsi="Arial"/>
          <w:sz w:val="7"/>
          <w:szCs w:val="7"/>
          <w:color w:val="auto"/>
        </w:rPr>
      </w:pPr>
      <w:r>
        <w:rPr>
          <w:rFonts w:ascii="Arial" w:cs="Arial" w:eastAsia="Arial" w:hAnsi="Arial"/>
          <w:sz w:val="11"/>
          <w:szCs w:val="11"/>
          <w:color w:val="auto"/>
        </w:rPr>
        <w:t>Active Subscribers is defined as ending Total Subscribers as of period end, excluding paused subscribers.</w:t>
      </w:r>
    </w:p>
    <w:p>
      <w:pPr>
        <w:spacing w:after="0" w:line="33" w:lineRule="exact"/>
        <w:rPr>
          <w:sz w:val="20"/>
          <w:szCs w:val="20"/>
          <w:color w:val="auto"/>
        </w:rPr>
      </w:pPr>
    </w:p>
    <w:p>
      <w:pPr>
        <w:ind w:right="20" w:firstLine="5"/>
        <w:spacing w:after="0" w:line="221" w:lineRule="auto"/>
        <w:tabs>
          <w:tab w:leader="none" w:pos="72" w:val="left"/>
        </w:tabs>
        <w:numPr>
          <w:ilvl w:val="0"/>
          <w:numId w:val="27"/>
        </w:numPr>
        <w:rPr>
          <w:rFonts w:ascii="Arial" w:cs="Arial" w:eastAsia="Arial" w:hAnsi="Arial"/>
          <w:sz w:val="15"/>
          <w:szCs w:val="15"/>
          <w:color w:val="auto"/>
          <w:vertAlign w:val="superscript"/>
        </w:rPr>
      </w:pPr>
      <w:r>
        <w:rPr>
          <w:rFonts w:ascii="Arial" w:cs="Arial" w:eastAsia="Arial" w:hAnsi="Arial"/>
          <w:sz w:val="11"/>
          <w:szCs w:val="11"/>
          <w:color w:val="auto"/>
        </w:rPr>
        <w:t>Average Active Subscribers represents the mean of the beginning of quarter and end of quarter Active Subscribers for a quarterly period; and for other periods, represents the mean of the Average Active Subscribers of every quarter within that period.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Product Acquisition Strategy</w:t>
      </w:r>
    </w:p>
    <w:p>
      <w:pPr>
        <w:spacing w:after="0" w:line="94"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We acquire and monetize products in three ways: Wholesale, Share by RTR and Exclusive Designs. Wholesale items are acquired directly from brand partners, typically at a discount to Wholesale price. Share by RTR items are acquired directly from brand partners on consignment, at zero to low upfront cost with performance-based revenue share payments to our brand partners over time. Exclusive Designs items are designed using our data in collaboration with our brand partners. These units are manufactured through third-party partners with an upfront fee and, in most cases, minimal revenue share payments to our brand partners over time.</w:t>
      </w:r>
    </w:p>
    <w:p>
      <w:pPr>
        <w:spacing w:after="0" w:line="53"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Our three product acquisition methods are strategic levers to manage our capital efficiency, profitability and product risk. Our Exclusive Designs channel partners with brands to acquire RTR-exclusive items at a lower cost, which are designed to generate higher profitability over time. Share by RTR meaningfully reduces our upfront purchases of rental product and de-risks our investment since we pay brands primarily based on item performance. Our Share by RTR arrangements with brands target delivering 75% to 100% of comparable Wholesale cost to the brand in the first year; however there is no minimum commitment other than the upfront payment, if applicable. Nearly all Share by RTR deals consummated after September 2020 include a cap on total potential payments to the brand partner.</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fiscal year 2024, 30% of new items were acquired through Wholesale, 48% through Share by RTR and 22% through Exclusive Designs, compared to 39% Wholesale, 33% Share by RTR and 28% Exclusive Designs in fiscal year 2023. In total, approximately 70% of new items were acquired through Share by RTR and Exclusive Designs, our more capital-efficient channels in fiscal year 2024 and approximately 61% in fiscal year 2023. Both our purchasing power and the diversification into Share by RTR and Exclusive Designs have led to a decrease in rental product capital expenditures (or Purchases of Rental Product as presented in the Condensed Consolidated Statement of Cash Flows) as a percentage of revenue over time. We expect the total percentage of units acquired through our more capital-efficient channels to be unchanged in fiscal year 2025 versus fiscal year 2024, with an increase in the percentage of units acquired through our Share by RTR program versus fiscal year 2024. We plan to further decrease the percentage of units acquired through Wholesale and increase the percentage of units acquired through our more capital-efficient channels over the longer term. We expect to incur higher purchases of rental product in fiscal year 2025 relative to fiscal year 2024 in connection with our strategy to approximately double the new rental product added to our site and made available to our customers in fiscal year 2025.</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details about our business model and our product acquisition strategy, see our 2024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Performance</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believe that our performance and future success depend on a variety of factors that present significant opportunities for our business, but also present risks and challenges that could adversely impact our growth and profitability.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Subscribers and Customers</w:t>
      </w:r>
    </w:p>
    <w:p>
      <w:pPr>
        <w:spacing w:after="0" w:line="92"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b w:val="1"/>
          <w:bCs w:val="1"/>
          <w:i w:val="1"/>
          <w:iCs w:val="1"/>
          <w:color w:val="auto"/>
        </w:rPr>
        <w:t xml:space="preserve">Ability to Attract and Retain Subscribers and Customers. </w:t>
      </w:r>
      <w:r>
        <w:rPr>
          <w:rFonts w:ascii="Arial" w:cs="Arial" w:eastAsia="Arial" w:hAnsi="Arial"/>
          <w:sz w:val="14"/>
          <w:szCs w:val="14"/>
          <w:color w:val="auto"/>
        </w:rPr>
        <w:t>We believe that we have a significant market opportunity to increase our base of subscribers and customers, and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long-term growth depends in large part on our continued ability to acquire and retain subscribers and customers.</w:t>
      </w:r>
    </w:p>
    <w:p>
      <w:pPr>
        <w:spacing w:after="0" w:line="35"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provide a flexible offering that allows our subscribers to customize their subscription as their everyday life changes, choosing to pause and reactivate their membership as needed. We have also historically seen that many subscribers who cancel their subscription will return and resubscribe when membership again makes sense for their everyday life. Customer acquisition is dependent on organic growth, the effectiveness of our paid marketing strategy and the availability of and satisfaction with our rental product. Our acquisitions are also reliant on new customer promotions. Our promotional strategy is subject to change depending on business and market conditions. In fiscal year 2024, we have focused, and plan to continue to focus in fiscal year 2025, on improving both the availability of and satisfaction with our rental product for our Reserve and Subscription customers.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believe customer retention plays an important role in driving business growth. Customer retention is influenced by a number of factors, including rental product in-stock levels and satisfaction, product experience, and customer service levels. Starting in fiscal year 2023, we increased the depth of our rental product purchases to improve rental product in-stock levels. We increased the depth of our rental product further in fiscal year 2024 and experienced better customer retention for fiscal year 2024 versus fiscal year 2023. In fiscal year 2025, we plan to focus on significantly increasing the quantity and desirability of rental product purchases, which we believe will increase customer satisfaction and improve retention further. We are also focused on new product features as well as more personal customer service and styling.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Brands and Products</w:t>
      </w:r>
    </w:p>
    <w:p>
      <w:pPr>
        <w:spacing w:after="0" w:line="92" w:lineRule="exact"/>
        <w:rPr>
          <w:sz w:val="20"/>
          <w:szCs w:val="20"/>
          <w:color w:val="auto"/>
        </w:rPr>
      </w:pPr>
    </w:p>
    <w:p>
      <w:pPr>
        <w:ind w:right="300"/>
        <w:spacing w:after="0" w:line="260" w:lineRule="auto"/>
        <w:rPr>
          <w:sz w:val="20"/>
          <w:szCs w:val="20"/>
          <w:color w:val="auto"/>
        </w:rPr>
      </w:pPr>
      <w:r>
        <w:rPr>
          <w:rFonts w:ascii="Arial" w:cs="Arial" w:eastAsia="Arial" w:hAnsi="Arial"/>
          <w:sz w:val="14"/>
          <w:szCs w:val="14"/>
          <w:b w:val="1"/>
          <w:bCs w:val="1"/>
          <w:i w:val="1"/>
          <w:iCs w:val="1"/>
          <w:color w:val="auto"/>
        </w:rPr>
        <w:t xml:space="preserve">Ability to Acquire, Manage and Monetize Products Efficiently. </w:t>
      </w:r>
      <w:r>
        <w:rPr>
          <w:rFonts w:ascii="Arial" w:cs="Arial" w:eastAsia="Arial" w:hAnsi="Arial"/>
          <w:sz w:val="14"/>
          <w:szCs w:val="14"/>
          <w:color w:val="auto"/>
        </w:rPr>
        <w:t>Our ability to deliver an elevated experience for our subscribers and customers that keeps them loyal to RTR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depends on us having the right assortment. Due to our deep partnerships with brands, flexibility in our buying timelines and ability to react to advantageous retail purchasing environments, we can acquire products directly from brands in multiple cost effective ways. Our expertise in reverse logistics and garment restoration also provides us with the ability to monetize our products effectively over their useful life. Diversifying our product acquisition away from 100% Wholesale has driven higher overall product return on investment and reduced the capital needs of the business. See “—Our Product Acquisition Strategy” above for a description of the three ways in which we procure products.We continuously evaluate our product acquisition mix to maximize our strategic priorities.</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Purchases of rental product includes the cost of Wholesale products acquired in the period and other ancillary costs such as freight, where applicable. Many factors impact the purchases of rental product including our depth and acquisition mix strategy, the proportion of subscribers to total customers, timing of when those subscribers are acquired, the formality of styles, brand assortment, opportunities in the market and timing of when the rental product is received and paid for. Purchases of rental product as a percentage of revenue in fiscal year 2024 was 16% as a result of a greater proportion of rental product acquired through our Share by RTR channel combined with fewer units of rental product purchased compared to fiscal year 2023. Purchases of rental product as a percentage of revenue was 26% and 21% in fiscal year 2023 and 2022, respectively. We anticipate this percentage to increase in fiscal year 2025 compared with fiscal year 2024, despite a greater proportion of Share by RTR units, due to a significant increase in units of rental product purchased. Due to seasonality factors, we track our progress on purchases of rental product as a percentage of revenue on a full year basis, as quarterly expenditures are not necessarily reflective of full year trends. As of April 30, 2025, the quarterly and annual spend levels for rental product capital expenditures for fiscal year 2025 under our 2025 Amended Facility have not yet been finalized. The deadline to agree on such levels was extended from March 31, 2025 to May 30, 2025 and then further extended to July 31, 2025.</w:t>
      </w:r>
    </w:p>
    <w:p>
      <w:pPr>
        <w:spacing w:after="0" w:line="61"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b w:val="1"/>
          <w:bCs w:val="1"/>
          <w:i w:val="1"/>
          <w:iCs w:val="1"/>
          <w:color w:val="auto"/>
        </w:rPr>
        <w:t xml:space="preserve">Ability to Achieve Leverage in our Cost Structure. </w:t>
      </w:r>
      <w:r>
        <w:rPr>
          <w:rFonts w:ascii="Arial" w:cs="Arial" w:eastAsia="Arial" w:hAnsi="Arial"/>
          <w:sz w:val="14"/>
          <w:szCs w:val="14"/>
          <w:color w:val="auto"/>
        </w:rPr>
        <w:t>Improving operational efficiency of our platform is imperative to increasing profitability. We expect certain of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costs to increase as order volume increases and as we make investments to grow subscribers and revenue and to enhance the customer experience. In September 2022, we announced a restructuring plan that reduced operating expenses by approximately $27 million in the four quarters following the restructuring compared to the annualized run rate for the second quarter of fiscal year 2022. In January 2024, we announced a restructuring plan that generated total annual operating expense savings of approximately $12 million, which primarily included the reduction in force, with some open role closures/reduced backfills, and excludes potential hiring of new employees or other additions to the Company’s costs and expenses. Though we anticipate quarterly fluctuations in operating leverage, we expect our fixed costs to decrease as a percentage of total revenue in fiscal year 2025, and over time we anticipate that our operating costs will grow more slowly than our total revenue on an annual basis. As of April 30, 2025, the quarterly and annual spend levels for rental product capital expenditures for fiscal year 2025 under our 2025 Amended Facility have not yet been finalized. The deadline to agree on such levels was extended from March 31, 2025 to May 30, 2025 and then further extended to July 31, 2025.</w:t>
      </w:r>
    </w:p>
    <w:p>
      <w:pPr>
        <w:spacing w:after="0" w:line="6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We use technology and customer data to drive efficiency across products, fulfillment expenses and operating costs. Our data has allowed us to build a differentiated and proprietary rental reverse logistics platform with a vertically integrated cleaning and restoration process. We have invested in technology and automation in order to drive operating leverage and higher margins as we focus on growing and scaling our business.</w:t>
      </w:r>
    </w:p>
    <w:p>
      <w:pPr>
        <w:spacing w:after="0" w:line="4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Over time, we have improved our margins, profitability and cash flow, and we believe we will continue to benefit from economies of scale. We are focused on driving additional efficiencies in our operating expenses and growing profitability to also cover rental product depreciation, in addition to fulfillment, revenue share and operating expenses.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We use Adjusted EBITDA to assess our operating performance and the operating leverage of our business prior to capital expenditures. We also measure the cash consumption of the business including capital expenditures by assessing net cash used in operating activities and net cash used in investing activities on a combined basis. The 2023 Amended Facility reduced our cash interest payments during fiscal year 2024 and reduced our cash interest payments during fiscal year 2025 relative to the original agreement, which we expect to improve our overall liquidity.</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We experience seasonality in our business, which has been impacted due to the effects of COVID-19, the macro environment, and business decisions and may in the future continue to evolve.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offering historically (prior to COVID-19) benefited from increased wedding and holiday events but this seasonality has varied since the onset of COVID-19. For example, in fiscal year 2022, we believe that a price increase of our Subscription programs in April 2022 affected traditional seasonal patterns. In fiscal year 2023, changes in rental product in-stock levels and changes to promotional prices also disrupted typical seasonality. However, in fiscal year 2024, we observed more typical seasonal patterns. Given continued business changes, our future seasonality may not resemble historical trends.</w:t>
      </w:r>
    </w:p>
    <w:p>
      <w:pPr>
        <w:spacing w:after="0" w:line="57" w:lineRule="exact"/>
        <w:rPr>
          <w:sz w:val="20"/>
          <w:szCs w:val="20"/>
          <w:color w:val="auto"/>
        </w:rPr>
      </w:pPr>
    </w:p>
    <w:p>
      <w:pPr>
        <w:ind w:right="160"/>
        <w:spacing w:after="0" w:line="271" w:lineRule="auto"/>
        <w:rPr>
          <w:sz w:val="20"/>
          <w:szCs w:val="20"/>
          <w:color w:val="auto"/>
        </w:rPr>
      </w:pPr>
      <w:r>
        <w:rPr>
          <w:rFonts w:ascii="Arial" w:cs="Arial" w:eastAsia="Arial" w:hAnsi="Arial"/>
          <w:sz w:val="14"/>
          <w:szCs w:val="14"/>
          <w:color w:val="auto"/>
        </w:rPr>
        <w:t>We also experience seasonality in the timing of expenses and capital outlays. Transportation expense, and therefore fulfillment cost, is typically highest in the fourth fiscal quarter, given typical timing of carrier rate increases, higher service levels, such as more costly and expedited shipping, and competition during holidays. Our most significant receipt of rental product typically occurs in the first fiscal quarter and the third fiscal quarter, when we acquire product for the upcoming fall and spring seasons.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Impact of Macro and Consumer Environment on Our Business</w:t>
      </w:r>
    </w:p>
    <w:p>
      <w:pPr>
        <w:spacing w:after="0" w:line="9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There remains significant uncertainty in the current macroeconomic and consumer environment, driven by several factors, including inflationary pressures, global trade policies and tariffs, higher interest rates, potential risk of recession, ongoing industry-wide supply chain issues, instability in the financial system, and the wars in Ukraine and the Middle East. These factors have impacted, and are expected to continue to impact, consumer discretionary spending and purchasing behavior, price sensitivity, wage rates, transportation costs, rental product costs, and other costs associated with our business.</w:t>
      </w:r>
    </w:p>
    <w:p>
      <w:pPr>
        <w:spacing w:after="0" w:line="5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We continue to review and learn how changes in customer behavior post the COVID-19 pandemic may impact our business and demand, particularly in a challenging macro environment. We believe that Active Subscriber levels have been impacted by seasonal changes in consumer behavior and macro factors, such as higher levels of remote work and evolving demand for work wear, inflationary pressures and sensitivity to increased pricing, or other factors, and may continue to be impacted by these factors in the future.</w:t>
      </w:r>
    </w:p>
    <w:p>
      <w:pPr>
        <w:spacing w:after="0" w:line="49"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We continue to take actions to adjust to the changing business environment and related inflationary pressure. For example, in light of potential pricing sensitivity in the current macro-economic environment, we are focused on investing in our customer and delivering even more value to her, and emphasizing the value proposition of our offering in our marketing materials. In addition, we increased wage rates during the first quarter of fiscal year 2025 to attract and retain talent at our fulfillment centers. We expect to continue to be impacted by rising labor costs in the future. Transportation costs decreased as a percentage of revenue in fiscal year 2024 due to higher revenue per order and the benefits of our September 2023 transportation contract with a major national carrier. While we expect to be able to reduce transportation costs as a percentage of revenue for fiscal year 2025, we plan to continue to mitigate longer-term rising costs by seeking to optimize shipping methods and improve contractual and pricing terms; however, unpredictable changes in global trade policies and tariffs or other significant macroeconomic or geopolitical developments may negatively impact our ability to meet our current expectations and objectives. Although we continue to face a challenging and unpredictable environment, we plan to invest in our customers, manage our staffing and further leverage our transportation partners to help to drive growth and efficiencies in our business.</w:t>
      </w:r>
    </w:p>
    <w:p>
      <w:pPr>
        <w:spacing w:after="0" w:line="61"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The full extent to which the macro environment will directly or indirectly impact our business, results of operations, growth rates, and financial condition will depend on future developments that are highly uncertain and cannot be accurately predicted. Given this uncertainty, we cannot estimate the financial impact of the macro environment on our future results of operations, cash flows, or financial condition.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For additional details about key factors affecting our performance, see our 2024 Annual Report on Form 10-K and Part II, Item 1A, “Risk Factors” of this Quarterly Report on Form 10-Q.</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Business and Financial Metrics</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 addition to the measures presented in our condensed consolidated financial statements, we use the following key business and financial metrics to help us evaluate our business, identify trends affecting our business, formulate business plans, and make strategic decisions. The calculation of the key business and financial metrics discussed below may differ from similarly titled metrics used by other companies, securities analysts or investors, limiting the usefulness of those measures for comparative purposes. These key business and financial metrics are not meant to be considered as indicators of our financial performance in isolation from or as a substitute for our financial information prepared in accordance with generally accepted accounting principles in the United States (“U.S. GAAP”) and should be considered in conjunction with other metrics and components of our results of operations, such as each of the other key business and financial metrics, and our revenue and net loss.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40" w:type="dxa"/>
            <w:vAlign w:val="bottom"/>
          </w:tcPr>
          <w:p>
            <w:pPr>
              <w:spacing w:after="0"/>
              <w:rPr>
                <w:sz w:val="13"/>
                <w:szCs w:val="13"/>
                <w:color w:val="auto"/>
              </w:rPr>
            </w:pPr>
          </w:p>
        </w:tc>
        <w:tc>
          <w:tcPr>
            <w:tcW w:w="246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1"/>
                <w:szCs w:val="11"/>
                <w:b w:val="1"/>
                <w:bCs w:val="1"/>
                <w:color w:val="auto"/>
              </w:rPr>
              <w:t>Three Months Ended April 30,</w:t>
            </w:r>
          </w:p>
        </w:tc>
        <w:tc>
          <w:tcPr>
            <w:tcW w:w="600" w:type="dxa"/>
            <w:vAlign w:val="bottom"/>
            <w:tcBorders>
              <w:bottom w:val="single" w:sz="8" w:color="auto"/>
            </w:tcBorders>
          </w:tcPr>
          <w:p>
            <w:pPr>
              <w:spacing w:after="0"/>
              <w:rPr>
                <w:sz w:val="13"/>
                <w:szCs w:val="13"/>
                <w:color w:val="auto"/>
              </w:rPr>
            </w:pPr>
          </w:p>
        </w:tc>
      </w:tr>
      <w:tr>
        <w:trPr>
          <w:trHeight w:val="150"/>
        </w:trPr>
        <w:tc>
          <w:tcPr>
            <w:tcW w:w="804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r>
      <w:tr>
        <w:trPr>
          <w:trHeight w:val="150"/>
        </w:trPr>
        <w:tc>
          <w:tcPr>
            <w:tcW w:w="8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gridSpan w:val="2"/>
          </w:tcPr>
          <w:p>
            <w:pPr>
              <w:jc w:val="right"/>
              <w:ind w:right="513"/>
              <w:spacing w:after="0"/>
              <w:rPr>
                <w:sz w:val="20"/>
                <w:szCs w:val="20"/>
                <w:color w:val="auto"/>
              </w:rPr>
            </w:pPr>
            <w:r>
              <w:rPr>
                <w:rFonts w:ascii="Arial" w:cs="Arial" w:eastAsia="Arial" w:hAnsi="Arial"/>
                <w:sz w:val="11"/>
                <w:szCs w:val="11"/>
                <w:b w:val="1"/>
                <w:bCs w:val="1"/>
                <w:color w:val="auto"/>
              </w:rPr>
              <w:t>($ in millions)</w:t>
            </w:r>
          </w:p>
        </w:tc>
        <w:tc>
          <w:tcPr>
            <w:tcW w:w="600" w:type="dxa"/>
            <w:vAlign w:val="bottom"/>
          </w:tcPr>
          <w:p>
            <w:pPr>
              <w:spacing w:after="0"/>
              <w:rPr>
                <w:sz w:val="13"/>
                <w:szCs w:val="13"/>
                <w:color w:val="auto"/>
              </w:rPr>
            </w:pPr>
          </w:p>
        </w:tc>
      </w:tr>
      <w:tr>
        <w:trPr>
          <w:trHeight w:val="181"/>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Active Subscribers</w:t>
            </w: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147,157</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145,837</w:t>
            </w: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Average Active Subscribers</w:t>
            </w:r>
          </w:p>
        </w:tc>
        <w:tc>
          <w:tcPr>
            <w:tcW w:w="88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133,468</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135,896</w:t>
            </w:r>
          </w:p>
        </w:tc>
      </w:tr>
      <w:tr>
        <w:trPr>
          <w:trHeight w:val="18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8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21.9</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r>
      <w:tr>
        <w:trPr>
          <w:trHeight w:val="180"/>
        </w:trPr>
        <w:tc>
          <w:tcPr>
            <w:tcW w:w="8040" w:type="dxa"/>
            <w:vAlign w:val="bottom"/>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tcPr>
          <w:p>
            <w:pPr>
              <w:jc w:val="right"/>
              <w:ind w:right="735"/>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(26.1)</w:t>
            </w:r>
          </w:p>
        </w:tc>
        <w:tc>
          <w:tcPr>
            <w:tcW w:w="940" w:type="dxa"/>
            <w:vAlign w:val="bottom"/>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180"/>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EBITDA (1)</w:t>
            </w:r>
          </w:p>
        </w:tc>
        <w:tc>
          <w:tcPr>
            <w:tcW w:w="880" w:type="dxa"/>
            <w:vAlign w:val="bottom"/>
            <w:shd w:val="clear" w:color="auto" w:fill="CCEEFF"/>
          </w:tcPr>
          <w:p>
            <w:pPr>
              <w:jc w:val="right"/>
              <w:ind w:right="735"/>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940" w:type="dxa"/>
            <w:vAlign w:val="bottom"/>
            <w:shd w:val="clear" w:color="auto" w:fill="CCEEFF"/>
          </w:tcPr>
          <w:p>
            <w:pPr>
              <w:jc w:val="right"/>
              <w:ind w:right="733"/>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5" w:lineRule="exact"/>
        <w:rPr>
          <w:sz w:val="20"/>
          <w:szCs w:val="20"/>
          <w:color w:val="auto"/>
        </w:rPr>
      </w:pPr>
    </w:p>
    <w:p>
      <w:pPr>
        <w:ind w:left="260" w:right="140" w:hanging="255"/>
        <w:spacing w:after="0" w:line="288" w:lineRule="auto"/>
        <w:tabs>
          <w:tab w:leader="none" w:pos="249" w:val="left"/>
        </w:tabs>
        <w:numPr>
          <w:ilvl w:val="0"/>
          <w:numId w:val="28"/>
        </w:numPr>
        <w:rPr>
          <w:rFonts w:ascii="Arial" w:cs="Arial" w:eastAsia="Arial" w:hAnsi="Arial"/>
          <w:sz w:val="11"/>
          <w:szCs w:val="11"/>
          <w:color w:val="auto"/>
        </w:rPr>
      </w:pPr>
      <w:r>
        <w:rPr>
          <w:rFonts w:ascii="Arial" w:cs="Arial" w:eastAsia="Arial" w:hAnsi="Arial"/>
          <w:sz w:val="11"/>
          <w:szCs w:val="11"/>
          <w:color w:val="auto"/>
        </w:rPr>
        <w:t>Adjusted EBITDA is a non-GAAP financial measure; for a reconciliation to the most directly comparable U.S. GAAP financial measure, net loss, and why we consider Adjusted EBITDA to be a useful metric, see “—Non-GAAP Financial Metrics” below.</w:t>
      </w:r>
    </w:p>
    <w:p>
      <w:pPr>
        <w:spacing w:after="0" w:line="8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color w:val="auto"/>
        </w:rPr>
        <w:t>Active Subscribers</w:t>
      </w:r>
      <w:r>
        <w:rPr>
          <w:rFonts w:ascii="Arial" w:cs="Arial" w:eastAsia="Arial" w:hAnsi="Arial"/>
          <w:sz w:val="14"/>
          <w:szCs w:val="14"/>
          <w:color w:val="auto"/>
        </w:rPr>
        <w:t>: Active Subscribers represents the number of subscribers with an active membership as of the last day of any given period and excludes paused subscribers.</w:t>
      </w:r>
      <w:r>
        <w:rPr>
          <w:rFonts w:ascii="Arial" w:cs="Arial" w:eastAsia="Arial" w:hAnsi="Arial"/>
          <w:sz w:val="14"/>
          <w:szCs w:val="14"/>
          <w:b w:val="1"/>
          <w:bCs w:val="1"/>
          <w:color w:val="auto"/>
        </w:rPr>
        <w:t xml:space="preserve"> </w:t>
      </w:r>
      <w:r>
        <w:rPr>
          <w:rFonts w:ascii="Arial" w:cs="Arial" w:eastAsia="Arial" w:hAnsi="Arial"/>
          <w:sz w:val="14"/>
          <w:szCs w:val="14"/>
          <w:color w:val="auto"/>
        </w:rPr>
        <w:t>As of April 30, 2025, we had 147,157 Active Subscribers, slightly higher year-over-year. The increase in Active Subscribers was driven primarily by increased promotional activity and an improvement in retention during the first quarter of fiscal year 2025 as compared to the prior year as we focused on improving our customer experience through increased rental product and the rollout of multiple product improvements.</w:t>
      </w:r>
    </w:p>
    <w:p>
      <w:pPr>
        <w:spacing w:after="0" w:line="159"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color w:val="auto"/>
        </w:rPr>
        <w:t xml:space="preserve">Average Active Subscribers: </w:t>
      </w:r>
      <w:r>
        <w:rPr>
          <w:rFonts w:ascii="Arial" w:cs="Arial" w:eastAsia="Arial" w:hAnsi="Arial"/>
          <w:sz w:val="14"/>
          <w:szCs w:val="14"/>
          <w:color w:val="auto"/>
        </w:rPr>
        <w:t>Average Active Subscribers represents the mean of the beginning of quarter and end of quarter Active Subscribers for a quarterly period; and for</w:t>
      </w:r>
      <w:r>
        <w:rPr>
          <w:rFonts w:ascii="Arial" w:cs="Arial" w:eastAsia="Arial" w:hAnsi="Arial"/>
          <w:sz w:val="14"/>
          <w:szCs w:val="14"/>
          <w:b w:val="1"/>
          <w:bCs w:val="1"/>
          <w:color w:val="auto"/>
        </w:rPr>
        <w:t xml:space="preserve"> </w:t>
      </w:r>
      <w:r>
        <w:rPr>
          <w:rFonts w:ascii="Arial" w:cs="Arial" w:eastAsia="Arial" w:hAnsi="Arial"/>
          <w:sz w:val="14"/>
          <w:szCs w:val="14"/>
          <w:color w:val="auto"/>
        </w:rPr>
        <w:t>other periods, represents the mean of the Average Active Subscribers of every quarter within that period. As of April 30, 2025, we had 133,468 Average Active Subscribers, a decrease from 135,896 as of April 30, 2024. The year over year decline in Average Active Subscribers was primarily due to the lower base of Ending Active Subscribers at the end of fiscal year 2024 compared to fiscal year 2023.</w:t>
      </w:r>
    </w:p>
    <w:p>
      <w:pPr>
        <w:spacing w:after="0" w:line="159" w:lineRule="exact"/>
        <w:rPr>
          <w:sz w:val="20"/>
          <w:szCs w:val="20"/>
          <w:color w:val="auto"/>
        </w:rPr>
      </w:pPr>
    </w:p>
    <w:p>
      <w:pPr>
        <w:spacing w:after="0" w:line="260" w:lineRule="auto"/>
        <w:rPr>
          <w:sz w:val="20"/>
          <w:szCs w:val="20"/>
          <w:color w:val="auto"/>
        </w:rPr>
      </w:pPr>
      <w:r>
        <w:rPr>
          <w:rFonts w:ascii="Arial" w:cs="Arial" w:eastAsia="Arial" w:hAnsi="Arial"/>
          <w:sz w:val="14"/>
          <w:szCs w:val="14"/>
          <w:b w:val="1"/>
          <w:bCs w:val="1"/>
          <w:color w:val="auto"/>
        </w:rPr>
        <w:t xml:space="preserve">Gross Profit and Gross Margin: </w:t>
      </w:r>
      <w:r>
        <w:rPr>
          <w:rFonts w:ascii="Arial" w:cs="Arial" w:eastAsia="Arial" w:hAnsi="Arial"/>
          <w:sz w:val="14"/>
          <w:szCs w:val="14"/>
          <w:color w:val="auto"/>
        </w:rPr>
        <w:t>We define Gross Profit as total revenue less costs related to activities to fulfill customer orders and rental product acquisition costs, presented as</w:t>
      </w:r>
      <w:r>
        <w:rPr>
          <w:rFonts w:ascii="Arial" w:cs="Arial" w:eastAsia="Arial" w:hAnsi="Arial"/>
          <w:sz w:val="14"/>
          <w:szCs w:val="14"/>
          <w:b w:val="1"/>
          <w:bCs w:val="1"/>
          <w:color w:val="auto"/>
        </w:rPr>
        <w:t xml:space="preserve"> </w:t>
      </w:r>
      <w:r>
        <w:rPr>
          <w:rFonts w:ascii="Arial" w:cs="Arial" w:eastAsia="Arial" w:hAnsi="Arial"/>
          <w:sz w:val="14"/>
          <w:szCs w:val="14"/>
          <w:color w:val="auto"/>
        </w:rPr>
        <w:t>fulfillment and rental product depreciation and revenue share, respectively, on the condensed consolidated statement of operations. We depreciate owned apparel assets over three years and owned accessory assets over two years net of 20% and 30% salvage values, respectively, and recognize the depreciation on a straight-line basis and remaining cost of items when sold or retired on our condensed consolidated statement of operations. Rental product depreciation expense is time-based and reflects all rental product items we own. We use Gross Profit and Gross Profit as a percentage of revenue, or Gross Margin, to measure the continued efficiency of our business after the cost of our products and fulfillment costs are included.</w:t>
      </w:r>
    </w:p>
    <w:p>
      <w:pPr>
        <w:spacing w:after="0" w:line="163"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Gross Profit was $21.9 million for the three months ended April 30, 2025 compared to $28.4 million for the three months ended April 30, 2024, representing Gross Margins of 31.5% and 37.9%, respectively. Gross Profit and Gross Margin for the three months ended April 30, 2025 decreased primarily due to the impact of higher revenue share costs and fulfillment costs as a percentage of sales, partially offset by lower rental product depreciation as a percentage of sales.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b w:val="1"/>
          <w:bCs w:val="1"/>
          <w:color w:val="auto"/>
        </w:rPr>
        <w:t xml:space="preserve">Adjusted EBITDA and Adjusted EBITDA Margin: </w:t>
      </w:r>
      <w:r>
        <w:rPr>
          <w:rFonts w:ascii="Arial" w:cs="Arial" w:eastAsia="Arial" w:hAnsi="Arial"/>
          <w:sz w:val="14"/>
          <w:szCs w:val="14"/>
          <w:color w:val="auto"/>
        </w:rPr>
        <w:t>We define Adjusted EBITDA as net loss, adjusted to exclude interest expense, rental product depreciation, other depreciation</w:t>
      </w:r>
      <w:r>
        <w:rPr>
          <w:rFonts w:ascii="Arial" w:cs="Arial" w:eastAsia="Arial" w:hAnsi="Arial"/>
          <w:sz w:val="14"/>
          <w:szCs w:val="14"/>
          <w:b w:val="1"/>
          <w:bCs w:val="1"/>
          <w:color w:val="auto"/>
        </w:rPr>
        <w:t xml:space="preserve"> </w:t>
      </w:r>
      <w:r>
        <w:rPr>
          <w:rFonts w:ascii="Arial" w:cs="Arial" w:eastAsia="Arial" w:hAnsi="Arial"/>
          <w:sz w:val="14"/>
          <w:szCs w:val="14"/>
          <w:color w:val="auto"/>
        </w:rPr>
        <w:t>and amortization, share-based compensation expense, write-off of liquidated assets, non-recurring adjustments, non-ordinary course legal expenses, restructuring charges, income tax (benefit) expense, other income and expense, and other gains / losses. Adjusted EBITDA margin is defined as Adjusted EBITDA calculated as a percentage of total revenue, net for a period.</w:t>
      </w:r>
    </w:p>
    <w:p>
      <w:pPr>
        <w:spacing w:after="0" w:line="159"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Net Loss was $(26.1) million for the three months ended April 30, 2025 compared to $(22.0) million for the three months ended April 30, 2024, representing margins of (37.5)% and (29.3)%, respectively. Net Loss increased year over year primarily due to the impact of higher revenue share costs, other expenses, fulfillment costs and interest expense as a percentage of sales. Adjusted EBITDA was $(1.3) million for the three months ended April 30, 2025 compared to $6.5 million for the three months ended April 30, 2024, representing margins of (1.9)% and 8.7%, respectively. Adjusted EBITDA margin decreased year over year primarily due to higher revenue share and fulfillment costs as a percentage of revenue in addition to lower revenue.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believe we have the opportunity to improve Adjusted EBITDA and offset cost increases as we increase revenue and drive operating expense leverage.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Operations</w:t>
      </w:r>
    </w:p>
    <w:p>
      <w:pPr>
        <w:spacing w:after="0" w:line="179" w:lineRule="exact"/>
        <w:rPr>
          <w:sz w:val="20"/>
          <w:szCs w:val="20"/>
          <w:color w:val="auto"/>
        </w:rPr>
      </w:pPr>
    </w:p>
    <w:p>
      <w:pPr>
        <w:ind w:right="420"/>
        <w:spacing w:after="0" w:line="290"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Our total revenue, net consists of Subscription and Reserve rental revenue and Other revenue. Total revenue is presented net of promotional discounts,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credits and refunds and taxes.</w:t>
      </w:r>
    </w:p>
    <w:p>
      <w:pPr>
        <w:spacing w:after="0" w:line="120" w:lineRule="exact"/>
        <w:rPr>
          <w:sz w:val="20"/>
          <w:szCs w:val="20"/>
          <w:color w:val="auto"/>
        </w:rPr>
      </w:pPr>
    </w:p>
    <w:p>
      <w:pPr>
        <w:spacing w:after="0" w:line="260"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We generate Subscription and Reserve rental revenue from subscription and Reserve rental fees. We recognize subscription fees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ratably over the subscription period, commencing on the date the subscriber enrolls in a subscription program. These fees are collected upon enrollment and any revenue from an unrecognized portion of the subscription period is deferred to the following fiscal period. We recognize Reserve fees over the rental period, which starts on the date of delivery of the product to the customer. Reserve orders can be placed up to four months prior to the rental start date (increased from two months prior to the rental start date beginning in June 2024) and the customer’s payment form is charged upon order confirmation. We defer recognizing the rental fees and any related promotions for Reserve rentals until the date of delivery, and then recognize those fees evenly over the four- or eight-day rental period.</w:t>
      </w:r>
    </w:p>
    <w:p>
      <w:pPr>
        <w:spacing w:after="0" w:line="14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We generate Other revenue primarily from the sale of products while they are in rental condition. We offer the ability for subscribers and customers to purchase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products at a discount to retail price. Payment for the sale of products occurs upon order confirmation while the associated revenue is recognized either at the time the sold product is delivered or when purchased, if the item is already at home with the customer. From time to time, Other revenue may include revenue generated from pilots and other growth initiatives which may cause quarterly fluctuations in the Other revenue line.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Costs and Expenses</w:t>
      </w:r>
    </w:p>
    <w:p>
      <w:pPr>
        <w:spacing w:after="0" w:line="187" w:lineRule="exact"/>
        <w:rPr>
          <w:sz w:val="20"/>
          <w:szCs w:val="20"/>
          <w:color w:val="auto"/>
        </w:rPr>
      </w:pPr>
    </w:p>
    <w:p>
      <w:pPr>
        <w:ind w:right="120"/>
        <w:spacing w:after="0"/>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consist of all costs to receive, process and fulfill customer orders. This primarily includes shipping costs to/from customers and personnel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related costs, which include salaries and bonuses, and employee benefit costs. Personnel and related costs are related to processing inbound and outbound customer orders, cleaning, restoring and repairing items received from customers, tracking and managing items within our fulfillment center network and ingesting new items received from brands. Fulfillment expenses also include costs of packing materials, cleaning supplies, and other fulfillment-related expenses. Fulfillment expense may fluctuate due to various factors including commercial terms and market trends. Fulfillment expense may also increase due to competitive pressures in the labor market which could lead to continued higher wage rates. We expect to continue to invest in automation and other process improvements to support and drive efficiencies in our operations. To the extent we are successful in</w:t>
      </w:r>
    </w:p>
    <w:p>
      <w:pPr>
        <w:spacing w:after="0" w:line="3" w:lineRule="exact"/>
        <w:rPr>
          <w:sz w:val="20"/>
          <w:szCs w:val="20"/>
          <w:color w:val="auto"/>
        </w:rPr>
      </w:pPr>
    </w:p>
    <w:p>
      <w:pPr>
        <w:ind w:right="120"/>
        <w:spacing w:after="0" w:line="238" w:lineRule="auto"/>
        <w:rPr>
          <w:sz w:val="20"/>
          <w:szCs w:val="20"/>
          <w:color w:val="auto"/>
        </w:rPr>
      </w:pPr>
      <w:r>
        <w:rPr>
          <w:rFonts w:ascii="Arial" w:cs="Arial" w:eastAsia="Arial" w:hAnsi="Arial"/>
          <w:sz w:val="14"/>
          <w:szCs w:val="14"/>
          <w:color w:val="auto"/>
        </w:rPr>
        <w:t>becoming more efficient in fulfilling orders, and at a magnitude that is able to offset long-term increases in shipping costs, wage rates and cleaning/packing supply price increases, we would expect these expenses to decrease as a percentage of total revenue over the longer term.</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consist of personnel and related costs for employees engaged in software development and engineering, quality assurance, product,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customer experience, data science, analytics and information technology-related efforts, net of personnel costs associated with capitalized software. Technology expenses also include professional services, third-party hosting expenses, website monitoring costs, and software and license fees. Over the long term, these expenses may increase (in total dollars) as we continue to improve the customer and subscriber experience and invest in our technology stack and infrastructure to support overall growth in our business. While these expenses may vary from period to period as a percentage of total revenue, we expect them to decrease as a percentage of total revenue over the longer term.</w:t>
      </w:r>
    </w:p>
    <w:p>
      <w:pPr>
        <w:spacing w:after="0" w:line="161"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include online and mobile marketing, search engine optimization and email costs, marketing personnel and related costs, agency fees, brand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marketing, printed collateral, consumer research, and other related costs. Marketing expenses unrelated to personnel costs may increase if we increase marketing spend to drive the growth of our business and increase our brand awareness.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consist of all other personnel and related costs for customer service, finance, tax, legal, human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resources, fashion and photography and fixed operations costs. General and administrative expenses also includes occupancy costs (including warehouse-related), professional services, credit card fees, general corporate and warehouse expenses, other administrative costs, and gains and losses associated with asset disposals and operating lease terminations. We expect to incur lower fixed cost G&amp;A as a percentage of revenue in the short term due to higher expected revenue driving operating leverage. Over the longer term, these expenses may increase as we grow our infrastructure to support the overall growth of the business. Rent expense and other facilities-related costs may increase in the future due to inflation or to support overall business growth and fulfillment efficiencies. While these expenses may vary from period to period as a percentage of total revenue, we expect them to decrease as a percentage of total revenue over the longer term.</w:t>
      </w:r>
    </w:p>
    <w:p>
      <w:pPr>
        <w:spacing w:after="0" w:line="14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expenses consist of depreciation and write-offs of rental products,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payments under revenue share arrangements with brand partners. We depreciate the cost, less an estimated salvage value, of our owned products (Wholesale and Exclusive Designs items), over the estimated useful lives of these items and, if applicable, accelerate depreciation of the items when they are no longer in rental condition. We recognize the cost of items acquired under Share by RTR, as incurred, through upfront payments and performance-based revenue share payments. We expect rental product depreciation and revenue share expenses to increase in absolute dollars as we continue to support subscriber and customer growth. The amount and proportion of rental product depreciation and revenue share will vary from period to period based on how and when we acquire items as well as the mix of our rental product base.</w:t>
      </w:r>
    </w:p>
    <w:p>
      <w:pPr>
        <w:spacing w:after="0" w:line="142"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expenses consist of depreciation and amortization amounts for fixed assets, intangible assets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including capitalized software, and financing right-of-use assets.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consist of severance and related costs associated with the January 2024 restructuring plan.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4"/>
          <w:szCs w:val="14"/>
          <w:b w:val="1"/>
          <w:bCs w:val="1"/>
          <w:i w:val="1"/>
          <w:iCs w:val="1"/>
          <w:color w:val="auto"/>
        </w:rPr>
        <w:t xml:space="preserve">Interest Income / (Expense). </w:t>
      </w:r>
      <w:r>
        <w:rPr>
          <w:rFonts w:ascii="Arial" w:cs="Arial" w:eastAsia="Arial" w:hAnsi="Arial"/>
          <w:sz w:val="14"/>
          <w:szCs w:val="14"/>
          <w:color w:val="auto"/>
        </w:rPr>
        <w:t>Interest income / (expense) consists primarily of accrued paid-in-kind interest, cash interest and debt issuance cost amortization associated with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2025 Amended Facility going forward. The 2023 Amended Temasek Facility eliminated all interest (both payment-in-kind and cash interest) for a period of six full fiscal quarters beginning with the fourth quarter of fiscal year 2023.</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Other Income / (Expense). </w:t>
      </w:r>
      <w:r>
        <w:rPr>
          <w:rFonts w:ascii="Arial" w:cs="Arial" w:eastAsia="Arial" w:hAnsi="Arial"/>
          <w:sz w:val="14"/>
          <w:szCs w:val="14"/>
          <w:color w:val="auto"/>
        </w:rPr>
        <w:t>Other income / (expense) consists primarily of proceeds from monetizing tax credits associated with growth and Irish refundable tax credits.</w:t>
      </w:r>
    </w:p>
    <w:p>
      <w:pPr>
        <w:spacing w:after="0" w:line="263" w:lineRule="exact"/>
        <w:rPr>
          <w:sz w:val="20"/>
          <w:szCs w:val="20"/>
          <w:color w:val="auto"/>
        </w:rPr>
      </w:pPr>
    </w:p>
    <w:p>
      <w:pPr>
        <w:jc w:val="both"/>
        <w:ind w:right="220"/>
        <w:spacing w:after="0" w:line="271" w:lineRule="auto"/>
        <w:rPr>
          <w:sz w:val="20"/>
          <w:szCs w:val="20"/>
          <w:color w:val="auto"/>
        </w:rPr>
      </w:pPr>
      <w:r>
        <w:rPr>
          <w:rFonts w:ascii="Arial" w:cs="Arial" w:eastAsia="Arial" w:hAnsi="Arial"/>
          <w:sz w:val="14"/>
          <w:szCs w:val="14"/>
          <w:b w:val="1"/>
          <w:bCs w:val="1"/>
          <w:i w:val="1"/>
          <w:iCs w:val="1"/>
          <w:color w:val="auto"/>
        </w:rPr>
        <w:t xml:space="preserve">Income Tax Benefit / (Expense). </w:t>
      </w:r>
      <w:r>
        <w:rPr>
          <w:rFonts w:ascii="Arial" w:cs="Arial" w:eastAsia="Arial" w:hAnsi="Arial"/>
          <w:sz w:val="14"/>
          <w:szCs w:val="14"/>
          <w:color w:val="auto"/>
        </w:rPr>
        <w:t>Income taxes consist primarily of state minimum and foreign taxes. We have established a valuation allowance for our U.S. federal and state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deferred tax assets, including net operating losses. We expect to maintain this valuation allowance until it becomes more likely than not that the benefit of our federal and state deferred tax assets will be realized by way of expected future taxable income in the United States.</w:t>
      </w: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The results of operations presented below should be reviewed in conjunction with the condensed consolidated financial statements and notes included elsewhere in this Quarterly Report on Form 10-Q. The following tables set forth our results of operations for the periods presented: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52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1"/>
                <w:szCs w:val="11"/>
                <w:b w:val="1"/>
                <w:bCs w:val="1"/>
                <w:color w:val="auto"/>
              </w:rPr>
              <w:t>Three Months Ended April 30,</w:t>
            </w:r>
          </w:p>
        </w:tc>
        <w:tc>
          <w:tcPr>
            <w:tcW w:w="480" w:type="dxa"/>
            <w:vAlign w:val="bottom"/>
            <w:tcBorders>
              <w:bottom w:val="single" w:sz="8" w:color="auto"/>
            </w:tcBorders>
          </w:tcPr>
          <w:p>
            <w:pPr>
              <w:spacing w:after="0"/>
              <w:rPr>
                <w:sz w:val="13"/>
                <w:szCs w:val="13"/>
                <w:color w:val="auto"/>
              </w:rPr>
            </w:pPr>
          </w:p>
        </w:tc>
      </w:tr>
      <w:tr>
        <w:trPr>
          <w:trHeight w:val="155"/>
        </w:trPr>
        <w:tc>
          <w:tcPr>
            <w:tcW w:w="7520" w:type="dxa"/>
            <w:vAlign w:val="bottom"/>
          </w:tcPr>
          <w:p>
            <w:pPr>
              <w:spacing w:after="0"/>
              <w:rPr>
                <w:sz w:val="13"/>
                <w:szCs w:val="13"/>
                <w:color w:val="auto"/>
              </w:rPr>
            </w:pPr>
          </w:p>
        </w:tc>
        <w:tc>
          <w:tcPr>
            <w:tcW w:w="92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r>
      <w:tr>
        <w:trPr>
          <w:trHeight w:val="150"/>
        </w:trPr>
        <w:tc>
          <w:tcPr>
            <w:tcW w:w="75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1"/>
                <w:szCs w:val="11"/>
                <w:b w:val="1"/>
                <w:bCs w:val="1"/>
                <w:color w:val="auto"/>
              </w:rPr>
              <w:t>(in millions)</w:t>
            </w:r>
          </w:p>
        </w:tc>
        <w:tc>
          <w:tcPr>
            <w:tcW w:w="480" w:type="dxa"/>
            <w:vAlign w:val="bottom"/>
            <w:tcBorders>
              <w:bottom w:val="single" w:sz="8" w:color="auto"/>
            </w:tcBorders>
          </w:tcPr>
          <w:p>
            <w:pPr>
              <w:spacing w:after="0"/>
              <w:rPr>
                <w:sz w:val="13"/>
                <w:szCs w:val="13"/>
                <w:color w:val="auto"/>
              </w:rPr>
            </w:pPr>
          </w:p>
        </w:tc>
      </w:tr>
      <w:tr>
        <w:trPr>
          <w:trHeight w:val="161"/>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80"/>
        </w:trPr>
        <w:tc>
          <w:tcPr>
            <w:tcW w:w="7520" w:type="dxa"/>
            <w:vAlign w:val="bottom"/>
          </w:tcPr>
          <w:p>
            <w:pPr>
              <w:ind w:left="280"/>
              <w:spacing w:after="0"/>
              <w:rPr>
                <w:sz w:val="20"/>
                <w:szCs w:val="20"/>
                <w:color w:val="auto"/>
              </w:rPr>
            </w:pPr>
            <w:r>
              <w:rPr>
                <w:rFonts w:ascii="Arial" w:cs="Arial" w:eastAsia="Arial" w:hAnsi="Arial"/>
                <w:sz w:val="14"/>
                <w:szCs w:val="14"/>
                <w:color w:val="auto"/>
              </w:rPr>
              <w:t>Subscription and Reserve rental revenue</w:t>
            </w:r>
          </w:p>
        </w:tc>
        <w:tc>
          <w:tcPr>
            <w:tcW w:w="920" w:type="dxa"/>
            <w:vAlign w:val="bottom"/>
          </w:tcPr>
          <w:p>
            <w:pPr>
              <w:jc w:val="right"/>
              <w:ind w:right="776"/>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15"/>
                <w:szCs w:val="15"/>
                <w:color w:val="auto"/>
              </w:rPr>
            </w:pPr>
          </w:p>
        </w:tc>
        <w:tc>
          <w:tcPr>
            <w:tcW w:w="920" w:type="dxa"/>
            <w:vAlign w:val="bottom"/>
          </w:tcPr>
          <w:p>
            <w:pPr>
              <w:jc w:val="right"/>
              <w:ind w:right="774"/>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66.1</w:t>
            </w:r>
          </w:p>
        </w:tc>
      </w:tr>
      <w:tr>
        <w:trPr>
          <w:trHeight w:val="180"/>
        </w:trPr>
        <w:tc>
          <w:tcPr>
            <w:tcW w:w="7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revenue</w:t>
            </w: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71"/>
        </w:trPr>
        <w:tc>
          <w:tcPr>
            <w:tcW w:w="7520" w:type="dxa"/>
            <w:vAlign w:val="bottom"/>
          </w:tcPr>
          <w:p>
            <w:pPr>
              <w:ind w:left="540"/>
              <w:spacing w:after="0"/>
              <w:rPr>
                <w:sz w:val="20"/>
                <w:szCs w:val="20"/>
                <w:color w:val="auto"/>
              </w:rPr>
            </w:pPr>
            <w:r>
              <w:rPr>
                <w:rFonts w:ascii="Arial" w:cs="Arial" w:eastAsia="Arial" w:hAnsi="Arial"/>
                <w:sz w:val="14"/>
                <w:szCs w:val="14"/>
                <w:color w:val="auto"/>
              </w:rPr>
              <w:t>Total revenue, net</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69.6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75.0</w:t>
            </w: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Costs and expenses:</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r>
      <w:tr>
        <w:trPr>
          <w:trHeight w:val="180"/>
        </w:trPr>
        <w:tc>
          <w:tcPr>
            <w:tcW w:w="7520" w:type="dxa"/>
            <w:vAlign w:val="bottom"/>
          </w:tcPr>
          <w:p>
            <w:pPr>
              <w:ind w:left="280"/>
              <w:spacing w:after="0"/>
              <w:rPr>
                <w:sz w:val="20"/>
                <w:szCs w:val="20"/>
                <w:color w:val="auto"/>
              </w:rPr>
            </w:pPr>
            <w:r>
              <w:rPr>
                <w:rFonts w:ascii="Arial" w:cs="Arial" w:eastAsia="Arial" w:hAnsi="Arial"/>
                <w:sz w:val="14"/>
                <w:szCs w:val="14"/>
                <w:color w:val="auto"/>
              </w:rPr>
              <w:t>Fulfillment</w:t>
            </w: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20.6</w:t>
            </w:r>
          </w:p>
        </w:tc>
      </w:tr>
      <w:tr>
        <w:trPr>
          <w:trHeight w:val="180"/>
        </w:trPr>
        <w:tc>
          <w:tcPr>
            <w:tcW w:w="7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7520" w:type="dxa"/>
            <w:vAlign w:val="bottom"/>
          </w:tcPr>
          <w:p>
            <w:pPr>
              <w:ind w:left="280"/>
              <w:spacing w:after="0"/>
              <w:rPr>
                <w:sz w:val="20"/>
                <w:szCs w:val="20"/>
                <w:color w:val="auto"/>
              </w:rPr>
            </w:pPr>
            <w:r>
              <w:rPr>
                <w:rFonts w:ascii="Arial" w:cs="Arial" w:eastAsia="Arial" w:hAnsi="Arial"/>
                <w:sz w:val="14"/>
                <w:szCs w:val="14"/>
                <w:color w:val="auto"/>
              </w:rPr>
              <w:t>Marketing</w:t>
            </w: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80"/>
        </w:trPr>
        <w:tc>
          <w:tcPr>
            <w:tcW w:w="7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r>
      <w:tr>
        <w:trPr>
          <w:trHeight w:val="180"/>
        </w:trPr>
        <w:tc>
          <w:tcPr>
            <w:tcW w:w="7520" w:type="dxa"/>
            <w:vAlign w:val="bottom"/>
          </w:tcPr>
          <w:p>
            <w:pPr>
              <w:ind w:left="280"/>
              <w:spacing w:after="0"/>
              <w:rPr>
                <w:sz w:val="20"/>
                <w:szCs w:val="20"/>
                <w:color w:val="auto"/>
              </w:rPr>
            </w:pPr>
            <w:r>
              <w:rPr>
                <w:rFonts w:ascii="Arial" w:cs="Arial" w:eastAsia="Arial" w:hAnsi="Arial"/>
                <w:sz w:val="14"/>
                <w:szCs w:val="14"/>
                <w:color w:val="auto"/>
              </w:rPr>
              <w:t>Rental product depreciation and revenue share</w:t>
            </w: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180"/>
        </w:trPr>
        <w:tc>
          <w:tcPr>
            <w:tcW w:w="7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depreciation and amortization</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0"/>
        </w:trPr>
        <w:tc>
          <w:tcPr>
            <w:tcW w:w="7520" w:type="dxa"/>
            <w:vAlign w:val="bottom"/>
          </w:tcPr>
          <w:p>
            <w:pPr>
              <w:ind w:left="280"/>
              <w:spacing w:after="0"/>
              <w:rPr>
                <w:sz w:val="20"/>
                <w:szCs w:val="20"/>
                <w:color w:val="auto"/>
              </w:rPr>
            </w:pPr>
            <w:r>
              <w:rPr>
                <w:rFonts w:ascii="Arial" w:cs="Arial" w:eastAsia="Arial" w:hAnsi="Arial"/>
                <w:sz w:val="14"/>
                <w:szCs w:val="14"/>
                <w:color w:val="auto"/>
              </w:rPr>
              <w:t>Restructuring charges</w:t>
            </w:r>
          </w:p>
        </w:tc>
        <w:tc>
          <w:tcPr>
            <w:tcW w:w="920" w:type="dxa"/>
            <w:vAlign w:val="bottom"/>
          </w:tcPr>
          <w:p>
            <w:pPr>
              <w:spacing w:after="0"/>
              <w:rPr>
                <w:sz w:val="15"/>
                <w:szCs w:val="15"/>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71"/>
        </w:trPr>
        <w:tc>
          <w:tcPr>
            <w:tcW w:w="752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costs and expenses</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w:t>
            </w:r>
          </w:p>
        </w:tc>
      </w:tr>
      <w:tr>
        <w:trPr>
          <w:trHeight w:val="171"/>
        </w:trPr>
        <w:tc>
          <w:tcPr>
            <w:tcW w:w="7520" w:type="dxa"/>
            <w:vAlign w:val="bottom"/>
          </w:tcPr>
          <w:p>
            <w:pPr>
              <w:ind w:left="780"/>
              <w:spacing w:after="0"/>
              <w:rPr>
                <w:sz w:val="20"/>
                <w:szCs w:val="20"/>
                <w:color w:val="auto"/>
              </w:rPr>
            </w:pPr>
            <w:r>
              <w:rPr>
                <w:rFonts w:ascii="Arial" w:cs="Arial" w:eastAsia="Arial" w:hAnsi="Arial"/>
                <w:sz w:val="14"/>
                <w:szCs w:val="14"/>
                <w:color w:val="auto"/>
              </w:rPr>
              <w:t>Operating loss</w:t>
            </w: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 (expense), net</w:t>
            </w: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8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 (expense), net</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171"/>
        </w:trPr>
        <w:tc>
          <w:tcPr>
            <w:tcW w:w="75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Net loss before income tax benefit / (expense)</w:t>
            </w: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18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benefit / (expense)</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5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Net loss</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the three months ended April 30, 2025 and 2024</w:t>
      </w:r>
    </w:p>
    <w:p>
      <w:pPr>
        <w:spacing w:after="0" w:line="92"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b w:val="1"/>
          <w:bCs w:val="1"/>
          <w:i w:val="1"/>
          <w:iCs w:val="1"/>
          <w:color w:val="auto"/>
        </w:rPr>
        <w:t xml:space="preserve">Total Revenue, Net. </w:t>
      </w:r>
      <w:r>
        <w:rPr>
          <w:rFonts w:ascii="Arial" w:cs="Arial" w:eastAsia="Arial" w:hAnsi="Arial"/>
          <w:sz w:val="14"/>
          <w:szCs w:val="14"/>
          <w:color w:val="auto"/>
        </w:rPr>
        <w:t>Total revenue, net was $69.6 million for the three months ended April 30, 2025, a decrease of $(5.4) million, or (7.2)%, compared to $75.0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three months ended April 30, 2024. This decrease was primarily driven by lower revenue per subscriber, lower Average Active Subscribers, and lower Other Revenue. In fiscal year 2025, we expect revenue to increase as we work towards growing our customer base, improving the customer experience and continuing to focus on our resale revenue.</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b w:val="1"/>
          <w:bCs w:val="1"/>
          <w:i w:val="1"/>
          <w:iCs w:val="1"/>
          <w:color w:val="auto"/>
        </w:rPr>
        <w:t xml:space="preserve">Subscription and Reserve Rental Revenue. </w:t>
      </w:r>
      <w:r>
        <w:rPr>
          <w:rFonts w:ascii="Arial" w:cs="Arial" w:eastAsia="Arial" w:hAnsi="Arial"/>
          <w:sz w:val="14"/>
          <w:szCs w:val="14"/>
          <w:color w:val="auto"/>
        </w:rPr>
        <w:t>Subscription and Reserve rental revenue was $62.0 million for the three months ended April 30, 2025, a decrease of $(4.1)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or (6.2)%, compared to $66.1 million for the three months ended April 30, 2024. This decrease was primarily driven by lower revenue per subscriber and lower Average Active Subscribers. The decrease in revenue per subscriber was driven primarily by higher promotional spending.</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4"/>
          <w:szCs w:val="14"/>
          <w:b w:val="1"/>
          <w:bCs w:val="1"/>
          <w:i w:val="1"/>
          <w:iCs w:val="1"/>
          <w:color w:val="auto"/>
        </w:rPr>
        <w:t xml:space="preserve">Other Revenue. </w:t>
      </w:r>
      <w:r>
        <w:rPr>
          <w:rFonts w:ascii="Arial" w:cs="Arial" w:eastAsia="Arial" w:hAnsi="Arial"/>
          <w:sz w:val="14"/>
          <w:szCs w:val="14"/>
          <w:color w:val="auto"/>
        </w:rPr>
        <w:t>Other revenue was $7.6 million for the three months ended April 30, 2025, a decrease of $(1.3) million, or (14.6)%, compared to $8.9 million for the three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April 30, 2024. This decrease was primarily driven by a decrease in the items purchased per subscriber, partially offset by an increase in the average selling price per unit. Other revenue represented 10.9% of total revenue, up from 11.9% in the same period last year.</w:t>
      </w:r>
    </w:p>
    <w:p>
      <w:pPr>
        <w:spacing w:after="0" w:line="134"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b w:val="1"/>
          <w:bCs w:val="1"/>
          <w:i w:val="1"/>
          <w:iCs w:val="1"/>
          <w:color w:val="auto"/>
        </w:rPr>
        <w:t xml:space="preserve">Costs and Expenses. </w:t>
      </w:r>
      <w:r>
        <w:rPr>
          <w:rFonts w:ascii="Arial" w:cs="Arial" w:eastAsia="Arial" w:hAnsi="Arial"/>
          <w:sz w:val="14"/>
          <w:szCs w:val="14"/>
          <w:color w:val="auto"/>
        </w:rPr>
        <w:t>Total costs and expenses were $89.3 million for the three months ended April 30, 2025, a decrease of $(2.2) million, or (2.4)%, compared to $91.5 million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three months ended April 30, 2024. This decrease was primarily driven by lower General &amp; Administrative costs partially offset by higher Rental Product Depreciation and Revenue Share costs.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60"/>
        <w:spacing w:after="0" w:line="271" w:lineRule="auto"/>
        <w:rPr>
          <w:sz w:val="20"/>
          <w:szCs w:val="20"/>
          <w:color w:val="auto"/>
        </w:rPr>
      </w:pPr>
      <w:r>
        <w:rPr>
          <w:rFonts w:ascii="Arial" w:cs="Arial" w:eastAsia="Arial" w:hAnsi="Arial"/>
          <w:sz w:val="14"/>
          <w:szCs w:val="14"/>
          <w:b w:val="1"/>
          <w:bCs w:val="1"/>
          <w:i w:val="1"/>
          <w:iCs w:val="1"/>
          <w:color w:val="auto"/>
        </w:rPr>
        <w:t xml:space="preserve">Fulfillment. </w:t>
      </w:r>
      <w:r>
        <w:rPr>
          <w:rFonts w:ascii="Arial" w:cs="Arial" w:eastAsia="Arial" w:hAnsi="Arial"/>
          <w:sz w:val="14"/>
          <w:szCs w:val="14"/>
          <w:color w:val="auto"/>
        </w:rPr>
        <w:t>Fulfillment expenses were $20.4 million for the three months ended April 30, 2025, a decrease of $(0.2) million, or (1.0)%, representing 29.3% of revenue, compared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$20.6 million for the three months ended April 30, 2024, representing 27.5% of revenue. The increase in fulfillment expenses as a percentage of revenue was primarily driven by higher transportation costs due to carrier rate increases.</w:t>
      </w:r>
    </w:p>
    <w:p>
      <w:pPr>
        <w:spacing w:after="0" w:line="155"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In fiscal year 2025, we expect fulfillment expenses as a percentage of total revenue to decrease compared to fiscal year 2024 as a result of anticipated higher revenue per order and continued processing efficiencies.</w:t>
      </w:r>
    </w:p>
    <w:p>
      <w:pPr>
        <w:spacing w:after="0" w:line="120"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b w:val="1"/>
          <w:bCs w:val="1"/>
          <w:i w:val="1"/>
          <w:iCs w:val="1"/>
          <w:color w:val="auto"/>
        </w:rPr>
        <w:t xml:space="preserve">Technology. </w:t>
      </w:r>
      <w:r>
        <w:rPr>
          <w:rFonts w:ascii="Arial" w:cs="Arial" w:eastAsia="Arial" w:hAnsi="Arial"/>
          <w:sz w:val="14"/>
          <w:szCs w:val="14"/>
          <w:color w:val="auto"/>
        </w:rPr>
        <w:t>Technology expenses were $9.6 million for the three months ended April 30, 2025, flat compared to $9.6 million for the three months ended April 30, 2024.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Technology expenses were 13.8% of revenue for the three months ended April 30, 2025 compared to 12.8% for the same period last year as we saw decreased operating leverage due to lower revenue. Technology related share-based compensation expense was $0.3 million for the three months ended April 30, 2025 and was $0.6 million for the same period last year.</w:t>
      </w:r>
    </w:p>
    <w:p>
      <w:pPr>
        <w:spacing w:after="0" w:line="331"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In fiscal year 2025, we expect technology expenses to decrease as a percentage of total revenue compared to fiscal year 2024 as a result of improved operating leverage due to higher expected revenue.</w:t>
      </w:r>
    </w:p>
    <w:p>
      <w:pPr>
        <w:spacing w:after="0" w:line="120" w:lineRule="exact"/>
        <w:rPr>
          <w:sz w:val="20"/>
          <w:szCs w:val="20"/>
          <w:color w:val="auto"/>
        </w:rPr>
      </w:pPr>
    </w:p>
    <w:p>
      <w:pPr>
        <w:spacing w:after="0" w:line="271" w:lineRule="auto"/>
        <w:rPr>
          <w:sz w:val="20"/>
          <w:szCs w:val="20"/>
          <w:color w:val="auto"/>
        </w:rPr>
      </w:pPr>
      <w:r>
        <w:rPr>
          <w:rFonts w:ascii="Arial" w:cs="Arial" w:eastAsia="Arial" w:hAnsi="Arial"/>
          <w:sz w:val="14"/>
          <w:szCs w:val="14"/>
          <w:b w:val="1"/>
          <w:bCs w:val="1"/>
          <w:i w:val="1"/>
          <w:iCs w:val="1"/>
          <w:color w:val="auto"/>
        </w:rPr>
        <w:t xml:space="preserve">Marketing. </w:t>
      </w:r>
      <w:r>
        <w:rPr>
          <w:rFonts w:ascii="Arial" w:cs="Arial" w:eastAsia="Arial" w:hAnsi="Arial"/>
          <w:sz w:val="14"/>
          <w:szCs w:val="14"/>
          <w:color w:val="auto"/>
        </w:rPr>
        <w:t>Marketing expenses were $ 8.6 million for the three months ended April 30, 2025, a decrease of $(0.4) million, or (4.4)%, compared to $9.0 million for the three months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ended April 30, 2024. This decrease was driven primarily by lower personnel related costs. Marketing expenses unrelated to personnel costs were $7.9 million in the three months ended April 30, 2025 and 11.4% of revenue, compared to $8.2 million and 10.9% of total revenue for the same period last year.</w:t>
      </w:r>
    </w:p>
    <w:p>
      <w:pPr>
        <w:spacing w:after="0" w:line="155"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fiscal year 2025, we expect marketing expenses to decrease in dollars and as a percentage of total revenue compared to fiscal year 2024. The timing of our marketing expenses during the year will depend in part on the timing of marketing campaigns.</w:t>
      </w:r>
    </w:p>
    <w:p>
      <w:pPr>
        <w:spacing w:after="0" w:line="131" w:lineRule="exact"/>
        <w:rPr>
          <w:sz w:val="20"/>
          <w:szCs w:val="20"/>
          <w:color w:val="auto"/>
        </w:rPr>
      </w:pPr>
    </w:p>
    <w:p>
      <w:pPr>
        <w:ind w:right="20"/>
        <w:spacing w:after="0" w:line="246" w:lineRule="auto"/>
        <w:rPr>
          <w:sz w:val="20"/>
          <w:szCs w:val="20"/>
          <w:color w:val="auto"/>
        </w:rPr>
      </w:pPr>
      <w:r>
        <w:rPr>
          <w:rFonts w:ascii="Arial" w:cs="Arial" w:eastAsia="Arial" w:hAnsi="Arial"/>
          <w:sz w:val="14"/>
          <w:szCs w:val="14"/>
          <w:b w:val="1"/>
          <w:bCs w:val="1"/>
          <w:i w:val="1"/>
          <w:iCs w:val="1"/>
          <w:color w:val="auto"/>
        </w:rPr>
        <w:t xml:space="preserve">General and Administrative. </w:t>
      </w:r>
      <w:r>
        <w:rPr>
          <w:rFonts w:ascii="Arial" w:cs="Arial" w:eastAsia="Arial" w:hAnsi="Arial"/>
          <w:sz w:val="14"/>
          <w:szCs w:val="14"/>
          <w:color w:val="auto"/>
        </w:rPr>
        <w:t>General and administrative (“G&amp;A”) expenses were $20.7 million for the three months ended April 30, 2025, a decrease of $ (2.1) million, or (9.2)%,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$22.8 million for the three months ended April 30, 2024. This decrease was driven primarily by lower share-based compensation expense, gain on the liquidation of rental product and exchange rate and cost savings from the January 2024 restructuring plan. G&amp;A expenses as a percentage of revenue were 29.7%, compared to 30.4% last year, as we saw increased operating leverage with a lower cost base post-restructuring. G&amp;A related share-based compensation expense was $1.2 million for the three months ended April 30, 2025 and was $2.4 million for the three months ended April 30, 2024.</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In fiscal year 2025, we expect G&amp;A expenses to decrease as a percentage of revenue compared to fiscal year 2024 due to operating leverage driven by higher revenue growth.</w:t>
      </w:r>
    </w:p>
    <w:p>
      <w:pPr>
        <w:spacing w:after="0" w:line="17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b w:val="1"/>
          <w:bCs w:val="1"/>
          <w:i w:val="1"/>
          <w:iCs w:val="1"/>
          <w:color w:val="auto"/>
        </w:rPr>
        <w:t xml:space="preserve">Rental Product Depreciation and Revenue Share. </w:t>
      </w:r>
      <w:r>
        <w:rPr>
          <w:rFonts w:ascii="Arial" w:cs="Arial" w:eastAsia="Arial" w:hAnsi="Arial"/>
          <w:sz w:val="14"/>
          <w:szCs w:val="14"/>
          <w:color w:val="auto"/>
        </w:rPr>
        <w:t>Rental product depreciation and revenue share was $27.3 million for the three months ended April 30, 2025, an increase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$1.3 million, or 5.0%, compared to $26.0 million for the three months ended April 30, 2024. The increase was primarily driven by higher Share by RTR units acquired and the higher base of rental product. Rental product depreciation and revenue share was 39.2% of revenue in the three months ended April 30, 2025, up from 34.7% in the same period last year primarily due to the factors discussed above.</w:t>
      </w:r>
    </w:p>
    <w:p>
      <w:pPr>
        <w:spacing w:after="0" w:line="138"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b w:val="1"/>
          <w:bCs w:val="1"/>
          <w:i w:val="1"/>
          <w:iCs w:val="1"/>
          <w:color w:val="auto"/>
        </w:rPr>
        <w:t xml:space="preserve">Other Depreciation and Amortization. </w:t>
      </w:r>
      <w:r>
        <w:rPr>
          <w:rFonts w:ascii="Arial" w:cs="Arial" w:eastAsia="Arial" w:hAnsi="Arial"/>
          <w:sz w:val="14"/>
          <w:szCs w:val="14"/>
          <w:color w:val="auto"/>
        </w:rPr>
        <w:t>Other depreciation and amortization was $2.7 million for the three months ended April 30, 2025, a decrease of $ (0.6) million, or (18.2)%,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compared to $3.3 million for the three months ended April 30, 2024. This decrease was primarily driven by lower depreciation and amortization associated with machinery and equipment.</w:t>
      </w:r>
    </w:p>
    <w:p>
      <w:pPr>
        <w:spacing w:after="0" w:line="134"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b w:val="1"/>
          <w:bCs w:val="1"/>
          <w:i w:val="1"/>
          <w:iCs w:val="1"/>
          <w:color w:val="auto"/>
        </w:rPr>
        <w:t>Restructuring Charges</w:t>
      </w:r>
      <w:r>
        <w:rPr>
          <w:rFonts w:ascii="Arial" w:cs="Arial" w:eastAsia="Arial" w:hAnsi="Arial"/>
          <w:sz w:val="14"/>
          <w:szCs w:val="14"/>
          <w:color w:val="auto"/>
        </w:rPr>
        <w:t>. Restructuring charges were $0.2 million for the three months ended April 30, 2024 for severance and related costs in connection with the January 2024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restructuring plan. These charges are reflected in Restructuring charges on our Consolidated Statement of Operations.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Corporate Restructuring Plan</w:t>
      </w:r>
    </w:p>
    <w:p>
      <w:pPr>
        <w:spacing w:after="0" w:line="81" w:lineRule="exact"/>
        <w:rPr>
          <w:sz w:val="20"/>
          <w:szCs w:val="20"/>
          <w:color w:val="auto"/>
        </w:rPr>
      </w:pPr>
    </w:p>
    <w:p>
      <w:pPr>
        <w:ind w:right="80"/>
        <w:spacing w:after="0" w:line="274" w:lineRule="auto"/>
        <w:rPr>
          <w:sz w:val="20"/>
          <w:szCs w:val="20"/>
          <w:color w:val="auto"/>
        </w:rPr>
      </w:pPr>
      <w:r>
        <w:rPr>
          <w:rFonts w:ascii="Arial" w:cs="Arial" w:eastAsia="Arial" w:hAnsi="Arial"/>
          <w:sz w:val="14"/>
          <w:szCs w:val="14"/>
          <w:color w:val="auto"/>
        </w:rPr>
        <w:t>On January 9, 2024, we announced a restructuring plan to focus our workforce and cost structure on key growth opportunities and support our profitability goals. The plan primarily included total workforce reductions of approximately 10% of corporate employees (primarily a reduction in force, with some open role closures/reduced backfills).</w:t>
      </w:r>
    </w:p>
    <w:p>
      <w:pPr>
        <w:spacing w:after="0" w:line="46"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The January 2024 restructuring plan generated total annual operating expense savings of approximately $12 million, which primarily included the reduction in force, with some open role closures/reduced backfills, and excludes potential hiring of new employees or other additions to the Company’s costs and expenses. The restructuring plan was completed during the first quarter of fiscal year 2025.</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See Note 4, “Restructuring and Related Charges” in the Notes to the Condensed Consolidated Financial Statements for more details on these charges.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i w:val="1"/>
          <w:iCs w:val="1"/>
          <w:color w:val="auto"/>
        </w:rPr>
        <w:t xml:space="preserve">Interest Income / (Expense), Net. </w:t>
      </w:r>
      <w:r>
        <w:rPr>
          <w:rFonts w:ascii="Arial" w:cs="Arial" w:eastAsia="Arial" w:hAnsi="Arial"/>
          <w:sz w:val="14"/>
          <w:szCs w:val="14"/>
          <w:color w:val="auto"/>
        </w:rPr>
        <w:t>Interest expense, net was $(6.3) million for the three months ended April 30, 2025, an increase in expense of $0.7 million, or 12.5%, compared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$(5.6) million for the three months ended April 30, 2024. This increase was driven by higher paid-in-kind (“PIK”) interest from the 2025 Amended Facility and lower interest earned. Of the $(6.3) million total interest expense in the three months ended April 30, 2025, $0.6 million was the net of interest earned, financing lease and other interest and $(6.9) million was debt discount amortization, compared to $0.8 million net of cash interest, interest earned, financing lease and other interest and $(6.4) million of debt discount amortization in the three months ended April 30, 2024.</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i w:val="1"/>
          <w:iCs w:val="1"/>
          <w:color w:val="auto"/>
        </w:rPr>
        <w:t xml:space="preserve">Other Income / (Expense), Net. </w:t>
      </w:r>
      <w:r>
        <w:rPr>
          <w:rFonts w:ascii="Arial" w:cs="Arial" w:eastAsia="Arial" w:hAnsi="Arial"/>
          <w:sz w:val="14"/>
          <w:szCs w:val="14"/>
          <w:color w:val="auto"/>
        </w:rPr>
        <w:t>Other income / (expense), net was $0.1 million for the three months ended April 30, 2025, unchanged from $0.1 million for the three months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April 30, 2024.</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Metrics</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In addition to our results determined in accordance with GAAP, we believe the following non-GAAP financial metrics are useful in evaluating our performance. These non-GAAP financial metrics are not meant to be considered as indicators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Quarterly Report.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40"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The reconciliation of the below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w:t>
      </w:r>
    </w:p>
    <w:p>
      <w:pPr>
        <w:spacing w:after="0" w:line="144" w:lineRule="exact"/>
        <w:rPr>
          <w:sz w:val="20"/>
          <w:szCs w:val="20"/>
          <w:color w:val="auto"/>
        </w:rPr>
      </w:pPr>
    </w:p>
    <w:p>
      <w:pPr>
        <w:spacing w:after="0" w:line="242" w:lineRule="auto"/>
        <w:rPr>
          <w:sz w:val="20"/>
          <w:szCs w:val="20"/>
          <w:color w:val="auto"/>
        </w:rPr>
      </w:pPr>
      <w:r>
        <w:rPr>
          <w:rFonts w:ascii="Arial" w:cs="Arial" w:eastAsia="Arial" w:hAnsi="Arial"/>
          <w:sz w:val="14"/>
          <w:szCs w:val="14"/>
          <w:b w:val="1"/>
          <w:bCs w:val="1"/>
          <w:i w:val="1"/>
          <w:iCs w:val="1"/>
          <w:color w:val="auto"/>
        </w:rPr>
        <w:t xml:space="preserve">Adjusted EBITDA and Adjusted EBITDA Margin. </w:t>
      </w:r>
      <w:r>
        <w:rPr>
          <w:rFonts w:ascii="Arial" w:cs="Arial" w:eastAsia="Arial" w:hAnsi="Arial"/>
          <w:sz w:val="14"/>
          <w:szCs w:val="14"/>
          <w:color w:val="auto"/>
        </w:rPr>
        <w:t>Adjusted EBITDA and Adjusted EBITDA Margin are key performance measures used by management to assess our operating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performance and the operating leverage of our business prior to capital expenditures. Net Loss was $ (26.1) million for the three months ended April 30, 2025 compared to $(22.0) million for the three months ended April 30, 2024. Net Loss as a percentage of revenue was (37.5)%, and (29.3)% for the three months ended April 30, 2025 and 2024, respectively, and included $0.2 million of restructuring and related charges during the three months ended April 30, 2024. Net Loss increased year over year primarily due to the impact of higher</w:t>
      </w:r>
    </w:p>
    <w:p>
      <w:pPr>
        <w:spacing w:after="0" w:line="1"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revenue share costs, other expenses, fulfillment costs and interest expense as a percentage of sales. Our Adjusted EBITDA was $(1.3) million for the three months ended April 30, 2025 compared to $6.5 million for the three months ended April 30, 2024, representing margins of (1.9)% and 8.7%, respectively. Adjusted EBITDA Margin decreased for the three</w:t>
      </w:r>
    </w:p>
    <w:p>
      <w:pPr>
        <w:spacing w:after="0"/>
        <w:rPr>
          <w:sz w:val="20"/>
          <w:szCs w:val="20"/>
          <w:color w:val="auto"/>
        </w:rPr>
      </w:pPr>
      <w:r>
        <w:rPr>
          <w:rFonts w:ascii="Arial" w:cs="Arial" w:eastAsia="Arial" w:hAnsi="Arial"/>
          <w:sz w:val="14"/>
          <w:szCs w:val="14"/>
          <w:color w:val="auto"/>
        </w:rPr>
        <w:t>months ended April 30, 2025 primarily due to higher revenue share and fulfillment costs as a percentage of revenue in addition to lower revenue.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loss, the most comparable GAAP financial measure, to Adjusted EBITDA for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00" w:type="dxa"/>
            <w:vAlign w:val="bottom"/>
          </w:tcPr>
          <w:p>
            <w:pPr>
              <w:spacing w:after="0"/>
              <w:rPr>
                <w:sz w:val="13"/>
                <w:szCs w:val="13"/>
                <w:color w:val="auto"/>
              </w:rPr>
            </w:pPr>
          </w:p>
        </w:tc>
        <w:tc>
          <w:tcPr>
            <w:tcW w:w="26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1"/>
                <w:szCs w:val="11"/>
                <w:b w:val="1"/>
                <w:bCs w:val="1"/>
                <w:color w:val="auto"/>
              </w:rPr>
              <w:t>Three Months Ended April 30,</w:t>
            </w:r>
          </w:p>
        </w:tc>
        <w:tc>
          <w:tcPr>
            <w:tcW w:w="580" w:type="dxa"/>
            <w:vAlign w:val="bottom"/>
            <w:tcBorders>
              <w:bottom w:val="single" w:sz="8" w:color="auto"/>
            </w:tcBorders>
          </w:tcPr>
          <w:p>
            <w:pPr>
              <w:spacing w:after="0"/>
              <w:rPr>
                <w:sz w:val="13"/>
                <w:szCs w:val="13"/>
                <w:color w:val="auto"/>
              </w:rPr>
            </w:pPr>
          </w:p>
        </w:tc>
      </w:tr>
      <w:tr>
        <w:trPr>
          <w:trHeight w:val="150"/>
        </w:trPr>
        <w:tc>
          <w:tcPr>
            <w:tcW w:w="7300" w:type="dxa"/>
            <w:vAlign w:val="bottom"/>
          </w:tcPr>
          <w:p>
            <w:pPr>
              <w:spacing w:after="0"/>
              <w:rPr>
                <w:sz w:val="13"/>
                <w:szCs w:val="13"/>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r>
      <w:tr>
        <w:trPr>
          <w:trHeight w:val="150"/>
        </w:trPr>
        <w:tc>
          <w:tcPr>
            <w:tcW w:w="7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20" w:type="dxa"/>
            <w:vAlign w:val="bottom"/>
            <w:gridSpan w:val="3"/>
          </w:tcPr>
          <w:p>
            <w:pPr>
              <w:jc w:val="right"/>
              <w:ind w:right="614"/>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Pr>
          <w:p>
            <w:pPr>
              <w:spacing w:after="0"/>
              <w:rPr>
                <w:sz w:val="13"/>
                <w:szCs w:val="13"/>
                <w:color w:val="auto"/>
              </w:rPr>
            </w:pPr>
          </w:p>
        </w:tc>
      </w:tr>
      <w:tr>
        <w:trPr>
          <w:trHeight w:val="181"/>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shd w:val="clear" w:color="auto" w:fill="CCEEFF"/>
          </w:tcPr>
          <w:p>
            <w:pPr>
              <w:jc w:val="right"/>
              <w:ind w:right="81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(26.1)</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(22.0)</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Interest (income) / expense, net (1)</w:t>
            </w:r>
          </w:p>
        </w:tc>
        <w:tc>
          <w:tcPr>
            <w:tcW w:w="980" w:type="dxa"/>
            <w:vAlign w:val="bottom"/>
          </w:tcPr>
          <w:p>
            <w:pPr>
              <w:spacing w:after="0"/>
              <w:rPr>
                <w:sz w:val="15"/>
                <w:szCs w:val="15"/>
                <w:color w:val="auto"/>
              </w:rPr>
            </w:pPr>
          </w:p>
        </w:tc>
        <w:tc>
          <w:tcPr>
            <w:tcW w:w="580" w:type="dxa"/>
            <w:vAlign w:val="bottom"/>
          </w:tcPr>
          <w:p>
            <w:pPr>
              <w:jc w:val="right"/>
              <w:ind w:right="130"/>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5.6</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Rental product depreciation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14.9</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Other depreciation and amortization (2)</w:t>
            </w:r>
          </w:p>
        </w:tc>
        <w:tc>
          <w:tcPr>
            <w:tcW w:w="980" w:type="dxa"/>
            <w:vAlign w:val="bottom"/>
          </w:tcPr>
          <w:p>
            <w:pPr>
              <w:spacing w:after="0"/>
              <w:rPr>
                <w:sz w:val="15"/>
                <w:szCs w:val="15"/>
                <w:color w:val="auto"/>
              </w:rPr>
            </w:pPr>
          </w:p>
        </w:tc>
        <w:tc>
          <w:tcPr>
            <w:tcW w:w="580" w:type="dxa"/>
            <w:vAlign w:val="bottom"/>
          </w:tcPr>
          <w:p>
            <w:pPr>
              <w:jc w:val="right"/>
              <w:ind w:right="130"/>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3.3</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(3)</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Write-off of liquidated assets (4)</w:t>
            </w:r>
          </w:p>
        </w:tc>
        <w:tc>
          <w:tcPr>
            <w:tcW w:w="980" w:type="dxa"/>
            <w:vAlign w:val="bottom"/>
          </w:tcPr>
          <w:p>
            <w:pPr>
              <w:spacing w:after="0"/>
              <w:rPr>
                <w:sz w:val="15"/>
                <w:szCs w:val="15"/>
                <w:color w:val="auto"/>
              </w:rPr>
            </w:pPr>
          </w:p>
        </w:tc>
        <w:tc>
          <w:tcPr>
            <w:tcW w:w="580" w:type="dxa"/>
            <w:vAlign w:val="bottom"/>
          </w:tcPr>
          <w:p>
            <w:pPr>
              <w:jc w:val="right"/>
              <w:ind w:right="130"/>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1.6</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Non-ordinary course legal fees (5)</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Restructuring charges (6)</w:t>
            </w:r>
          </w:p>
        </w:tc>
        <w:tc>
          <w:tcPr>
            <w:tcW w:w="980" w:type="dxa"/>
            <w:vAlign w:val="bottom"/>
          </w:tcPr>
          <w:p>
            <w:pPr>
              <w:spacing w:after="0"/>
              <w:rPr>
                <w:sz w:val="15"/>
                <w:szCs w:val="15"/>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580" w:type="dxa"/>
            <w:vAlign w:val="bottom"/>
          </w:tcPr>
          <w:p>
            <w:pPr>
              <w:jc w:val="right"/>
              <w:ind w:right="109"/>
              <w:spacing w:after="0"/>
              <w:rPr>
                <w:sz w:val="20"/>
                <w:szCs w:val="20"/>
                <w:color w:val="auto"/>
              </w:rPr>
            </w:pPr>
            <w:r>
              <w:rPr>
                <w:rFonts w:ascii="Arial" w:cs="Arial" w:eastAsia="Arial" w:hAnsi="Arial"/>
                <w:sz w:val="14"/>
                <w:szCs w:val="14"/>
                <w:color w:val="auto"/>
              </w:rPr>
              <w:t>0.2</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 expense</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r>
      <w:tr>
        <w:trPr>
          <w:trHeight w:val="180"/>
        </w:trPr>
        <w:tc>
          <w:tcPr>
            <w:tcW w:w="7300" w:type="dxa"/>
            <w:vAlign w:val="bottom"/>
          </w:tcPr>
          <w:p>
            <w:pPr>
              <w:ind w:left="20"/>
              <w:spacing w:after="0"/>
              <w:rPr>
                <w:sz w:val="20"/>
                <w:szCs w:val="20"/>
                <w:color w:val="auto"/>
              </w:rPr>
            </w:pPr>
            <w:r>
              <w:rPr>
                <w:rFonts w:ascii="Arial" w:cs="Arial" w:eastAsia="Arial" w:hAnsi="Arial"/>
                <w:sz w:val="14"/>
                <w:szCs w:val="14"/>
                <w:color w:val="auto"/>
              </w:rPr>
              <w:t>Other (income) / expense, net (7)</w:t>
            </w:r>
          </w:p>
        </w:tc>
        <w:tc>
          <w:tcPr>
            <w:tcW w:w="980" w:type="dxa"/>
            <w:vAlign w:val="bottom"/>
          </w:tcPr>
          <w:p>
            <w:pPr>
              <w:spacing w:after="0"/>
              <w:rPr>
                <w:sz w:val="15"/>
                <w:szCs w:val="15"/>
                <w:color w:val="auto"/>
              </w:rPr>
            </w:pPr>
          </w:p>
        </w:tc>
        <w:tc>
          <w:tcPr>
            <w:tcW w:w="580" w:type="dxa"/>
            <w:vAlign w:val="bottom"/>
          </w:tcPr>
          <w:p>
            <w:pPr>
              <w:jc w:val="right"/>
              <w:ind w:right="90"/>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(0.1)</w:t>
            </w:r>
          </w:p>
        </w:tc>
      </w:tr>
      <w:tr>
        <w:trPr>
          <w:trHeight w:val="180"/>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(gains) / losses (8)</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r>
      <w:tr>
        <w:trPr>
          <w:trHeight w:val="171"/>
        </w:trPr>
        <w:tc>
          <w:tcPr>
            <w:tcW w:w="730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9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6.5</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63"/>
        </w:trPr>
        <w:tc>
          <w:tcPr>
            <w:tcW w:w="7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as a percentage of revenue</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r>
      <w:tr>
        <w:trPr>
          <w:trHeight w:val="186"/>
        </w:trPr>
        <w:tc>
          <w:tcPr>
            <w:tcW w:w="7300" w:type="dxa"/>
            <w:vAlign w:val="bottom"/>
          </w:tcPr>
          <w:p>
            <w:pPr>
              <w:ind w:left="20"/>
              <w:spacing w:after="0"/>
              <w:rPr>
                <w:sz w:val="20"/>
                <w:szCs w:val="20"/>
                <w:color w:val="auto"/>
              </w:rPr>
            </w:pPr>
            <w:r>
              <w:rPr>
                <w:rFonts w:ascii="Arial" w:cs="Arial" w:eastAsia="Arial" w:hAnsi="Arial"/>
                <w:sz w:val="14"/>
                <w:szCs w:val="14"/>
                <w:color w:val="auto"/>
              </w:rPr>
              <w:t>Adjusted EBITDA Margin (9)</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8.7 %</w:t>
            </w:r>
          </w:p>
        </w:tc>
      </w:tr>
    </w:tbl>
    <w:p>
      <w:pPr>
        <w:spacing w:after="0" w:line="54"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260" w:hanging="255"/>
        <w:spacing w:after="0" w:line="230" w:lineRule="auto"/>
        <w:tabs>
          <w:tab w:leader="none" w:pos="260" w:val="left"/>
        </w:tabs>
        <w:numPr>
          <w:ilvl w:val="0"/>
          <w:numId w:val="29"/>
        </w:numPr>
        <w:rPr>
          <w:rFonts w:ascii="Arial" w:cs="Arial" w:eastAsia="Arial" w:hAnsi="Arial"/>
          <w:sz w:val="15"/>
          <w:szCs w:val="15"/>
          <w:color w:val="auto"/>
          <w:vertAlign w:val="superscript"/>
        </w:rPr>
      </w:pPr>
      <w:r>
        <w:rPr>
          <w:rFonts w:ascii="Arial" w:cs="Arial" w:eastAsia="Arial" w:hAnsi="Arial"/>
          <w:sz w:val="11"/>
          <w:szCs w:val="11"/>
          <w:color w:val="auto"/>
        </w:rPr>
        <w:t>Includes debt discount amortization of $6.9 million in the three months ended April 30, 2025 and $6.4 million in the three months ended April 30, 2024.</w:t>
      </w:r>
    </w:p>
    <w:p>
      <w:pPr>
        <w:spacing w:after="0" w:line="64"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9"/>
        </w:numPr>
        <w:rPr>
          <w:rFonts w:ascii="Arial" w:cs="Arial" w:eastAsia="Arial" w:hAnsi="Arial"/>
          <w:sz w:val="7"/>
          <w:szCs w:val="7"/>
          <w:color w:val="auto"/>
        </w:rPr>
      </w:pPr>
      <w:r>
        <w:rPr>
          <w:rFonts w:ascii="Arial" w:cs="Arial" w:eastAsia="Arial" w:hAnsi="Arial"/>
          <w:sz w:val="11"/>
          <w:szCs w:val="11"/>
          <w:color w:val="auto"/>
        </w:rPr>
        <w:t>Reflects non-rental product depreciation and capitalized software amortization.</w:t>
      </w:r>
    </w:p>
    <w:p>
      <w:pPr>
        <w:spacing w:after="0" w:line="96" w:lineRule="exact"/>
        <w:rPr>
          <w:rFonts w:ascii="Arial" w:cs="Arial" w:eastAsia="Arial" w:hAnsi="Arial"/>
          <w:sz w:val="7"/>
          <w:szCs w:val="7"/>
          <w:color w:val="auto"/>
        </w:rPr>
      </w:pPr>
    </w:p>
    <w:p>
      <w:pPr>
        <w:ind w:left="260" w:hanging="255"/>
        <w:spacing w:after="0"/>
        <w:tabs>
          <w:tab w:leader="none" w:pos="260" w:val="left"/>
        </w:tabs>
        <w:numPr>
          <w:ilvl w:val="0"/>
          <w:numId w:val="29"/>
        </w:numPr>
        <w:rPr>
          <w:rFonts w:ascii="Arial" w:cs="Arial" w:eastAsia="Arial" w:hAnsi="Arial"/>
          <w:sz w:val="7"/>
          <w:szCs w:val="7"/>
          <w:color w:val="auto"/>
        </w:rPr>
      </w:pPr>
      <w:r>
        <w:rPr>
          <w:rFonts w:ascii="Arial" w:cs="Arial" w:eastAsia="Arial" w:hAnsi="Arial"/>
          <w:sz w:val="11"/>
          <w:szCs w:val="11"/>
          <w:color w:val="auto"/>
        </w:rPr>
        <w:t>Reflects the non-cash expense for share-based compensation.</w:t>
      </w:r>
    </w:p>
    <w:p>
      <w:pPr>
        <w:spacing w:after="0" w:line="72" w:lineRule="exact"/>
        <w:rPr>
          <w:rFonts w:ascii="Arial" w:cs="Arial" w:eastAsia="Arial" w:hAnsi="Arial"/>
          <w:sz w:val="7"/>
          <w:szCs w:val="7"/>
          <w:color w:val="auto"/>
        </w:rPr>
      </w:pPr>
    </w:p>
    <w:p>
      <w:pPr>
        <w:ind w:left="260" w:hanging="255"/>
        <w:spacing w:after="0"/>
        <w:tabs>
          <w:tab w:leader="none" w:pos="260" w:val="left"/>
        </w:tabs>
        <w:numPr>
          <w:ilvl w:val="0"/>
          <w:numId w:val="29"/>
        </w:numPr>
        <w:rPr>
          <w:rFonts w:ascii="Arial" w:cs="Arial" w:eastAsia="Arial" w:hAnsi="Arial"/>
          <w:sz w:val="15"/>
          <w:szCs w:val="15"/>
          <w:color w:val="auto"/>
          <w:vertAlign w:val="superscript"/>
        </w:rPr>
      </w:pPr>
      <w:r>
        <w:rPr>
          <w:rFonts w:ascii="Arial" w:cs="Arial" w:eastAsia="Arial" w:hAnsi="Arial"/>
          <w:sz w:val="11"/>
          <w:szCs w:val="11"/>
          <w:color w:val="auto"/>
        </w:rPr>
        <w:t>Reflects the write-off of the remaining book value of liquidated rental product that had previously been held for sale.</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9"/>
        </w:numPr>
        <w:rPr>
          <w:rFonts w:ascii="Arial" w:cs="Arial" w:eastAsia="Arial" w:hAnsi="Arial"/>
          <w:sz w:val="15"/>
          <w:szCs w:val="15"/>
          <w:color w:val="auto"/>
          <w:vertAlign w:val="superscript"/>
        </w:rPr>
      </w:pPr>
      <w:r>
        <w:rPr>
          <w:rFonts w:ascii="Arial" w:cs="Arial" w:eastAsia="Arial" w:hAnsi="Arial"/>
          <w:sz w:val="11"/>
          <w:szCs w:val="11"/>
          <w:color w:val="auto"/>
        </w:rPr>
        <w:t>Non-ordinary course legal fees for the three months ended April 30, 2025 includes $0.6 million of costs related to securities lawsuits and non-recurring legal fees.</w:t>
      </w:r>
    </w:p>
    <w:p>
      <w:pPr>
        <w:spacing w:after="0" w:line="50"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9"/>
        </w:numPr>
        <w:rPr>
          <w:rFonts w:ascii="Arial" w:cs="Arial" w:eastAsia="Arial" w:hAnsi="Arial"/>
          <w:sz w:val="15"/>
          <w:szCs w:val="15"/>
          <w:color w:val="auto"/>
          <w:vertAlign w:val="superscript"/>
        </w:rPr>
      </w:pPr>
      <w:r>
        <w:rPr>
          <w:rFonts w:ascii="Arial" w:cs="Arial" w:eastAsia="Arial" w:hAnsi="Arial"/>
          <w:sz w:val="11"/>
          <w:szCs w:val="11"/>
          <w:color w:val="auto"/>
        </w:rPr>
        <w:t>Reflects restructuring charges primarily related to severance and related costs in connection with the January 2024 restructuring plan.</w:t>
      </w:r>
    </w:p>
    <w:p>
      <w:pPr>
        <w:spacing w:after="0" w:line="63" w:lineRule="exact"/>
        <w:rPr>
          <w:rFonts w:ascii="Arial" w:cs="Arial" w:eastAsia="Arial" w:hAnsi="Arial"/>
          <w:sz w:val="15"/>
          <w:szCs w:val="15"/>
          <w:color w:val="auto"/>
          <w:vertAlign w:val="superscript"/>
        </w:rPr>
      </w:pPr>
    </w:p>
    <w:p>
      <w:pPr>
        <w:ind w:left="260" w:hanging="255"/>
        <w:spacing w:after="0"/>
        <w:tabs>
          <w:tab w:leader="none" w:pos="260" w:val="left"/>
        </w:tabs>
        <w:numPr>
          <w:ilvl w:val="0"/>
          <w:numId w:val="29"/>
        </w:numPr>
        <w:rPr>
          <w:rFonts w:ascii="Arial" w:cs="Arial" w:eastAsia="Arial" w:hAnsi="Arial"/>
          <w:sz w:val="7"/>
          <w:szCs w:val="7"/>
          <w:color w:val="auto"/>
        </w:rPr>
      </w:pPr>
      <w:r>
        <w:rPr>
          <w:rFonts w:ascii="Arial" w:cs="Arial" w:eastAsia="Arial" w:hAnsi="Arial"/>
          <w:sz w:val="11"/>
          <w:szCs w:val="11"/>
          <w:color w:val="auto"/>
        </w:rPr>
        <w:t>Includes other (income) / expense recognized in the period.</w:t>
      </w:r>
    </w:p>
    <w:p>
      <w:pPr>
        <w:spacing w:after="0" w:line="96" w:lineRule="exact"/>
        <w:rPr>
          <w:rFonts w:ascii="Arial" w:cs="Arial" w:eastAsia="Arial" w:hAnsi="Arial"/>
          <w:sz w:val="7"/>
          <w:szCs w:val="7"/>
          <w:color w:val="auto"/>
        </w:rPr>
      </w:pPr>
    </w:p>
    <w:p>
      <w:pPr>
        <w:ind w:left="260" w:right="400" w:hanging="255"/>
        <w:spacing w:after="0" w:line="303" w:lineRule="auto"/>
        <w:tabs>
          <w:tab w:leader="none" w:pos="254" w:val="left"/>
        </w:tabs>
        <w:numPr>
          <w:ilvl w:val="0"/>
          <w:numId w:val="29"/>
        </w:numPr>
        <w:rPr>
          <w:rFonts w:ascii="Arial" w:cs="Arial" w:eastAsia="Arial" w:hAnsi="Arial"/>
          <w:sz w:val="7"/>
          <w:szCs w:val="7"/>
          <w:color w:val="auto"/>
        </w:rPr>
      </w:pPr>
      <w:r>
        <w:rPr>
          <w:rFonts w:ascii="Arial" w:cs="Arial" w:eastAsia="Arial" w:hAnsi="Arial"/>
          <w:sz w:val="11"/>
          <w:szCs w:val="11"/>
          <w:color w:val="auto"/>
        </w:rPr>
        <w:t>Includes gains / losses recognized in relation to foreign exchange, operating lease terminations and the related surrender of fixed assets (see “Note 5 - Leases – Lessee Accounting” in the Notes to the Condensed Consolidated Financial Statements).</w:t>
      </w:r>
    </w:p>
    <w:p>
      <w:pPr>
        <w:spacing w:after="0" w:line="17" w:lineRule="exact"/>
        <w:rPr>
          <w:rFonts w:ascii="Arial" w:cs="Arial" w:eastAsia="Arial" w:hAnsi="Arial"/>
          <w:sz w:val="7"/>
          <w:szCs w:val="7"/>
          <w:color w:val="auto"/>
        </w:rPr>
      </w:pPr>
    </w:p>
    <w:p>
      <w:pPr>
        <w:ind w:left="260" w:hanging="255"/>
        <w:spacing w:after="0"/>
        <w:tabs>
          <w:tab w:leader="none" w:pos="260" w:val="left"/>
        </w:tabs>
        <w:numPr>
          <w:ilvl w:val="0"/>
          <w:numId w:val="29"/>
        </w:numPr>
        <w:rPr>
          <w:rFonts w:ascii="Arial" w:cs="Arial" w:eastAsia="Arial" w:hAnsi="Arial"/>
          <w:sz w:val="15"/>
          <w:szCs w:val="15"/>
          <w:color w:val="auto"/>
          <w:vertAlign w:val="superscript"/>
        </w:rPr>
      </w:pPr>
      <w:r>
        <w:rPr>
          <w:rFonts w:ascii="Arial" w:cs="Arial" w:eastAsia="Arial" w:hAnsi="Arial"/>
          <w:sz w:val="11"/>
          <w:szCs w:val="11"/>
          <w:color w:val="auto"/>
        </w:rPr>
        <w:t>Adjusted EBITDA Margin calculated as Adjusted EBITDA as a percentage of revenue.</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94"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have incurred net losses from operations of $(26.1) million for the three months ended April 30, 2025, have incurred significant recurring net losses since inception, have an accumulated deficit of $(1,149.1) million as of April 30, 2025, and have historically relied upon debt and equity financing to fund our operations. Our cash flows from operations for the three months ended April 30, 2025 were $8.3 million. Cash outflows from investing activities were $(14.7) million for the three months ended April 30, 2025. As of April 30, 2025, we had cash and cash equivalents of $70.4 million, restricted cash of $9.0 million, current liabilities of $71.3 million as of April 30, 2025 and long-term debt of $340.6 million with a maturity date in October 2026. We currently expect that our cash and cash equivalents balance will decline in fiscal year 2025 as a result of our business plans and strategy to significantly increase the quantity and desirability of rental product available to our customers.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We are a borrower under a loan agreement with CHS (US) Management LLC (as successor in interest to Double Helix Pte Ltd.) as administrative agent for Temasek Holdings, and CHS US Investments LLC, as lender (following a debt assignment from Double Helix Pte Ltd. in March 2025). In January 2023, we entered into an amendment and restatement of such facility (the “2022 Amended Temasek Facility”). The 2022 Amended Temasek Facility extended the maturity date from October 2024 to October 2026, reduced cash interest payments by over $ 20 million for the two succeeding fiscal years while the total interest rate remains unchanged during this period, with subsequent increases thereafter. In connection with the 2022 Amended Temasek Facility, we also granted warrants to purchase 100,000 shares of Class A Common Stock at an exercise price of $100.00 per share, along with other clarifications and updates. In December 2023, we entered into the 2023 Amended Temasek Facility. The 2023 Amended Temasek Facility eliminated all interest</w:t>
      </w:r>
    </w:p>
    <w:p>
      <w:pPr>
        <w:spacing w:after="0" w:line="3" w:lineRule="exact"/>
        <w:rPr>
          <w:sz w:val="20"/>
          <w:szCs w:val="20"/>
          <w:color w:val="auto"/>
        </w:rPr>
      </w:pPr>
    </w:p>
    <w:p>
      <w:pPr>
        <w:ind w:right="240"/>
        <w:spacing w:after="0" w:line="229" w:lineRule="auto"/>
        <w:rPr>
          <w:sz w:val="20"/>
          <w:szCs w:val="20"/>
          <w:color w:val="auto"/>
        </w:rPr>
      </w:pPr>
      <w:r>
        <w:rPr>
          <w:rFonts w:ascii="Arial" w:cs="Arial" w:eastAsia="Arial" w:hAnsi="Arial"/>
          <w:sz w:val="14"/>
          <w:szCs w:val="14"/>
          <w:color w:val="auto"/>
        </w:rPr>
        <w:t>(payment-in-kind and cash interest) for six full fiscal quarters beginning with the fourth quarter of fiscal year 2023, reduced the minimum liquidity maintenance covenant from $50 million to $30 million, and provided that the Company may not exceed mutually agreed upon quarterly and annual spend levels for rental product capital, fixed operating, and</w:t>
      </w:r>
    </w:p>
    <w:p>
      <w:pPr>
        <w:jc w:val="both"/>
        <w:ind w:right="120"/>
        <w:spacing w:after="0"/>
        <w:rPr>
          <w:sz w:val="20"/>
          <w:szCs w:val="20"/>
          <w:color w:val="auto"/>
        </w:rPr>
      </w:pPr>
      <w:r>
        <w:rPr>
          <w:rFonts w:ascii="Arial" w:cs="Arial" w:eastAsia="Arial" w:hAnsi="Arial"/>
          <w:sz w:val="14"/>
          <w:szCs w:val="14"/>
          <w:color w:val="auto"/>
        </w:rPr>
        <w:t>marketing expenditures during fiscal year 2024 of $ 51 million, $100 million (excluding $10 million of specified permitted expenditures), and $30 million, respectively, on an annual basis, and to-be-agreed levels for fiscal years 2025 and 2026, subject to the debt holders’ consent and certain exceptions. In fiscal year 2025, we have incurred cash and paid-in-kind interest beginning May 1, 2025. In March 2025, we entered into an amendment that extended the deadline to establish the 2025 quarterly and annual spend levels for rental product capital, fixed operating, and marketing expenditures to May 30, 2025, which deadline was subsequently further amended in May 2025 and extended to July 31, 2025. Our total indebtedness as of April 30, 2025 was $340.6 million. For a description of the terms of our current and prior credit agreements, see “Note 7 – Long-Term Debt” in the Notes to the Condensed Consolidated Financial Statements. We intend to work constructively with our lender regarding the terms of the 2025 Amended Facility.</w:t>
      </w:r>
    </w:p>
    <w:p>
      <w:pPr>
        <w:spacing w:after="0" w:line="166"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On May 28, 2024, we filed a “shelf” registration statement on Form S-3 (Reg. No. 333-279757) with the SEC, which was declared effective on June 6, 2024. This shelf registration statement, which includes a base prospectus, allows us at any time to offer any combination of securities described in the prospectus in one or more offerings for our own account in an aggregate amount up to $40 million.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w:t>
      </w:r>
    </w:p>
    <w:p>
      <w:pPr>
        <w:spacing w:after="0" w:line="162" w:lineRule="exact"/>
        <w:rPr>
          <w:sz w:val="20"/>
          <w:szCs w:val="20"/>
          <w:color w:val="auto"/>
        </w:rPr>
      </w:pPr>
    </w:p>
    <w:p>
      <w:pPr>
        <w:ind w:right="220"/>
        <w:spacing w:after="0" w:line="239" w:lineRule="auto"/>
        <w:rPr>
          <w:sz w:val="20"/>
          <w:szCs w:val="20"/>
          <w:color w:val="auto"/>
        </w:rPr>
      </w:pPr>
      <w:r>
        <w:rPr>
          <w:rFonts w:ascii="Arial" w:cs="Arial" w:eastAsia="Arial" w:hAnsi="Arial"/>
          <w:sz w:val="14"/>
          <w:szCs w:val="14"/>
          <w:color w:val="auto"/>
        </w:rPr>
        <w:t>The issuance of additional equity, including securities convertible into equity, would result in additional dilution to our stockholders and could reduce the market price of our stock. Preferred stock, if issued, could have a preference with respect to liquidating distributions or a preference with respect to dividend payments that could limit our ability to pay</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dividends to the holders of our common stock. The incurrence of debt financing would result in debt service obligations and the instruments governing such debt could provide for operating and financing covenants that would restrict our operations. Our decision to issue securities in any future offering will depend on market conditions and other factors beyond our control, which may adversely affect the amount, timing, or nature of our future offerings. There can be no assurances that we will be able to raise additional capital which could negatively affect our liquidity in the future. In the event that additional financing is required from outside sources, we may not be able to negotiate terms acceptable to us or at all. If this occurs, our repayment obligations under the 2025 Amended Facility may be accelerated and we may be unable to meet such obligations. If we are unable to raise additional capital when required, or if we cannot expand our operations or otherwise capitalize on our business opportunities because we lack sufficient capital, our business, results of operations, financial condition, and cash flows would be adversely affected.</w:t>
      </w:r>
    </w:p>
    <w:p>
      <w:pPr>
        <w:spacing w:after="0" w:line="179"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Our future capital requirements will depend on many factors, including, but not limited to, demand for our business, rental product spend (including expected increases in rental product spend due to our planned increase in rental product unit purchases in fiscal year 2025) and the timing of investments in technology and personnel to support the overall growth of our business. We believe our existing cash and cash equivalents, and cash generated from our operations, will be sufficient to sustain our business operations, including interest payments that resumed effective May 1, 2025, and satisfy the $30 million minimum liquidity maintenance covenant for at least the next twelve months.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219" w:lineRule="exact"/>
        <w:rPr>
          <w:sz w:val="20"/>
          <w:szCs w:val="20"/>
          <w:color w:val="auto"/>
        </w:rPr>
      </w:pPr>
    </w:p>
    <w:p>
      <w:pPr>
        <w:jc w:val="center"/>
        <w:ind w:left="8220"/>
        <w:spacing w:after="0"/>
        <w:rPr>
          <w:sz w:val="20"/>
          <w:szCs w:val="20"/>
          <w:color w:val="auto"/>
        </w:rPr>
      </w:pPr>
      <w:r>
        <w:rPr>
          <w:rFonts w:ascii="Arial" w:cs="Arial" w:eastAsia="Arial" w:hAnsi="Arial"/>
          <w:sz w:val="11"/>
          <w:szCs w:val="11"/>
          <w:b w:val="1"/>
          <w:bCs w:val="1"/>
          <w:color w:val="auto"/>
        </w:rPr>
        <w:t>Three Months Ended</w:t>
      </w:r>
    </w:p>
    <w:p>
      <w:pPr>
        <w:jc w:val="center"/>
        <w:ind w:left="8220"/>
        <w:spacing w:after="0"/>
        <w:rPr>
          <w:sz w:val="20"/>
          <w:szCs w:val="20"/>
          <w:color w:val="auto"/>
        </w:rPr>
      </w:pPr>
      <w:r>
        <w:rPr>
          <w:rFonts w:ascii="Arial" w:cs="Arial" w:eastAsia="Arial" w:hAnsi="Arial"/>
          <w:sz w:val="11"/>
          <w:szCs w:val="11"/>
          <w:b w:val="1"/>
          <w:bCs w:val="1"/>
          <w:color w:val="auto"/>
        </w:rPr>
        <w:t>April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2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2024</w:t>
            </w:r>
          </w:p>
        </w:tc>
      </w:tr>
      <w:tr>
        <w:trPr>
          <w:trHeight w:val="150"/>
        </w:trPr>
        <w:tc>
          <w:tcPr>
            <w:tcW w:w="82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(in millions)</w:t>
            </w:r>
          </w:p>
        </w:tc>
        <w:tc>
          <w:tcPr>
            <w:tcW w:w="1040" w:type="dxa"/>
            <w:vAlign w:val="bottom"/>
            <w:tcBorders>
              <w:bottom w:val="single" w:sz="8" w:color="auto"/>
            </w:tcBorders>
          </w:tcPr>
          <w:p>
            <w:pPr>
              <w:spacing w:after="0"/>
              <w:rPr>
                <w:sz w:val="13"/>
                <w:szCs w:val="13"/>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w:t>
            </w:r>
          </w:p>
        </w:tc>
        <w:tc>
          <w:tcPr>
            <w:tcW w:w="98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80"/>
        </w:trPr>
        <w:tc>
          <w:tcPr>
            <w:tcW w:w="822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9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Net (decrease) increase in cash and cash equivalents and restricted cash</w:t>
            </w: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0"/>
        </w:trPr>
        <w:tc>
          <w:tcPr>
            <w:tcW w:w="8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9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94.0</w:t>
            </w:r>
          </w:p>
        </w:tc>
      </w:tr>
      <w:tr>
        <w:trPr>
          <w:trHeight w:val="171"/>
        </w:trPr>
        <w:tc>
          <w:tcPr>
            <w:tcW w:w="822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9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We also measure the cash consumption of the business including capital expenditures, by assessing net cash used in operating activities and net cash used in investing activities on a combined basis, which was $(6.4) million for the three months ended April 30, 2025 and $(1.4) million for the three months ended April 30, 2024. The cash consumption of the business was higher in the first quarter of fiscal year 2025 compared with the same period of fiscal year 2024 primarily due to higher purchases of rental product and higher net loss and lower Adjusted EBITDA compared to the prior period. The sum of net cash used in operating activities and net cash used in investing activities, as a percentage of revenue, was (9.2)% for the three months ended April 30, 2025 and (1.9)% for the three months ended April 30, 2024.</w:t>
      </w:r>
    </w:p>
    <w:p>
      <w:pPr>
        <w:spacing w:after="0" w:line="15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b w:val="1"/>
          <w:bCs w:val="1"/>
          <w:color w:val="auto"/>
        </w:rPr>
        <w:t>Net cash (used in) provided by operating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three months ended April 30, 2025, net cash provided by operating activities was $8.3 million, which consisted of a</w:t>
      </w:r>
      <w:r>
        <w:rPr>
          <w:rFonts w:ascii="Arial" w:cs="Arial" w:eastAsia="Arial" w:hAnsi="Arial"/>
          <w:sz w:val="14"/>
          <w:szCs w:val="14"/>
          <w:b w:val="1"/>
          <w:bCs w:val="1"/>
          <w:color w:val="auto"/>
        </w:rPr>
        <w:t xml:space="preserve"> </w:t>
      </w:r>
      <w:r>
        <w:rPr>
          <w:rFonts w:ascii="Arial" w:cs="Arial" w:eastAsia="Arial" w:hAnsi="Arial"/>
          <w:sz w:val="14"/>
          <w:szCs w:val="14"/>
          <w:color w:val="auto"/>
        </w:rPr>
        <w:t>net loss of $(26.1) million, partially offset by non-cash charges of $24.1 million, reclassification of the proceeds from the sale of rental product of $4.9 million and a net change of</w:t>
      </w:r>
    </w:p>
    <w:p>
      <w:pPr>
        <w:spacing w:after="0" w:line="1" w:lineRule="exact"/>
        <w:rPr>
          <w:sz w:val="20"/>
          <w:szCs w:val="20"/>
          <w:color w:val="auto"/>
        </w:rPr>
      </w:pPr>
    </w:p>
    <w:p>
      <w:pPr>
        <w:ind w:right="400"/>
        <w:spacing w:after="0" w:line="238" w:lineRule="auto"/>
        <w:rPr>
          <w:sz w:val="20"/>
          <w:szCs w:val="20"/>
          <w:color w:val="auto"/>
        </w:rPr>
      </w:pPr>
      <w:r>
        <w:rPr>
          <w:rFonts w:ascii="Arial" w:cs="Arial" w:eastAsia="Arial" w:hAnsi="Arial"/>
          <w:sz w:val="14"/>
          <w:szCs w:val="14"/>
          <w:color w:val="auto"/>
        </w:rPr>
        <w:t>$15.2 million in our operating assets and liabilities. The non-cash charges were primarily comprised of $13.0 million of rental product depreciation and write-off expenses, $1.5 million of share-based compensation, $6.9 million of debt discount amortization, and $2.7 million of other fixed and intangible asset depreciation.</w:t>
      </w:r>
    </w:p>
    <w:p>
      <w:pPr>
        <w:spacing w:after="0" w:line="155"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For the three months ended April 30, 2024, net cash used in operating activities was $4.6 million, which consisted of a net loss of $(22.0) million, partially offset by non-cash charges of $28.0 million, reclassification of the proceeds from the sale of rental product of $6.8 million and a net change of $5.4 million in our operating assets and liabilities. The non-cash charges were primarily comprised of $15.3 million of rental product depreciation and write-off expenses, $3.0 million of share-based compensation, $6.4 million of debt discount amortization and $3.3 million of other fixed and intangible asset depreciation.</w:t>
      </w:r>
    </w:p>
    <w:p>
      <w:pPr>
        <w:spacing w:after="0" w:line="138" w:lineRule="exact"/>
        <w:rPr>
          <w:sz w:val="20"/>
          <w:szCs w:val="20"/>
          <w:color w:val="auto"/>
        </w:rPr>
      </w:pPr>
    </w:p>
    <w:p>
      <w:pPr>
        <w:spacing w:after="0" w:line="260" w:lineRule="auto"/>
        <w:rPr>
          <w:sz w:val="20"/>
          <w:szCs w:val="20"/>
          <w:color w:val="auto"/>
        </w:rPr>
      </w:pPr>
      <w:r>
        <w:rPr>
          <w:rFonts w:ascii="Arial" w:cs="Arial" w:eastAsia="Arial" w:hAnsi="Arial"/>
          <w:sz w:val="14"/>
          <w:szCs w:val="14"/>
          <w:b w:val="1"/>
          <w:bCs w:val="1"/>
          <w:color w:val="auto"/>
        </w:rPr>
        <w:t>Net cash (used in) provided by investing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three months ended April 30, 2025, net cash used in investing activities was $(14.7) million, primarily consisting of</w:t>
      </w:r>
      <w:r>
        <w:rPr>
          <w:rFonts w:ascii="Arial" w:cs="Arial" w:eastAsia="Arial" w:hAnsi="Arial"/>
          <w:sz w:val="14"/>
          <w:szCs w:val="14"/>
          <w:b w:val="1"/>
          <w:bCs w:val="1"/>
          <w:color w:val="auto"/>
        </w:rPr>
        <w:t xml:space="preserve"> </w:t>
      </w:r>
      <w:r>
        <w:rPr>
          <w:rFonts w:ascii="Arial" w:cs="Arial" w:eastAsia="Arial" w:hAnsi="Arial"/>
          <w:sz w:val="14"/>
          <w:szCs w:val="14"/>
          <w:color w:val="auto"/>
        </w:rPr>
        <w:t>$(19.3) million of purchases of rental product incurred in the period and $(1.2) million of purchases of fixed and intangible assets. The investment in rental product does not include an additional $(11.3) million of cost for units received in the current period but not yet paid for, but does include $2.7 million of cost for units paid for in the current period but received in the prior period (see the Supplemental Cash Flow Information in Part I, Item 1. “Financial Statements (Unaudited)”). The investment in rental product was to support our rental product strategy. The majority of the investment in fixed and intangible assets was primarily related to machinery and equipment. The cash used in investing activities was partially offset by $4.9 million of proceeds from the sale of owned rental product and $0.9 million of proceeds from the liquidation of rental product.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For the three months ended April 30, 2024, net cash used in investing activities was $(6.0) million, primarily consisting of $(13.1) million of purchases of rental product incurred in the period and $(0.8) million of purchases of fixed and intangible assets. The investment in rental product did not include an additional $(12.3) million of cost for units received in the current period but not yet paid for, but did include $3.3 million of cost for units paid for in the current period but received in the prior period (see Supplemental Cash Flow Information in Part I, Item 1. “Financial Statements (Unaudited)”). The investment in rental product was to support our rental product strategy. The majority of the investment in fixed and intangible assets was related to machinery and equipment and leasehold improvements. The cash used in investing activities was partially offset by $6.8 million of proceeds from sales of owned rental products and $1.1 million of proceeds from the liquidation of rental product.</w:t>
      </w:r>
    </w:p>
    <w:p>
      <w:pPr>
        <w:spacing w:after="0" w:line="142"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b w:val="1"/>
          <w:bCs w:val="1"/>
          <w:color w:val="auto"/>
        </w:rPr>
        <w:t>Net cash provided by (used in) financing activities</w:t>
      </w:r>
      <w:r>
        <w:rPr>
          <w:rFonts w:ascii="Arial" w:cs="Arial" w:eastAsia="Arial" w:hAnsi="Arial"/>
          <w:sz w:val="14"/>
          <w:szCs w:val="14"/>
          <w:b w:val="1"/>
          <w:bCs w:val="1"/>
          <w:i w:val="1"/>
          <w:i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During the three months ended April 30, 2025, net cash used in financing activities was $(0.7) million, consisting of other</w:t>
      </w:r>
      <w:r>
        <w:rPr>
          <w:rFonts w:ascii="Arial" w:cs="Arial" w:eastAsia="Arial" w:hAnsi="Arial"/>
          <w:sz w:val="14"/>
          <w:szCs w:val="14"/>
          <w:b w:val="1"/>
          <w:bCs w:val="1"/>
          <w:color w:val="auto"/>
        </w:rPr>
        <w:t xml:space="preserve"> </w:t>
      </w:r>
      <w:r>
        <w:rPr>
          <w:rFonts w:ascii="Arial" w:cs="Arial" w:eastAsia="Arial" w:hAnsi="Arial"/>
          <w:sz w:val="14"/>
          <w:szCs w:val="14"/>
          <w:color w:val="auto"/>
        </w:rPr>
        <w:t>financing payments.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During the three months ended April 30, 2024, net cash used in financing activities was $(0.6) million, consisting of other financing payments.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In December 2023, we entered into the 2023 Amended Temasek Facility, which eliminated all interest (both payment-in-kind and cash interest) for a period of six full fiscal quarters beginning with the fourth quarter of fiscal year 2023, reduced the minimum liquidity maintenance covenant from $50 million to $30 million, and provided that we may not exceed mutually agreed upon quarterly and annual spend levels for rental product capital expenditures, fixed operating expenses and marketing expenditures during fiscal year 2024 and to-be-agreed levels for fiscal years 2025 and 2026. In March 2025, we entered into an amendment, which extended the deadline to agree upon the fiscal year 2025 covenant levels from March 31, 2025 to May 30, 2025, which deadline was subsequently further amended in May 2025 and extended to July 31, 2025. See Note 7 — Long-Term Debt in the Notes to the Condensed Consolidated Financial Statements for more information. As of April 30, 2025, we had approximately $340.6 million of total debt outstanding, none of which matures within the next 12 months. See “Note 7 — Long-Term Debt” in the Notes to the Condensed Consolidated Financial Statements for more information. See “Note 5 – Leases</w:t>
      </w:r>
    </w:p>
    <w:p>
      <w:pPr>
        <w:ind w:right="100"/>
        <w:spacing w:after="0" w:line="261" w:lineRule="auto"/>
        <w:rPr>
          <w:sz w:val="20"/>
          <w:szCs w:val="20"/>
          <w:color w:val="auto"/>
        </w:rPr>
      </w:pPr>
      <w:r>
        <w:rPr>
          <w:rFonts w:ascii="Arial" w:cs="Arial" w:eastAsia="Arial" w:hAnsi="Arial"/>
          <w:sz w:val="14"/>
          <w:szCs w:val="14"/>
          <w:color w:val="auto"/>
        </w:rPr>
        <w:t>– Lessee Accounting” in the Notes to the Condensed Consolidated Financial Statements for our minimum fixed lease obligations under existing lease agreements as of April 30, 2025. See “Note 14 - Commitments and Contingencies” in the Notes to the Condensed Consolidated Financial Statements for our minimum purchase commitments for technology services as of April 30, 2025.</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79" w:lineRule="exact"/>
        <w:rPr>
          <w:sz w:val="20"/>
          <w:szCs w:val="20"/>
          <w:color w:val="auto"/>
        </w:rPr>
      </w:pPr>
    </w:p>
    <w:p>
      <w:pPr>
        <w:ind w:right="240"/>
        <w:spacing w:after="0" w:line="271" w:lineRule="auto"/>
        <w:rPr>
          <w:sz w:val="20"/>
          <w:szCs w:val="20"/>
          <w:color w:val="auto"/>
        </w:rPr>
      </w:pPr>
      <w:r>
        <w:rPr>
          <w:rFonts w:ascii="Arial" w:cs="Arial" w:eastAsia="Arial" w:hAnsi="Arial"/>
          <w:sz w:val="14"/>
          <w:szCs w:val="14"/>
          <w:color w:val="auto"/>
        </w:rPr>
        <w:t>Our critical accounting estimates are described under the heading “Management’s Discussion and Analysis of Financial Condition and Results of Operations-Critical Accounting Estimates” in our 2024 Annual Report on Form 10-K. In the three months ended April 30, 2025, there were no material changes to our critical accounting estimates from those discussed in our 2024 Annual Report on Form 10-K except as discussed below.</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Interim Impairment Evaluation</w:t>
      </w:r>
    </w:p>
    <w:p>
      <w:pPr>
        <w:spacing w:after="0" w:line="200"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Long-lived assets, such as rental product, fixed assets, intangible assets, and right-of-use lease assets, are reviewed for impairment triggers when events or changes in circumstances indicate the carrying value of such assets may not be recoverable. If circumstances require a long-lived asset or asset group be tested for possible impairment, the Company first compares the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necessary.</w:t>
      </w:r>
    </w:p>
    <w:p>
      <w:pPr>
        <w:spacing w:after="0" w:line="16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Given the Company’s stock price decline during the first quarter of fiscal year 2025 and fourth quarter of fiscal year 2024, the Company concluded a triggering event had occurred and performed an impairment analysis of its long-lived assets as of April 30, 2025 and January 31, 2025. Based on the quantitative assessments performed, undiscounted cash flows expected to be generated by the use and eventual disposition of the Company’s long-lived assets exceeded their carrying values and therefore no impairment was recognized for the three months ended April 30, 2025 and year ended January 31, 2025.</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4"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color w:val="auto"/>
        </w:rPr>
        <w:t>See “Note 2 — Summary of Significant Accounting Policies” in the Notes to Condensed Consolidated Financial Statements for a description of recently adopted accounting pronouncements and recently issued accounting pronouncements not yet adopted.</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w:t>
      </w:r>
    </w:p>
    <w:p>
      <w:pPr>
        <w:spacing w:after="0" w:line="9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We currently qualify as an “emerging growth company” under the Jumpstart Our Business Startups Act of 2012, or the JOBS Act. Accordingly, we are provided the option to adopt new or revised accounting guidance either (i) within the same periods as those otherwise applicable to non-emerging growth companies or (ii) within the same time periods as private companies. We have elected to adopt new or revised accounting guidance within the same time period as private companies until the earlier of the date we (i) are no longer an emerging growth company or (ii) affirmatively and irrevocably opt out of the extended transition period. Accordingly,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94"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Our quantitative and qualitative disclosures about market risk are described under the heading “Quantitative and Qualitative Disclosures About Market Risk” in our 2024 Annual Report on Form 10-K. In the three months ended April 30, 2025, there were no material changes to our quantitative and qualitative disclosures about market risk from those discussed in our 2024 Annual Report on Form 10-K.</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Securities Exchange Act of 1934, as amended (the “Exchange Act”)). Based on our evaluation, our principal executive officer and principal financial officer have concluded that the Company’s disclosure controls and procedures (as such term is defined in Rule(s) 13a-15(e) and 15d-15(e) under the Exchange Act) were not effective as of April 30, 2025 because of the material weaknesses in our internal control over financial reporting described below.</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Notwithstanding the below identified material weaknesses, management believes the condensed consolidated financial statements as included in Part I, Item 1 of this Quarterly Report on Form 10-Q present fairly, in all material respects, the Company's financial condition, results of operations and cash flows as of and for the periods presented in accordance with generally accepted accounting principles in the United States.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Weaknesses in Internal Control Over Financial Reporting</w:t>
      </w:r>
    </w:p>
    <w:p>
      <w:pPr>
        <w:spacing w:after="0" w:line="94"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of April 30, 2025, these material weaknesses remain unremediated.</w:t>
      </w:r>
    </w:p>
    <w:p>
      <w:pPr>
        <w:spacing w:after="0" w:line="49" w:lineRule="exact"/>
        <w:rPr>
          <w:sz w:val="20"/>
          <w:szCs w:val="20"/>
          <w:color w:val="auto"/>
        </w:rPr>
      </w:pPr>
    </w:p>
    <w:p>
      <w:pPr>
        <w:ind w:right="22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information technology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163" w:lineRule="exact"/>
        <w:rPr>
          <w:sz w:val="20"/>
          <w:szCs w:val="20"/>
          <w:color w:val="auto"/>
        </w:rPr>
      </w:pPr>
    </w:p>
    <w:p>
      <w:pPr>
        <w:jc w:val="both"/>
        <w:ind w:right="40"/>
        <w:spacing w:after="0" w:line="271" w:lineRule="auto"/>
        <w:rPr>
          <w:sz w:val="20"/>
          <w:szCs w:val="20"/>
          <w:color w:val="auto"/>
        </w:rPr>
      </w:pPr>
      <w:r>
        <w:rPr>
          <w:rFonts w:ascii="Arial" w:cs="Arial" w:eastAsia="Arial" w:hAnsi="Arial"/>
          <w:sz w:val="14"/>
          <w:szCs w:val="14"/>
          <w:color w:val="auto"/>
        </w:rPr>
        <w:t>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55"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These material weaknesses did not result in a misstatement to our annual or interim condensed consolidated financial statements. However, each of these material weaknesses could result in a misstatement of substantially all account balances or disclosures that would result in a material misstatement to our annual or interim condensed consolidated financial statements that would not be prevented or detected.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Remediation Efforts to Address Material Weaknesses</w:t>
      </w:r>
    </w:p>
    <w:p>
      <w:pPr>
        <w:spacing w:after="0" w:line="94" w:lineRule="exact"/>
        <w:rPr>
          <w:sz w:val="20"/>
          <w:szCs w:val="20"/>
          <w:color w:val="auto"/>
        </w:rPr>
      </w:pPr>
    </w:p>
    <w:p>
      <w:pPr>
        <w:jc w:val="both"/>
        <w:ind w:right="160"/>
        <w:spacing w:after="0" w:line="271" w:lineRule="auto"/>
        <w:rPr>
          <w:sz w:val="20"/>
          <w:szCs w:val="20"/>
          <w:color w:val="auto"/>
        </w:rPr>
      </w:pPr>
      <w:r>
        <w:rPr>
          <w:rFonts w:ascii="Arial" w:cs="Arial" w:eastAsia="Arial" w:hAnsi="Arial"/>
          <w:sz w:val="14"/>
          <w:szCs w:val="14"/>
          <w:color w:val="auto"/>
        </w:rPr>
        <w:t>We continue to implement measures designed to remediate the identified material weaknesses. The measures include (i) formalizing the Company’s framework and policies with respect to maintaining evidence in the operation of control procedures, (ii) improving our control framework to include the appropriate segregation of duties and controls over the preparation and review of journal entries, and (iii) designing and implementing IT general controls for systems and applications impacting internal control over financial reporting.</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We have performed extensive work with personnel responsible for the design and operating effectiveness of internal control over financial reporting in our efforts to ensure that appropriate controls are in place and appropriate evidence is maintained. We are continuing to implement comprehensive access control protocols for our enterprise resource planning environment in order to implement restrictions on user and privileged access to certain applications, establishing additional controls over segregation of duties and the preparation and review of journal entries, implementing controls to review the activities for those users who have privileged access and program change management controls to ensure that IT program and data changes affecting financial IT applications and underlying accounting records are identified, tested, authorized and implemented appropriately.</w:t>
      </w:r>
    </w:p>
    <w:p>
      <w:pPr>
        <w:spacing w:after="0" w:line="55"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 is uncertain.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There have been no changes in the Company’s internal control over financial reporting that occurred during the quarter ended April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II - Other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The information contained in “Note 14 — Commitments and Contingencies” in the Notes to the Condensed Consolidated Financial Statements is incorporated by reference into this Item.</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4"/>
          <w:szCs w:val="14"/>
          <w:i w:val="1"/>
          <w:iCs w:val="1"/>
          <w:color w:val="auto"/>
        </w:rPr>
        <w:t>Investing in our Class A common stock involves a high degree of risk. You should consider and read carefully all of the risks and uncertainties described below, as well as other information included in this Quarterly Report on Form 10-Q, including our condensed consolidated financial statements and related notes appearing elsewhere in this filing,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and Industry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drive future growth or manage our growth effectively, our brand, Company culture, and financial performance may suffer</w:t>
      </w:r>
      <w:r>
        <w:rPr>
          <w:rFonts w:ascii="Arial" w:cs="Arial" w:eastAsia="Arial" w:hAnsi="Arial"/>
          <w:sz w:val="14"/>
          <w:szCs w:val="14"/>
          <w:color w:val="auto"/>
        </w:rPr>
        <w:t>.</w:t>
      </w:r>
    </w:p>
    <w:p>
      <w:pPr>
        <w:spacing w:after="0" w:line="189"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color w:val="auto"/>
        </w:rPr>
        <w:t>We must continue to drive revenue growth to be successful. To effectively drive growth, we must continue to enhance customer experience and attract and retain customers (particularly subscribers), iterate our subscription products, invest in digital consumer innovation, expand our brand awareness and marketing, and upgrade our management information and reverse logistics systems and other processes. 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w:t>
      </w:r>
    </w:p>
    <w:p>
      <w:pPr>
        <w:spacing w:after="0" w:line="164" w:lineRule="exact"/>
        <w:rPr>
          <w:sz w:val="20"/>
          <w:szCs w:val="20"/>
          <w:color w:val="auto"/>
        </w:rPr>
      </w:pPr>
    </w:p>
    <w:p>
      <w:pPr>
        <w:ind w:right="100"/>
        <w:spacing w:after="0" w:line="239" w:lineRule="auto"/>
        <w:rPr>
          <w:sz w:val="20"/>
          <w:szCs w:val="20"/>
          <w:color w:val="auto"/>
        </w:rPr>
      </w:pPr>
      <w:r>
        <w:rPr>
          <w:rFonts w:ascii="Arial" w:cs="Arial" w:eastAsia="Arial" w:hAnsi="Arial"/>
          <w:sz w:val="14"/>
          <w:szCs w:val="14"/>
          <w:color w:val="auto"/>
        </w:rPr>
        <w:t>Our growth strategy is focused on continuing to grow, engage, and retain our subscriber and customer base, expanding our brand partner relationships and product assortment, increasing our advertising and other marketing spending, and continuing to invest in our offerings and technology. The majority of our revenue is generated by our subscribers. Our</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base subscription plans range in price and customers can customize their subscription monthly by purchasing additional slots and shipments. Our subscriptions renew automatically on a monthly basis and subscribers may disable automatic renewal by canceling or pausing their subscription prior to the next month’s bill date. As a result, even though a significant number of subscribers have historically renewed their monthly subscription, there can be no assurance that we will be able to retain a significant portion of subscribers beyond the existing monthly subscription periods. In addition, any limitation or restriction imposed on our ability to bill our subscribers on a recurring basis, enforce our terms of service or collect data or deliver relevant promotions or media, whether due to new regulations or otherwise, may significantly lower our subscription retention rate. We also offer our customers the option to rent or buy items via our Reserve offering and Resale offering, respectively. Our Subscription plans and offerings do not have demonstrably long track records of success and may not grow as much or as fast as we expect. For example, our active subscriber count decreased year over year in fiscal year 2024 and, although we are focused on growth initiatives, may continue to decline in the future. In addition, our number of active subscribers may be higher or lower than the number of our actual individual subscribers, because some active subscribers may have multiple accounts (such as for professional and personal purposes), or some may share their plans with other individuals. Although we presently anticipate an increase in our year-over-year revenue growth rate in fiscal year 2025, if our growth and/or growth rates do not meet expectations, the perception of our business, financial condition and results of operations by investors and our third-party service providers and brand partners may be adversely affected.</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The fashion industry is rapidly evolving and our business may not develop as we expect. Overall growth of our revenue will depend on a number of factors, including our ability to:</w:t>
      </w:r>
    </w:p>
    <w:p>
      <w:pPr>
        <w:spacing w:after="0" w:line="94" w:lineRule="exact"/>
        <w:rPr>
          <w:sz w:val="20"/>
          <w:szCs w:val="20"/>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 traditional consumer buying habits and normalize clothing subscription, rental and resale;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price our Subscription, Reserve and Resale offerings so that we are able to attract new customers, and retain and expand our relationships with existing customers;</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ensure that we maintain an adequate depth and breadth of available products to meet customer demand and respond swiftly and appropriately to new and changing styles, trends or desired consumer preferences;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accurately forecast our revenue and plan our fulfillment,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provide customers with a high-quality, seamless user experience and order fulfillment, as well as customer service and support that meets their needs;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acquire customers into varying levels of subscription programs at different price points;</w:t>
      </w:r>
    </w:p>
    <w:p>
      <w:pPr>
        <w:spacing w:after="0" w:line="93" w:lineRule="exact"/>
        <w:rPr>
          <w:rFonts w:ascii="Arial" w:cs="Arial" w:eastAsia="Arial" w:hAnsi="Arial"/>
          <w:sz w:val="14"/>
          <w:szCs w:val="14"/>
          <w:color w:val="auto"/>
        </w:rPr>
      </w:pPr>
    </w:p>
    <w:p>
      <w:pPr>
        <w:ind w:left="580" w:right="70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improve our website and app performance and successfully identify and acquire, partner or invest in products, technologies, or businesses that we believe could complement or expand our business;</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successfully maintain and grow our relationships with existing and new brand partners, including continuing to maintain and grow our Share by RTR and Exclusive Design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avoid disruptions in acquiring and distributing our products and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effectively manage our customer acquisition funnel to avoid disruption to our Subscription, Reserve, and Resale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be effective and efficient in our paid marketing;</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maintain and enhance our reputation and the value of our brand;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hire, integrate and retain talented personnel across all levels of our organization;</w:t>
      </w:r>
    </w:p>
    <w:p>
      <w:pPr>
        <w:spacing w:after="0" w:line="93" w:lineRule="exact"/>
        <w:rPr>
          <w:rFonts w:ascii="Arial" w:cs="Arial" w:eastAsia="Arial" w:hAnsi="Arial"/>
          <w:sz w:val="14"/>
          <w:szCs w:val="14"/>
          <w:color w:val="auto"/>
        </w:rPr>
      </w:pPr>
    </w:p>
    <w:p>
      <w:pPr>
        <w:ind w:left="580" w:right="10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successfully compete with other companies that are currently in, or may in the future enter, the industry or the markets in which we operate, and respond to developments from these competitors such as pricing changes and the introduction of new offerings;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comply with existing and new laws and regulations applicable to our business;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successfully expand into new and penetrate existing geographic markets in the United States;</w:t>
      </w:r>
    </w:p>
    <w:p>
      <w:pPr>
        <w:spacing w:after="0" w:line="93" w:lineRule="exact"/>
        <w:rPr>
          <w:rFonts w:ascii="Arial" w:cs="Arial" w:eastAsia="Arial" w:hAnsi="Arial"/>
          <w:sz w:val="14"/>
          <w:szCs w:val="14"/>
          <w:color w:val="auto"/>
        </w:rPr>
      </w:pPr>
    </w:p>
    <w:p>
      <w:pPr>
        <w:ind w:left="580" w:right="22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successfully develop new offerings and innovate and enhance our existing offerings and their features, including in response to new trends, competitive dynamics or the needs of customers and subscribers;</w:t>
      </w:r>
    </w:p>
    <w:p>
      <w:pPr>
        <w:spacing w:after="0" w:line="35"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effectively manage growth of our business, personnel, and operations, including expanding our shipping and distribution capabilities and fulfillment center operations, as well as our logistics footprint and the number of facilities we operate in the future;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effectively manage our costs related to our business and operations; and</w:t>
      </w:r>
    </w:p>
    <w:p>
      <w:pPr>
        <w:spacing w:after="0" w:line="93" w:lineRule="exact"/>
        <w:rPr>
          <w:rFonts w:ascii="Arial" w:cs="Arial" w:eastAsia="Arial" w:hAnsi="Arial"/>
          <w:sz w:val="14"/>
          <w:szCs w:val="14"/>
          <w:color w:val="auto"/>
        </w:rPr>
      </w:pPr>
    </w:p>
    <w:p>
      <w:pPr>
        <w:ind w:left="580" w:right="300" w:hanging="193"/>
        <w:spacing w:after="0" w:line="290" w:lineRule="auto"/>
        <w:tabs>
          <w:tab w:leader="none" w:pos="57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avoid or manage interruptions in our business from information technology downtime, cybersecurity incidents and other factors that could affect our physical and digital infrastructure.</w:t>
      </w:r>
    </w:p>
    <w:p>
      <w:pPr>
        <w:spacing w:after="0" w:line="120"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offerings, substantial uncertainty concerning how these markets may develop, and other economic factors beyond our control, reduces our ability to accurately forecast quarterly or annual revenue.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growth and growth strategies have in the past strained, and could in the future strain, our existing resources, and we could experience ongoing operating difficulties in managing our business across numerous jurisdictions, including difficulties in hiring, training, and managing our broad employee base. Failure to scale and preserve our Company culture as we grow could also harm our future success, including our ability to retain and recruit personnel and to effectively focus on and pursue our corporate objectives. Failure to manage our future growth effectively could have an adverse effect on our business, financial condition, and results of operations.</w:t>
      </w:r>
    </w:p>
    <w:p>
      <w:pPr>
        <w:spacing w:after="0" w:line="138"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We also expect to continue to expend substantial financial and other resources to grow our business, and we may fail to allocate our resources in a manner that results in increased revenue growth in our business. Additionally, we may encounter unforeseen capital or operating expenses, difficulties, complications, delays, and other unknown factors that may result in losses in future periods and undermine our profitability goals. If our revenue growth does not meet our expectations in future periods, our business, financial condition, and results of operations may be harmed, and we may not achieve or sustain profitability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global fashion industry is highly competitive and rapidly changing, and we may not be able to compete effectively.</w:t>
      </w:r>
    </w:p>
    <w:p>
      <w:pPr>
        <w:spacing w:after="0" w:line="92"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We compete with other fashion rental companies and also with a range of traditional and online retail and resale fashion companies and we expect competition to continue to increase in the future. To be successful, we need to continue to attract and retain customers and brand partners.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ability to compete effectively depends on many factors within and beyond our control, including:</w:t>
      </w:r>
    </w:p>
    <w:p>
      <w:pPr>
        <w:spacing w:after="0" w:line="94" w:lineRule="exact"/>
        <w:rPr>
          <w:sz w:val="20"/>
          <w:szCs w:val="20"/>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normalize fashion rental and change traditional retail shopping habits and norms;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how effectively differentiated our offerings, customer experience and value proposition are from those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how effectively we market and communicate how to use our Subscription, Reserve and Resale offerings and attract and retain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expand and maintain an appealing depth and breadth of our products to meet customer demand and to merchandise it effectively;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price at which we are able to offer our Subscription, Reserve and Resale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amount, diversity, and quality of brands that we or our competitors offer;</w:t>
      </w:r>
    </w:p>
    <w:p>
      <w:pPr>
        <w:spacing w:after="0" w:line="93" w:lineRule="exact"/>
        <w:rPr>
          <w:rFonts w:ascii="Arial" w:cs="Arial" w:eastAsia="Arial" w:hAnsi="Arial"/>
          <w:sz w:val="14"/>
          <w:szCs w:val="14"/>
          <w:color w:val="auto"/>
        </w:rPr>
      </w:pPr>
    </w:p>
    <w:p>
      <w:pPr>
        <w:ind w:left="580" w:right="240" w:hanging="193"/>
        <w:spacing w:after="0" w:line="290" w:lineRule="auto"/>
        <w:tabs>
          <w:tab w:leader="none" w:pos="576"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acquire products on favorable and efficient terms, including our ability to attract new brand partners and retain existing brand partners in our Share by RTR and Exclusive Design programs;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speed and cost at which we can deliver products to our customers and the ease with which they can return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effectiveness of our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further developing our data science capabilities for brand partners;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strength of our brand, including maintaining favorable brand recognition and effectively marketing our services and value proposition to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success of our reverse-logistics processes in delivering products in good condition to customers;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anticipating and successfully responding to changing apparel trends and consumer shopping preferences.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Many competitors or potential competitors have or may have longer operating histories, greater brand recognition, better user experiences, stronger consumer and supplier relationships, less complicated business models, and significantly greater financial, marketing and other resources. In addition, they may be able to innovate and provide products and services faster and with more selection than we can, including as a result of their vertical integrations that better enables them to acquire market share. Certain fashion rental competitors have lower priced subscription offerings than we do and/or offer more items per shipment. In addition, competitors and potential competitors may be willing to price their products and services more aggressively in order to gain market share and be able to manufacture goods on a more cost-effective basis because they are vertically integrated, producing higher volumes, and/or have stronger relationships with manufacturing partners. In addition, brands set pricing for their own new retail items, which can include promotional discounts that may adversely affect the relative value of rental and/or resale items offered by us, and, in turn, our revenue, results of operations and financial condition. Additional competitors are expanding and may continue to expand into the rental and resale space in which we operate and we remain vulnerable to the marketing power and high level of customer recognition of these larger competitors and to the risk that these competitors or other smaller entrants could attract our customer base.</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Furthermore, although we believe that there are numerous trends in our favor that support the continued growth and success of online fashion rental, changing traditional retail and e-commerce shopping habits is difficult, particularly the shift from an ownership to an access model. Our business model may not achieve acceptance as broadly and within the time frame that we expect by customers and brand partners. In addition, the trends in our favor may evolve and no longer provide compelling support for our business model. If online fashion rental does not achieve broad acceptance by consumers and our brand partners, our growth could be limited and our competitiveness hampered.</w:t>
      </w:r>
    </w:p>
    <w:p>
      <w:pPr>
        <w:spacing w:after="0" w:line="138"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Our inability to respond effectively to competitive pressures, improved performance by our competitors, our failure to achieve broad acceptance and changes in the fashion retail markets could result in lost market share and have a material adverse effect on our business, financial condition, and results of operations.</w:t>
      </w:r>
    </w:p>
    <w:p>
      <w:pPr>
        <w:spacing w:after="0" w:line="207" w:lineRule="exact"/>
        <w:rPr>
          <w:sz w:val="20"/>
          <w:szCs w:val="20"/>
          <w:color w:val="auto"/>
        </w:rPr>
      </w:pPr>
    </w:p>
    <w:p>
      <w:pPr>
        <w:ind w:right="740"/>
        <w:spacing w:after="0" w:line="299" w:lineRule="auto"/>
        <w:rPr>
          <w:sz w:val="20"/>
          <w:szCs w:val="20"/>
          <w:color w:val="auto"/>
        </w:rPr>
      </w:pPr>
      <w:r>
        <w:rPr>
          <w:rFonts w:ascii="Arial" w:cs="Arial" w:eastAsia="Arial" w:hAnsi="Arial"/>
          <w:sz w:val="14"/>
          <w:szCs w:val="14"/>
          <w:b w:val="1"/>
          <w:bCs w:val="1"/>
          <w:i w:val="1"/>
          <w:iCs w:val="1"/>
          <w:color w:val="auto"/>
        </w:rPr>
        <w:t>We rely on consumer discretionary spending and have been, and may in the future be, adversely affected by economic downturns and other macroeconomic conditions or trends</w:t>
      </w:r>
      <w:r>
        <w:rPr>
          <w:rFonts w:ascii="Arial" w:cs="Arial" w:eastAsia="Arial" w:hAnsi="Arial"/>
          <w:sz w:val="14"/>
          <w:szCs w:val="14"/>
          <w:color w:val="auto"/>
        </w:rPr>
        <w:t>.</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We are subject to variable industry and global economic conditions and their impact on consumer discretionary spending. Some of the factors that may negatively influence consumer spending include high levels of unemployment; recession; higher consumer debt levels; inflation; reductions in net worth, declines in asset values, and related market uncertainty; volatility in the financial markets; home foreclosures and reductions in home values; fluctuating interest rates and credit availability; fluctuating fuel and other energy costs; fluctuating commodity prices; and general uncertainty regarding the overall future political and economic environment. We have experienced many of these factors in the past and have seen negative impacts on customer demand as a result.</w:t>
      </w:r>
    </w:p>
    <w:p>
      <w:pPr>
        <w:spacing w:after="0" w:line="140"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Furthermore, increases in consumer discretionary spending tend to fluctuate and may decrease, particularly if there is a recession and/or higher inflation leading to increased price sensitivity. Economic conditions in certain regions may also be affected by natural disasters, such as hurricanes, tropical storms, earthquakes, and wildfires; other public health crises; geopolitical conditions, including wars, terrorism and political tensions; and other major unforeseen events. Although we believe the value proposition of our offering and business model may be strengthened in an inflationary environment where the cost of purchasing clothing and accessories increases, consumer purchases or rental of discretionary items, including the products that we offer, frequently decline during recessionary periods or periods of economic uncertainty, when disposable income is reduced or when there is a reduction in consumer confidence.</w:t>
      </w:r>
    </w:p>
    <w:p>
      <w:pPr>
        <w:spacing w:after="0" w:line="142" w:lineRule="exact"/>
        <w:rPr>
          <w:sz w:val="20"/>
          <w:szCs w:val="20"/>
          <w:color w:val="auto"/>
        </w:rPr>
      </w:pPr>
    </w:p>
    <w:p>
      <w:pPr>
        <w:ind w:right="160"/>
        <w:spacing w:after="0" w:line="262" w:lineRule="auto"/>
        <w:rPr>
          <w:sz w:val="20"/>
          <w:szCs w:val="20"/>
          <w:color w:val="auto"/>
        </w:rPr>
      </w:pPr>
      <w:r>
        <w:rPr>
          <w:rFonts w:ascii="Arial" w:cs="Arial" w:eastAsia="Arial" w:hAnsi="Arial"/>
          <w:sz w:val="14"/>
          <w:szCs w:val="14"/>
          <w:color w:val="auto"/>
        </w:rPr>
        <w:t>Additionally, adverse economic changes could reduce consumer confidence, and could thereby negatively affect our operating results. In the event of a prolonged economic downturn, uncertainty, or acute recession, significant inflation, or increased supply chain shortages, consumer spending habits could be adversely affected, and we could experience lower than expected revenue, net income, cash flows and Adjusted EBITDA. In challenging and uncertain economic environments, we cannot predict the degree of uncertainty, whether or when such circumstances may improve or worsen or what impact such circumstances could have on our business. Any of these developments could harm our business, financial condition and results of operations.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8" w:lineRule="auto"/>
        <w:rPr>
          <w:sz w:val="20"/>
          <w:szCs w:val="20"/>
          <w:color w:val="auto"/>
        </w:rPr>
      </w:pPr>
      <w:r>
        <w:rPr>
          <w:rFonts w:ascii="Arial" w:cs="Arial" w:eastAsia="Arial" w:hAnsi="Arial"/>
          <w:sz w:val="14"/>
          <w:szCs w:val="14"/>
          <w:b w:val="1"/>
          <w:bCs w:val="1"/>
          <w:i w:val="1"/>
          <w:iCs w:val="1"/>
          <w:color w:val="auto"/>
        </w:rPr>
        <w:t>Our continued growth depends on our ability to attract new, and retain existing, customers, which may fluctuate based on our level of investment and success in our organic and paid marketing initiatives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If we are unable to cost-effectively grow our customer base, our business, financial condition and results of operations would be harmed</w:t>
      </w:r>
      <w:r>
        <w:rPr>
          <w:rFonts w:ascii="Arial" w:cs="Arial" w:eastAsia="Arial" w:hAnsi="Arial"/>
          <w:sz w:val="14"/>
          <w:szCs w:val="14"/>
          <w:b w:val="1"/>
          <w:bCs w:val="1"/>
          <w:color w:val="auto"/>
        </w:rPr>
        <w:t>.</w:t>
      </w:r>
    </w:p>
    <w:p>
      <w:pPr>
        <w:spacing w:after="0" w:line="3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growth of our business is dependent upon our ability to continue to grow by cost-effectively adding new customers and retaining existing customers. Historically, a substantial portion of new customer acquisition has originated from organic word-of-mouth and other non-paid referrals. Our marketing initiatives are generally focused on re-engaging lapsed and paused customers, retaining existing customers and growing our base of new customers. In addition, we continue to focus on growing traffic and conversion rates by optimizing our organic social media channels, by improving our email marketing performance, by refreshing our lifecycle marketing engine, by increasing paid marketing efficiency, and by focusing on our search engine ranking for relevant keywords. These efforts are ongoing and, although we have seen some positive results, they are subject to change and may not result in a sustained increase in customer loyalty or higher customer engagement. As a result, our levels of paid and organic growth may continue to fluctuate and/or overall growth may decline.</w:t>
      </w:r>
    </w:p>
    <w:p>
      <w:pPr>
        <w:spacing w:after="0" w:line="5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Paid marketing is a part of our growth strategy and we may determine that significant investment in marketing will be required in the future. However, we reduced our marketing spend, particularly in paid marketing, in fiscal year 2024, which resulted in lower customer acquisitions and revenue. We may incur marketing expenses significantly in advance of the time we anticipate recognized revenue associated with such expenses. In addition, our paid marketing may be unsuccessful for various reasons, including not effectively reaching potential customers or being cost-effective (particularly as costs increase for performance marketing), changes in regulations (e.g., privacy) or third-party interference could limit the effectiveness of search engines, social media platforms, and other tools for marketing, potential customers may decide not to rent through our platform or the spend of new customers may not yield the intended return on investment, any of which could negatively affect our results of operations. In addition, the success of our marketing initiatives overall depends upon our marketing team and leadership, which has continued to experience transition as we focus on building creative and strategic talent on the team. If our team building efforts or marketing strategies are not successful or are not executed successfully, our growth may decline and we may not achieve our growth and/or profitability goals.</w:t>
      </w:r>
    </w:p>
    <w:p>
      <w:pPr>
        <w:spacing w:after="0" w:line="58"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We utilize promotional pricing to attract customers and subscribers who may have heightened price sensitivity and who may not be willing to pay full price for our offering when the promotion period expires. Our promotional strategy changes regularly and is subject to experimentation. For example, as part of our recent customer engagement campaign in the first quarter of 2025, we have provided a free membership month to certain high-value lapsed subscribers, who may or may not continue their subscription when their free month expires. We expect that we will continue to adjust our promotional policies in response to our business objectives and market conditions. Our business performance may be adversely impacted if our promotional strategy is not effective at attracting and retaining customers.</w:t>
      </w:r>
    </w:p>
    <w:p>
      <w:pPr>
        <w:spacing w:after="0" w:line="55"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Further, customer preferences may change and customers may not rent through our platform as frequently or spend as much with us. We strive to drive conversion of new subscribers from current and former customers; however, if their behavior changes or they are not satisfied with our offering for any reason, our ability to grow subscribers may be impacted. If we are not able to continue to expand our customer base through cost-effective methods, we may not meet our revenue and profitability goals, our revenue may grow slower than expected or decline, and investors may lose confidence in our business. Relatedly, an inability to attract and retain customers could harm our ability to attract and retain brand partners, who may decide to partner with alternative platforms.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customers, our business, financial condition, and results of operations would be harmed</w:t>
      </w:r>
      <w:r>
        <w:rPr>
          <w:rFonts w:ascii="Arial" w:cs="Arial" w:eastAsia="Arial" w:hAnsi="Arial"/>
          <w:sz w:val="14"/>
          <w:szCs w:val="14"/>
          <w:color w:val="auto"/>
        </w:rPr>
        <w:t>.</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A high proportion of our revenue comes from longer-tenured subscribers. A decrease in the number of customers, their tenures with us, and/or a reduction in the amount customers spend on our offerings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Our number of customers and the amounts they spend on our offerings may decline materially or fluctuate as a result of many factors, including, among other things:</w:t>
      </w:r>
    </w:p>
    <w:p>
      <w:pPr>
        <w:spacing w:after="0" w:line="94" w:lineRule="exact"/>
        <w:rPr>
          <w:sz w:val="20"/>
          <w:szCs w:val="20"/>
          <w:color w:val="auto"/>
        </w:rPr>
      </w:pPr>
    </w:p>
    <w:p>
      <w:pPr>
        <w:ind w:left="380"/>
        <w:spacing w:after="0"/>
        <w:tabs>
          <w:tab w:leader="none" w:pos="560" w:val="left"/>
        </w:tabs>
        <w:rPr>
          <w:sz w:val="20"/>
          <w:szCs w:val="20"/>
          <w:color w:val="auto"/>
        </w:rPr>
      </w:pPr>
      <w:r>
        <w:rPr>
          <w:rFonts w:ascii="Arial" w:cs="Arial" w:eastAsia="Arial" w:hAnsi="Arial"/>
          <w:sz w:val="14"/>
          <w:szCs w:val="14"/>
          <w:color w:val="auto"/>
        </w:rPr>
        <w:t>•</w:t>
        <w:tab/>
        <w:t>the quality, consumer appeal, price, and reliability of our offerings;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dissatisfaction with changes we make to our offerings and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perceived value of our offerings, especially in response to price increases and changes in the macroeconomic environment;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quality control the products delivered to our customers and their fit;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ensuring on-time delivery of orders;</w:t>
      </w:r>
    </w:p>
    <w:p>
      <w:pPr>
        <w:spacing w:after="0" w:line="93" w:lineRule="exact"/>
        <w:rPr>
          <w:rFonts w:ascii="Arial" w:cs="Arial" w:eastAsia="Arial" w:hAnsi="Arial"/>
          <w:sz w:val="14"/>
          <w:szCs w:val="14"/>
          <w:color w:val="auto"/>
        </w:rPr>
      </w:pPr>
    </w:p>
    <w:p>
      <w:pPr>
        <w:ind w:left="580" w:right="54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ease with which customers can find items they are looking for, including the effectiveness of our search and discovery tools, merchandising, and rental product availability;</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performance of our website and mobile app, including reliability;</w:t>
      </w:r>
    </w:p>
    <w:p>
      <w:pPr>
        <w:spacing w:after="0" w:line="93"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level of our investment in marketing and the success of our marketing strategies and tactics, including changes in efficiency of our historic or current customer acquisition methods;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negative customer service experience;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intense competition in the fashion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negative publicity that impacts our brand and reputation;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changes in consumer preferences regarding the use of pre-loved apparel;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lack of market acceptance of our business model;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future outbreak of disease or public health concern, such as COVID-19; and</w:t>
      </w:r>
    </w:p>
    <w:p>
      <w:pPr>
        <w:spacing w:after="0" w:line="93" w:lineRule="exact"/>
        <w:rPr>
          <w:rFonts w:ascii="Arial" w:cs="Arial" w:eastAsia="Arial" w:hAnsi="Arial"/>
          <w:sz w:val="14"/>
          <w:szCs w:val="14"/>
          <w:color w:val="auto"/>
        </w:rPr>
      </w:pPr>
    </w:p>
    <w:p>
      <w:pPr>
        <w:ind w:left="580" w:right="540" w:hanging="193"/>
        <w:spacing w:after="0" w:line="290" w:lineRule="auto"/>
        <w:tabs>
          <w:tab w:leader="none" w:pos="57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failure (or perceived failure) to meet different and sometimes conflicting stakeholder expectations regarding our environmental, social and governance (“ESG”), initiatives.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If existing customers no longer find our offerings and products appealing, appropriately priced or easy to use, or if we are unable to provide high-quality support to customers to help them resolve issues in a timely and acceptable manner, they may stop using our offerings, we may experience negative publicity and word-of-mouth and other referrals may be hampered. If our customers no longer perceive our subscription plans as appropriately priced and cancel or pause their subscriptions, our business and financial results could be harmed. We are focused on investing in our customer’s experience and delivering even more value to her, including by focusing on approximately doubling our rental product selection in fiscal year 2025 and emphasizing the value proposition of our offering in our marketing materials, among other initiatives; however these or other initiatives to retain customers may not be successful at improving customer satisfaction, subscriber retention and/or revenues and may require additional costs or lead to unanticipated consequences.</w:t>
      </w:r>
    </w:p>
    <w:p>
      <w:pPr>
        <w:spacing w:after="0" w:line="3"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color w:val="auto"/>
        </w:rPr>
        <w:t>Even if our existing customers continue to find our offerings and products appealing and our customer service satisfactory, they may decide to downgrade to a less frequent, lower cost subscription and/or rent fewer items due to price sensitivity and/or changing demand or other reasons. If customers downgrade their subscriptions or make fewer or lower</w:t>
      </w:r>
    </w:p>
    <w:p>
      <w:pPr>
        <w:spacing w:after="0"/>
        <w:rPr>
          <w:sz w:val="20"/>
          <w:szCs w:val="20"/>
          <w:color w:val="auto"/>
        </w:rPr>
      </w:pPr>
      <w:r>
        <w:rPr>
          <w:rFonts w:ascii="Arial" w:cs="Arial" w:eastAsia="Arial" w:hAnsi="Arial"/>
          <w:sz w:val="14"/>
          <w:szCs w:val="14"/>
          <w:color w:val="auto"/>
        </w:rPr>
        <w:t>priced rentals, our financial results could be negatively affected.</w:t>
      </w: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we may be unable to achieve or sustain profitability</w:t>
      </w:r>
      <w:r>
        <w:rPr>
          <w:rFonts w:ascii="Arial" w:cs="Arial" w:eastAsia="Arial" w:hAnsi="Arial"/>
          <w:sz w:val="14"/>
          <w:szCs w:val="14"/>
          <w:color w:val="auto"/>
        </w:rPr>
        <w:t>.</w:t>
      </w:r>
    </w:p>
    <w:p>
      <w:pPr>
        <w:spacing w:after="0" w:line="94" w:lineRule="exact"/>
        <w:rPr>
          <w:sz w:val="20"/>
          <w:szCs w:val="20"/>
          <w:color w:val="auto"/>
        </w:rPr>
      </w:pPr>
    </w:p>
    <w:p>
      <w:pPr>
        <w:ind w:right="200"/>
        <w:spacing w:after="0" w:line="271" w:lineRule="auto"/>
        <w:rPr>
          <w:sz w:val="20"/>
          <w:szCs w:val="20"/>
          <w:color w:val="auto"/>
        </w:rPr>
      </w:pPr>
      <w:r>
        <w:rPr>
          <w:rFonts w:ascii="Arial" w:cs="Arial" w:eastAsia="Arial" w:hAnsi="Arial"/>
          <w:sz w:val="14"/>
          <w:szCs w:val="14"/>
          <w:color w:val="auto"/>
        </w:rPr>
        <w:t>We had a net loss of $(26.1) million and $(69.9) million for the three months ended April 30, 2025 and year ended January 31, 2025, respectively, and have in the past had net losses. As of April 30, 2025, we had an accumulated deficit of $(1,149.1) million. Further, for a variety of reasons, it is difficult for us to predict our future operating results. We will need to generate and sustain increased revenue and manage our costs to achieve profitability. Even if we do, we may not be able to sustain or increase our profitability.</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ability to generate profit depends on our ability to grow customers and revenue and drive operational efficiencies in our business to generate better margins. In recent years, we have taken significant steps to reduce our operating costs, improve our margins, and make progress towards profitability. We expect fiscal year 2025 to be a year of investment as we plan to significantly increase the amount of new rental product we acquire and, therefore, expect to increase our net losses year-over-year. We may also continue to generate net losses in order to:</w:t>
      </w:r>
    </w:p>
    <w:p>
      <w:pPr>
        <w:spacing w:after="0" w:line="53" w:lineRule="exact"/>
        <w:rPr>
          <w:sz w:val="20"/>
          <w:szCs w:val="20"/>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fulfill customer orders and provide customer service;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increase the engagement, enhance retention and improve the experience, of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drive customer acquisition and brand awareness through marketing and promotional initiatives;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invest in technology, including to enhance our website and mobile offerings and functionality;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attract, motivate and retain our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develop new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generally support a larger customer base;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invest in our operations, including our logistics fulfillment, capacity and footprint, and other capital expenditures to support the growth in our business.</w:t>
      </w:r>
    </w:p>
    <w:p>
      <w:pPr>
        <w:spacing w:after="0" w:line="179"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We may discover unanticipated costs or that these initiatives are more expensive than we currently anticipate, and we may not succeed in increasing our revenue sufficiently to offset these expenses or realize the operating efficiencies and profitability we anticipate. We also expect to face greater compliance costs over time associated with the increased scope of our business and being a public company. If we are not able to adequately increase revenue or manage operating costs or due to other factors outside of our control, we may continue to incur net losses and not be able to achieve or sustain profitability in the near term or at all. If we are unable to achieve or sustain profitability, the value of our business and the trading price of our Class A common stock may be negatively impacted.</w:t>
      </w:r>
    </w:p>
    <w:p>
      <w:pPr>
        <w:spacing w:after="0" w:line="227" w:lineRule="exact"/>
        <w:rPr>
          <w:sz w:val="20"/>
          <w:szCs w:val="20"/>
          <w:color w:val="auto"/>
        </w:rPr>
      </w:pPr>
    </w:p>
    <w:p>
      <w:pPr>
        <w:ind w:right="540"/>
        <w:spacing w:after="0" w:line="299" w:lineRule="auto"/>
        <w:rPr>
          <w:sz w:val="20"/>
          <w:szCs w:val="20"/>
          <w:color w:val="auto"/>
        </w:rPr>
      </w:pPr>
      <w:r>
        <w:rPr>
          <w:rFonts w:ascii="Arial" w:cs="Arial" w:eastAsia="Arial" w:hAnsi="Arial"/>
          <w:sz w:val="14"/>
          <w:szCs w:val="14"/>
          <w:b w:val="1"/>
          <w:bCs w:val="1"/>
          <w:i w:val="1"/>
          <w:iCs w:val="1"/>
          <w:color w:val="auto"/>
        </w:rPr>
        <w:t>If we fail to anticipate and respond successfully to new and changing fashion trends and consumer preferences and accurately forecast consumer demand, our business could be harmed</w:t>
      </w:r>
      <w:r>
        <w:rPr>
          <w:rFonts w:ascii="Arial" w:cs="Arial" w:eastAsia="Arial" w:hAnsi="Arial"/>
          <w:sz w:val="14"/>
          <w:szCs w:val="14"/>
          <w:color w:val="auto"/>
        </w:rPr>
        <w:t>.</w:t>
      </w:r>
    </w:p>
    <w:p>
      <w:pPr>
        <w:spacing w:after="0" w:line="2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Our success is, in large part, dependent upon our ability to identify fashion trends, predict and gauge the tastes of our customers, and provide availability of items and a service that satisfies customer demand in a timely manner. However, lead times for many of our purchasing and design decisions may make it difficult for us to respond rapidly to new or changing apparel trends or customer acceptance of products chosen by us. We generally enter into contracts with our designer brand partners in advance of anticipated rentals and typically before apparel trends are confirmed by customer rentals.</w:t>
      </w:r>
    </w:p>
    <w:p>
      <w:pPr>
        <w:spacing w:after="0" w:line="14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have not always predicted our customers’ preferences and acceptance levels of our products with accuracy. We may misjudge demand and over or under purchase rental product. In addition, external events may disrupt or change customer preferences and behaviors in ways we are not able to anticipate. Lower rental product availability, including depth and breadth levels, has negatively impacted active subscriber retention in the past. Although we expect to approximately double the new rental product added to our site year-over-year in fiscal year 2025, we anticipate quarterly fluctuations to occur due to the timing of our purchases, seasonality and other factors within or outside of our control, which may negatively impact customer retention and, therefore, revenue. Any future decreases in our rental product availability levels, including in connection with other business objectives, may negatively impact active subscribers.</w:t>
      </w:r>
    </w:p>
    <w:p>
      <w:pPr>
        <w:spacing w:after="0" w:line="15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Additionally, our success is dependent on the ability of our brand partners to anticipate, identify and respond to the latest fashion trends and consumer demands and to translate such trends and demands into product options in a timely manner. The failure of our brand partners to anticipate, identify or respond swiftly and appropriately to new and changing styles, trends or desired consumer preferences, to accurately anticipate and forecast demand for certain product offerings or to provide relevant and timely product offerings to rent on our platform may lead to lower demand for our offerings, which could have a material adverse effect on our business and financial condition.</w:t>
      </w:r>
    </w:p>
    <w:p>
      <w:pPr>
        <w:spacing w:after="0" w:line="138"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Further, although we use our data and business insights to predict our customers’ preferences and gauge demand for our products, there is no guarantee that our data and business insights will accurately anticipate demand. As has occurred in the past, if our teams do not predict customer demand and tastes well or if our algorithms do not help us reorder the right products or write off the right products in a timely manner, we may not effectively attract and retain customers or manage our products and our operating results will be adversely affected.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99" w:lineRule="auto"/>
        <w:rPr>
          <w:sz w:val="20"/>
          <w:szCs w:val="20"/>
          <w:color w:val="auto"/>
        </w:rPr>
      </w:pPr>
      <w:r>
        <w:rPr>
          <w:rFonts w:ascii="Arial" w:cs="Arial" w:eastAsia="Arial" w:hAnsi="Arial"/>
          <w:sz w:val="14"/>
          <w:szCs w:val="14"/>
          <w:b w:val="1"/>
          <w:bCs w:val="1"/>
          <w:i w:val="1"/>
          <w:iCs w:val="1"/>
          <w:color w:val="auto"/>
        </w:rPr>
        <w:t>Shipping and logistics are a critical part of our business and our supply chain and any changes or interruptions in shipping or logistics operations could adversely affect our operating results</w:t>
      </w:r>
      <w:r>
        <w:rPr>
          <w:rFonts w:ascii="Arial" w:cs="Arial" w:eastAsia="Arial" w:hAnsi="Arial"/>
          <w:sz w:val="14"/>
          <w:szCs w:val="14"/>
          <w:color w:val="auto"/>
        </w:rPr>
        <w:t>.</w:t>
      </w:r>
    </w:p>
    <w:p>
      <w:pPr>
        <w:spacing w:after="0" w:line="117"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We currently primarily rely on a national carrier for our outbound and inbound logistics. However, we continue to maintain relationships with tier two and tier three carriers in order to provide redundancies and manage potential shipping disruptions from time to time. While we have confidence in our current strategy, we cannot predict changes in market conditions or how primarily relying on a single national carrier may impact customer sentiment and satisfaction, which could lead to unanticipated costs and/or have a material adverse effect on our business and financial condition.</w:t>
      </w:r>
    </w:p>
    <w:p>
      <w:pPr>
        <w:spacing w:after="0" w:line="149"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Additionally, our business relies on the successful management of reverse logistics needed to ingest, clean, and restock returned items quickly and efficiently in order to offer them for rental or resale to other customers. If we are not able to maintain appropriate staffing levels or negotiate acceptable pricing and other terms with third-party vendors or they experience performance problems or other difficulties, our operating results and customers’ experience could be negatively impacted.</w:t>
      </w:r>
    </w:p>
    <w:p>
      <w:pPr>
        <w:spacing w:after="0" w:line="144"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Our ability to receive inbound products efficiently and ship products to and from customers may be negatively affected by many events outside of our control, including inclement weather, public health crises such as the COVID-19 pandemic, governmental regulations, labor disputes and other factors. We are also subject to risks of damage or loss during</w:t>
      </w:r>
    </w:p>
    <w:p>
      <w:pPr>
        <w:spacing w:after="0" w:line="1" w:lineRule="exact"/>
        <w:rPr>
          <w:sz w:val="20"/>
          <w:szCs w:val="20"/>
          <w:color w:val="auto"/>
        </w:rPr>
      </w:pPr>
    </w:p>
    <w:p>
      <w:pPr>
        <w:ind w:right="280"/>
        <w:spacing w:after="0" w:line="229" w:lineRule="auto"/>
        <w:rPr>
          <w:sz w:val="20"/>
          <w:szCs w:val="20"/>
          <w:color w:val="auto"/>
        </w:rPr>
      </w:pPr>
      <w:r>
        <w:rPr>
          <w:rFonts w:ascii="Arial" w:cs="Arial" w:eastAsia="Arial" w:hAnsi="Arial"/>
          <w:sz w:val="14"/>
          <w:szCs w:val="14"/>
          <w:color w:val="auto"/>
        </w:rPr>
        <w:t>delivery by our shipping vendors. Customers who do not receive their orders in good condition or on time, or perceive our 3-day shipping promise as too slow, often become dissatisfied and even cease using our services, which may adversely affect our business and operating results if the issues become persistent or impact a significant amount of</w:t>
      </w:r>
    </w:p>
    <w:p>
      <w:pPr>
        <w:ind w:right="60"/>
        <w:spacing w:after="0"/>
        <w:rPr>
          <w:sz w:val="20"/>
          <w:szCs w:val="20"/>
          <w:color w:val="auto"/>
        </w:rPr>
      </w:pPr>
      <w:r>
        <w:rPr>
          <w:rFonts w:ascii="Arial" w:cs="Arial" w:eastAsia="Arial" w:hAnsi="Arial"/>
          <w:sz w:val="14"/>
          <w:szCs w:val="14"/>
          <w:color w:val="auto"/>
        </w:rPr>
        <w:t>customers. Our shipping vendors have faced and may continue to face increased volumes which, in turn, has caused and could in the future cause a decrease in their service levels, including shipping delays, or result in an increase in their prices. We have experienced increased shipping costs in recent years, and these costs may increase in the future. In addition, although we have achieved efficiencies in our supply chain operations in recent years, these efficiencies may not be sustainable or meet our broader business objectives. Increases in shipping costs, in particular for our primary shipping vendor, could result in increased costs to us and adversely impact our business. In addition, significant shipping difficulties or disruptions or any failure by our brand partners or third-party carriers to deliver high-quality products to us or to our customers, as applicable, in a timely manner or to otherwise adequately serve our customers could damage our reputation and brand and may substantially harm our business.</w:t>
      </w:r>
    </w:p>
    <w:p>
      <w:pPr>
        <w:spacing w:after="0" w:line="155"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 addition to offering the ability to return products by dropping off items with our primary third-party shipping vendor, we offer at-home pickup for customers located in multiple markets. Although we have had positive customer feedback and adoption to date, at-home pickup is a newer offering and may not be successful over the long-term. In the event that we do not successfully and cost-effectively manage at-home pickup logistics, it may make it more difficult for us to satisfy our customers and efficiently manage shipping costs, which could negatively affect our brand,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acquire and manage our products effectively and plan for future expenses, our operating results could be adversely affected.</w:t>
      </w:r>
    </w:p>
    <w:p>
      <w:pPr>
        <w:spacing w:after="0" w:line="92"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We are vulnerable to demand and pricing shifts and to suboptimal selection and timing of rental product purchases. We obtain substantially all of our products directly from hundreds of brand partners through three key ways: 1) Wholesale, 2) Share by RTR, and 3) Exclusive Designs. For our business to be successful and have sufficient product to meet consumer demand, our brand and manufacturing partners must be willing and able to provide us with products in specific quantities and styles of sufficient quality, in compliance with regulatory requirements, at acceptable costs and payment schedules and on a timely basis. We typically do not enter into long-term contracts with our brand and manufacturing partners and, as such, we operate without significant contractual assurances of continued supply, pricing or access to products. Brand partners have discontinued working with us in the past and a brand partner could choose to no longer work with us or provide less favorable terms for a variety of reasons in the future, including operating, financial, market and supply chain conditions or other factors within and outside of our control. In addition, some of our brand partners may not have the capacity to supply us with sufficient products to keep pace with our growth plans, especially if we plan to demand significantly greater amounts of products. In such cases, our ability to pursue our growth strategy will depend in part upon our ability to expand capacity with existing brand partners or develop new brand partner relationships.</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have been focused on expanding our relationships with brand partners and continuing to develop our Exclusive Designs and Share by RTR arrangements, which are our more capital-efficient ways of acquiring rental product. For our Exclusive Designs, RTR traditionally has sourced the materials and relied upon third-party manufacturing partners to produce products; however, we have updated our Exclusive Designs model and, for fiscal year 2025, certain brands now source and manufacture the products themselves, which are exclusively available on our site for a period of time. This new Exclusive Designs approach is similar to the approach for Wholesale and Share by RTR items, for which we enter into contracts in advance of a particular season and brand partners frequently agree to incur costs related to sourcing and manufacturing products before we have paid for them, which requires the brand partners to continue to trust us. If we were viewed as less financially viable by our brand partners and/or their financing partners or factoring companies, we may receive less favorable terms and conditions from our brand partners, including requiring more upfront payments or other demonstrations of credit. The cash flow benefits we currently experience from our brand partners’ willingness to revenue share could be adversely affected if revenue share terms change or if brand partners no longer wish to revenue share due to lack of trust in us, lack of revenue earned in comparison to the projections we provided, or their inability to continue to spread their earnings out over the time period that the products are earning revenue on our website, among other reasons. For our Exclusive Design arrangements, we must continue to increase the number of brand partners with whom we work, design an assortment of styles that meet customer demand, maintain and enhance our third-party manufacturing capabilities and partner relationships and ensure the products manufactured meets brand partners’, customers’ and our quality standards. Our ability to obtain a sufficient selection or volume of products on a timely basis at competitive prices could suffer as a result of any deterioration or change in our partner relationships or events that adversely affect them and, in turn, could have a material adverse effect on our business.</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also procure and manufacture products outside of the United States. Global sourcing and foreign trade involve numerous factors and uncertainties beyond our control including increased shipping costs, limitations in factory capacity, the imposition of additional import or trade restrictions, including legal or economic restrictions on overseas brand partners’ or manufacturers’ ability to produce and deliver products, increased custom duties and tariffs, unforeseen delays in customs, more restrictive quotas, loss of a most favored nation trading status, currency exchange rates, transportation delays, foreign government regulations, political instability and conflict, such as the war between Russia and Ukraine and conflict in the Middle East, and economic uncertainties in the countries from which we or our brand partners source our products. Future extended disruptions in travel may limit our ability to source products in-person, which may lead to suboptimal products and harm our business. For the next several quarters, we anticipate facing, and having to address challenges relating to, economic uncertainty and trends that may also impact our business operations, including transportation efficiencies. Additionally, oil supply disruptions related to the war between Russia and Ukraine have in the past led to, and could continue to lead to ,increased fuel and shipping prices. Further, certain trade restrictions related to the Xinjiang region of China that impose a ban on virtually all imports from that region could affect the sourcing and availability of raw materials, such as cotton, used in the manufacturing of certain products and lead to our products and materials and those of our brand and/or manufacturing partners being held for inspection by the United States Customs &amp; Border Patrol and delayed or rejected for entry, which could adversely impact the customer experience and our business. In addition, negative press or consumer sentiment about internationally sourced products may lead to reduced demand for our products. These and other issues affecting our international brand partners, manufacturers or internationally sourced products could have a material adverse effect on our business, financial condition, and results of operations.</w:t>
      </w:r>
    </w:p>
    <w:p>
      <w:pPr>
        <w:spacing w:after="0" w:line="14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Furthermore, we must execute our cleaning and repair protocols and reverse logistics operations efficiently and at a significant scale to maximize the utilization of units and reduce the number of units purchased, the failure of which may adversely affect our operating results. We cannot control products while they are out of our possession or prevent all damage while in our fulfillment centers, during shipping, or while with customers, third-party suppliers or partners. We may incur additional expenses and our reputation could be harmed if customers and potential customers believe that our products are not of high quality or may be damaged.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99" w:lineRule="auto"/>
        <w:rPr>
          <w:sz w:val="20"/>
          <w:szCs w:val="20"/>
          <w:color w:val="auto"/>
        </w:rPr>
      </w:pPr>
      <w:r>
        <w:rPr>
          <w:rFonts w:ascii="Arial" w:cs="Arial" w:eastAsia="Arial" w:hAnsi="Arial"/>
          <w:sz w:val="14"/>
          <w:szCs w:val="14"/>
          <w:b w:val="1"/>
          <w:bCs w:val="1"/>
          <w:i w:val="1"/>
          <w:iCs w:val="1"/>
          <w:color w:val="auto"/>
        </w:rPr>
        <w:t>If we fail to maintain and enhance our brand, our ability to attract and retain customers will be impaired and our business, financial condition, and results of operations may suffer</w:t>
      </w:r>
      <w:r>
        <w:rPr>
          <w:rFonts w:ascii="Arial" w:cs="Arial" w:eastAsia="Arial" w:hAnsi="Arial"/>
          <w:sz w:val="14"/>
          <w:szCs w:val="14"/>
          <w:color w:val="auto"/>
        </w:rPr>
        <w:t>.</w:t>
      </w:r>
    </w:p>
    <w:p>
      <w:pPr>
        <w:spacing w:after="0" w:line="2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Maintaining and enhancing our appeal and reputation as a stylish, revolutionary and trusted brand is critical to attracting and retaining customers and brand partners. The successful promotion of our brand and awareness of our offerings and products depends on a number of factors, including our marketing efforts, ability to continue to develop our offerings and products, the quality and appeal of our products, and ability to successfully differentiate our offerings from competitive offerings. We expect to invest substantial resources to promote and maintain our brand, but there is no guarantee that our brand development strategies will enhance the recognition of our brand or lead to increased customer acquisition and sales. The strength of our brand depends largely on our ability to provide a compelling customer value proposition for our rental and resale offerings and continued customer engagement and word of mouth organic marketing. Our efforts to improve our customer experience may not be successful. In addition, brand promotion activities may not yield increased revenue, and even if they do, the increased revenue may not offset the expenses we incur in promoting and maintaining our brand and reputation.</w:t>
      </w:r>
    </w:p>
    <w:p>
      <w:pPr>
        <w:spacing w:after="0" w:line="142"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Furthermore, whether accurate or not, negative publicity about our business, operations, or employees, and customer complaints has in the past, and could in the future, harm our reputation, customer trust and referrals of our services, brand partner confidence, vendor confidence, employee morale and culture, and our ability to recruit new employees effectively. In addition, negative publicity related to our brand partners, influencers and other vendors that we have partnered with may damage our reputation, even if the publicity is not directly related to us. Negative commentary concerning us or our brand partners may also be posted on social media platforms at any time and may have an adverse impact on our brand, reputation and business. The harm of negative publicity, particularly on social media platforms, may be immediate, without affording us an opportunity for redress or correction.</w:t>
      </w:r>
    </w:p>
    <w:p>
      <w:pPr>
        <w:spacing w:after="0" w:line="142"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If we fail to maintain, protect, and enhance our brand successfully or to maintain and grow loyalty among customers, or if we incur substantial expenses in unsuccessful attempts to maintain, protect, and enhance our brand, we may fail to attract or increase the engagement of customers, and our business, financial condition, and operating results may suffer.</w:t>
      </w:r>
    </w:p>
    <w:p>
      <w:pPr>
        <w:spacing w:after="0" w:line="207"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If we are not able to continue to improve our website and mobile app performance, keep pace with technological changes, enhance our current offerings, and develop new offerings in a timely way to respond to the changing needs of partners and customers, our business, financial performance, and growth may be harmed</w:t>
      </w:r>
      <w:r>
        <w:rPr>
          <w:rFonts w:ascii="Arial" w:cs="Arial" w:eastAsia="Arial" w:hAnsi="Arial"/>
          <w:sz w:val="14"/>
          <w:szCs w:val="14"/>
          <w:color w:val="auto"/>
        </w:rPr>
        <w:t>.</w:t>
      </w:r>
    </w:p>
    <w:p>
      <w:pPr>
        <w:spacing w:after="0" w:line="21"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Our industry is characterized by rapidly changing technology, new service and product introductions, and changing customer demands and preferences, and we are not able to predict the effect of these changes on our business. In addition, we believe that our future success depends, in part, on our ability to anticipate and respond effectively to new technology disruption and developments and keep pace more generally with technological changes and trends. These may include new software applications or related services based on artificial intelligence (such as our AI search tool), augmented reality, machine learning, or robotics or more generally evolving trends in e-commerce. For example, we continue to focus on improving the performance of our website and mobile application for our customers, including increasing reliability; however, our efforts may be unsuccessful. The technologies that we currently use to support our business platform are highly interconnected and complex (as discussed elsewhere in these risk factors) and may become inadequate or obsolete, and the cost of incorporating new technologies into our offerings and services may be substantial. In addition, any failure by us to adequately integrate technological developments in our approach to data management could harm our ability to leverage data, including customer data, collected through our technology and our systems, which could have a negative effect on our business. If we are unable to adequately utilize our data in support of our operations due technical or other limitations, our ability to drive leverage in operational efficiencies and to attract new customers and retain existing customers could be impaired. In addition, if we are unable to successfully leverage new technology to automate and otherwise enhance and drive efficiencies in our operations, our business, results of operations and financial condition could be harmed.</w:t>
      </w:r>
    </w:p>
    <w:p>
      <w:pPr>
        <w:spacing w:after="0" w:line="148"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Our partners and customers may not be satisfied with our technological or other platform enhancements or new offerings or may perceive that these offerings do not respond to their needs or create value for them. Our customers may also be dissatisfied with the product mix we currently offer or will offer in the future.</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Additionally, as we invest in and experiment with new offerings or changes to our platform, our partners and customers may find these changes to be disruptive and may perceive them negatively. For example, in March 2023, we changed our subscription programs to provide customers with one additional item per shipment at no extra charge, which is intended to provide more value to our customers and increase retention. In fiscal year 2025, we plan to approximately double our rental product added on our site. These new offerings and updates do not have demonstrably long track records of success for us and could result in higher fulfillment costs and lower gross margins, higher product spend, and/or other unforeseen impacts on the business. In addition, developing new offerings and services is complex, and the timetable for their public launch is difficult to predict and may vary from our expectations. As a result, the introduction of new offerings may occur after anticipated release dates, or they may be introduced as pilot programs, which may not be continued for various reasons. In addition, new offerings may not be successful due to defects or errors, negative publicity, or our failure to market them effectively. New offerings may not drive revenue growth, customer acquisition or retention, may require substantial investment and planning, and may bring us more directly into competition with companies that are better established or have greater resources than we do. If we do not continue to cost-effectively develop new offerings that satisfy our brand partners and customers, then our competitive position and growth prospects may be harmed. In addition, changes to subscription plans or new offerings may have lower margins than we anticipate or than existing offerings, and our revenue from new offerings may not be enough to offset the cost of developing and maintaining them, which could adversely affect our business, financial performance, and growth. Finally, the success of our technology and product initiatives overall depends upon our engineering and product teams and leadership, which have experienced recent transition and may continue to experience transition in the future. If our team building efforts or engineering and product strategies and plans are not successful or are not executed successfully, our growth may decline and we may not achieve our profitability goals.</w:t>
      </w:r>
    </w:p>
    <w:p>
      <w:pPr>
        <w:spacing w:after="0" w:line="238"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heavily on the effective operation of our proprietary technology systems and software, as well as those of our third-party vendors and service providers, for our business to effectively operate and to safeguard confidential information.</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rely heavily on the Internet, computer systems, hardware, in-house proprietary technology, third-party software and infrastructure, and customized off-the-shelf technology solutions across our business (collectively, our “IT Systems”). We own and manage some of these IT Systems but also rely on third parties for a range of IT Systems and related products and services. Our ability to effectively manage all areas of our business, particularly our product management, fulfillment operations, and financial systems, depends significantly on the reliability and capacity of these IT Systems. We are critically dependent on the integrity, connectivity, security and consistent operations of our IT Systems, which are highly dependent on coordination of our internal business, operations, product and engineering teams. For example, in September 2019, we experienced a software outage at our Secaucus, New Jersey facility, during which we were unable to fulfill thousands of Reserve and Subscription orders on a timely basis and made the decision to stop taking new orders until the issue was adequately resolved. We also experienced significant negative customer reviews and negative press as a result of the outage, which we believe damaged our customer relationships, reputation and brand. The outage also resulted in substantial financial losses and increased costs largely due to: lost revenues, customer refunds, credits, promotions and/or related payments, and incremental labor and shipping costs. Our insurance policy covered a substantial portion of these losses but not all of them. While we have taken remediation measures in response to the outage, additional outages or other disruptions have occurred and may occur in the future, which could harm our ability to meet customer expectations, fulfill orders, manage our products, and achieve our objectives for operating efficiencies and profitability.</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technology underlying our platform is highly interconnected and complex, and we detect bugs, errors, and vulnerabilities from time to time in the ordinary course of business. Because of the complexity of our technology, it is likely to contain additional undetected bugs, errors or vulnerabilities, some of which may have a material adverse effect on our business or operations. We are unable to comprehensively apply patches or confirm that measures are in place to mitigate all such vulnerabilities, or that patches will be applied before vulnerabilities are exploited by a threat actor. Moreover, due to the interconnected nature of our IT Systems, updates to parts of our code (including for product launches), third-party code, and application programming interfaces, on which we rely and that maintain the functionality of our IT Systems, are often very complex and could have an unintended impact on other sections of our code, which may result in errors or vulnerabilities to our platform and/or launch delays that negatively impact the customer experience and functionality of our offerings. In some cases, such as our mobile application, certain errors are only able to be correctable through updates distributed through slower, third-party mechanisms, such as app stores, and may need to comply with third-party policies and procedures to be made available, which may add additional delays due to app review and customer delay in updating their mobile apps. In addition, our IT Systems and business operations are increasingly reliant on machine learning systems and artificial intelligence technologies, which are complex, expected to pose new or unknown cybersecurity risks and challenges, and may have errors or inadequacies that are not easily detectable. These systems may inadvertently reduce the efficiency of our IT Systems or may cause unintentional or unexpected outputs that are incorrect, do not match our business goals, do not comply with our policies, or otherwise are inconsistent with our brand, guiding principles and mission. Any errors or vulnerabilities discovered in our code or IT Systems generally could also result in damage to our reputation, loss of our customers, unauthorized disclosure of personal and confidential information, loss of revenue or liability for damages, any of which could adversely affect our growth prospects and our business.</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significant technology disruption or failure, cyberattack or data security incident could adversely affect our business, financial condition and operations</w:t>
      </w:r>
      <w:r>
        <w:rPr>
          <w:rFonts w:ascii="Arial" w:cs="Arial" w:eastAsia="Arial" w:hAnsi="Arial"/>
          <w:sz w:val="14"/>
          <w:szCs w:val="14"/>
          <w:color w:val="auto"/>
        </w:rPr>
        <w:t>.</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Our ability to effectively manage our business, particularly our product management, order and fulfillment operations, and financial systems, depends significantly on the reliability and capacity of the Internet and our IT Systems. We also collect, process and store sensitive and confidential information, including our proprietary business information and information regarding our customers, employees, suppliers and business partners, including personally identifiable information (collectively, “Confidential Information”). The secure processing, maintenance and transmission of Confidential Information is critical to our operations. Our IT Systems and those of our service providers and business partners may be subject to damage or interruption from power outages or damages, telecommunications problems, data corruption, software errors, network failures, acts of war or terrorist attacks, fire, flood and natural disasters. Our existing safety systems, data backup, access protection, user management and information technology emergency planning may not be sufficient to identify, detect, prevent, or recover from data corruption or loss or long-term network or operational outages. In addition, we upgrade our existing IT Systems and incorporate new technology systems from time to time in order for such systems to support the needs of our business. Costs and potential problems and interruptions associated with the implementation of new or upgraded systems and technology or with maintenance or adequate support of existing systems could disrupt or reduce the efficiency of our operations. In addition, our failure to implement upgrades to our IT Systems, whether due to cost savings or resource constraints, failure to identify the need or other reasons, could negatively impact our business.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Additionally, despite various security measures that have been implemented, our IT Systems and those of our third-party service providers and business partners as well as the Confidential Information stored thereon are vulnerable to numerous and evolving cybersecurity risks that threaten their confidentiality, integrity and availability, including security incidents, attacks by a variety of threat actors (including hackers, hacktivists, and state-sponsored organizations) acts of vandalism, malware, social engineering, denial or degradation of service attacks, computer viruses, software bugs or vulnerabilities, supply chain attacks, phishing attacks, ransomware attacks, credential stuffing attacks, misplaced or lost data, human errors, malicious insiders or other similar events. If unauthorized parties gain access to our Confidential Information, IT Systems or other information, or those of our third-party service providers or business partners, they may be able to steal, publish, sell, delete, use inappropriately or modify private and sensitive information, including credit card information and personally identifiable information or proprietary business information, any or all of which could harm our business, financial condition and results of operations.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particular, ransomware attacks, including those from organized criminal threat actors, nation-states and nation-state supported actors, are becoming increasingly prevalent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necessary to make extortion payments, but we may be unable to do so if applicable laws or governmental pressure prohibit or prevent such payments. We are also a frequent target of credential stuffing and account takeover attacks: for example, where email addresses and passwords involved in security incidents reported by other companies are used to attempt to gain unauthorized access to our platform or IT Systems. In addition, employees may intentionally or inadvertently cause data or security incidents that result in unauthorized release of Personal Information or other Confidential Information. Further, Company-issued laptops or other devices have been, and may in the future be, lost, stolen, or infected with malware. Because the techniques and tools (including artificial intelligence) used to circumvent security systems change frequently, are becoming increasingly sophisticated, are designed to evade detection and remove forensic evidence, are often not recognized until launched against a target and may originate from less regulated and remote areas around the world, we may be unable to timely or effectively anticipate, detect or recover from cyberattacks or security incidents in the future. There can also be no assurance that our cybersecurity risk management program and processes, including our policies, controls or procedures, will be fully implemented, complied with or effective in protecting our Confidential Information and IT Systems. For example, as further described later in these risk factors, we have identified material weaknesses in certain controls related to our IT Systems.</w:t>
      </w:r>
    </w:p>
    <w:p>
      <w:pPr>
        <w:spacing w:after="0" w:line="14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Certain of the aforementioned types of cyberattacks and security incidents have occurred in the past to us and our third-party providers, and may occur in the future, resulting in unauthorized, unlawful, or inappropriate access to, inability to access, disclosure of, or loss of Confidential Information. For example, although no sensitive information was affected, our platform has been the subject of phishing attempts, credential stuffing attacks and brute force attacks (i.e., attempts to try different username and password credentials to gain access to our platform), and other account takeover tactics. The security measures we employ to prevent, detect, and mitigate unauthorized use of user credentials and potential harm to our users from the theft of or misuse of user credentials on our network may not be, and have not always been, effective in every instance.</w:t>
      </w:r>
    </w:p>
    <w:p>
      <w:pPr>
        <w:spacing w:after="0" w:line="140"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also rely on a number of third-party providers of products and services to operate our critical internal and external operations, such as the processing of Personal Information and other Confidential Information. Examples of third parties include, but are not limited to, our shipping partners, human resources information system, payment processor, and various IT Systems providers. These service providers may not have adequate security measures and could experience a security incident that compromises the confidentiality, integrity, or availability of the IT Systems they operate for us or the Confidential Information they process on our behalf and may not be able to contain or recover from such incidents or to notify us in a timely manner. Moreover, we or our third-party service providers may be more vulnerable to such attacks in remote or hybrid work environments. Any cyberattack, security incident, or material disruption or slowdown affecting our Confidential Information or IT Systems or those of our third-party service providers or business partners, could result in costly investigations and litigation (including class action lawsuits), civil or criminal penalties, operational changes or other response measures, restoration and remediation costs, loss of consumer confidence in our security measures, negative publicity, and/or reputational harm, any of which could have a material adverse effect on our business, financial condition, and results of operations.</w:t>
      </w:r>
    </w:p>
    <w:p>
      <w:pPr>
        <w:spacing w:after="0" w:line="146"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While we maintain cyber insurance that may help provide coverage for these types of events, we cannot provide assurances that our insurance will be adequate to cover costs and liabilities related to these incidents or that applicable insurance will be available to us in the future on economically reasonable terms or at all.</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Our e-commerce business faces distinct risks, such as fulfillment of orders, and our failure to successfully manage these risks could have a negative impact on our profitability.</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As an e-commerce business, we encounter risks and difficulties frequently experienced by businesses with significant internet operations. The successful operation of our business as well as our ability to provide a positive customer experience that will generate Subscription, Reserve and Resale orders depend on efficient and uninterrupted e-commerce order-taking and fulfillment operations. If we are unable to allow real-time and accurate visibility to product availability when customers are ready to order, quickly and efficiently fulfill our customers’ orders using the fulfillment and payment methods they demand, provide a convenient and consistent experience for our customers regardless of the ultimate channel or effectively manage our online sales, our ability to compete and our results of operations could be adversely affected. We have two fulfillment centers in Arlington, Texas and Secaucus, New Jersey that we depend on for our fulfillment operations. We currently lease these facilities. Although we renewed our lease in Secaucus, NJ in 2023, we cannot guarantee that we will be able to renew or negotiate new or renewed leases in the future at this location or in Texas on terms acceptable to us or at all. If we are unable to secure such leases, or if we can only secure such leases on economic terms that are less than optimal for us, it may materially adversely impact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Risks associated with our e-commerce business include:</w:t>
      </w:r>
    </w:p>
    <w:p>
      <w:pPr>
        <w:spacing w:after="0" w:line="94" w:lineRule="exact"/>
        <w:rPr>
          <w:sz w:val="20"/>
          <w:szCs w:val="20"/>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ability to provide a delightful and effective search and discovery experience for our customers;</w:t>
      </w:r>
    </w:p>
    <w:p>
      <w:pPr>
        <w:spacing w:after="0" w:line="93" w:lineRule="exact"/>
        <w:rPr>
          <w:rFonts w:ascii="Arial" w:cs="Arial" w:eastAsia="Arial" w:hAnsi="Arial"/>
          <w:sz w:val="14"/>
          <w:szCs w:val="14"/>
          <w:color w:val="auto"/>
        </w:rPr>
      </w:pPr>
    </w:p>
    <w:p>
      <w:pPr>
        <w:ind w:left="580" w:right="240" w:hanging="193"/>
        <w:spacing w:after="0" w:line="290"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our failure to successfully execute planned enhancements to our website and mobile application performance to improve site speed and reliability in order to keep pace with industry standards and meet customer expectations;</w:t>
      </w:r>
    </w:p>
    <w:p>
      <w:pPr>
        <w:spacing w:after="0" w:line="35" w:lineRule="exact"/>
        <w:rPr>
          <w:rFonts w:ascii="Arial" w:cs="Arial" w:eastAsia="Arial" w:hAnsi="Arial"/>
          <w:sz w:val="14"/>
          <w:szCs w:val="14"/>
          <w:color w:val="auto"/>
        </w:rPr>
      </w:pPr>
    </w:p>
    <w:p>
      <w:pPr>
        <w:ind w:left="580" w:right="100" w:hanging="193"/>
        <w:spacing w:after="0" w:line="271" w:lineRule="auto"/>
        <w:tabs>
          <w:tab w:leader="none" w:pos="576" w:val="left"/>
        </w:tabs>
        <w:numPr>
          <w:ilvl w:val="0"/>
          <w:numId w:val="36"/>
        </w:numPr>
        <w:rPr>
          <w:rFonts w:ascii="Arial" w:cs="Arial" w:eastAsia="Arial" w:hAnsi="Arial"/>
          <w:sz w:val="14"/>
          <w:szCs w:val="14"/>
          <w:color w:val="auto"/>
        </w:rPr>
      </w:pPr>
      <w:r>
        <w:rPr>
          <w:rFonts w:ascii="Arial" w:cs="Arial" w:eastAsia="Arial" w:hAnsi="Arial"/>
          <w:sz w:val="14"/>
          <w:szCs w:val="14"/>
          <w:color w:val="auto"/>
        </w:rPr>
        <w:t>uncertainties associated with our website and mobile application, including changes in required technology interfaces, website downtime and other technical failures, anticipated or unanticipated costs and technical issues, our ability to upgrade systems software successfully, inadequate system capacity, computer viruses, human error, and/or security incidents;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disruptions in internet service or power outages;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reliance on third parties for computer hardware and software, as well as delivery of products to our customers;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rapid technology changes;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credit or debit card fraud and other payment processing related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applicable federal, state and international regulations;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legal claims related to our e-commerce operations and fulfillment, including liability for online content;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cybersecurity, consumer privacy and consumer protection concerns and regulation;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natural disasters or adverse weather conditions.</w:t>
      </w:r>
    </w:p>
    <w:p>
      <w:pPr>
        <w:spacing w:after="0" w:line="179"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Our online offerings also expose us to broader applicability of regulations, as well as additional regulations, such as the rules relating to registration of internet sellers, certain anti-money laundering, trade sanction, anti-corruption, anti-bribery and international trade laws. Problems in any of these areas could result in a reduction in sales, increased costs, sanctions or penalties and damage to our reputation and brands.</w:t>
      </w:r>
    </w:p>
    <w:p>
      <w:pPr>
        <w:spacing w:after="0" w:line="15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rely on third parties to support our business, including, among other things, portions of our technology development and support and certain payment processing services. We have experienced, and may in the future experience, adverse changes to the terms of our agreements with vendors and other commercial partners based on perception of our creditworthiness. If we are viewed as less financially viable by third-party providers, including as a result of our Nasdaq listing compliance and status, we may receive less favorable terms and conditions, including requiring upfront payments or other demonstrations of credit.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jc w:val="both"/>
        <w:ind w:right="40"/>
        <w:spacing w:after="0" w:line="249" w:lineRule="auto"/>
        <w:rPr>
          <w:sz w:val="20"/>
          <w:szCs w:val="20"/>
          <w:color w:val="auto"/>
        </w:rPr>
      </w:pPr>
      <w:r>
        <w:rPr>
          <w:rFonts w:ascii="Arial" w:cs="Arial" w:eastAsia="Arial" w:hAnsi="Arial"/>
          <w:sz w:val="14"/>
          <w:szCs w:val="14"/>
          <w:color w:val="auto"/>
        </w:rPr>
        <w:t>In addition, we must keep up to date with competitive technology trends, including the use of new or improved technology, checkout and payment options, creative user interfaces, virtual and augmented reality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or adapt better than us, which could harm our competitive position.</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and annual results of operations may fluctuate, which may make it difficult to predict our future performance</w:t>
      </w:r>
      <w:r>
        <w:rPr>
          <w:rFonts w:ascii="Arial" w:cs="Arial" w:eastAsia="Arial" w:hAnsi="Arial"/>
          <w:sz w:val="14"/>
          <w:szCs w:val="14"/>
          <w:color w:val="auto"/>
        </w:rPr>
        <w:t>.</w:t>
      </w:r>
    </w:p>
    <w:p>
      <w:pPr>
        <w:spacing w:after="0" w:line="94"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Our results of operations could vary significantly from quarter to quarter and year to year because of a variety of factors, many of which are outside of our control. Even if our revenue increases, our revenue growth rates may decline in the future as a result of a variety of factors, including macroeconomic factors, increased competition, and the maturation of our business. As a result, comparing our results of operations on a period-to-period basis or our revenue growth rate for any prior period may not be meaningful. In addition to other risk factors discussed in this Quarterly Report, factors that may contribute to the variability of our quarterly and annual results include:</w:t>
      </w:r>
    </w:p>
    <w:p>
      <w:pPr>
        <w:spacing w:after="0" w:line="53" w:lineRule="exact"/>
        <w:rPr>
          <w:sz w:val="20"/>
          <w:szCs w:val="20"/>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success in attracting and retaining customers and subscribers;</w:t>
      </w:r>
    </w:p>
    <w:p>
      <w:pPr>
        <w:spacing w:after="0" w:line="93" w:lineRule="exact"/>
        <w:rPr>
          <w:rFonts w:ascii="Arial" w:cs="Arial" w:eastAsia="Arial" w:hAnsi="Arial"/>
          <w:sz w:val="14"/>
          <w:szCs w:val="14"/>
          <w:color w:val="auto"/>
        </w:rPr>
      </w:pPr>
    </w:p>
    <w:p>
      <w:pPr>
        <w:ind w:left="580" w:right="14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maintaining successful relationships with brand partners and our ability to acquire products at acceptable prices and offer a compelling mix of products that are available for Subscription, Reserve or Resale at any given time;</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amount and timing of our fulfillment costs, operating expenses and capital expenditures;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timing and success of product launches, including pricing changes, new services and features we may introduce;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success of our marketing and promotional efforts;</w:t>
      </w:r>
    </w:p>
    <w:p>
      <w:pPr>
        <w:spacing w:after="0" w:line="93" w:lineRule="exact"/>
        <w:rPr>
          <w:rFonts w:ascii="Arial" w:cs="Arial" w:eastAsia="Arial" w:hAnsi="Arial"/>
          <w:sz w:val="14"/>
          <w:szCs w:val="14"/>
          <w:color w:val="auto"/>
        </w:rPr>
      </w:pPr>
    </w:p>
    <w:p>
      <w:pPr>
        <w:ind w:left="580" w:right="28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adverse economic and market conditions and other adverse global events that negatively impact commerce and consumer behavior and that could lead to inflationary pressures and supply chain disruptions;</w:t>
      </w:r>
    </w:p>
    <w:p>
      <w:pPr>
        <w:spacing w:after="0" w:line="35" w:lineRule="exact"/>
        <w:rPr>
          <w:rFonts w:ascii="Arial" w:cs="Arial" w:eastAsia="Arial" w:hAnsi="Arial"/>
          <w:sz w:val="14"/>
          <w:szCs w:val="14"/>
          <w:color w:val="auto"/>
        </w:rPr>
      </w:pPr>
    </w:p>
    <w:p>
      <w:pPr>
        <w:ind w:left="580" w:right="600" w:hanging="193"/>
        <w:spacing w:after="0" w:line="290" w:lineRule="auto"/>
        <w:tabs>
          <w:tab w:leader="none" w:pos="576" w:val="left"/>
        </w:tabs>
        <w:numPr>
          <w:ilvl w:val="0"/>
          <w:numId w:val="37"/>
        </w:numPr>
        <w:rPr>
          <w:rFonts w:ascii="Arial" w:cs="Arial" w:eastAsia="Arial" w:hAnsi="Arial"/>
          <w:sz w:val="14"/>
          <w:szCs w:val="14"/>
          <w:color w:val="auto"/>
        </w:rPr>
      </w:pPr>
      <w:r>
        <w:rPr>
          <w:rFonts w:ascii="Arial" w:cs="Arial" w:eastAsia="Arial" w:hAnsi="Arial"/>
          <w:sz w:val="14"/>
          <w:szCs w:val="14"/>
          <w:color w:val="auto"/>
        </w:rPr>
        <w:t>disruptions or defects in our software or operations, such as privacy or data security incidents, outages, or other incidents that impact the availability, reliability, or performance of our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impact of competitive developments and our response to those developments;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ability to manage our business and future growth;</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our ability to recruit and retain employees including fulfillment center labor to process, itemize, list, pack and ship our products;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seasonality of our business;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to financial accounting standards and the interpretation of those standards, which may affect the way we recognize and report our financial results.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The impact of one or more of the foregoing and other factors may cause our results of operations to vary significantly. As such, period-over-period comparisons of our results of operations may not be meaningful and should not be relied upon as an indication of future performance. Fluctuations in our operating results and key metrics may cause our results to fall below our financial guidance or other projections, or the expectations of analysts or investors, which could cause the price of our Class A common stock to decline.</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Fluctuations in our results could also cause a number of other problems. For example, analysts or investors might change their models for valuing our Class A common stock, we could experience liquidity issues, our ability to retain or attract key personnel may diminish, and other unanticipated issues may arise. We believe that our operating results and key metrics may vary in the future and that period-to-period comparisons of our operating results may not be meaningful. For example, our overall historical growth rate and the impacts of the COVID-19 pandemic may have overshadowed the effect of seasonal variations on our historical operating results. These seasonal effects may become more pronounced over time, which could also cause our operating results and key metrics to fluctuate.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20"/>
        <w:spacing w:after="0" w:line="299" w:lineRule="auto"/>
        <w:rPr>
          <w:sz w:val="20"/>
          <w:szCs w:val="20"/>
          <w:color w:val="auto"/>
        </w:rPr>
      </w:pPr>
      <w:r>
        <w:rPr>
          <w:rFonts w:ascii="Arial" w:cs="Arial" w:eastAsia="Arial" w:hAnsi="Arial"/>
          <w:sz w:val="14"/>
          <w:szCs w:val="14"/>
          <w:b w:val="1"/>
          <w:bCs w:val="1"/>
          <w:i w:val="1"/>
          <w:iCs w:val="1"/>
          <w:color w:val="auto"/>
        </w:rPr>
        <w:t>We face risks arising from the restructuring of our operations, which could adversely affect our financial condition, results of operations, cash flows, or business reputation.</w:t>
      </w:r>
    </w:p>
    <w:p>
      <w:pPr>
        <w:spacing w:after="0" w:line="2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have taken and plan to continue to take actions intended to drive efficiencies and maintain a cost structure that aligns with our business and financial objectives. For example, in September 2022 and January 2024, we announced restructuring plans intended to reduce costs, streamline our organizational structure and drive operational efficiencies and growth. These plans or other future restructuring plans present significant risks that could have a material adverse effect on our operations, financial condition, results of operations, cash flow, or business reputation. Such risks include:</w:t>
      </w:r>
    </w:p>
    <w:p>
      <w:pPr>
        <w:spacing w:after="0" w:line="53" w:lineRule="exact"/>
        <w:rPr>
          <w:sz w:val="20"/>
          <w:szCs w:val="20"/>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failure to achieve targeted cost savings and efficiency, and growth, cash flow and profitability goals;</w:t>
      </w:r>
    </w:p>
    <w:p>
      <w:pPr>
        <w:spacing w:after="0" w:line="93" w:lineRule="exact"/>
        <w:rPr>
          <w:rFonts w:ascii="Arial" w:cs="Arial" w:eastAsia="Arial" w:hAnsi="Arial"/>
          <w:sz w:val="14"/>
          <w:szCs w:val="14"/>
          <w:color w:val="auto"/>
        </w:rPr>
      </w:pPr>
    </w:p>
    <w:p>
      <w:pPr>
        <w:ind w:left="580" w:right="420" w:hanging="193"/>
        <w:spacing w:after="0" w:line="290"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a decrease in employee morale, a negative impact to our corporate culture, and heightened regrettable attrition, including by critical employees, each of which we’ve observed to some extent and are focused on addressing;</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 increase in employment claims;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actual or perceived disruption of service or reduction in service standards to customers;</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loss of institutional knowledge and/or employee expertise, which could lead to inefficiencies or business disruptions, some of which may be significant and our efforts to address may not be successful; and</w:t>
      </w:r>
    </w:p>
    <w:p>
      <w:pPr>
        <w:spacing w:after="0" w:line="35" w:lineRule="exact"/>
        <w:rPr>
          <w:rFonts w:ascii="Arial" w:cs="Arial" w:eastAsia="Arial" w:hAnsi="Arial"/>
          <w:sz w:val="14"/>
          <w:szCs w:val="14"/>
          <w:color w:val="auto"/>
        </w:rPr>
      </w:pPr>
    </w:p>
    <w:p>
      <w:pPr>
        <w:ind w:left="580" w:right="80" w:hanging="193"/>
        <w:spacing w:after="0" w:line="290" w:lineRule="auto"/>
        <w:tabs>
          <w:tab w:leader="none" w:pos="5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delay or failure to meet our operational standards, needs, or goals due to fewer employees, including potential single points of failure, or due to reduced or reallocated resources generally.</w:t>
      </w:r>
    </w:p>
    <w:p>
      <w:pPr>
        <w:spacing w:after="0" w:line="228" w:lineRule="exact"/>
        <w:rPr>
          <w:sz w:val="20"/>
          <w:szCs w:val="20"/>
          <w:color w:val="auto"/>
        </w:rPr>
      </w:pPr>
    </w:p>
    <w:p>
      <w:pPr>
        <w:ind w:right="400"/>
        <w:spacing w:after="0" w:line="299" w:lineRule="auto"/>
        <w:rPr>
          <w:sz w:val="20"/>
          <w:szCs w:val="20"/>
          <w:color w:val="auto"/>
        </w:rPr>
      </w:pPr>
      <w:r>
        <w:rPr>
          <w:rFonts w:ascii="Arial" w:cs="Arial" w:eastAsia="Arial" w:hAnsi="Arial"/>
          <w:sz w:val="14"/>
          <w:szCs w:val="14"/>
          <w:b w:val="1"/>
          <w:bCs w:val="1"/>
          <w:i w:val="1"/>
          <w:iCs w:val="1"/>
          <w:color w:val="auto"/>
        </w:rPr>
        <w:t>Scrutiny and evolving expectations from consumers, investors, regulators, policymakers, employees and other stakeholders regarding environmental, social and governance matters may adversely impact our business and reputation.</w:t>
      </w:r>
    </w:p>
    <w:p>
      <w:pPr>
        <w:spacing w:after="0" w:line="2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There has been heightened and sometimes conflicting stakeholder focus, including by consumers, investors, regulators, policymakers, employees and other stakeholders, on ESG matters generally and with regard to the fashion industry specifically. We expect that this increased focus on ESG considerations will affect some aspects of our operations. This requires continuous monitoring of various and evolving laws, regulations, standards and expectations and any associated reporting requirements. Such laws, regulations, standards and expectations may result in additional costs to us or we may become subject to additional requirements in order to comply with them. These laws, regulations, standards and expectations may conflict with one another or may not always be uniform across jurisdictions, which may result in increased complexity, and cost, for compliance. Separately, various regulators have adopted, or are considering adopting, regulations on environmental marketing claims, including but not limited to the use of “sustainable”, “eco-friendly”, “recyclable” or similar language in product marketing. Any of the foregoing may require us to make additional investments or incur additional costs for the collection of data and/or preparation of disclosures and associated internal controls, and in turn, may adversely impact our business, operating results and financial condition.</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Further, any failure or perceived failure to meet our Impact Strategy goals for any reason, including due to changes to the prioritization or scope of these goals, or a loss of confidence on the part of customers, investors, employees, brand partners and other stakeholders as it relates to our ESG initiatives could negatively impact our brand or the demand for our offerings, or lead to enforcement actions or litigation, adversely affecting our financial condition, results of operations and prospects. These impacts could be difficult and costly to overcome, even if such concerns were based on inaccurate or misleading information. In addition, achieving our Impact Strategy goals may result in increased costs in our supply chain, fulfillment and/or corporate business operations, and could deviate from our initial estimates and have a material adverse effect on our business and financial condition. Furthermore, if our competitors’ corporate responsibility performance is perceived to be greater than ours, we may lose potential or current customers, we may be unable to recruit and retain employees effectively, and potential or current investors may elect to invest with our competitors instead.</w:t>
      </w:r>
    </w:p>
    <w:p>
      <w:pPr>
        <w:spacing w:after="0" w:line="153"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Voluntary or required standards and research regarding ESG initiatives could change and become more onerous for both us and our third-party suppliers and vendors to meet successfully. Evolving data and research could undermine or refute ESG-related claims that we have made, which could also result in costs, a decrease in revenue and/or negative market perception that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A variety of organizations measure the performance of companies on such ESG topics, and the results of these assessments are widely publicized. In addition, investment in funds that specialize in companies that perform well in such assessments are increasingly popular, and major institutional investors have publicly emphasized the importance of such ESG measures to their investment decisions. Topics taken into account in such assessments include, among others, the Company’s efforts and impacts on climate change and the environment and human and labor rights, ethics and compliance with law, human capital and diversity, equity and inclusion matters, and the role of the Company’s board of directors in supervising ESG issues. Unfavorable ESG ratings could lead to negative investor sentiment toward us and/or our industry, which could have a negative impact on our access to and costs of capital. In light of investors’ and other stakeholders’ increased focus on ESG matters, there can be no certainty that we will manage such issues successfully, or that we</w:t>
      </w:r>
    </w:p>
    <w:p>
      <w:pPr>
        <w:spacing w:after="0" w:line="3"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will successfully meet our stakeholders’ or society’s ESG expectations or achieve our ESG goals and financial goals. Additionally, many of our third-party suppliers and vendors may be subject to similar expectations, which may augment or create additional risks, including risks that may not be known to us.</w:t>
      </w:r>
    </w:p>
    <w:p>
      <w:pPr>
        <w:spacing w:after="0" w:line="242" w:lineRule="exact"/>
        <w:rPr>
          <w:sz w:val="20"/>
          <w:szCs w:val="20"/>
          <w:color w:val="auto"/>
        </w:rPr>
      </w:pPr>
    </w:p>
    <w:p>
      <w:pPr>
        <w:ind w:right="240"/>
        <w:spacing w:after="0" w:line="299" w:lineRule="auto"/>
        <w:rPr>
          <w:sz w:val="20"/>
          <w:szCs w:val="20"/>
          <w:color w:val="auto"/>
        </w:rPr>
      </w:pPr>
      <w:r>
        <w:rPr>
          <w:rFonts w:ascii="Arial" w:cs="Arial" w:eastAsia="Arial" w:hAnsi="Arial"/>
          <w:sz w:val="14"/>
          <w:szCs w:val="14"/>
          <w:b w:val="1"/>
          <w:bCs w:val="1"/>
          <w:i w:val="1"/>
          <w:iCs w:val="1"/>
          <w:color w:val="auto"/>
        </w:rPr>
        <w:t>We rely on the experience and expertise of our Co-Founder and Chief Executive Officer, senior management team, key technical and strategic employees and hourly personnel.</w:t>
      </w:r>
    </w:p>
    <w:p>
      <w:pPr>
        <w:spacing w:after="0" w:line="21"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We believe that our success and future growth depend largely upon the continued services of our senior management team, including our Co-Founder, Chair, Chief Executive Officer and President Jennifer Y. Hyman. From time to time, there have been and may be future changes in our executive management team resulting from the hiring or departure of these executives. Our executive officers are employed on an at-will basis, which means they may terminate their employment with us at any time. The loss of one or more of our executive officers, the failure to appropriately manage executive transitions, or the failure by our executive team to effectively work with our employees and lead our Company, could harm our business. We do not maintain key man life insurance with respect to any member of management or other employee.</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In addition, our future success will depend upon our ability to attract and retain employees, particularly for key roles, such as engineering and technology (including product and data science), brand, marketing, buying and planning, and logistics, as well as hourly fulfillment workers and customer service agents. Such efforts have required, and are expected to continue to require significant time, expense, and attention as there is intense competition for such individuals, particularly in New York City, Galway, New Jersey and Texas, and new hires require significant training and time before they achieve full productivity. We may be unable to maintain competitive wage and salary levels, which may increase further due to inflation and potential laws increasing minimum wages. Our inability to maintain competitive wage and salary levels could increase attrition and make recruiting more difficult. Alternatively, we may be required to increase current compensation levels to attract and retain employees, which could negatively impact our profitability goals. In addition, prospective and existing employees often consider the value of the equity awards they may receive in connection with their employment and our stock price has declined significantly since our 2021 IPO. If the perceived value of our equity awards is inadequate or experiences significant volatility, it may adversely affect our ability to recruit and retain key employees. Although we have implemented different types of programs with a goal of incentivizing our employees, such as a stock option exchange in 2023 and a Transaction Bonus Plan in 2024 that is intended to incentivize performance of key executives and encourage the realization of a qualifying transaction (as defined in the plan), these programs and plans may not have the intended incentivization and retention benefits, particularly in light of our current stock price volatility. Further our continued efforts to optimize our cost structure and organization design has made, and in the future may, make it more difficult to attract and retain employees for key roles.</w:t>
      </w:r>
    </w:p>
    <w:p>
      <w:pPr>
        <w:spacing w:after="0" w:line="148" w:lineRule="exact"/>
        <w:rPr>
          <w:sz w:val="20"/>
          <w:szCs w:val="20"/>
          <w:color w:val="auto"/>
        </w:rPr>
      </w:pPr>
    </w:p>
    <w:p>
      <w:pPr>
        <w:ind w:right="260"/>
        <w:spacing w:after="0" w:line="271" w:lineRule="auto"/>
        <w:rPr>
          <w:sz w:val="20"/>
          <w:szCs w:val="20"/>
          <w:color w:val="auto"/>
        </w:rPr>
      </w:pPr>
      <w:r>
        <w:rPr>
          <w:rFonts w:ascii="Arial" w:cs="Arial" w:eastAsia="Arial" w:hAnsi="Arial"/>
          <w:sz w:val="14"/>
          <w:szCs w:val="14"/>
          <w:color w:val="auto"/>
        </w:rPr>
        <w:t>We have continued to shift to a more office-centric model in our New York City headquarters for our corporate employees. If our current model is not aligned with our employees’ preferences, it may adversely affect our ability to recruit and retain employees and may negatively impact our Company culture, collaboration and productivity, and may be something that we need to revisit in the future.</w:t>
      </w:r>
    </w:p>
    <w:p>
      <w:pPr>
        <w:spacing w:after="0" w:line="144"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We have experienced in the past, and may in the future experience, voluntary attrition at significant rates for various reasons, including challenges with employee morale, perception of our business and financial condition, challenging labor market conditions such as rising wages, and a decreased level of workforce participation. Our teams are generally leanly staffed, which means that the impact of lower levels of attrition can be felt more acutely than in larger organizations. If we are unable to attract and retain qualified employees in a timely fashion, particularly for the key roles described above, our ability to achieve our strategic objectives will be adversely impacted, and our business and future growth prospects will be harmed.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believe that our Company culture has contributed to our success and if we cannot maintain this culture as we grow, our business could be harmed.</w:t>
      </w:r>
    </w:p>
    <w:p>
      <w:pPr>
        <w:spacing w:after="0" w:line="92"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We believe that our Company culture has been critical to our success. We aim to cultivate and maintain a workplace that is entrepreneurial, passionate, kind and positive, which we believe is essential to our growth and continued success. We face a number of challenges that may affect our ability to sustain our corporate culture, including:</w:t>
      </w:r>
    </w:p>
    <w:p>
      <w:pPr>
        <w:spacing w:after="0" w:line="35" w:lineRule="exact"/>
        <w:rPr>
          <w:sz w:val="20"/>
          <w:szCs w:val="20"/>
          <w:color w:val="auto"/>
        </w:rPr>
      </w:pPr>
    </w:p>
    <w:p>
      <w:pPr>
        <w:ind w:left="580" w:right="60" w:hanging="193"/>
        <w:spacing w:after="0" w:line="271" w:lineRule="auto"/>
        <w:tabs>
          <w:tab w:leader="none" w:pos="576" w:val="left"/>
        </w:tabs>
        <w:numPr>
          <w:ilvl w:val="0"/>
          <w:numId w:val="39"/>
        </w:numPr>
        <w:rPr>
          <w:rFonts w:ascii="Arial" w:cs="Arial" w:eastAsia="Arial" w:hAnsi="Arial"/>
          <w:sz w:val="14"/>
          <w:szCs w:val="14"/>
          <w:color w:val="auto"/>
        </w:rPr>
      </w:pPr>
      <w:r>
        <w:rPr>
          <w:rFonts w:ascii="Arial" w:cs="Arial" w:eastAsia="Arial" w:hAnsi="Arial"/>
          <w:sz w:val="14"/>
          <w:szCs w:val="14"/>
          <w:color w:val="auto"/>
        </w:rPr>
        <w:t>failure to maintain and/or improve employee morale and engagement for a variety of reasons, including, but not limited to, our office-centric approach in our New York City headquarters, our prior restructurings, the perception of our business and financial condition, and our continued efforts to ensure a cost-conscious and efficient workforce that supports our growth and profitability goals;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failure to identify, attract, reward, and retain employees who share and further our culture, values, and mission;</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evolving size, complexity and geographic diversity of our workforce, and our ability to promote a uniform and consistent culture across all our offices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employee and market perception of our ESG efforts, which may impact employee morale and recruiting efforts;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competitive pressures to move in directions that may divert us from our mission, vision, and values;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our hybrid working model for employees in Galway and the remote working model for customer service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continued challenges of a rapidly-evolving industry;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increasing need to develop expertise in new areas of business that affect us.</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particular, we are focused on driving innovation and stronger business results by attracting top talent and continuing to foster an inclusive work environment for all our employees. Although we have adopted policies to promote compliance with laws and regulations as well as to foster a respectful workplace for all employees, our employees may fail to abide by these policies. In addition to damaging our reputation, actual or alleged misconduct could tarnish our culture and reputation, result in negative publicity, affect the confidence of our stockholders, regulators and other parties and could have a material adverse effect on our business, financial condition and operating results.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changes in the pricing practices of our brand and manufacturing partners and/or the costs of raw materials could negatively impact our profitability.</w:t>
      </w:r>
    </w:p>
    <w:p>
      <w:pPr>
        <w:spacing w:after="0" w:line="81" w:lineRule="exact"/>
        <w:rPr>
          <w:sz w:val="20"/>
          <w:szCs w:val="20"/>
          <w:color w:val="auto"/>
        </w:rPr>
      </w:pPr>
    </w:p>
    <w:p>
      <w:pPr>
        <w:ind w:right="100"/>
        <w:spacing w:after="0"/>
        <w:rPr>
          <w:sz w:val="20"/>
          <w:szCs w:val="20"/>
          <w:color w:val="auto"/>
        </w:rPr>
      </w:pPr>
      <w:r>
        <w:rPr>
          <w:rFonts w:ascii="Arial" w:cs="Arial" w:eastAsia="Arial" w:hAnsi="Arial"/>
          <w:sz w:val="14"/>
          <w:szCs w:val="14"/>
          <w:color w:val="auto"/>
        </w:rPr>
        <w:t>Our brand and manufacturing partners may increase their pricing if raw materials, labor, or other costs become more expensive or subject to other pricing pressures. The inputs used to manufacture products are subject to availability constraints and price volatility. In addition, our brand partners may pass the increase in sourcing costs to us through price increases, thereby impacting our margins. For example, if manufacturers increase their costs, our Exclusive Designs may not be as cost-effective for us or our brand partners to produce, which could negatively impact our ability to meet our financial goals. The fabrics used in our products are made of raw materials including petroleum-based products and cotton. Significant price fluctuations or shortages in petroleum, cotton, or other raw materials could significantly increase our cost of revenue and the cost associated with procuring products via Exclusive Designs. Moreover, in the event of a significant disruption in the price or supply of the fabrics or raw materials used in the manufacture of the products we</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offer, such as due to changes in global trade policies, tariffs and other measures that could restrict international trade or due to restrictions on Xinjiang cotton, we and/or our partners might not be able to locate alternative suppliers of materials of comparable quality at an acceptable price. In particular, there is significant uncertainty about the future relationship</w:t>
      </w:r>
    </w:p>
    <w:p>
      <w:pPr>
        <w:ind w:right="80"/>
        <w:spacing w:after="0" w:line="239" w:lineRule="auto"/>
        <w:rPr>
          <w:sz w:val="20"/>
          <w:szCs w:val="20"/>
          <w:color w:val="auto"/>
        </w:rPr>
      </w:pPr>
      <w:r>
        <w:rPr>
          <w:rFonts w:ascii="Arial" w:cs="Arial" w:eastAsia="Arial" w:hAnsi="Arial"/>
          <w:sz w:val="14"/>
          <w:szCs w:val="14"/>
          <w:color w:val="auto"/>
        </w:rPr>
        <w:t>between the United States and other countries with respect to global trade policies, tariffs and treatises. The United States has imposed significant new tariffs on China related to the importation of certain product categories, and other countries may change their business and trade policies in anticipation of or in response to the United States’s increased import tariffs and other changes in U.S. trade policies already enacted or that may be enacted in the future. Disruptions in the supply chain due to a variety of macroeconomic factors and the recent inflationary environment have increased raw material costs, impacted pricing of our products, and caused shipping delays. In addition to the general uncertainty and overall risk from changes in global trade policies, tariffs, treatises and supply chains, as we make business decisions in the face of such uncertainty, we may incorrectly anticipate the outcomes, miss out on business opportunities, or fail to effectively adapt our business strategies and manage the adjustments that are necessary in response to such changes. Any of these developments, or the perception regarding such developments, could increase the costs associated with procuring our rental products, negatively impact our brand partners’ business operations which could in turn negatively impact us, reduce the supply of materials used in the design and manufacture of our rental products; and negatively impact customer demand for our products, any of which could have a material adverse effect on our business, financial condition and results of operation.</w:t>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seasonality.</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Our business is subject to seasonal fluctuations. For our Subscription rentals, we typically acquire the highest number of subscribers in March through May and September through November, as these are the times customers naturally think about changing over their wardrobes. We generally see a higher rate of subscribers pause in the summer, and in mid-December through the end of January. In the third and fourth fiscal quarters, our Reserve business historically (prior to COVID-19) benefited from increased wedding and holiday events but this seasonality has varied since the COVID-19 pandemic. Adverse events, such as higher unemployment, inflation, deteriorating economic conditions, or fewer large-scale holiday and special events, can deter consumers from shopping and renting. Any significant decrease in customers or revenue during periods of high seasonal acquisition could have a disproportionately large impact on our operating results and financial condition for that year. Any factors that harm our operating results during these periods, including disruptions in our brand partners’ supply chains or unfavorable economic conditions, could have a disproportionate effect on our results of operations for our entire fiscal year.</w:t>
      </w:r>
    </w:p>
    <w:p>
      <w:pPr>
        <w:spacing w:after="0" w:line="57" w:lineRule="exact"/>
        <w:rPr>
          <w:sz w:val="20"/>
          <w:szCs w:val="20"/>
          <w:color w:val="auto"/>
        </w:rPr>
      </w:pPr>
    </w:p>
    <w:p>
      <w:pPr>
        <w:ind w:right="280"/>
        <w:spacing w:after="0" w:line="262" w:lineRule="auto"/>
        <w:rPr>
          <w:sz w:val="20"/>
          <w:szCs w:val="20"/>
          <w:color w:val="auto"/>
        </w:rPr>
      </w:pPr>
      <w:r>
        <w:rPr>
          <w:rFonts w:ascii="Arial" w:cs="Arial" w:eastAsia="Arial" w:hAnsi="Arial"/>
          <w:sz w:val="14"/>
          <w:szCs w:val="14"/>
          <w:color w:val="auto"/>
        </w:rPr>
        <w:t>We also experience seasonality in the timing of expenses and capital outlays. In anticipation of increased rental activity during seasonal peaks, we typically incur significant expenses, such as rental product capital expenditures. We may also incur expenses for additional marketing and/or additional staffing in our customer support operations. In addition, we typically experience an increase in our shipping costs during peak seasons, such as around the holidays. In the future, our seasonal subscriber or revenue patterns may become more pronounced or may change, may strain our personnel and operational activities, and may cause a shortfall in revenue as compared with expenses in a given period, which could substantially harm our business, financial condition and results of operations.</w:t>
      </w:r>
    </w:p>
    <w:p>
      <w:pPr>
        <w:spacing w:after="0" w:line="55"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Furthermore, our growth in recent years may obscure the extent to which seasonality trends have affected our business and may continue to affect our business, and the effects of the COVID-19 pandemic may have altered our historical seasonality trends.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offerings, including the costs associated with such introductions.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0"/>
        <w:spacing w:after="0" w:line="299" w:lineRule="auto"/>
        <w:rPr>
          <w:sz w:val="20"/>
          <w:szCs w:val="20"/>
          <w:color w:val="auto"/>
        </w:rPr>
      </w:pPr>
      <w:r>
        <w:rPr>
          <w:rFonts w:ascii="Arial" w:cs="Arial" w:eastAsia="Arial" w:hAnsi="Arial"/>
          <w:sz w:val="14"/>
          <w:szCs w:val="14"/>
          <w:b w:val="1"/>
          <w:bCs w:val="1"/>
          <w:i w:val="1"/>
          <w:iCs w:val="1"/>
          <w:color w:val="auto"/>
        </w:rPr>
        <w:t>We may require additional capital to support the growth of our business and satisfy our debt obligations, and this capital might not be available on acceptable terms, if at all.</w:t>
      </w:r>
    </w:p>
    <w:p>
      <w:pPr>
        <w:spacing w:after="0" w:line="11" w:lineRule="exact"/>
        <w:rPr>
          <w:sz w:val="20"/>
          <w:szCs w:val="20"/>
          <w:color w:val="auto"/>
        </w:rPr>
      </w:pPr>
    </w:p>
    <w:p>
      <w:pPr>
        <w:ind w:right="20"/>
        <w:spacing w:after="0"/>
        <w:rPr>
          <w:sz w:val="20"/>
          <w:szCs w:val="20"/>
          <w:color w:val="auto"/>
        </w:rPr>
      </w:pPr>
      <w:r>
        <w:rPr>
          <w:rFonts w:ascii="Arial" w:cs="Arial" w:eastAsia="Arial" w:hAnsi="Arial"/>
          <w:sz w:val="14"/>
          <w:szCs w:val="14"/>
          <w:color w:val="auto"/>
        </w:rPr>
        <w:t>We have funded our operations since inception primarily through equity and debt financings and revenue generated from our offerings. Our goal is to be a profitable company over time; however, we cannot be certain when or if our operations will generate sufficient cash to fully fund our ongoing operations or the growth of our business. We also intend to continue to make investments to develop and grow our business. For example, in the future, we may need additional funding to satisfy our debt obligations, to obtain rental products, for marketing, and for headcount or other operating expenses and capital expenditures, to develop new features or enhance our offerings, to improve our operating infrastructure, and/or to acquire complementary businesses and technologies. However, we believe that our current market capitalization, business performance and/or current level of indebtedness may adversely impact efforts to raise additional capital. If we are unable to obtain adequate financing or financing on terms satisfactory to us, our ability to support</w:t>
      </w:r>
    </w:p>
    <w:p>
      <w:pPr>
        <w:spacing w:after="0" w:line="3" w:lineRule="exact"/>
        <w:rPr>
          <w:sz w:val="20"/>
          <w:szCs w:val="20"/>
          <w:color w:val="auto"/>
        </w:rPr>
      </w:pPr>
    </w:p>
    <w:p>
      <w:pPr>
        <w:ind w:right="60"/>
        <w:spacing w:after="0" w:line="229" w:lineRule="auto"/>
        <w:rPr>
          <w:sz w:val="20"/>
          <w:szCs w:val="20"/>
          <w:color w:val="auto"/>
        </w:rPr>
      </w:pPr>
      <w:r>
        <w:rPr>
          <w:rFonts w:ascii="Arial" w:cs="Arial" w:eastAsia="Arial" w:hAnsi="Arial"/>
          <w:sz w:val="14"/>
          <w:szCs w:val="14"/>
          <w:color w:val="auto"/>
        </w:rPr>
        <w:t>our business growth, and respond to business challenges could be significantly impaired, and our business may be adversely affected. Additionally, in recent periods, there has been volatility in and disruptions to the global economy, including the equity and debt financial markets. Such weakness and volatility in capital markets and the economy in general</w:t>
      </w:r>
    </w:p>
    <w:p>
      <w:pPr>
        <w:spacing w:after="0"/>
        <w:rPr>
          <w:sz w:val="20"/>
          <w:szCs w:val="20"/>
          <w:color w:val="auto"/>
        </w:rPr>
      </w:pPr>
      <w:r>
        <w:rPr>
          <w:rFonts w:ascii="Arial" w:cs="Arial" w:eastAsia="Arial" w:hAnsi="Arial"/>
          <w:sz w:val="14"/>
          <w:szCs w:val="14"/>
          <w:color w:val="auto"/>
        </w:rPr>
        <w:t>could limit our access to capital markets and increase our costs of borrowing.</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including pursuant to our shelf registration statement on Form S-3,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5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maintain the majority of our cash and cash equivalents in accounts with major U.S. and international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25"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17"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As of April 30, 2025, we had $340.6 million aggregate principal amount of borrowings under a credit facility with CHS (US) Management LLC (as successor in interest to Double Helix Pte Ltd. as administrative agent for Temasek Holdings (as subsequently amended, the “2023 Amended Temasek Facility”). In March 2025, all of the rights and obligations under the 2025 Amended Facility previously held by Double Helix Pte Ltd were assigned to CHS US Investments LLC, an entity under common Control (as defined in the 2025 Amended Facility) with Temasek Holdings (Private) Limited, pursuant to an assignment agreement executed in accordance with the credit facility. The 2025 Amended Facility matures in October 2026. While there is no assurance that we will be able to restructure its long-term debt obligations, we intend to work constructively with the lender regarding the</w:t>
      </w:r>
    </w:p>
    <w:p>
      <w:pPr>
        <w:spacing w:after="0" w:line="1" w:lineRule="exact"/>
        <w:rPr>
          <w:sz w:val="20"/>
          <w:szCs w:val="20"/>
          <w:color w:val="auto"/>
        </w:rPr>
      </w:pPr>
    </w:p>
    <w:p>
      <w:pPr>
        <w:ind w:right="580"/>
        <w:spacing w:after="0" w:line="238" w:lineRule="auto"/>
        <w:rPr>
          <w:sz w:val="20"/>
          <w:szCs w:val="20"/>
          <w:color w:val="auto"/>
        </w:rPr>
      </w:pPr>
      <w:r>
        <w:rPr>
          <w:rFonts w:ascii="Arial" w:cs="Arial" w:eastAsia="Arial" w:hAnsi="Arial"/>
          <w:sz w:val="14"/>
          <w:szCs w:val="14"/>
          <w:color w:val="auto"/>
        </w:rPr>
        <w:t>terms of such debt agreement. If we are unable to successfully restructure our long-term debt, our liquidity, results of operations, cash flows, and financial condition may be materially adversely impacted.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Our ability to make interest and principal payments and to fund our planned capital expenditures will depend on our ability to generate cash flows. Our ability to generate cash flows is, to a certain extent, subject to general economic, financial, competitive, legislative, regulatory and other factors that are beyond our control, such as an environment of rising or continuously high interest rates. To the extent we are impacted by macroeconomic trends, or other factors, including, but not limited to, lower demand for our business, increased rental product spend or tariffs, we plan to reduce fixed and variable costs accordingly and has established plans to preserve existing cash liquidity, which includes additional reductions to labor, operating expenses, and/or capital expenditures. However, these actions will not provide sufficient incremental liquidity to fund our debt service obligations when they become current. If our cash flows, capital resources and any measures to reduce fixed and variable costs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We cannot provide assurance that our business will be able to generate sufficient levels of cash or that future borrowings or other financings will be available to us in an amount sufficient to enable us to service our indebtedness and fund our other liquidity needs. If we need to generate additional levels of cash to service our indebtedness or meet our covenant obligations, we may need to undertake additional cost-cutting measures. These financing risks, in addition to potential rising interest rates and changes in market conditions, if realized, could negatively impact our business, financial condition and results of operations. See “Note 7 —Long-Term Debt” in the Notes to the Condensed Consolidated Financial Statements for more information on our indebtedness.</w:t>
      </w:r>
    </w:p>
    <w:p>
      <w:pPr>
        <w:spacing w:after="0" w:line="238"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Our 2025 Amended Facility contains financial covenants and other restrictions on our actions that may limit our operational flexibility or otherwise adversely affect our business, financial condition and results of operations.</w:t>
      </w:r>
    </w:p>
    <w:p>
      <w:pPr>
        <w:spacing w:after="0" w:line="117" w:lineRule="exact"/>
        <w:rPr>
          <w:sz w:val="20"/>
          <w:szCs w:val="20"/>
          <w:color w:val="auto"/>
        </w:rPr>
      </w:pPr>
    </w:p>
    <w:p>
      <w:pPr>
        <w:ind w:right="20"/>
        <w:spacing w:after="0"/>
        <w:rPr>
          <w:sz w:val="20"/>
          <w:szCs w:val="20"/>
          <w:color w:val="auto"/>
        </w:rPr>
      </w:pPr>
      <w:r>
        <w:rPr>
          <w:rFonts w:ascii="Arial" w:cs="Arial" w:eastAsia="Arial" w:hAnsi="Arial"/>
          <w:sz w:val="14"/>
          <w:szCs w:val="14"/>
          <w:color w:val="auto"/>
        </w:rPr>
        <w:t>The terms of our 2025 Amended Facility include a number of covenants that limit our ability to (subject to negotiated exceptions), among other things, incur additional indebtedness, incur liens on assets, enter into agreements related to mergers and acquisitions, dispose of assets or pay dividends and make distributions. Additionally, the 2025 Amended Facility includes a minimum liquidity maintenance covenant of $30 million and provides that we may not exceed mutually agreed upon quarterly and annual spend levels for rental product capital, fixed operating, and marketing expenditures during fiscal year 2024 of $51 million, $100 million (excluding $10 million of specified permitted expenditures), and $30 million, respectively, on an annual basis, and to-be-agreed levels for fiscal years 2025 and 2026, subject to the debt holders’ consent and certain exceptions. The deadline to finalize the expenditure levels for fiscal year 2025 was extended from March 31, 2025 to May 30, 2025 and then further extended to July 31, 2025. These and other restrictions may restrict our</w:t>
      </w:r>
    </w:p>
    <w:p>
      <w:pPr>
        <w:spacing w:after="0" w:line="3" w:lineRule="exact"/>
        <w:rPr>
          <w:sz w:val="20"/>
          <w:szCs w:val="20"/>
          <w:color w:val="auto"/>
        </w:rPr>
      </w:pPr>
    </w:p>
    <w:p>
      <w:pPr>
        <w:ind w:right="120"/>
        <w:spacing w:after="0" w:line="238" w:lineRule="auto"/>
        <w:rPr>
          <w:sz w:val="20"/>
          <w:szCs w:val="20"/>
          <w:color w:val="auto"/>
        </w:rPr>
      </w:pPr>
      <w:r>
        <w:rPr>
          <w:rFonts w:ascii="Arial" w:cs="Arial" w:eastAsia="Arial" w:hAnsi="Arial"/>
          <w:sz w:val="14"/>
          <w:szCs w:val="14"/>
          <w:color w:val="auto"/>
        </w:rPr>
        <w:t>current and future operations and could adversely affect our ability to finance our future operations or capital needs. In addition, complying with these covenants may make it more difficult for us to successfully execute our business strategy and compete against companies which are not subject to such restrictions.</w:t>
      </w:r>
    </w:p>
    <w:p>
      <w:pPr>
        <w:spacing w:after="0" w:line="7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 failure by us to comply with the covenants specified in the 2025 Amended Facility could result in an event of default under the agreement, which would give the lender the right to declare all borrowings outstanding, together with accrued and unpaid interest and fees, to be immediately due and payable. If the debt under the credit agreement were to be accelerated, we may not have sufficient cash or be able to borrow sufficient funds to refinance the debt or sell sufficient assets to repay the debt, which could adversely affect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300"/>
        <w:spacing w:after="0" w:line="268"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are unable to remediate the material weaknesses in a timely manner, identify additional material weaknesses in the future or otherwise fail to maintain effective internal control over financial reporting, which may result in material misstatements of our consolidated financial statements or cause us to fail to meet our periodic reporting obligations, our ability to comply with applicable laws and regulations and our access to the capital markets could be impaired, and the price of our Class A stock could decline</w:t>
      </w:r>
      <w:r>
        <w:rPr>
          <w:rFonts w:ascii="Arial" w:cs="Arial" w:eastAsia="Arial" w:hAnsi="Arial"/>
          <w:sz w:val="14"/>
          <w:szCs w:val="14"/>
          <w:color w:val="auto"/>
        </w:rPr>
        <w:t>.</w:t>
      </w:r>
    </w:p>
    <w:p>
      <w:pPr>
        <w:spacing w:after="0" w:line="43"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We identified material weaknesses in our internal control over financial reporting, as described below. As of April 30, 2025, these material weaknesses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4"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We did not maintain sufficient evidence of the operation of controls to achieve complete, accurate and timely financial accounting, reporting and disclosures nor were monitoring controls evidenced at a sufficient level to provide the appropriate level of oversight of activities related to our internal control over financial reporting. This material weakness contributed to the following additional material weaknesses:</w:t>
      </w:r>
    </w:p>
    <w:p>
      <w:pPr>
        <w:spacing w:after="0" w:line="134"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did not design and maintain effective controls to ensure (i) the appropriate segregation of duties in the operation of manual controls and (ii) journal entries were reviewed at the appropriate level of precision.</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did not design and maintain effective controls over information technology (“IT”) general controls for information systems and applications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our financial applications, programs and data to appropriate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 These IT control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w:t>
      </w:r>
    </w:p>
    <w:p>
      <w:pPr>
        <w:spacing w:after="0" w:line="146" w:lineRule="exact"/>
        <w:rPr>
          <w:sz w:val="20"/>
          <w:szCs w:val="20"/>
          <w:color w:val="auto"/>
        </w:rPr>
      </w:pPr>
    </w:p>
    <w:p>
      <w:pPr>
        <w:ind w:right="60"/>
        <w:spacing w:after="0" w:line="271" w:lineRule="auto"/>
        <w:rPr>
          <w:sz w:val="20"/>
          <w:szCs w:val="20"/>
          <w:color w:val="auto"/>
        </w:rPr>
      </w:pPr>
      <w:r>
        <w:rPr>
          <w:rFonts w:ascii="Arial" w:cs="Arial" w:eastAsia="Arial" w:hAnsi="Arial"/>
          <w:sz w:val="14"/>
          <w:szCs w:val="14"/>
          <w:color w:val="auto"/>
        </w:rPr>
        <w:t>The material weaknesses described above did not result in a misstatement to our annual or interim consolidated financial statements. However, each of these material weaknesses could result in a misstatement of substantially all account balances or disclosures that would result in a material misstatement to the annual or interim consolidated financial statements that would not be prevented or detected.</w:t>
      </w:r>
    </w:p>
    <w:p>
      <w:pPr>
        <w:spacing w:after="0" w:line="144" w:lineRule="exact"/>
        <w:rPr>
          <w:sz w:val="20"/>
          <w:szCs w:val="20"/>
          <w:color w:val="auto"/>
        </w:rPr>
      </w:pPr>
    </w:p>
    <w:p>
      <w:pPr>
        <w:ind w:right="80"/>
        <w:spacing w:after="0" w:line="239" w:lineRule="auto"/>
        <w:rPr>
          <w:sz w:val="20"/>
          <w:szCs w:val="20"/>
          <w:color w:val="auto"/>
        </w:rPr>
      </w:pPr>
      <w:r>
        <w:rPr>
          <w:rFonts w:ascii="Arial" w:cs="Arial" w:eastAsia="Arial" w:hAnsi="Arial"/>
          <w:sz w:val="14"/>
          <w:szCs w:val="14"/>
          <w:color w:val="auto"/>
        </w:rPr>
        <w:t>The implementation of these remediation efforts is in progress, may require additional expenditures to implement, and will require validation and testing of the design and operating effectiveness of internal controls over a sustained period of financial reporting cycles, and as a result, the timing of when we will be able to fully remediate the material weaknesses</w:t>
      </w:r>
    </w:p>
    <w:p>
      <w:pPr>
        <w:spacing w:after="0" w:line="1" w:lineRule="exact"/>
        <w:rPr>
          <w:sz w:val="20"/>
          <w:szCs w:val="20"/>
          <w:color w:val="auto"/>
        </w:rPr>
      </w:pPr>
    </w:p>
    <w:p>
      <w:pPr>
        <w:ind w:right="20"/>
        <w:spacing w:after="0" w:line="230" w:lineRule="auto"/>
        <w:rPr>
          <w:sz w:val="20"/>
          <w:szCs w:val="20"/>
          <w:color w:val="auto"/>
        </w:rPr>
      </w:pPr>
      <w:r>
        <w:rPr>
          <w:rFonts w:ascii="Arial" w:cs="Arial" w:eastAsia="Arial" w:hAnsi="Arial"/>
          <w:sz w:val="14"/>
          <w:szCs w:val="14"/>
          <w:color w:val="auto"/>
        </w:rPr>
        <w:t>described above is uncertain. We can give no assurance that our efforts will remediate these material weaknesses in our internal control over financial reporting, or that additional material weaknesses will not be identified in the future. If the steps we take do not remediate the material weaknesses we have identified in a timely manner, or if our internal control over financial reporting is not effective, there could be errors in our annual or interim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154"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Additionally, ineffective internal control over financial reporting could expose us to an increased risk of financial reporting fraud and the misappropriation of assets and subject us to potential delisting from the stock exchange on which we list or to other regulatory investigations and civil or criminal sanctions. If we are unable to remediate the material weaknesses we have identified in a timely manner, or if additional material weaknesses exist or are discovered in the future, and we are unable to remediate any such material weaknesses, our reputation, results of operations and financial condition could suffer.</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840"/>
        <w:spacing w:after="0" w:line="299"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executive management and qualified board members</w:t>
      </w:r>
      <w:r>
        <w:rPr>
          <w:rFonts w:ascii="Arial" w:cs="Arial" w:eastAsia="Arial" w:hAnsi="Arial"/>
          <w:sz w:val="14"/>
          <w:szCs w:val="14"/>
          <w:color w:val="auto"/>
        </w:rPr>
        <w:t>.</w:t>
      </w:r>
    </w:p>
    <w:p>
      <w:pPr>
        <w:spacing w:after="0" w:line="21"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As a public company, we are subject to the reporting requirements of the Securities Exchange Act of 1934, as amended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As a result of the complexity involved in complying with the rules and regulations applicable to public companies, our management’s attention may be diverted from other business concerns, which could harm our business, financial condition, and results of operations. Furthermore, most members of our management team do not have prior experience in running a public company. We have hired certain employees and engaged consultants to assist us in complying with these requirements; however we may invest additional resources in our compliance efforts, including hiring more employees or employees with additional credentials or engaging outside consultants, which may increase our operating expenses.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being a public company that is subject to these rules and regulations has made it more expensive for us to obtain director and officer liability insurance. In the future, we may be required to accept reduced coverage or incur substantially higher costs to obtain coverage. These rules and regulations may also make it more difficult for us to attract and retain qualified members of our board of directors, particularly members who can serve on our audit committee and compensation committee, and qualified executive officers.</w:t>
      </w:r>
    </w:p>
    <w:p>
      <w:pPr>
        <w:spacing w:after="0" w:line="221"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r>
        <w:rPr>
          <w:rFonts w:ascii="Arial" w:cs="Arial" w:eastAsia="Arial" w:hAnsi="Arial"/>
          <w:sz w:val="14"/>
          <w:szCs w:val="14"/>
          <w:color w:val="auto"/>
        </w:rPr>
        <w:t>.</w:t>
      </w:r>
    </w:p>
    <w:p>
      <w:pPr>
        <w:spacing w:after="0" w:line="21"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We are required, pursuant to Section 404 of the Sarbanes-Oxley Act (“Section 404”), to furnish a report by management on, among other things, the effectiveness of our internal control over financial reporting. This assessment includes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At such time, our compliance with Section 404 will require that we incur substantial expenses and expend significant management efforts.</w:t>
      </w:r>
    </w:p>
    <w:p>
      <w:pPr>
        <w:spacing w:after="0" w:line="14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to the material weaknesses in internal control over financial reporting identified in connection with the audit of our financial statements, subsequent testing by us or our independent registered public accounting firm may reveal additional deficiencies in our internal control over financial reporting that are deemed to be material weaknesses. During the evaluation and testing process of our internal controls, if we identify additional material weaknesses in our internal control over financial reporting, we will be unable to certify that our internal control over financial reporting is effective. We cannot provide assurance that there will not be additional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we or our independent registered public accounting firm determines we have additional material weaknesses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Strategic investments, partnerships, alliances, or acquisitions could be difficult to identify, pose integration challenges, divert the attention of management, disrupt our business, dilute stockholder value, and adversely affect our business, financial condition, and results of operations</w:t>
      </w:r>
      <w:r>
        <w:rPr>
          <w:rFonts w:ascii="Arial" w:cs="Arial" w:eastAsia="Arial" w:hAnsi="Arial"/>
          <w:sz w:val="14"/>
          <w:szCs w:val="14"/>
          <w:b w:val="1"/>
          <w:bCs w:val="1"/>
          <w:color w:val="auto"/>
        </w:rPr>
        <w:t>.</w:t>
      </w:r>
    </w:p>
    <w:p>
      <w:pPr>
        <w:spacing w:after="0" w:line="21"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success depends, in part, on our ability to expand our services and grow our business in response to changing technologies, customer demands, and competitive pressures. We may choose to expand our services and grow our business by entering into partnerships or alliances with third parties rather than through internal development or through the acquisition of complementary businesses and technologies. The identification of suitable alliance partners or acquisition candidates can be difficult, time-consuming, and costly, and we may not be able to successfully complete identified transactions. In addition, if we pursue and complete an acquisition, we may not be able to successfully integrate the acquired business. The risks we face in connection with partnerships and acquisitions include:</w:t>
      </w:r>
    </w:p>
    <w:p>
      <w:pPr>
        <w:spacing w:after="0" w:line="55" w:lineRule="exact"/>
        <w:rPr>
          <w:sz w:val="20"/>
          <w:szCs w:val="20"/>
          <w:color w:val="auto"/>
        </w:rPr>
      </w:pPr>
    </w:p>
    <w:p>
      <w:pPr>
        <w:ind w:left="580" w:hanging="193"/>
        <w:spacing w:after="0"/>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partnership or acquisition may disrupt our ongoing business, divert resources, increase our expenses, and distract our management;</w:t>
      </w:r>
    </w:p>
    <w:p>
      <w:pPr>
        <w:spacing w:after="0" w:line="93" w:lineRule="exact"/>
        <w:rPr>
          <w:rFonts w:ascii="Arial" w:cs="Arial" w:eastAsia="Arial" w:hAnsi="Arial"/>
          <w:sz w:val="14"/>
          <w:szCs w:val="14"/>
          <w:color w:val="auto"/>
        </w:rPr>
      </w:pPr>
    </w:p>
    <w:p>
      <w:pPr>
        <w:ind w:left="580" w:right="140" w:hanging="193"/>
        <w:spacing w:after="0" w:line="271"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 acquisition may negatively affect our financial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48" w:lineRule="exact"/>
        <w:rPr>
          <w:rFonts w:ascii="Arial" w:cs="Arial" w:eastAsia="Arial" w:hAnsi="Arial"/>
          <w:sz w:val="14"/>
          <w:szCs w:val="14"/>
          <w:color w:val="auto"/>
        </w:rPr>
      </w:pPr>
    </w:p>
    <w:p>
      <w:pPr>
        <w:ind w:left="580" w:right="20" w:hanging="193"/>
        <w:spacing w:after="0" w:line="290"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we may encounter difficulties or unforeseen expenditures in integrating the business, offerings, technologies, personnel, or operations of any company that we partner with or acquire; and</w:t>
      </w:r>
    </w:p>
    <w:p>
      <w:pPr>
        <w:spacing w:after="0" w:line="35" w:lineRule="exact"/>
        <w:rPr>
          <w:rFonts w:ascii="Arial" w:cs="Arial" w:eastAsia="Arial" w:hAnsi="Arial"/>
          <w:sz w:val="14"/>
          <w:szCs w:val="14"/>
          <w:color w:val="auto"/>
        </w:rPr>
      </w:pPr>
    </w:p>
    <w:p>
      <w:pPr>
        <w:jc w:val="both"/>
        <w:ind w:left="580" w:right="100" w:hanging="193"/>
        <w:spacing w:after="0" w:line="271" w:lineRule="auto"/>
        <w:tabs>
          <w:tab w:leader="none" w:pos="576" w:val="left"/>
        </w:tabs>
        <w:numPr>
          <w:ilvl w:val="0"/>
          <w:numId w:val="40"/>
        </w:numPr>
        <w:rPr>
          <w:rFonts w:ascii="Arial" w:cs="Arial" w:eastAsia="Arial" w:hAnsi="Arial"/>
          <w:sz w:val="14"/>
          <w:szCs w:val="14"/>
          <w:color w:val="auto"/>
        </w:rPr>
      </w:pPr>
      <w:r>
        <w:rPr>
          <w:rFonts w:ascii="Arial" w:cs="Arial" w:eastAsia="Arial" w:hAnsi="Arial"/>
          <w:sz w:val="14"/>
          <w:szCs w:val="14"/>
          <w:color w:val="auto"/>
        </w:rPr>
        <w:t>if we incur debt or issue a significant amount of equity securities to fund such joint venture or acquisition, such debt may subject us to material restrictions on our ability to conduct our business, as well as financial maintenance covenants and such equity securities may cause dilution for our existing stockholders and earning per share may decrease.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occurrence of any of these foregoing risks could adversely affect our business, financial condition, and results of operations and expose us to unknown risks or liabilities.</w:t>
      </w:r>
    </w:p>
    <w:p>
      <w:pPr>
        <w:spacing w:after="0" w:line="181"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we cannot be certain if the reduced reporting and disclosure requirements applicable to emerging growth companies and smaller reporting companies will make our Class A common stock less attractive to investors.</w:t>
      </w:r>
    </w:p>
    <w:p>
      <w:pPr>
        <w:spacing w:after="0" w:line="21"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color w:val="auto"/>
        </w:rPr>
        <w:t>We are an “emerging growth company,” as defined in the Jumpstart Our Business Startups Act of 2012 (“JOBS Act”), and we may take advantage of certain exemptions from reporting requirements that are applicable to other public companies that are not “emerging growth companies,” including:</w:t>
      </w:r>
    </w:p>
    <w:p>
      <w:pPr>
        <w:spacing w:after="0" w:line="35" w:lineRule="exact"/>
        <w:rPr>
          <w:sz w:val="20"/>
          <w:szCs w:val="20"/>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auditor attestation requirements of Section 404;</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in our periodic reports and proxy statements; and</w:t>
      </w:r>
    </w:p>
    <w:p>
      <w:pPr>
        <w:spacing w:after="0" w:line="93" w:lineRule="exact"/>
        <w:rPr>
          <w:rFonts w:ascii="Arial" w:cs="Arial" w:eastAsia="Arial" w:hAnsi="Arial"/>
          <w:sz w:val="14"/>
          <w:szCs w:val="14"/>
          <w:color w:val="auto"/>
        </w:rPr>
      </w:pPr>
    </w:p>
    <w:p>
      <w:pPr>
        <w:ind w:left="580" w:right="200" w:hanging="193"/>
        <w:spacing w:after="0" w:line="290" w:lineRule="auto"/>
        <w:tabs>
          <w:tab w:leader="none" w:pos="576" w:val="left"/>
        </w:tabs>
        <w:numPr>
          <w:ilvl w:val="0"/>
          <w:numId w:val="41"/>
        </w:numPr>
        <w:rPr>
          <w:rFonts w:ascii="Arial" w:cs="Arial" w:eastAsia="Arial" w:hAnsi="Arial"/>
          <w:sz w:val="14"/>
          <w:szCs w:val="14"/>
          <w:color w:val="auto"/>
        </w:rPr>
      </w:pPr>
      <w:r>
        <w:rPr>
          <w:rFonts w:ascii="Arial" w:cs="Arial" w:eastAsia="Arial" w:hAnsi="Arial"/>
          <w:sz w:val="14"/>
          <w:szCs w:val="14"/>
          <w:color w:val="auto"/>
        </w:rPr>
        <w:t>exemptions from the requirements of holding a non-binding advisory stockholder vote on executive compensation and non-binding advisory stockholder vote to approve any golden parachute payments not previously approved.</w:t>
      </w:r>
    </w:p>
    <w:p>
      <w:pPr>
        <w:spacing w:after="0" w:line="120"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will remain an emerging growth company until the earliest of:</w:t>
      </w:r>
    </w:p>
    <w:p>
      <w:pPr>
        <w:spacing w:after="0" w:line="94" w:lineRule="exact"/>
        <w:rPr>
          <w:sz w:val="20"/>
          <w:szCs w:val="20"/>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last day of the fiscal year following the fifth anniversary of our IPO;</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last day of the first fiscal year in which our annual gross revenue is $1.235 billion or more;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date on which we have, during the previous rolling three-year period, issued more than $1 billion in non-convertible debt securities;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date we qualify as a “large accelerated filer,” with at least $700 million of equity securities held by non-affiliates.</w:t>
      </w:r>
    </w:p>
    <w:p>
      <w:pPr>
        <w:spacing w:after="0" w:line="200" w:lineRule="exact"/>
        <w:rPr>
          <w:sz w:val="20"/>
          <w:szCs w:val="20"/>
          <w:color w:val="auto"/>
        </w:rPr>
      </w:pPr>
    </w:p>
    <w:p>
      <w:pPr>
        <w:jc w:val="both"/>
        <w:ind w:left="60" w:right="160"/>
        <w:spacing w:after="0" w:line="271" w:lineRule="auto"/>
        <w:rPr>
          <w:sz w:val="20"/>
          <w:szCs w:val="20"/>
          <w:color w:val="auto"/>
        </w:rPr>
      </w:pPr>
      <w:r>
        <w:rPr>
          <w:rFonts w:ascii="Arial" w:cs="Arial" w:eastAsia="Arial" w:hAnsi="Arial"/>
          <w:sz w:val="14"/>
          <w:szCs w:val="14"/>
          <w:color w:val="auto"/>
        </w:rPr>
        <w:t>We are also a "smaller reporting company" as defined in the Exchange Act. We may take advantage of certain of the scaled disclosures available to smaller reporting companies as long as we qualify as such, even after we are no longer an EGC, including reduced disclosure obligations regarding executive compensation in our periodic reports and proxy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reported financial results may be adversely affected by changes in accounting principles generally accepted in the United States</w:t>
      </w:r>
      <w:r>
        <w:rPr>
          <w:rFonts w:ascii="Arial" w:cs="Arial" w:eastAsia="Arial" w:hAnsi="Arial"/>
          <w:sz w:val="14"/>
          <w:szCs w:val="14"/>
          <w:color w:val="auto"/>
        </w:rPr>
        <w:t>.</w:t>
      </w:r>
    </w:p>
    <w:p>
      <w:pPr>
        <w:spacing w:after="0" w:line="94"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GAAP is subject to interpretation by the Financial Accounting Standards Board (the “FASB”), the SEC, and various bodies formed to promulgate and interpret appropriate accounting principles. The accounting for our business is complicated, particularly in the area of revenue recognition, and is subject to change based on the evolution of our business model, interpretations of relevant accounting principles, enforcement of existing or new regulations, and changes in SEC or other agency policies, rules, regulations, and interpretations of accounting regulations. Changes to our business model and accounting methods, principles, or interpretations could result in changes to our financial statements, including changes in revenue and expenses in any period, or in certain categories of revenue and expenses moving to different periods, may result in materially different financial results, and may require that we change how we process, analyze, and report financial information and our financial reporting controls.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our results of operations could be adversely affected</w:t>
      </w:r>
      <w:r>
        <w:rPr>
          <w:rFonts w:ascii="Arial" w:cs="Arial" w:eastAsia="Arial" w:hAnsi="Arial"/>
          <w:sz w:val="14"/>
          <w:szCs w:val="14"/>
          <w:color w:val="auto"/>
        </w:rPr>
        <w:t>.</w:t>
      </w:r>
    </w:p>
    <w:p>
      <w:pPr>
        <w:spacing w:after="0" w:line="94"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condensed consolidated financial statements and accompanying notes appearing elsewhere in this Quarterly Report. We base our estimates on historical experience and on various other assumptions that we believe to be reasonable under the circumstances, as provided in Part II, Item 7, “Management’s Discussion and Analysis of Financial Condition and Results of Operations—Critical Accounting Estimates.” The results of these estimates form the basis for making judgments about the carrying values of assets, liabilities, and equity, and the amount of revenue and expenses. Significant estimates and judgments include the useful life and salvage value of rental product, incremental borrowing rate to determine lease liabilities and right-of-use assets, valuation of share-based compensation and warrants, and recoverability of long-lived assets.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230"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auto"/>
        </w:rPr>
        <w:t>The estimates of market opportunity and forecasts of market growth included in our public disclosures may prove to be inaccurate, and even if the markets in which we compete achieve the forecasted growth, our business could fail to grow at similar rates, or at all.</w:t>
      </w:r>
    </w:p>
    <w:p>
      <w:pPr>
        <w:spacing w:after="0" w:line="21" w:lineRule="exact"/>
        <w:rPr>
          <w:sz w:val="20"/>
          <w:szCs w:val="20"/>
          <w:color w:val="auto"/>
        </w:rPr>
      </w:pPr>
    </w:p>
    <w:p>
      <w:pPr>
        <w:ind w:right="100"/>
        <w:spacing w:after="0" w:line="271" w:lineRule="auto"/>
        <w:rPr>
          <w:sz w:val="20"/>
          <w:szCs w:val="20"/>
          <w:color w:val="auto"/>
        </w:rPr>
      </w:pPr>
      <w:r>
        <w:rPr>
          <w:rFonts w:ascii="Arial" w:cs="Arial" w:eastAsia="Arial" w:hAnsi="Arial"/>
          <w:sz w:val="14"/>
          <w:szCs w:val="14"/>
          <w:color w:val="auto"/>
        </w:rPr>
        <w:t>The estimates of market opportunity and forecasts of market growth included in our public disclosures may prove to be inaccurate. Market opportunity estimates and growth forecasts are subject to significant uncertainty and are based on assumptions and estimates that may not prove to be accurate, including as a result of any of the risks described in this Quarterly Report.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color w:val="auto"/>
        </w:rPr>
        <w:t>The variables that go into the calculation of our market opportunity are subject to change over time, and there is no guarantee that any particular number or percentage of addressable customers and subscribers covered by our market opportunity estimates will become a customer or subscriber or generate any particular level of revenues for us. In addition, our ability to expand in any of our target markets depends on a number of factors, including the cost, performance and perceived value associated with our products and offerings. Even if the markets in which we compete meet the size estimates and growth forecasted in our public disclosures, our business could fail to grow at similar rates, or at all. Our growth is subject to many factors, including our success in implementing our business strategy, which is subject to many risks and uncertainties. Accordingly, the forecasts of market growth included in our public disclosures should not be taken as indicative of our future growth.</w:t>
      </w:r>
    </w:p>
    <w:p>
      <w:pPr>
        <w:spacing w:after="0" w:line="57" w:lineRule="exact"/>
        <w:rPr>
          <w:sz w:val="20"/>
          <w:szCs w:val="20"/>
          <w:color w:val="auto"/>
        </w:rPr>
      </w:pPr>
    </w:p>
    <w:p>
      <w:pPr>
        <w:ind w:right="360"/>
        <w:spacing w:after="0" w:line="302" w:lineRule="auto"/>
        <w:rPr>
          <w:sz w:val="20"/>
          <w:szCs w:val="20"/>
          <w:color w:val="auto"/>
        </w:rPr>
      </w:pPr>
      <w:r>
        <w:rPr>
          <w:rFonts w:ascii="Arial" w:cs="Arial" w:eastAsia="Arial" w:hAnsi="Arial"/>
          <w:sz w:val="14"/>
          <w:szCs w:val="14"/>
          <w:b w:val="1"/>
          <w:bCs w:val="1"/>
          <w:i w:val="1"/>
          <w:iCs w:val="1"/>
          <w:color w:val="auto"/>
        </w:rPr>
        <w:t>The COVID-19 pandemic had a material adverse impact on our business</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Other future pandemics or public health crises may have a similar adverse impact on our business.</w:t>
      </w:r>
    </w:p>
    <w:p>
      <w:pPr>
        <w:spacing w:after="0" w:line="19"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COVID-19 pandemic materially adversely affected our operating and financial results during fiscal year 2020 in many ways. Future pandemics or public health crises may have similar adverse effects on our business. Although we anticipate that our operating results in future fiscal years will reflect a more normal operating environment, the current economic climate has created a high degree of uncertainty and there is no assurance that our scale, number of customers, revenue or growth will return to or surpass pre-pandemic levels for a sustained period of time. As such, we continue to closely monitor global health crises in general, and will assess our strategy and operational structure in light of future developments.</w:t>
      </w: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Expansion of our operations internationally requires management attention and resources, involves additional risks, and may be unsuccessful.</w:t>
      </w:r>
    </w:p>
    <w:p>
      <w:pPr>
        <w:spacing w:after="0" w:line="9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do not currently offer our products and services internationally. In the event we decide to expand our geographic market internationally, we will need to adapt to different local cultures, standards, laws, and policies. The business model we employ may not appeal as strongly to customers in international markets. Our entry into new markets will also require us to become familiar with different trends and customer preferences in such markets. In addition, consumer shopping behavior may continue to evolve and we may need to adapt our service to such changes.</w:t>
      </w:r>
    </w:p>
    <w:p>
      <w:pPr>
        <w:spacing w:after="0" w:line="138" w:lineRule="exact"/>
        <w:rPr>
          <w:sz w:val="20"/>
          <w:szCs w:val="20"/>
          <w:color w:val="auto"/>
        </w:rPr>
      </w:pPr>
    </w:p>
    <w:p>
      <w:pPr>
        <w:jc w:val="both"/>
        <w:ind w:right="100"/>
        <w:spacing w:after="0" w:line="271" w:lineRule="auto"/>
        <w:rPr>
          <w:sz w:val="20"/>
          <w:szCs w:val="20"/>
          <w:color w:val="auto"/>
        </w:rPr>
      </w:pPr>
      <w:r>
        <w:rPr>
          <w:rFonts w:ascii="Arial" w:cs="Arial" w:eastAsia="Arial" w:hAnsi="Arial"/>
          <w:sz w:val="14"/>
          <w:szCs w:val="14"/>
          <w:color w:val="auto"/>
        </w:rPr>
        <w:t>Furthermore, to succeed with customers in international locations, we will need to locate fulfillment centers in foreign markets, hire local employees and source products appealing to local preferences, and we will have to invest in these facilities, employees and products before proving we can successfully run foreign operations. We may not be successful in expanding into additional international markets or in generating revenue from foreign operations for a variety of reasons, including:</w:t>
      </w:r>
    </w:p>
    <w:p>
      <w:pPr>
        <w:spacing w:after="0" w:line="49" w:lineRule="exact"/>
        <w:rPr>
          <w:sz w:val="20"/>
          <w:szCs w:val="20"/>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lower acceptance of our offerings and the concept of renting apparel and accessories and the need to localize our products offerings;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competition from local incumbents that understand the local market and may operate more effectively;</w:t>
      </w:r>
    </w:p>
    <w:p>
      <w:pPr>
        <w:spacing w:after="0" w:line="93" w:lineRule="exact"/>
        <w:rPr>
          <w:rFonts w:ascii="Arial" w:cs="Arial" w:eastAsia="Arial" w:hAnsi="Arial"/>
          <w:sz w:val="14"/>
          <w:szCs w:val="14"/>
          <w:color w:val="auto"/>
        </w:rPr>
      </w:pPr>
    </w:p>
    <w:p>
      <w:pPr>
        <w:ind w:left="580" w:right="140" w:hanging="193"/>
        <w:spacing w:after="0" w:line="290" w:lineRule="auto"/>
        <w:tabs>
          <w:tab w:leader="none" w:pos="576"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regulatory requirements, taxes, trade laws, trade sanctions and economic embargoes, tariffs, export quotas, custom duties, or other trade restrictions, or any unexpected changes thereto; and</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risks resulting from changes in currency exchange rates.</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If we invest substantial time and resources to establish and expand our operations internationally and are unable to do so successfully and in a timely manner, our operating results would suffer.</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Legal and Regulatory Environment</w:t>
      </w:r>
    </w:p>
    <w:p>
      <w:pPr>
        <w:spacing w:after="0" w:line="200" w:lineRule="exact"/>
        <w:rPr>
          <w:sz w:val="20"/>
          <w:szCs w:val="20"/>
          <w:color w:val="auto"/>
        </w:rPr>
      </w:pPr>
    </w:p>
    <w:p>
      <w:pPr>
        <w:ind w:right="240"/>
        <w:spacing w:after="0" w:line="283" w:lineRule="auto"/>
        <w:rPr>
          <w:sz w:val="20"/>
          <w:szCs w:val="20"/>
          <w:color w:val="auto"/>
        </w:rPr>
      </w:pPr>
      <w:r>
        <w:rPr>
          <w:rFonts w:ascii="Arial" w:cs="Arial" w:eastAsia="Arial" w:hAnsi="Arial"/>
          <w:sz w:val="14"/>
          <w:szCs w:val="14"/>
          <w:b w:val="1"/>
          <w:bCs w:val="1"/>
          <w:i w:val="1"/>
          <w:iCs w:val="1"/>
          <w:color w:val="auto"/>
        </w:rPr>
        <w:t>Our business is subject to a large number of U.S. and non-U.S. laws and regulations, many of which are evolving, and failure to comply could potentially impact our operating and financial results.</w:t>
      </w:r>
    </w:p>
    <w:p>
      <w:pPr>
        <w:spacing w:after="0" w:line="32"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We are subject to numerous evolving laws and regulations in the United States and around the world, including those relating to consumer protection, environmental protection, intellectual property, consumer product safety, privacy and information security, taxation, and immigration, labor, and other employment law matters, such as workplace safety, particularly in our fulfillment centers, and wage and hour regulations. There has been a continued regulatory focus on automatically renewing subscription offerings, such as ours. For example, California’s Automatic Renewal Law, and the federal Restore Online Shoppers’ Confidence Act (the “ROSCA”), require companies to adhere to enhanced disclosure and cancellation requirements when entering into automatically renewing contracts with subscription customers. Regulators and private plaintiffs have brought enforcement and litigation or arbitration actions against companies, challenging automatic renewal, terms of service, and subscription programs.</w:t>
      </w:r>
    </w:p>
    <w:p>
      <w:pPr>
        <w:spacing w:after="0" w:line="142"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We strive to comply with all applicable laws; however, despite our efforts, we may not have fully complied in the past and may not in the future. If we fail to comply with existing or future laws or regulations, or if these laws or regulations are violated by our brand partners, suppliers or vendors, we may be subject to criminal and civil liabilities, fines, or sanctions and, while incurring substantial legal fees and costs and reputational harm. In addition, compliance and remediation efforts can be costly.</w:t>
      </w:r>
    </w:p>
    <w:p>
      <w:pPr>
        <w:spacing w:after="0" w:line="221"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and we could face criminal liability and other serious consequences for violations, which could harm our business</w:t>
      </w:r>
      <w:r>
        <w:rPr>
          <w:rFonts w:ascii="Arial" w:cs="Arial" w:eastAsia="Arial" w:hAnsi="Arial"/>
          <w:sz w:val="14"/>
          <w:szCs w:val="14"/>
          <w:b w:val="1"/>
          <w:bCs w:val="1"/>
          <w:color w:val="auto"/>
        </w:rPr>
        <w:t>.</w:t>
      </w:r>
    </w:p>
    <w:p>
      <w:pPr>
        <w:spacing w:after="0" w:line="37"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are subject to export control laws and regulations (including the U.S. Export Administration Regulations), U.S. Customs and import regulations, various economic and trade sanctions regulations administered by the U.S. Treasury Department’s Office of Foreign Assets Control, the U.S. Foreign Corrupt Practices Act of 1977 (the “FCPA”), as amended, the U.S. domestic bribery statute contained in 18 U.S.C. § 201, the U.S. Travel Act, the USA PATRIOT Act, and other state and national anti-bribery and anti-money laundering laws in the countries in which we conduct activities. Anti-corruption laws are interpreted broadly and generally prohibit companies and their employees, agents, contractors, and other partners from authorizing, promising, offering, or providing, directly or indirectly, corrupt payments of anything of value to recipients in the public or private sector to obtain or retain business or an improper business advantage. As a public company, we also are subject to the FCPA’s accounting provisions, which require us to make and keep complete and accurate books and records, and to maintain a system of adequate internal accounting controls. We have brand partners, suppliers, and vendors operating outside the United States and may engage other third parties to sell our products and services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such activities. Although we have policies and controls in place to promote compliance with these laws and regulations, there are no assurances that these policies and controls will always prevent illegal or improper acts by employees, agents, third parties, or business partners. Violations of the laws and regulations described above may result in substantial civil and criminal fines and penalties, imprisonment, the loss of export or import privileges, debarment, tax reassessments, breach of contract and fraud litigation, reputational harm, investigation costs, and other consequences, any of which could have a material adverse effect on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00"/>
        <w:spacing w:after="0" w:line="299" w:lineRule="auto"/>
        <w:rPr>
          <w:sz w:val="20"/>
          <w:szCs w:val="20"/>
          <w:color w:val="auto"/>
        </w:rPr>
      </w:pPr>
      <w:r>
        <w:rPr>
          <w:rFonts w:ascii="Arial" w:cs="Arial" w:eastAsia="Arial" w:hAnsi="Arial"/>
          <w:sz w:val="14"/>
          <w:szCs w:val="14"/>
          <w:b w:val="1"/>
          <w:bCs w:val="1"/>
          <w:i w:val="1"/>
          <w:iCs w:val="1"/>
          <w:color w:val="auto"/>
        </w:rPr>
        <w:t>From time to time, we may be subject to claims, legal proceedings, regulatory disputes, and governmental inquiries that could cause us to incur significant expenses, divert our management’s attention, and materially harm our business, financial condition, and operating results</w:t>
      </w:r>
      <w:r>
        <w:rPr>
          <w:rFonts w:ascii="Arial" w:cs="Arial" w:eastAsia="Arial" w:hAnsi="Arial"/>
          <w:sz w:val="14"/>
          <w:szCs w:val="14"/>
          <w:color w:val="auto"/>
        </w:rPr>
        <w:t>.</w:t>
      </w: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From time to time, we may be subject to claims, lawsuits, government investigations, and other proceedings involving products liability, competition and antitrust, intellectual property, privacy, consumer protection, securities, tax, labor and employment, commercial disputes, environmental regulations, and other matters that could adversely affect our business operations and financial condition. For example, on November 14, 2022, a purported stockholder of the Company filed a putative class action lawsuit in the Eastern District of New York against the Company, certain of its officers and directors, and the underwriters of its IPO, entitled Rajat Sharma v. Rent the Runway, Inc., et al. The complaint, which has since been amended, alleges that we violated Sections 11, 12(a)(2) and 15 of the Securities Act of 1933, as amended, by making allegedly materially misleading statements, and by omitting material facts necessary to make the statements made therein not misleading. The lawsuit seeks, among other things, compensatory damages, attorneys’ fees and costs and such other relief as deemed just and proper by the court. See Note 14, “Commitments and Contingencies” in the Notes to the Condensed Consolidated Financial</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Statements for more details about the class action and other matters.</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In addition, in recent years, we have seen a rise in the number and potential significance of these disputes and inquiries and evolving areas of focus for regulators and private plaintiffs. For example, there has been an increase in consumer class action lawsuits and mass arbitrations relating to subscription products. Litigation and regulatory proceedings may be protracted and expensive, and the results are difficult to predict. Certain of these matters include speculative claims for substantial or indeterminate amounts of damages and include claims for injunctive relief. Additionally, the costs we incur could be significant. Adverse outcomes with respect to claims, litigation or any of these legal proceedings may result in significant settlement costs or judgments, penalties and fines, or require us to modify our products and offerings or other business processes, which could negatively affect our financial performance or our revenue growth. 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results of operations.</w:t>
      </w:r>
    </w:p>
    <w:p>
      <w:pPr>
        <w:spacing w:after="0" w:line="14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addition, as a public company, our business and financial condition are more visible than as a private company, which may result in an increased risk of threatened or actual litigation, including by competitors and other third parties. If such claims are successful, our business, financial condition, and results of operations would be harmed, and even if the claims do not result in litigation or are resolved in our favor, these claims, and the time and resources necessary to resolve them, would divert the resources of our management and harm our business, financial condition, and results of operations.</w:t>
      </w:r>
    </w:p>
    <w:p>
      <w:pPr>
        <w:spacing w:after="0" w:line="225"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b w:val="1"/>
          <w:bCs w:val="1"/>
          <w:i w:val="1"/>
          <w:iCs w:val="1"/>
          <w:color w:val="auto"/>
        </w:rPr>
        <w:t>Failure to adequately obtain, maintain, protect and enforce our intellectual property and proprietary rights could harm our brand, devalue our proprietary content, and adversely affect our ability to compete effectively</w:t>
      </w:r>
      <w:r>
        <w:rPr>
          <w:rFonts w:ascii="Arial" w:cs="Arial" w:eastAsia="Arial" w:hAnsi="Arial"/>
          <w:sz w:val="14"/>
          <w:szCs w:val="14"/>
          <w:color w:val="auto"/>
        </w:rPr>
        <w:t>.</w:t>
      </w:r>
    </w:p>
    <w:p>
      <w:pPr>
        <w:spacing w:after="0" w:line="21"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success depends in part on our ability to obtain, maintain, protect, and enforce our intellectual property rights, including those in our proprietary technologies, know-how, and brand. To protect our rights to our intellectual property, we rely on a combination of trademark, copyright patent, and trade secret laws, domain name registrations, confidentiality agreements, and other contractual arrangements with our employees, affiliates, customers, strategic partners, vendors, and others. However, the protective steps we have taken and plan to take may be inadequate to deter infringement, misappropriation or other violations of our intellectual property or proprietary rights and we may be unable to enforce all of our intellectual property rights. Failure to adequately protect and enforce our intellectual property could harm our brand, devalue our proprietary technology and content, and adversely affect our ability to compete effectively.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If we fail to protect our intellectual property rights adequately, our competitors may gain access to our intellectual property and proprietary technology and develop and commercialize substantially identical offerings or technologies. We may not timely or successfully register our trademarks in all jurisdictions, which could enable third parties to use our brand name and thus create potential impediments to any efforts to expand the business outside of the U.S. The copyright registrations we have obtained for our website may not adequately protect all material contained on our website, and these registrations do not cover any material that is not part of our website. The patent prosecution process is expensive and time-consuming. We may not be able to prepare, file and prosecute all necessary or desirable patent applications at a commercially reasonable cost or in a timely manner or in all relevant jurisdictions, creating an opportunity for third parties to patent the same technology while preventing us from continuing to use it. It is also possible that we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Any patents, trademarks, copyrights, or other intellectual property rights that we have or may obtain may be challenged or circumvented by others or invalidated or held unenforceable through administrative proceedings or litigation. There can be no assurance that our patent applications will result in issued patents, or that any such patents will be of sufficient scope to adequately protect our proprietary technology or provide us with any meaningful competitive advantage. Moreover, failure to comply with applicable procedural, documentary, maintenance, renewal, fee payment and other similar requirements with the United States Patent and Trademark Office or other similar governmental agencies or administrative bodies could result in abandonment or lapse of the affected intellectual property rights. Further, the laws of some foreign countries may not be as protective of intellectual property rights as those in the United States, and mechanisms for enforcement of intellectual property rights in those countries may be inadequate. Accordingly, despite our efforts to obtain and protect our intellectual property, it may be possible for unauthorized third parties to copy our offerings and capabilities and use information that we regard as proprietary to create offerings that compete with ours.</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generally enter into confidentiality and invention assignment agreements with our employees and consultants, as well as agreements with other third parties, including suppliers and other partners, that contain confidentiality obligations and assignment provisions. However, we cannot guarantee that we have entered into such agreements with each party that has developed intellectual property for us or that may have had access to our proprietary information and technology, know-how, and trade secrets. Moreover, no assurance can be given that these agreements will be effective in controlling access to our proprietary information or preventing the unauthorized distribution, use, misappropriation, reverse engineering, or disclosure of our proprietary intellectual property and other proprietary rights, information, technology, know-how, and trade secrets. These agreements may be breached, and we may not have adequate remedies for any such breach. If any of our trade secrets were to be disclosed to or independently developed by a competitor, our competitive position would be harmed, possibly leaving us without an adequate remedy to make us whole.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 xml:space="preserve">We may be required to spend significant financial and managerial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In the alternative, the failure to enforce our intellectual property rights could result in the impairment or loss of portions of our intellectual property rights. Further, our efforts to enforce our intellectual property rights may be met with defenses, counterclaims, and countersuits attacking the validity and enforceability of our intellectual property rights, and if such defenses, counterclaims, or countersuits are successful, it could result in the loss, impairment or narrowing of valuable intellectual property rights. In patent litigation in the United States, counterclaims alleging invalidity and/or unenforceability are common, and there are numerous grounds upon which a third party can assert invalidity or unenforceability of a patent. 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4"/>
          <w:szCs w:val="14"/>
          <w:i w:val="1"/>
          <w:iCs w:val="1"/>
          <w:color w:val="auto"/>
        </w:rPr>
        <w:t>inter partes</w:t>
      </w:r>
      <w:r>
        <w:rPr>
          <w:rFonts w:ascii="Arial" w:cs="Arial" w:eastAsia="Arial" w:hAnsi="Arial"/>
          <w:sz w:val="14"/>
          <w:szCs w:val="14"/>
          <w:color w:val="auto"/>
        </w:rPr>
        <w:t xml:space="preserve"> review and equivalent proceedings in foreign jurisdictions (for example, opposition proceedings). Such proceedings could result in revocation of our patents, or could result in narrowing the scope of the patent claims so that they no longer cover our technology.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technology. An adverse result in any litigation or defense proceedings could put one or more of our patents at risk of being invalidated or interpreted narrowly, could put our patent applications at risk of not issuing, and could have a material adverse impact on our business by making the technology at issue freely available for others to use. Our inability to protect our proprietary technology against unauthorized copying or use, as well as any costly litigation or diversion of our management’s attention and resources, could delay further sales or the implementation of our offerings and capabilities, impair the functionality of our offerings and capabilities, delay or prevent introductions of new offerings, result in our substituting inferior or more costly technologies into our offerings, allow our competitors to gain momentum or overtake us, or injure our brand and reputation.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160"/>
        <w:spacing w:after="0" w:line="299" w:lineRule="auto"/>
        <w:rPr>
          <w:sz w:val="20"/>
          <w:szCs w:val="20"/>
          <w:color w:val="auto"/>
        </w:rPr>
      </w:pPr>
      <w:r>
        <w:rPr>
          <w:rFonts w:ascii="Arial" w:cs="Arial" w:eastAsia="Arial" w:hAnsi="Arial"/>
          <w:sz w:val="14"/>
          <w:szCs w:val="14"/>
          <w:b w:val="1"/>
          <w:bCs w:val="1"/>
          <w:i w:val="1"/>
          <w:iCs w:val="1"/>
          <w:color w:val="auto"/>
        </w:rPr>
        <w:t>We may incur costs to defend against, face liability or be vulnerable to intellectual property infringement, misappropriation, and other claims and allegations brought against us by others, which could result in substantial damages and diversion of management’s efforts and attention</w:t>
      </w:r>
      <w:r>
        <w:rPr>
          <w:rFonts w:ascii="Arial" w:cs="Arial" w:eastAsia="Arial" w:hAnsi="Arial"/>
          <w:sz w:val="14"/>
          <w:szCs w:val="14"/>
          <w:color w:val="auto"/>
        </w:rPr>
        <w:t>.</w:t>
      </w:r>
    </w:p>
    <w:p>
      <w:pPr>
        <w:spacing w:after="0" w:line="2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Third parties may assert claims against us alleging that we infringe upon, misappropriate, dilute or otherwise violate their intellectual property rights. In addition, we may be subject to claims of infringement related to rental product designs and/or content provided by our third-party partners such as brands, influencers, marketing partners and other third parties. Although we aim to have contractual remedies and indemnification rights in our third-party agreements, such provisions may be inadequate. For example, we have received cease and desist and demand letters from third-parties in connection with our use of certain marketing and advertising assets and our rental product designs, which could lead to claims against us. These risks have been amplified by the increase in third parties whose sole or primary business is to assert such claims. These claims, regardless of their merit, could be expensive and time consuming to defend and could divert management resources. We cannot predict the outcome of claims, lawsuits or administrative proceedings, and we cannot ensure that the results of any such actions will not have an adverse effect on our business, financial condition or results of operations. If these claims are resolved against us, we could incur significant monetary liability, or we could be prevented from renting or selling some of our products or using some of our technology. In addition, a finding of liability or other resolution of claims may require us to change our business model, redesign or rebrand our products, replace portions of our technology platform, license rights from third parties, cease using certain brand names or other intellectual property rights altogether, or make substantial payments for royalty or license fees, legal fees, disgorgement of profits, corrective advertising, settlement payments or other costs or damages. Insurance coverage for infringement claims may not be available at all or only on very limited terms, and may be inadequate to cover potential costs and losses. Further, licenses may not be available to us on reasonable terms, if at all. Any of these events could harm our business and cause our results of operations, liquidity and financial condition to suffer.</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third-party open-source software could adversely affect our ability to offer our products and offerings and subjects us to possible litigation</w:t>
      </w:r>
      <w:r>
        <w:rPr>
          <w:rFonts w:ascii="Arial" w:cs="Arial" w:eastAsia="Arial" w:hAnsi="Arial"/>
          <w:sz w:val="14"/>
          <w:szCs w:val="14"/>
          <w:b w:val="1"/>
          <w:bCs w:val="1"/>
          <w:color w:val="auto"/>
        </w:rPr>
        <w:t>.</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We use third-party open-source software in connection with the development and deployment of our software applications and will likely use third-party open-source software in the future. Some open-source licenses require that source code that is developed using open-source software be made available to the public at no cost and that any modifications or derivative works to certain open-source software continue to be licensed under open-source licenses, which in some circumstances could include valuable proprietary code. In some circumstances this could require valuable proprietary code to be made available as open-source software, and may also prohibit charging fees to licensees. While we employ practices designed to monitor our compliance with the licenses of open-source software and try to ensure that we do not use any of the open-source software in a manner that would require us to disclose our proprietary source code or preclude us from charging fees, we cannot guarantee that we will be successful. We cannot guarantee that all open-source software is reviewed prior to use in our platform, or that our developers have not incorporated (and will not in the future incorporate) open-source software into our products and offerings without our knowledge. Furthermore, there are an increasing number of open-source software license types, almost none of which have been tested in a court of law, resulting in a dearth of guidance regarding the proper legal interpretation of such licenses. As a result, there is a risk that open-source software licenses could be construed in a manner that imposes unanticipated conditions or restrictions on our ability to market or provide our products and offerings. If we were to receive a claim of non-compliance with the terms of any of our open-source licenses, we may be required purchase a costly license, to publicly release certain portions of our proprietary source code, to limit or cease our use of some or all of our software, or expend substantial time and resources to re-engineer some or all of our software. We could also be precluded from charging fees for third-party use of our proprietary code.</w:t>
      </w:r>
    </w:p>
    <w:p>
      <w:pPr>
        <w:spacing w:after="0" w:line="144"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In addition, the use of third-party open-source software typically carries greater technical and legal risks than the use of third-party commercial software because open-source licensors generally do not provide support, warranties or controls on the functionality or origin of the software. To the extent that our platform depends upon the successful operation of open-source software, any undetected errors or defects could prevent the deployment or impair the functionality of our systems and injure our reputation. Use of open-source software may also present additional security risks because the public availability of such software may make it easier for hackers and other third parties to compromise our platform. Any of the foregoing could be harmful to our business, financial condition, or results of operations and could help our competitors develop offerings that are similar to or better than ours.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60"/>
        <w:spacing w:after="0" w:line="268" w:lineRule="auto"/>
        <w:rPr>
          <w:sz w:val="20"/>
          <w:szCs w:val="20"/>
          <w:color w:val="auto"/>
        </w:rPr>
      </w:pPr>
      <w:r>
        <w:rPr>
          <w:rFonts w:ascii="Arial" w:cs="Arial" w:eastAsia="Arial" w:hAnsi="Arial"/>
          <w:sz w:val="14"/>
          <w:szCs w:val="14"/>
          <w:b w:val="1"/>
          <w:bCs w:val="1"/>
          <w:i w:val="1"/>
          <w:iCs w:val="1"/>
          <w:color w:val="auto"/>
        </w:rPr>
        <w:t>We are subject to rapidly changing and increasingly stringent laws, industry standards and consumer expectations relating to data privacy, data security, data protection, and consumer protection</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The restrictions, obligations and costs imposed by these laws, or our actual or perceived failure to comply with them, could materially impair our ability to grow our business and negatively impact the results of our operations and subject us to liabilities that adversely affect our business, operations, and financial performance.</w:t>
      </w:r>
    </w:p>
    <w:p>
      <w:pPr>
        <w:spacing w:after="0" w:line="43"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We collect, process, store, and use a wide variety of data from current and prospective customers, including personal information, such as home addresses, payment card numbers (through our payment processor) and approximate location information. These activities are regulated by a variety of federal, state, local, and foreign data privacy, data security, data protection and consumer protection laws and regulations, as well as industry standards and guidelines, which have become increasingly stringent in recent years. We have in the past and may continue to be subject to allegations that we have violated one or more of these laws.</w:t>
      </w:r>
    </w:p>
    <w:p>
      <w:pPr>
        <w:spacing w:after="0" w:line="138"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U.S. data privacy and data security laws are complex and changing rapidly, with the frequent imposition of new and changing requirements across our business. Many U.S. states have enacted laws regulating the online collection, use, and disclosure of personal information and are requiring that companies implement reasonable data security measures. Laws in all U.S. states and territories also require businesses to notify affected individuals, governmental entities, and/or credit reporting agencies of certain security incidents affecting personal information.</w:t>
      </w:r>
    </w:p>
    <w:p>
      <w:pPr>
        <w:spacing w:after="0" w:line="138"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Further, the CCPA took effect on January 1, 2020. The CCPA gives California residents expanded rights related to their personal information, including a private right of action and statutory damages for certain violations, and imposes significant compliance obligations on in-scope businesses, including restrictions on “sales” and certain disclosures of personal information that may restrict our use of cookies and similar technologies for advertising purposes, and could cause us to incur additional CCPA compliance costs or create adverse effects as a result of its restrictions. Similar laws have been proposed in other states and at the federal level, reflecting a trend toward more stringent privacy legislation in the United States. For example, since the CCPA went into effect, comprehensive privacy statutes that share similarities with the CCPA are now in effect and enforceable in multiple additional states, and will soon be enforceable in several other states as well. The enactment of such laws could have potentially conflicting requirements that would make compliance challenging, resulting in further uncertainty and requiring us to incur additional costs and expenses in an effort to comply and we could be subject to fines and penalties in the event of actual or perceived non-compliance. We expect to continue to invest in compliance initiatives and potentially implement business process changes to support our compliance efforts.</w:t>
      </w:r>
    </w:p>
    <w:p>
      <w:pPr>
        <w:spacing w:after="0" w:line="313"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In addition, the Telephone Consumer Protection Act (the “TCPA”), imposes significant restrictions on the ability to make telephone calls or send text messages to mobile telephone numbers, including requirements to obtain prior consent of the person being contacted in certain circumstances. We use text messages frequently as well as place outbound telephone calls to communicate with current and former customers. Efforts to comply with the TCPA do not prevent third-party claims (including class action lawsuits) that we have violated the TCPA from being brought, and such claims could be costly to litigate, and if successful, expose us to substantial statutory damages. Likewise, the Controlling the Assault of Non-Solicited Pornography and Marketing Act (the “CAN-SPAM”), imposes specific restrictions and requirements on our efforts to send marketing materials via email, including notice obligations and content requirements that must be addressed in our marketing emails and the ability for recipients to unsubscribe from such emails. The Federal Trade Commission and State Attorneys General also enforce a broad range of “unfair” or “deceptive” trade practice rules and regulations that expose us to potentially substantial costs, penalties, and injunctive relief in connection with all aspects of our sales, advertising, and marketing activities, as well as our subscription-based business.</w:t>
      </w:r>
    </w:p>
    <w:p>
      <w:pPr>
        <w:spacing w:after="0" w:line="143"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We are also subject to the European Union General Data Protection Regulation (the “GDPR”), due to certain of our employees being based in Ireland. The GDPR, which is wide-ranging in scope and applies extraterritorially, imposes substantial requirements and restrictions relating to the processing of personal data, including the personal data of our employees based in Ireland. In addition, GDPR compliance requirements continue to rapidly evolve, which poses compliance challenges for many companies, including us. The GDPR also imposes strict rules on the transfer of personal data out of the EU, including to the U.S., which have significantly evolved in recent years, including as a result of various challenges and court rulings. We expect such rules to continue evolving and face additional challenges in the future, adding to the legal complexity and uncertainty.</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In addition, privacy advocates and industry groups have regularly proposed, and may propose in the future, self-regulatory standards by which we are legally or contractually bound. If we fail to comply with these contractual obligations or standards, we may face substantial liability or fines. Consumer resistance to the collection and sharing of the data used to deliver targeted advertising, increased visibility of consent or “do not track” mechanisms and “opt-out preference signals” as a result of industry regulatory or legal developments, the adoption by consumers of browser settings or “ad-blocking” software, and the development and deployment of new technologies (including technologies using artificial intelligence) could materially impact our ability to collect data or reduce our ability to deliver relevant promotions or media, which could materially impair the results of our operations. In addition, the U.S. Federal Trade Commission and U.S. State Attorneys General, and international regulators, are increasingly active in investigating and bringing enforcement actions against companies on claims related to notice, transparency, choice and processing of Personal Information in the context of sales and marketing and advertising activities.</w:t>
      </w:r>
    </w:p>
    <w:p>
      <w:pPr>
        <w:spacing w:after="0" w:line="142" w:lineRule="exact"/>
        <w:rPr>
          <w:sz w:val="20"/>
          <w:szCs w:val="20"/>
          <w:color w:val="auto"/>
        </w:rPr>
      </w:pPr>
    </w:p>
    <w:p>
      <w:pPr>
        <w:jc w:val="both"/>
        <w:ind w:right="240"/>
        <w:spacing w:after="0" w:line="265" w:lineRule="auto"/>
        <w:rPr>
          <w:sz w:val="20"/>
          <w:szCs w:val="20"/>
          <w:color w:val="auto"/>
        </w:rPr>
      </w:pPr>
      <w:r>
        <w:rPr>
          <w:rFonts w:ascii="Arial" w:cs="Arial" w:eastAsia="Arial" w:hAnsi="Arial"/>
          <w:sz w:val="14"/>
          <w:szCs w:val="14"/>
          <w:color w:val="auto"/>
        </w:rPr>
        <w:t>Further, we are subject to the PCI Data Security Standard, which is a multifaceted security standard that is designed to protect payment card data as mandated by payment card industry entities. We rely on vendors to handle PCI matters for us and to ensure PCI compliance. Despite our compliance efforts, we may become subject to claims that we have violated the PCI Data Security Standard, based on past, present, and future business practices, which could subject us to fines, restrictions and expulsion from card acceptance programs, have an adverse impact on our business and reputation, and be costly for us to defend.</w:t>
      </w:r>
    </w:p>
    <w:p>
      <w:pPr>
        <w:spacing w:after="0" w:line="138"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may not be successful in achieving compliance with the rapidly evolving privacy, data security, and data protection requirements discussed above, as well as other data privacy, security and consumer protection frameworks that currently, or may in the future, apply to us, despite our efforts to comply. All of these frameworks are constantly evolving and are not always consistent with each other, leading to uncertainty in interpretation. Additionally, despite our best compliance efforts, our service providers may not uphold their legal, regulatory or contractual obligations to comply with these data privacy, data security, data protection, or artificial intelligence requirements, thereby exposing us to risks in these areas. Any actual or perceived non-compliance could result in litigation (including class action lawsuits) and proceedings against us by governmental entities, customers or others, fines and civil or criminal penalties, limited ability or inability to operate our business, offer services, or market our business in certain jurisdictions, negative publicity and harm to our brand and reputation, and reduced overall demand for our products and offerings. Such occurrences could adversely affect our business, financial condition, and results of operations. Our insurance policies and third-party indemnification agreements may not be adequate to compensate us for the potential losses arising from any such disruptions in or failure or security intrusion of our systems or third-party systems where information important to our business operations is stored. In addition, such insurance may not be available to us in the future on economically reasonable terms, or at all. Further, our insurance policies may not cover any or all claims made against us and could have high deductibles, and defending a suit, regardless of its merit, could be costly and divert management attention.</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incur significant liabilities related to, and significant costs in complying with, environmental, health and safety laws and regulations</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operations are subject to a variety of federal, state, local and foreign laws and regulations relating to permitting requirements, health, safety and the protection of the environment. These environmental, health and safety laws and regulations include those relating to, among other things, the generation, storage, handling, use and transportation of hazardous and non-hazardous materials; the emission and discharge of hazardous and non-hazardous materials into the environment; the health and safety of our employees; and the maintenance of our facilities and operations. Our compliance efforts are expected to require ongoing investments and may be costly to maintain.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These laws and regulations are complex and evolving. Despite our efforts, we may be subject to claims that we have violated such laws and regulations based on past, present, and future practices, which could have an adverse impact on our business and reputation, and be costly for us to defend. For example, from time to time, we have reviewed and resolved immaterial permitting issues and compliance notices related to our warehouse operations; however, we cannot guarantee that future matters will continue to be immaterial. Failure to comply with such laws and regulations, which tend to become more stringent over time or failure to obtain or maintain permits necessary for our warehouse operations could, can result in significant fines, penalties, costs, liabilities or restrictions on operations, injunctive relief, civil or criminal sanctions, and could expose us to costs of investigation or remediation, as well as tort claims for property damage or personal injury, and could negatively affect our business, financial condition or results of operations. Liability for the</w:t>
      </w:r>
    </w:p>
    <w:p>
      <w:pPr>
        <w:spacing w:after="0" w:line="3" w:lineRule="exact"/>
        <w:rPr>
          <w:sz w:val="20"/>
          <w:szCs w:val="20"/>
          <w:color w:val="auto"/>
        </w:rPr>
      </w:pPr>
    </w:p>
    <w:p>
      <w:pPr>
        <w:ind w:right="160"/>
        <w:spacing w:after="0" w:line="229" w:lineRule="auto"/>
        <w:rPr>
          <w:sz w:val="20"/>
          <w:szCs w:val="20"/>
          <w:color w:val="auto"/>
        </w:rPr>
      </w:pPr>
      <w:r>
        <w:rPr>
          <w:rFonts w:ascii="Arial" w:cs="Arial" w:eastAsia="Arial" w:hAnsi="Arial"/>
          <w:sz w:val="14"/>
          <w:szCs w:val="14"/>
          <w:color w:val="auto"/>
        </w:rPr>
        <w:t>improper release or disposal of waste can be joint and several and significant and there can be no assurance that we will not have to expend material amounts to remediate the consequences of the generation or disposal of waste in the future, particularly with respect to our dry cleaning operations. Further, we may be responsible as a lessee operator for</w:t>
      </w:r>
    </w:p>
    <w:p>
      <w:pPr>
        <w:ind w:right="120"/>
        <w:spacing w:after="0" w:line="245" w:lineRule="auto"/>
        <w:rPr>
          <w:sz w:val="20"/>
          <w:szCs w:val="20"/>
          <w:color w:val="auto"/>
        </w:rPr>
      </w:pPr>
      <w:r>
        <w:rPr>
          <w:rFonts w:ascii="Arial" w:cs="Arial" w:eastAsia="Arial" w:hAnsi="Arial"/>
          <w:sz w:val="14"/>
          <w:szCs w:val="14"/>
          <w:color w:val="auto"/>
        </w:rPr>
        <w:t>the costs of investigation, removal or remediation of hazardous or non-hazardous substances or waste located on or in or emanating from our leased properties, as well as any property damage. There can be no assurance that our future operations, properties, uses or conditions will not result in the imposition of liability upon us under environmental laws or other regulations, or expose us to third-party actions such as tort suits.</w:t>
      </w:r>
    </w:p>
    <w:p>
      <w:pPr>
        <w:spacing w:after="0" w:line="151"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Furthermore, we rely on third-party suppliers to provide chemicals, cleaning supplies, and handling instructions that comply with applicable health, safety and environmental regulations, and to support other compliance initiatives from time to time. A failure of such suppliers to provide adequate advice, abide by applicable regulations, or the terms of our contractual relationships may subject us to material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to offset taxable income or taxes may be limited</w:t>
      </w:r>
      <w:r>
        <w:rPr>
          <w:rFonts w:ascii="Arial" w:cs="Arial" w:eastAsia="Arial" w:hAnsi="Arial"/>
          <w:sz w:val="14"/>
          <w:szCs w:val="14"/>
          <w:color w:val="auto"/>
        </w:rPr>
        <w:t>.</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As of January 31, 2025, we had federal net operating loss carryforwards of $654.4 million, $152.1 million of which will expire at various times through 2038. Furthermore, we had state net operating loss carryforwards of $633.2 million, which will expire at various times through 2045. Portions of these net operating loss carryforwards could expire unused and be unavailable to offset future income tax liabilities. While our U.S. federal net operating losses incurred in taxable years beginning after December 31, 2017, may be carried forward indefinitely, the deductibility of such federal net operating losses is limited. In addition, for state income tax purposes, there may be periods during which the use of net operating loss carryforwards is suspended or otherwise limited, which could accelerate or permanently increase state taxes owed.</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addition, under Sections 382 and 383 of the Internal Revenue Code of 1986, as amended, and corresponding provisions of state law, if a corporation undergoes an “ownership change,” (very generally defined as a greater than 50% change, by value, in the corporation’s equity ownership by certain shareholders or groups of shareholders over a rolling three-year period), the corporation’s ability to use its pre-change net operating loss carryforwards and other pre-change tax attributes to offset its post-change income or taxes may be limited. In 2021, we completed a Section 382 analysis covering the period beginning in March 2009 and ending in March 2021. From the study, we concluded we experienced an ownership change in 2010 (but not since then) and $1.3 million of net operating losses (“NOLs”) were subject to the limitation. However, all of those NOLs were available by the year ended January 31, 2017. In 2024, we completed an update to the prior Section 382 analysis covering the period beginning April 2021 through January 2025. From the study, we concluded we did not experience an ownership change during the analysis period. Although we believe the Section 382 analyses are accurate, any errors in the analyses could impact our conclusions and ability to utilize our NOLs effectively. We may have experienced since January 2025 and may experience in the future additional ownership changes as a result of shifts in our stock ownership, some of which may be outside of our control. Any ownership change may result in the imposition of additional limitations on our ability to utilize our NOLs existing at the time of the ownership change. Future regulatory changes could also limit our ability to utilize our NOLs. To the extent we are not able to offset future taxable income with our NOLs, our cash flows may be adversely affected. We have recorded a full valuation allowance against our U.S. deferred tax assets, which includes net operating loss carryforwards.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r>
        <w:rPr>
          <w:rFonts w:ascii="Arial" w:cs="Arial" w:eastAsia="Arial" w:hAnsi="Arial"/>
          <w:sz w:val="14"/>
          <w:szCs w:val="14"/>
          <w:color w:val="auto"/>
        </w:rPr>
        <w:t>.</w:t>
      </w:r>
    </w:p>
    <w:p>
      <w:pPr>
        <w:spacing w:after="0" w:line="9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are subject to income and other taxes in the United States on a federal and state basis, as well as subject to taxation in Ireland. Our effective tax rate or tax liability could be adversely affected due to several factors, including:</w:t>
      </w:r>
    </w:p>
    <w:p>
      <w:pPr>
        <w:spacing w:after="0" w:line="35" w:lineRule="exact"/>
        <w:rPr>
          <w:sz w:val="20"/>
          <w:szCs w:val="20"/>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changes in the United States or foreign tax laws, tax treaties, and regulations or their interpretation;</w:t>
      </w:r>
    </w:p>
    <w:p>
      <w:pPr>
        <w:spacing w:after="0" w:line="93"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outcome of current and future tax audits, examinations, or administrative appeals;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limitations or adverse findings regarding our ability to do business in some jurisdictions.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In the event any tax audit or other proceeding is determined adversely to us, the resulting liabilities (including any penalties and interest) may have an adverse effect on our cash flows. If we expand the scale of our international business activities, any changes in the United States or foreign taxation of such activities may increase our worldwide effective tax rate and harm our business, financial condition, and results of operations. New income or other tax laws or regulations could be enacted at any time, and existing tax laws and regulations could be interpreted, modified, or applied adversely to us. Any such new laws or regulations or the interpretation, modification or application of existing laws and regulations may materially and adversely impact our business, financial condition, results of operations and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Dependence on Third Parties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risks associated with brand and manufacturing partners from whom our products are sourced or co-manufactured.</w:t>
      </w:r>
    </w:p>
    <w:p>
      <w:pPr>
        <w:spacing w:after="0" w:line="92"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We obtain substantially all of our products directly from hundreds of brand partners through Wholesale, Share by RTR, and Exclusive Designs arrangements with designer and/or manufacturing partners. The benefits we currently experience from these relationships could be adversely affected if they:</w:t>
      </w:r>
    </w:p>
    <w:p>
      <w:pPr>
        <w:spacing w:after="0" w:line="35" w:lineRule="exact"/>
        <w:rPr>
          <w:sz w:val="20"/>
          <w:szCs w:val="20"/>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discontinue selling products to us or manufacturing our Exclusive Designs;</w:t>
      </w:r>
    </w:p>
    <w:p>
      <w:pPr>
        <w:spacing w:after="0" w:line="93" w:lineRule="exact"/>
        <w:rPr>
          <w:rFonts w:ascii="Arial" w:cs="Arial" w:eastAsia="Arial" w:hAnsi="Arial"/>
          <w:sz w:val="14"/>
          <w:szCs w:val="14"/>
          <w:color w:val="auto"/>
        </w:rPr>
      </w:pPr>
    </w:p>
    <w:p>
      <w:pPr>
        <w:ind w:left="580" w:right="120" w:hanging="193"/>
        <w:spacing w:after="0" w:line="290" w:lineRule="auto"/>
        <w:tabs>
          <w:tab w:leader="none" w:pos="576" w:val="left"/>
        </w:tabs>
        <w:numPr>
          <w:ilvl w:val="0"/>
          <w:numId w:val="46"/>
        </w:numPr>
        <w:rPr>
          <w:rFonts w:ascii="Arial" w:cs="Arial" w:eastAsia="Arial" w:hAnsi="Arial"/>
          <w:sz w:val="14"/>
          <w:szCs w:val="14"/>
          <w:color w:val="auto"/>
        </w:rPr>
      </w:pPr>
      <w:r>
        <w:rPr>
          <w:rFonts w:ascii="Arial" w:cs="Arial" w:eastAsia="Arial" w:hAnsi="Arial"/>
          <w:sz w:val="14"/>
          <w:szCs w:val="14"/>
          <w:color w:val="auto"/>
        </w:rPr>
        <w:t>enter into arrangements with competitors that could impair our ability to source their products, including by giving our competitors exclusivity arrangements or limiting our access to certain products;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raise the prices they charge us;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are not satisfied with the value proposition we offer them;</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do not view our brand or financial profile favorably;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change pricing terms to require us to pay a significant portion of the cost of items on delivery or upfront;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experience negative publicity or reputational issues;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do not follow our vendor code of conduct and/or violate legal and regulatory requirements;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experience supply chain disruptions that cause lead times to be lengthened or missed entirely; or</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fail to execute on the design we have provided for co-manufactured products.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3"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Events that adversely impact our brand and manufacturing partners could impair our ability to obtain adequate and timely products. We also source and manufacture products outside of the United States and we and many of our brand partners use manufacturers in the same geographic regions. As a result we may be subject to magnified impact from such events including, among others, difficulties or problems associated with our partners’ business, the financial instability and labor problems of partners, product quality and safety issues, natural or man-made disasters, inclement weather conditions, war, acts of terrorism and other political instability, economic conditions, imposition of additional import or trade restrictions, including legal or economic restrictions on overseas partners’ ability to produce and deliver products, increased custom duties and tariffs, unforeseen delays in customs clearance of goods, more restrictive quotas, loss of a most favored nation trading status, currency exchange rates, transportation delays, port of entry issues, the availability of their raw materials and increased production costs.</w:t>
      </w:r>
    </w:p>
    <w:p>
      <w:pPr>
        <w:spacing w:after="0" w:line="142"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Our brand partners and manufacturers may be forced to reduce their production or operations, shut down their operations or file for bankruptcy. Our ability to obtain products timely and cost effectively may also depend on our brand partners’ ability to obtain financing, including through factoring companies and other entities, which may also assess our creditworthiness and procurement ability. To the extent our brand partners are unable to secure sufficient credit, they may not be able to produce merchandise, which would impact our ability to purchase merchandise from them. The occurrence of one or more of these events could impact our ability to acquire products, which may result in a less appealing assortment of styles for our customers and reduced availability of the styles we are able to obtain. Similarly, the occurrence of a contagious disease or illness could cause delays or increase costs in the manufacture of certain products. For example, the COVID-19 pandemic caused delays in some shipments from our brand partners.</w:t>
      </w:r>
    </w:p>
    <w:p>
      <w:pPr>
        <w:spacing w:after="0" w:line="229"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b w:val="1"/>
          <w:bCs w:val="1"/>
          <w:i w:val="1"/>
          <w:iCs w:val="1"/>
          <w:color w:val="auto"/>
        </w:rPr>
        <w:t>We rely on third parties to provide the payment processing infrastructure underlying our business. If these third-party providers become unavailable or unavailable on favorable terms, our business could be adversely affected</w:t>
      </w:r>
      <w:r>
        <w:rPr>
          <w:rFonts w:ascii="Arial" w:cs="Arial" w:eastAsia="Arial" w:hAnsi="Arial"/>
          <w:sz w:val="14"/>
          <w:szCs w:val="14"/>
          <w:color w:val="auto"/>
        </w:rPr>
        <w:t>.</w:t>
      </w:r>
    </w:p>
    <w:p>
      <w:pPr>
        <w:spacing w:after="0" w:line="21"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rely on third parties to provide payment processing infrastructure, to accept card payments from customers, process and administer gift cards, and through our banking partners, to remit payments to suppliers. These third parties may refuse to renew our agreements with them on commercially reasonable terms or at all. Furthermore, we rely on a single payment processor, which may increase our risks of being unable to process payments and deliver our products in a timely and cost-effective manner. In the event of interruption, we may not be able to develop alternate or secondary processing without incurring material additional costs and substantial delays. If these providers become unwilling or unable to provide these services to us on acceptable terms or at all, our business may be disrupted. For certain payment methods, including credit and debit cards, we pay interchange fees and other processing and gateway fees, and such fees result in significant costs. Online payment providers have also required, and may in the future require, us to provide demonstrations of credit based on providers’ perceptions of our creditworthiness. In addition, online payment providers pay fees to banks to settle funds, and there is no assurance that such online payment providers will not pass any costs on to us, as and when such costs increase. If these fees or other obligations increase over time, our operating costs will increase, which could adversely affect our business, financial condition, and results of operations.</w:t>
      </w:r>
    </w:p>
    <w:p>
      <w:pPr>
        <w:spacing w:after="0" w:line="146"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Outages or other failures of our payment processor or third-party partners could harm our business and cause customers to lose trust in our payment operations and cause them to discontinue use of our products and services. If the quality or convenience of our payment operations or processing declines or does not keep pace with industry standards, the attractiveness of our business to customers could be adversely affected. For example, we plan to enhance our payment operations in the future; however, our efforts may be unsuccessful or delayed for various reasons and may fail to meet customer expectations. If we are forced to migrate to other third-party payment service providers for any reason, the transition would require significant time and management resources, and may not be available on acceptable terms or be as effective, efficient, or well-received by our customers.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640"/>
        <w:spacing w:after="0" w:line="299" w:lineRule="auto"/>
        <w:rPr>
          <w:sz w:val="20"/>
          <w:szCs w:val="20"/>
          <w:color w:val="auto"/>
        </w:rPr>
      </w:pPr>
      <w:r>
        <w:rPr>
          <w:rFonts w:ascii="Arial" w:cs="Arial" w:eastAsia="Arial" w:hAnsi="Arial"/>
          <w:sz w:val="14"/>
          <w:szCs w:val="14"/>
          <w:b w:val="1"/>
          <w:bCs w:val="1"/>
          <w:i w:val="1"/>
          <w:iCs w:val="1"/>
          <w:color w:val="auto"/>
        </w:rPr>
        <w:t>Our business relies on third-party cloud infrastructures, and any disruption of, or interference with, our use of cloud infrastructures could adversely affect our business, financial condition or results of operations</w:t>
      </w:r>
      <w:r>
        <w:rPr>
          <w:rFonts w:ascii="Arial" w:cs="Arial" w:eastAsia="Arial" w:hAnsi="Arial"/>
          <w:sz w:val="14"/>
          <w:szCs w:val="14"/>
          <w:color w:val="auto"/>
        </w:rPr>
        <w:t>.</w:t>
      </w:r>
    </w:p>
    <w:p>
      <w:pPr>
        <w:spacing w:after="0" w:line="106"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have migrated a substantial portion of our primary production environment, core architecture, and data centers to a third-party cloud provider, which provides a distributed computing infrastructure as a service platform for business operations. We use another third-party cloud provider for other portions of our business. Our third-party cloud providers provide the cloud computing infrastructure we use to host our website and mobile application, serve our customers and support our operations and many of the internal tools we use to operate our business. Our website, mobile application, internal tools and operations use computing, storage, data transfer and other functions and services provided by our third-party cloud providers. We do not have control over the operations of the facilities of our third-party cloud providers. In addition, our third-party cloud providers’ facilities may be vulnerable to damage or interruption from earthquakes, hurricanes, floods, fires, cybersecurity attacks, terrorist attacks, power losses, telecommunications failures and other events beyond our control. In the event that any third-party provider’s systems or service abilities are hindered by any of the events discussed above, particularly in a region where our website is mainly hosted, our ability to operate our business may be impaired. A decision to close their facilities without adequate notice or other unanticipated problems or disruptions could result in lengthy interruptions to our business. Further, our agreements with our third-party cloud providers do not provide us with an adequate remedy for every scenario that could negatively affect our business and limit our third-party cloud providers’ liability. All of the aforementioned risks may be exacerbated if our business continuity and disaster recovery plans prove to be inadequate.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Additionally, data stored with our third-party cloud providers may be subject to cybersecurity risks that threaten the confidentiality, availability, and integrity of such data, including threats or attacks from computer malware, ransomware, viruses, social engineering (including phishing attacks), denial of service or other attacks, employee theft or misuse and general hacking. Any of these security incidents could result in unauthorized access to, damage to, disablement or encryption of, use or misuse of, disclosure of, modification of, destruction of, or loss of our data or our customers’ data or disrupt our ability to provide our products and offerings, including due to any failure by us or our service providers to properly configure our cloud environment. Our business’ continuing and uninterrupted performance is critical to our success. Customers may become dissatisfied by any system failure that interrupts our ability to provide our merchandise and offerings to them. We may not be able to easily switch our third-party cloud operations to another cloud or other data</w:t>
      </w:r>
    </w:p>
    <w:p>
      <w:pPr>
        <w:spacing w:after="0" w:line="3" w:lineRule="exact"/>
        <w:rPr>
          <w:sz w:val="20"/>
          <w:szCs w:val="20"/>
          <w:color w:val="auto"/>
        </w:rPr>
      </w:pPr>
    </w:p>
    <w:p>
      <w:pPr>
        <w:ind w:right="220"/>
        <w:spacing w:after="0" w:line="229" w:lineRule="auto"/>
        <w:rPr>
          <w:sz w:val="20"/>
          <w:szCs w:val="20"/>
          <w:color w:val="auto"/>
        </w:rPr>
      </w:pPr>
      <w:r>
        <w:rPr>
          <w:rFonts w:ascii="Arial" w:cs="Arial" w:eastAsia="Arial" w:hAnsi="Arial"/>
          <w:sz w:val="14"/>
          <w:szCs w:val="14"/>
          <w:color w:val="auto"/>
        </w:rPr>
        <w:t>center provider if there are disruptions or interference with cloud services and, even if we do switch our operations, other cloud and data center providers are subject to the same risks. Sustained or repeated system failures would reduce the attractiveness of our products and offerings, thereby reducing revenue. Moreover, negative publicity arising from</w:t>
      </w:r>
    </w:p>
    <w:p>
      <w:pPr>
        <w:spacing w:after="0"/>
        <w:rPr>
          <w:sz w:val="20"/>
          <w:szCs w:val="20"/>
          <w:color w:val="auto"/>
        </w:rPr>
      </w:pPr>
      <w:r>
        <w:rPr>
          <w:rFonts w:ascii="Arial" w:cs="Arial" w:eastAsia="Arial" w:hAnsi="Arial"/>
          <w:sz w:val="14"/>
          <w:szCs w:val="14"/>
          <w:color w:val="auto"/>
        </w:rPr>
        <w:t>these types of disruptions could damage our brand and reputation and may adversely impact our business.</w:t>
      </w:r>
    </w:p>
    <w:p>
      <w:pPr>
        <w:spacing w:after="0" w:line="165"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Our third-party cloud providers do not have an obligation to renew their agreements with us on terms acceptable to us or at all. Although alternative data center providers may be able to host our business on a substantially similar basis to our current third-party cloud providers, transitioning our cloud infrastructure to alternative providers could potentially be disruptive, and we could incur significant one-time costs. If we are unable to renew our agreement for our cloud services on commercially acceptable terms, our agreements with our third-party cloud providers are prematurely terminated, or we add additional infrastructure providers, we may experience costs or downtime in connection with the transfer to, or the addition of, new data center providers. If our third-party cloud providers or other infrastructure providers increase the costs of their services, our business, financial condition or results of operations could be materially and adversely affected.</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4"/>
          <w:szCs w:val="14"/>
          <w:b w:val="1"/>
          <w:bCs w:val="1"/>
          <w:i w:val="1"/>
          <w:iCs w:val="1"/>
          <w:color w:val="auto"/>
        </w:rPr>
        <w:t>We depend on search engines, social media platforms, mobile application stores, content-based and cross-context behavioral online advertising and other online sources to attract consumers to and promote our website and our mobile application, which may be affected by third-party actions or interference beyond our control and, as we grow, our marketing and/or customer acquisition costs may continue to rise</w:t>
      </w:r>
      <w:r>
        <w:rPr>
          <w:rFonts w:ascii="Arial" w:cs="Arial" w:eastAsia="Arial" w:hAnsi="Arial"/>
          <w:sz w:val="14"/>
          <w:szCs w:val="14"/>
          <w:color w:val="auto"/>
        </w:rPr>
        <w:t>.</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Our success depends on our ability to attract consumers to our website and mobile application and convert them into customers in a cost-effective manner. We depend, in large part, on search engines, social media platforms, mobile application stores, content-based online and cross-context behavioral advertising and other online sources for traffic to our website and mobile application.</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With respect to search engines, we are included in search results for both paid search listings, where we purchase specific search terms resulting in inclusion of our advertisements, and free search listings, which depend on algorithms used by search engines. For paid search listings, if one or more of the search engines or other online sources on which we rely for purchased listings modifies or terminates its relationship with us, our expenses could rise, we could lose consumers who access our advertisements and traffic to our website could decrease, any of which could have a material adverse effect on our business, financial condition, and results of operations. For free search listings, if search engines on which we rely for algorithmic listings modify their algorithms, our websites may appear less prominently or not at all in search results, which could result in reduced traffic to our websites.</w:t>
      </w:r>
    </w:p>
    <w:p>
      <w:pPr>
        <w:spacing w:after="0" w:line="150" w:lineRule="exact"/>
        <w:rPr>
          <w:sz w:val="20"/>
          <w:szCs w:val="20"/>
          <w:color w:val="auto"/>
        </w:rPr>
      </w:pPr>
    </w:p>
    <w:p>
      <w:pPr>
        <w:ind w:right="20"/>
        <w:spacing w:after="0"/>
        <w:rPr>
          <w:sz w:val="20"/>
          <w:szCs w:val="20"/>
          <w:color w:val="auto"/>
        </w:rPr>
      </w:pPr>
      <w:r>
        <w:rPr>
          <w:rFonts w:ascii="Arial" w:cs="Arial" w:eastAsia="Arial" w:hAnsi="Arial"/>
          <w:sz w:val="14"/>
          <w:szCs w:val="14"/>
          <w:color w:val="auto"/>
        </w:rPr>
        <w:t>Our ability to maintain and increase the number of consumers directed to our products from digital platforms is not entirely within our control. Search engines, social media platforms and other online sources often revise their algorithms products, and APIs, introduce new advertising products and respond to regulator and/or industry standards group expectations. If one or more of the search engines or other online sources on which we rely for traffic to our website and our mobile application were to modify its general methodology for how it displays our advertisements or keyword search results or change their APIs without sufficient notice, as they have in the past and may again in the future, fewer consumers may click through to our website and our mobile application or have difficulty accessing our sites, and our business and operating results are likely to suffer. Our efforts to attract consumers and convert them into customers also rely on the use of cookies and similar tracking technologies, and our ability to use and benefit from such</w:t>
      </w:r>
    </w:p>
    <w:p>
      <w:pPr>
        <w:spacing w:after="0" w:line="3"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technologies may be restricted or prohibited by changes in the law, market practice, or technology, or third parties who are not under our control. For example, Apple utilizes “opt-in” privacy models for mobile applications using its operating system such as ours, requiring such applications to give consumers the choice to allow or deny the use of tracking</w:t>
      </w:r>
    </w:p>
    <w:p>
      <w:pPr>
        <w:ind w:right="60"/>
        <w:spacing w:after="0" w:line="245" w:lineRule="auto"/>
        <w:rPr>
          <w:sz w:val="20"/>
          <w:szCs w:val="20"/>
          <w:color w:val="auto"/>
        </w:rPr>
      </w:pPr>
      <w:r>
        <w:rPr>
          <w:rFonts w:ascii="Arial" w:cs="Arial" w:eastAsia="Arial" w:hAnsi="Arial"/>
          <w:sz w:val="14"/>
          <w:szCs w:val="14"/>
          <w:color w:val="auto"/>
        </w:rPr>
        <w:t>technologies to engage in targeted advertising and similar activities, which may reduce the efficacy of our marketing tracking. In addition, if our online display advertisements are no longer effective or are not able to reach certain customers due to their use of ad-blocking software, our business and operating results could suffer. Furthermore, changes in customer acceptance or usage of our online sources for traffic could adversely impact the effectiveness of our advertising.</w:t>
      </w:r>
    </w:p>
    <w:p>
      <w:pPr>
        <w:spacing w:after="0" w:line="151"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Additionally, changes in regulations could limit the ability of search engines and social media platforms to collect data from users and engage in targeted advertising, making them less effective in disseminating our advertisements to our target customers. If the effectiveness of marketing through search engines and social media platforms diminishes, or if costs of through such channels increase, we may incur additional marketing expenses or be required to allocate a larger portion of our marketing spend to other channels and our business and operating results could be adversely affected.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Furthermore, we depend on the Apple App Store to distribute our mobile application, and because many of our customers access our products through our mobile application, any changes to the Apple App Store terms and conditions or how the Apple App Store functions in connection with our mobile application could adversely affect our business. Apple has broad discretion to change its respective terms and conditions, including those relating to the amount of (and requirement to pay) certain fees associated with our use of the Apple App Store, to interpret its respective terms and conditions in ways that may limit, eliminate or otherwise interfere with our ability to distribute our mobile application through its stores, the features we provide and the manner in which we market in-application products. We cannot provide assurance that Apple will not limit, eliminate or otherwise interfere with the distribution of our mobile application, the features we provide and the manner in which we market our mobile application. To the extent it does so, our business, financial condition, and results of operations could be adversely affected.</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existing social media platforms continue to rapidly evolve and new platforms develop, we must continue to maintain a presence on these platforms and establish presences on new or emerging social media platforms. If we are unable to cost-effectively use social media platforms as marketing tools or if the social media platforms we use change their policies or algorithms, we may not be able to fully optimize such platforms, and our ability to maintain and acquire consumers and our financial condition may suffer. Furthermore, as laws and regulations and public opinion rapidly evolve to govern the use of these platforms and devices, the failure by us, our employees, our network of social media influencers, our sponsors or third parties acting at our direction or on our behalf to abide by applicable laws and regulations in the use of these platforms and devices or otherwise could subject us to regulatory investigations, class action lawsuits, mass arbitrations, liability, fines or other penalties and have an adverse effect on our business, financial condition, results of operations and prospects.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Any failure by us, our brand partners, third-party manufacturers, or marketing partners to comply with our vendor code of conduct, product safety, labor, or other laws, or to provide safe factory conditions for their workers, may damage our reputation and brand, and harm our business</w:t>
      </w:r>
      <w:r>
        <w:rPr>
          <w:rFonts w:ascii="Arial" w:cs="Arial" w:eastAsia="Arial" w:hAnsi="Arial"/>
          <w:sz w:val="14"/>
          <w:szCs w:val="14"/>
          <w:color w:val="auto"/>
        </w:rPr>
        <w:t>.</w:t>
      </w:r>
    </w:p>
    <w:p>
      <w:pPr>
        <w:spacing w:after="0" w:line="21"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Our standard vendor terms and conditions, vendor code of conduct, and other policies require our brand and manufacturing partners to comply with applicable laws and certain business standards, however, we often have limited visibility into their supply chains, practices, and level of compliance The failure of these partners to comply with our vendor code of conduct or applicable laws and regulations could damage our reputation, lead to negative press and/or customer sentiment, or result in costly litigation against us.</w:t>
      </w:r>
    </w:p>
    <w:p>
      <w:pPr>
        <w:spacing w:after="0" w:line="134"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The products we rent or sell to our customers are subject to regulation by the Federal Consumer Product Safety Commission, the Federal Trade Commission, and similar state and international regulatory authorities. As a result, such products could in the future be subject to mandatory recalls and other remedial actions. Product safety, labeling, and licensing concerns may also result in us voluntarily removing selected products from our assortment. Such recalls or voluntary removal of products can result in, among other things, lost revenue, diverted resources, potential harm to our reputation, and increased customer service costs and legal expenses, which could have a material adverse effect on our operating results.</w:t>
      </w:r>
    </w:p>
    <w:p>
      <w:pPr>
        <w:spacing w:after="0" w:line="140"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It is possible that some of the products we rent or sell or provide to our customers and potential customers on behalf of third-party marketing partners may expose us to product liability claims and litigation or regulatory action relating to personal injury. Although we maintain liability insurance, we cannot be certain that our coverage will be adequate for liabilities actually incurred or that insurance will continue to be available to us on economically reasonable terms or at all. In addition, our partners may not have sufficient resources or insurance to satisfy their indemnity and defense obligations to us in connection with product liability claims or regulatory actions. Further, product liability claims could damage our reputation, lead to negative press and/or customer sentiment, or result in costly demands or litigation against us.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incur significant losses from fraud</w:t>
      </w:r>
      <w:r>
        <w:rPr>
          <w:rFonts w:ascii="Arial" w:cs="Arial" w:eastAsia="Arial" w:hAnsi="Arial"/>
          <w:sz w:val="14"/>
          <w:szCs w:val="14"/>
          <w:color w:val="auto"/>
        </w:rPr>
        <w:t>.</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in the past incurred and may in the future incur losses from various types of fraud, including claims that a customer did not authorize a purchase, customers who have closed bank accounts or have insufficient funds to satisfy payments, customers who use stolen credit cards to make purchases, customers who fraudulently rented multiple products at once and customers who have failed to return rentals. In addition to the direct costs of such losses, if the fraud is related to credit card transactions and becomes excessive, it could result in us paying higher fees or losing the right to accept credit cards for payment. In addition, under current credit card practices, we are typically liable for fraudulent credit card transactions. We have implemented fraud prevention measures, such as detection tools to identify irregular or high risk customer order patterns, to reduce the risk of fraud. However, these measures may be insufficient to prevent or detect fraud and our failure to adequately prevent fraudulent transactions could damage our reputation, result in litigation or regulatory action, and lead to costs, fees, and expenses that could substantially impact our operating results.</w:t>
      </w:r>
    </w:p>
    <w:p>
      <w:pPr>
        <w:spacing w:after="0" w:line="229" w:lineRule="exact"/>
        <w:rPr>
          <w:sz w:val="20"/>
          <w:szCs w:val="20"/>
          <w:color w:val="auto"/>
        </w:rPr>
      </w:pPr>
    </w:p>
    <w:p>
      <w:pPr>
        <w:ind w:right="200"/>
        <w:spacing w:after="0" w:line="299" w:lineRule="auto"/>
        <w:rPr>
          <w:sz w:val="20"/>
          <w:szCs w:val="20"/>
          <w:color w:val="auto"/>
        </w:rPr>
      </w:pPr>
      <w:r>
        <w:rPr>
          <w:rFonts w:ascii="Arial" w:cs="Arial" w:eastAsia="Arial" w:hAnsi="Arial"/>
          <w:sz w:val="14"/>
          <w:szCs w:val="14"/>
          <w:b w:val="1"/>
          <w:bCs w:val="1"/>
          <w:i w:val="1"/>
          <w:iCs w:val="1"/>
          <w:color w:val="auto"/>
        </w:rPr>
        <w:t>If our insurance coverage is insufficient for the needs of our business or our insurance providers are unable to meet their obligations, we may not be able to mitigate the risks facing our business</w:t>
      </w:r>
      <w:r>
        <w:rPr>
          <w:rFonts w:ascii="Arial" w:cs="Arial" w:eastAsia="Arial" w:hAnsi="Arial"/>
          <w:sz w:val="14"/>
          <w:szCs w:val="14"/>
          <w:color w:val="auto"/>
        </w:rPr>
        <w:t>.</w:t>
      </w:r>
    </w:p>
    <w:p>
      <w:pPr>
        <w:spacing w:after="0" w:line="2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We procure third-party insurance policies to cover various operations-related risks including employment practices liability, workers’ compensation, property and business interruptions, cybersecurity and data security incidents, crime, directors’ and officers’ liability, and general business liabilities. In addition, we are required to maintain certain levels of insurance coverage in certain commercial agreements, such as our real estate leases, and in our 2025 Amended Facility. We cannot guarantee that we will continue to maintain adequate insurance coverage on favorable terms that meets our coverage needs and/or contractual obligations. Insurance providers may discontinue their coverage or significantly increase the cost of coverage, and we cannot guarantee that we would be able to secure replacement coverage on reasonable terms or at all. In addition,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(including due to contractual requirements), we could be liable for significant additional costs. Additionally, if any of our insurance providers becomes insolvent, it would be unable to pay any operations-related claims that we make.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Insurance providers have also raised premiums and deductibles for many businesses, including ours, and may do so in the future. As a result, our insurance and claims expense could increase, or we may decide to raise our deductibles or self-insured retentions when our policies are renewed or replaced. Our business, financial condition, and results of operations could be adversely affected if the cost per claim, premiums, the severity of claims, or the number of claims significantly exceeds our historical experience and coverage limits; we experience a claim in excess of our coverage limits; our insurance providers fail to pay on our insurance claims; we experience a claim for which coverage is not provided; or the number of claims under our deductibles or self-insured retentions differs from historical averages.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Ownership of Our Class A Common Stock</w:t>
      </w:r>
    </w:p>
    <w:p>
      <w:pPr>
        <w:spacing w:after="0" w:line="17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The dual class structure of our common stock and the stockholders’ agreement among us and certain stockholders have the effect of concentrating voting control with those stockholders who held our capital stock prior to the listing of our Class A common stock on Nasdaq, including our Co-Founders, and their affiliates, which will limit an investor’s ability to influence corporate matters, including a change of control</w:t>
      </w:r>
      <w:r>
        <w:rPr>
          <w:rFonts w:ascii="Arial" w:cs="Arial" w:eastAsia="Arial" w:hAnsi="Arial"/>
          <w:sz w:val="14"/>
          <w:szCs w:val="14"/>
          <w:color w:val="auto"/>
        </w:rPr>
        <w:t>.</w:t>
      </w:r>
    </w:p>
    <w:p>
      <w:pPr>
        <w:spacing w:after="0" w:line="37"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Our Class B common stock has 20 votes per share, and our Class A common stock has one vote per share. Because of the twenty-to-one voting ratio between our Class B and Class A common stock, the holders of our Class B common stock collectively continue to control a significant percentage of the combined voting power of our common stock and therefore are able to control all matters submitted to our stockholders for approval until the date of automatic conversion described below, when all outstanding shares of Class B common stock and Class A common stock will convert automatically into shares of a single class of common stock. In addition, we and certain stockholders, including our Co-Founder, Chair, CEO and President , Jennifer Y. Hyman, entered into a stockholders’ agreement in connection with our IPO with respect to the election of directors.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holders of our Class B common stock have concentrated control may limit or preclude an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w:t>
      </w:r>
    </w:p>
    <w:p>
      <w:pPr>
        <w:spacing w:after="0" w:line="60"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transfer of such share to a person that is not in the same Permitted Ownership Group (as defined in our Amended and Restated Certificate of Incorporation (“Amended Charter”)) as such Permitted Class B Holder (as defined in the Amended Charter), (ii) November 1, 2028, or (iii) with respect to any shares held by any person in our Co-Founder’s Permitted Ownership Group, (A) such time as a Co-Founder is removed or resigns from the Board of Directors, or otherwise ceases to serve as a director on the Board of Directors, (B) such time as a Co-Founder ceases to be either an employee, officer or consultant, or (C) the date that is 12 months after the death or disability of a Co-Founder.</w:t>
      </w:r>
    </w:p>
    <w:p>
      <w:pPr>
        <w:spacing w:after="0" w:line="250" w:lineRule="exact"/>
        <w:rPr>
          <w:sz w:val="20"/>
          <w:szCs w:val="20"/>
          <w:color w:val="auto"/>
        </w:rPr>
      </w:pPr>
    </w:p>
    <w:p>
      <w:pPr>
        <w:ind w:right="140"/>
        <w:spacing w:after="0" w:line="299" w:lineRule="auto"/>
        <w:rPr>
          <w:sz w:val="20"/>
          <w:szCs w:val="20"/>
          <w:color w:val="auto"/>
        </w:rPr>
      </w:pPr>
      <w:r>
        <w:rPr>
          <w:rFonts w:ascii="Arial" w:cs="Arial" w:eastAsia="Arial" w:hAnsi="Arial"/>
          <w:sz w:val="14"/>
          <w:szCs w:val="14"/>
          <w:b w:val="1"/>
          <w:bCs w:val="1"/>
          <w:i w:val="1"/>
          <w:iCs w:val="1"/>
          <w:color w:val="auto"/>
        </w:rPr>
        <w:t>We are required to meet the Nasdaq Global Market’s continued listing requirements and other Nasdaq rules, or we may risk delisting. Delisting could negatively affect the price of our Class A common stock, which could make it more difficult for us to sell securities in a future financing or for you to sell our Class A common stock.</w:t>
      </w:r>
    </w:p>
    <w:p>
      <w:pPr>
        <w:spacing w:after="0" w:line="21"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We are required to meet the continued listing requirements of the Nasdaq Global Market and other Nasdaq rules, including those regarding director independence and independent committee requirements, minimum share price and certain other corporate governance requirements.</w:t>
      </w:r>
    </w:p>
    <w:p>
      <w:pPr>
        <w:spacing w:after="0" w:line="35"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On October 20, 2023, we received a letter from Nasdaq indicating that, for the prior thirty consecutive business days, the bid price for our Class A common stock had closed below the minimum $1.00 per share requirement for continued listing (the “Bid Price Rule”). In order to regain compliance with the Bid Price Rule, we implemented a 1-for-20 reverse stock split that became effective on April 2, 2024 and our Class A common stock began trading on a post-split basis on April 3, 2024 (the “Reverse Stock Split”). On April 17, 2024, Nasdaq confirmed that we had regained compliance with the Bid Price Rule.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on March 27, 2024, we received a letter from Nasdaq indicating that we were no longer in compliance with the minimum market value of listed securities of $ 35,000,000 required for continued listing on The Nasdaq Capital Market (the “Minimum Market Value Rule”). On April 25, 2024, Nasdaq confirmed our transfer to the Nasdaq Global Market and removed the deficiency under the Minimum Market Value Rule.</w:t>
      </w:r>
    </w:p>
    <w:p>
      <w:pPr>
        <w:spacing w:after="0" w:line="155" w:lineRule="exact"/>
        <w:rPr>
          <w:sz w:val="20"/>
          <w:szCs w:val="20"/>
          <w:color w:val="auto"/>
        </w:rPr>
      </w:pPr>
    </w:p>
    <w:p>
      <w:pPr>
        <w:jc w:val="both"/>
        <w:ind w:right="40"/>
        <w:spacing w:after="0" w:line="249" w:lineRule="auto"/>
        <w:rPr>
          <w:sz w:val="20"/>
          <w:szCs w:val="20"/>
          <w:color w:val="auto"/>
        </w:rPr>
      </w:pPr>
      <w:r>
        <w:rPr>
          <w:rFonts w:ascii="Arial" w:cs="Arial" w:eastAsia="Arial" w:hAnsi="Arial"/>
          <w:sz w:val="14"/>
          <w:szCs w:val="14"/>
          <w:color w:val="auto"/>
        </w:rPr>
        <w:t>While we are currently in compliance with the continued listing requirements of The Nasdaq Global Market, there can be no guarantee that we will be able to maintain compliance with these requirements in the future. If we do not meet these continued listing requirements, our Class A common stock could be delisted. Delisting of our Class A common stock from the Nasdaq Global Market could cause us to pursue eligibility for trading on other markets or exchanges, or on the pink sheets. In such case, our stockholders’ ability to trade, or obtain quotations of the market value of, our ordinary shares would be severely limited because of lower trading volumes and transaction delays.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be volatile, and our investors may be unable to sell shares at or above the price they paid for them</w:t>
      </w:r>
      <w:r>
        <w:rPr>
          <w:rFonts w:ascii="Arial" w:cs="Arial" w:eastAsia="Arial" w:hAnsi="Arial"/>
          <w:sz w:val="14"/>
          <w:szCs w:val="14"/>
          <w:color w:val="auto"/>
        </w:rPr>
        <w:t>.</w:t>
      </w:r>
    </w:p>
    <w:p>
      <w:pPr>
        <w:spacing w:after="0" w:line="94" w:lineRule="exact"/>
        <w:rPr>
          <w:sz w:val="20"/>
          <w:szCs w:val="20"/>
          <w:color w:val="auto"/>
        </w:rPr>
      </w:pPr>
    </w:p>
    <w:p>
      <w:pPr>
        <w:ind w:right="500"/>
        <w:spacing w:after="0" w:line="290" w:lineRule="auto"/>
        <w:rPr>
          <w:sz w:val="20"/>
          <w:szCs w:val="20"/>
          <w:color w:val="auto"/>
        </w:rPr>
      </w:pPr>
      <w:r>
        <w:rPr>
          <w:rFonts w:ascii="Arial" w:cs="Arial" w:eastAsia="Arial" w:hAnsi="Arial"/>
          <w:sz w:val="14"/>
          <w:szCs w:val="14"/>
          <w:color w:val="auto"/>
        </w:rPr>
        <w:t>The market price of our Class A common stock has declined significantly since our IPO, has been volatile and is likely to continue to be volatile and could be subject to wide fluctuations in response to the risk factors described in this Quarterly Report, and others within or beyond our control, including:</w:t>
      </w:r>
    </w:p>
    <w:p>
      <w:pPr>
        <w:spacing w:after="0" w:line="35" w:lineRule="exact"/>
        <w:rPr>
          <w:sz w:val="20"/>
          <w:szCs w:val="20"/>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actual or anticipated fluctuations in our revenue or other operating metrics;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actual or anticipated operating performance and the operating performance of our competitors;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the financial projections we provide to the public or our failure to meet these projections;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positive or negative publicity;</w:t>
      </w:r>
    </w:p>
    <w:p>
      <w:pPr>
        <w:spacing w:after="0" w:line="93" w:lineRule="exact"/>
        <w:rPr>
          <w:rFonts w:ascii="Arial" w:cs="Arial" w:eastAsia="Arial" w:hAnsi="Arial"/>
          <w:sz w:val="14"/>
          <w:szCs w:val="14"/>
          <w:color w:val="auto"/>
        </w:rPr>
      </w:pPr>
    </w:p>
    <w:p>
      <w:pPr>
        <w:ind w:left="580" w:right="40" w:hanging="193"/>
        <w:spacing w:after="0" w:line="290" w:lineRule="auto"/>
        <w:tabs>
          <w:tab w:leader="none" w:pos="5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any major change in our board of directors, management, or key personnel;</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economy as a whole and market conditions in our industry;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 in global trade policies, tariffs and other measures that could restrict international trade;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changes in overall stock market conditions;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93" w:lineRule="exact"/>
        <w:rPr>
          <w:rFonts w:ascii="Arial" w:cs="Arial" w:eastAsia="Arial" w:hAnsi="Arial"/>
          <w:sz w:val="14"/>
          <w:szCs w:val="14"/>
          <w:color w:val="auto"/>
        </w:rPr>
      </w:pPr>
    </w:p>
    <w:p>
      <w:pPr>
        <w:ind w:left="580" w:right="400" w:hanging="193"/>
        <w:spacing w:after="0" w:line="290" w:lineRule="auto"/>
        <w:tabs>
          <w:tab w:leader="none" w:pos="5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innovations, new products, services, features, integrations, or capabilities, acquisitions, strategic investments, partnerships, joint ventures, or capital commitments;</w:t>
      </w:r>
    </w:p>
    <w:p>
      <w:pPr>
        <w:spacing w:after="0" w:line="35" w:lineRule="exact"/>
        <w:rPr>
          <w:rFonts w:ascii="Arial" w:cs="Arial" w:eastAsia="Arial" w:hAnsi="Arial"/>
          <w:sz w:val="14"/>
          <w:szCs w:val="14"/>
          <w:color w:val="auto"/>
        </w:rPr>
      </w:pPr>
    </w:p>
    <w:p>
      <w:pPr>
        <w:ind w:left="580" w:hanging="193"/>
        <w:spacing w:after="0" w:line="290" w:lineRule="auto"/>
        <w:tabs>
          <w:tab w:leader="none" w:pos="57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legal and regulatory landscape and changes in the application of existing laws or adoption of new laws that impact our business, including changes in e-commerce and tax laws;</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legal and regulatory claims, litigation, or pre-litigation disputes and other proceedings;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impact of COVID-19 or future pandemics on our business or the fashion industry and sharing economy generally;</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sales or expected sales of our Class A common stock by us, our officers, directors, principal stockholders, and employees;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if securities or industry analysts publish research about our business, or if they publish unfavorable research;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geopolitical conditions, including war, incidents of terrorism, or responses to these events.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investors may not realize any return on their investment in us and may lose some or all of their investment. In addition, stock markets, and the trading of e-commerce companies’ and technology companies’ stocks in particular, have experienced significant price and volume fluctuations that have affected and continue to affect the market prices of equity securities of many companies. Stock prices of many companies have fluctuated in a manner often unrelated to the operating performance of those companies. It is common for stockholders to institute securities class action litigation following periods of stock volatility. We are currently subject to securities litigation which could divert resources and the attention of management from our business, and materially adversely affect our business, financial condition and results of operations, and we could be subject to additional securities litigation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management has broad discretion in the use of our cash resources and may not use them effectively</w:t>
      </w:r>
      <w:r>
        <w:rPr>
          <w:rFonts w:ascii="Arial" w:cs="Arial" w:eastAsia="Arial" w:hAnsi="Arial"/>
          <w:sz w:val="14"/>
          <w:szCs w:val="14"/>
          <w:color w:val="auto"/>
        </w:rPr>
        <w:t>.</w:t>
      </w:r>
    </w:p>
    <w:p>
      <w:pPr>
        <w:spacing w:after="0" w:line="9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Our management has broad discretion, subject to our 2025 Amended Facility, in the application of our cash resources, which may include working capital, to fund growth and for other general corporate purposes. We may also use a portion of our cash resources to acquire or make investments in businesses, products, offerings, and technologies. We may also spend or invest these proceeds in a way with which our stockholders disagree. The failure by our management to apply these funds effectively could adversely affect our ability to pursue our growth strategies and expand our business. Pending their use, we may invest these funds in a way that does not produce income or that loses value.</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financial performance may differ from any projections that we disclose or any information that may be attributed to us by third parties</w:t>
      </w:r>
      <w:r>
        <w:rPr>
          <w:rFonts w:ascii="Arial" w:cs="Arial" w:eastAsia="Arial" w:hAnsi="Arial"/>
          <w:sz w:val="14"/>
          <w:szCs w:val="14"/>
          <w:color w:val="auto"/>
        </w:rPr>
        <w:t>.</w:t>
      </w:r>
    </w:p>
    <w:p>
      <w:pPr>
        <w:spacing w:after="0" w:line="94" w:lineRule="exact"/>
        <w:rPr>
          <w:sz w:val="20"/>
          <w:szCs w:val="20"/>
          <w:color w:val="auto"/>
        </w:rPr>
      </w:pPr>
    </w:p>
    <w:p>
      <w:pPr>
        <w:ind w:right="160"/>
        <w:spacing w:after="0" w:line="260" w:lineRule="auto"/>
        <w:rPr>
          <w:sz w:val="20"/>
          <w:szCs w:val="20"/>
          <w:color w:val="auto"/>
        </w:rPr>
      </w:pPr>
      <w:r>
        <w:rPr>
          <w:rFonts w:ascii="Arial" w:cs="Arial" w:eastAsia="Arial" w:hAnsi="Arial"/>
          <w:sz w:val="14"/>
          <w:szCs w:val="14"/>
          <w:color w:val="auto"/>
        </w:rPr>
        <w:t>From time to time, we may provide guidance regarding our projected business and/or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 risk factors described in this Quarterly Report,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in the public market could cause our share price to fall</w:t>
      </w:r>
      <w:r>
        <w:rPr>
          <w:rFonts w:ascii="Arial" w:cs="Arial" w:eastAsia="Arial" w:hAnsi="Arial"/>
          <w:sz w:val="14"/>
          <w:szCs w:val="14"/>
          <w:color w:val="auto"/>
        </w:rPr>
        <w:t>.</w:t>
      </w:r>
    </w:p>
    <w:p>
      <w:pPr>
        <w:spacing w:after="0" w:line="94" w:lineRule="exact"/>
        <w:rPr>
          <w:sz w:val="20"/>
          <w:szCs w:val="20"/>
          <w:color w:val="auto"/>
        </w:rPr>
      </w:pPr>
    </w:p>
    <w:p>
      <w:pPr>
        <w:jc w:val="both"/>
        <w:ind w:right="20"/>
        <w:spacing w:after="0" w:line="271" w:lineRule="auto"/>
        <w:rPr>
          <w:sz w:val="20"/>
          <w:szCs w:val="20"/>
          <w:color w:val="auto"/>
        </w:rPr>
      </w:pPr>
      <w:r>
        <w:rPr>
          <w:rFonts w:ascii="Arial" w:cs="Arial" w:eastAsia="Arial" w:hAnsi="Arial"/>
          <w:sz w:val="14"/>
          <w:szCs w:val="14"/>
          <w:color w:val="auto"/>
        </w:rPr>
        <w:t>The sale of substantial amounts of shares of our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4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the future, we may sell additional Class A common stock, other series of common stock, convertible securities, or other equity securities, including preferred securities, in one or more transactions at prices and in a manner we determine from time to time, including pursuant to our shelf registration statement on Form S-3. We also expect to issue Class A common stock to employees, consultants, and directors pursuant to our equity incentive plans. If we sell Class A common stock, other series of common stock, convertible securities, or other equity securities in subsequent transactions, or Class A common stock or Class B common stock is issued pursuant to equity incentive plans, investors may be materially diluted. New investors in subsequent transactions could gain rights, preferences, and privileges senior to those of holders of our Class A common stock.</w:t>
      </w:r>
    </w:p>
    <w:p>
      <w:pPr>
        <w:spacing w:after="0" w:line="14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In addition, 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restricted stock units (“RSUs”) settle, there will be further dilution. The amount of dilution could be substantial depending upon the size of the issuance or exercise. Any such issuances could result in substantial dilution to our existing stockholders and cause the trading price of our Class A common stock to decline.</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3"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4"/>
          <w:szCs w:val="14"/>
          <w:color w:val="auto"/>
        </w:rPr>
        <w:t>These factors could also make it more difficult for us to raise additional funds through future offerings of our shares of Class A common stock or other securities.</w:t>
      </w:r>
    </w:p>
    <w:p>
      <w:pPr>
        <w:spacing w:after="0" w:line="265" w:lineRule="exact"/>
        <w:rPr>
          <w:sz w:val="20"/>
          <w:szCs w:val="20"/>
          <w:color w:val="auto"/>
        </w:rPr>
      </w:pPr>
    </w:p>
    <w:p>
      <w:pPr>
        <w:ind w:right="40"/>
        <w:spacing w:after="0" w:line="299" w:lineRule="auto"/>
        <w:rPr>
          <w:sz w:val="20"/>
          <w:szCs w:val="20"/>
          <w:color w:val="auto"/>
        </w:rPr>
      </w:pPr>
      <w:r>
        <w:rPr>
          <w:rFonts w:ascii="Arial" w:cs="Arial" w:eastAsia="Arial" w:hAnsi="Arial"/>
          <w:sz w:val="14"/>
          <w:szCs w:val="14"/>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r>
        <w:rPr>
          <w:rFonts w:ascii="Arial" w:cs="Arial" w:eastAsia="Arial" w:hAnsi="Arial"/>
          <w:sz w:val="14"/>
          <w:szCs w:val="14"/>
          <w:color w:val="auto"/>
        </w:rPr>
        <w:t>.</w:t>
      </w:r>
    </w:p>
    <w:p>
      <w:pPr>
        <w:spacing w:after="0" w:line="21"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There are provisions in our Amended Charter and Amended and Restated Bylaws (“Amended Bylaws”) that may make it difficult for a third party to acquire, or attempt to acquire, control of our Company, even if a change in control were considered favorable by our stockholders. These anti-takeover provisions include:</w:t>
      </w:r>
    </w:p>
    <w:p>
      <w:pPr>
        <w:spacing w:after="0" w:line="35" w:lineRule="exact"/>
        <w:rPr>
          <w:sz w:val="20"/>
          <w:szCs w:val="20"/>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authorization of the issuance of “blank check” preferred stock that our board of directors could use to implement a stockholder rights plan;</w:t>
      </w:r>
    </w:p>
    <w:p>
      <w:pPr>
        <w:spacing w:after="0" w:line="93" w:lineRule="exact"/>
        <w:rPr>
          <w:rFonts w:ascii="Arial" w:cs="Arial" w:eastAsia="Arial" w:hAnsi="Arial"/>
          <w:sz w:val="14"/>
          <w:szCs w:val="14"/>
          <w:color w:val="auto"/>
        </w:rPr>
      </w:pPr>
    </w:p>
    <w:p>
      <w:pPr>
        <w:ind w:left="580" w:right="320" w:hanging="193"/>
        <w:spacing w:after="0" w:line="271" w:lineRule="auto"/>
        <w:tabs>
          <w:tab w:leader="none" w:pos="576"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dual class common stock structure in which holders of our Class B common stock, which has 20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48"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classified board of directors so that not all members of our board of directors are elected at one time;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requirement that our directors may only be removed for cause;</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ability of our directors to fill all board vacancies, subject to the rights granted pursuant to the stockholders’ agreement;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prohibition on stockholder actions by written consent, thereby requiring that all stockholder actions be taken at a meeting of our stockholders;</w:t>
      </w:r>
    </w:p>
    <w:p>
      <w:pPr>
        <w:spacing w:after="0" w:line="93" w:lineRule="exact"/>
        <w:rPr>
          <w:rFonts w:ascii="Arial" w:cs="Arial" w:eastAsia="Arial" w:hAnsi="Arial"/>
          <w:sz w:val="14"/>
          <w:szCs w:val="14"/>
          <w:color w:val="auto"/>
        </w:rPr>
      </w:pPr>
    </w:p>
    <w:p>
      <w:pPr>
        <w:ind w:left="580" w:right="160" w:hanging="193"/>
        <w:spacing w:after="0" w:line="290" w:lineRule="auto"/>
        <w:tabs>
          <w:tab w:leader="none" w:pos="576" w:val="left"/>
        </w:tabs>
        <w:numPr>
          <w:ilvl w:val="0"/>
          <w:numId w:val="48"/>
        </w:numPr>
        <w:rPr>
          <w:rFonts w:ascii="Arial" w:cs="Arial" w:eastAsia="Arial" w:hAnsi="Arial"/>
          <w:sz w:val="14"/>
          <w:szCs w:val="14"/>
          <w:color w:val="auto"/>
        </w:rPr>
      </w:pPr>
      <w:r>
        <w:rPr>
          <w:rFonts w:ascii="Arial" w:cs="Arial" w:eastAsia="Arial" w:hAnsi="Arial"/>
          <w:sz w:val="14"/>
          <w:szCs w:val="14"/>
          <w:color w:val="auto"/>
        </w:rPr>
        <w:t>advance notice procedures for stockholder director nominees and annual meeting matters (other than the parties to our stockholders; agreement for nominations made pursuant to the terms of the stockholders’ agreement);</w:t>
      </w:r>
    </w:p>
    <w:p>
      <w:pPr>
        <w:spacing w:after="0" w:line="35"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 inability of our stockholders to call special meetings of stockholders;</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ability of our directors to amend our Amended Bylaws without stockholder consent;</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requirement of a super-majority to amend some provisions in our Amended Charter and Amended Bylaws; and</w:t>
      </w:r>
    </w:p>
    <w:p>
      <w:pPr>
        <w:spacing w:after="0" w:line="93" w:lineRule="exact"/>
        <w:rPr>
          <w:rFonts w:ascii="Arial" w:cs="Arial" w:eastAsia="Arial" w:hAnsi="Arial"/>
          <w:sz w:val="14"/>
          <w:szCs w:val="14"/>
          <w:color w:val="auto"/>
        </w:rPr>
      </w:pPr>
    </w:p>
    <w:p>
      <w:pPr>
        <w:ind w:left="580" w:hanging="193"/>
        <w:spacing w:after="0"/>
        <w:tabs>
          <w:tab w:leader="none" w:pos="5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prohibition on cumulative voting for directors.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Although we have opted out of Section 203 of the General Corporation Law of the State of Delaware, our Amended Charter contains provisions that are similar to Section 203. Specifically, our Amended Charter provides that, subject to certain exceptions, we will not be able to engage in a “business combination” with any “interested stockholder” for three years following the date that the person became an interested stockholder, unless certain requirements are met. A “business combination” includes, among other things, a merger or consolidation involving us and the “interested stockholder” or the sale of more than 10% of our assets or to an interested stockholder. In general, an “interested stockholder” is any entity or person beneficially owning 15% or more of our outstanding voting stock and any affiliates or associates of such entity or person.</w:t>
      </w:r>
    </w:p>
    <w:p>
      <w:pPr>
        <w:spacing w:after="0" w:line="140" w:lineRule="exact"/>
        <w:rPr>
          <w:sz w:val="20"/>
          <w:szCs w:val="20"/>
          <w:color w:val="auto"/>
        </w:rPr>
      </w:pPr>
    </w:p>
    <w:p>
      <w:pPr>
        <w:ind w:right="280"/>
        <w:spacing w:after="0" w:line="271" w:lineRule="auto"/>
        <w:rPr>
          <w:sz w:val="20"/>
          <w:szCs w:val="20"/>
          <w:color w:val="auto"/>
        </w:rPr>
      </w:pPr>
      <w:r>
        <w:rPr>
          <w:rFonts w:ascii="Arial" w:cs="Arial" w:eastAsia="Arial" w:hAnsi="Arial"/>
          <w:sz w:val="14"/>
          <w:szCs w:val="14"/>
          <w:color w:val="auto"/>
        </w:rPr>
        <w:t>Any provision in our Amended Charter, Amended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00" w:lineRule="exact"/>
        <w:rPr>
          <w:sz w:val="20"/>
          <w:szCs w:val="20"/>
          <w:color w:val="auto"/>
        </w:rPr>
      </w:pPr>
    </w:p>
    <w:p>
      <w:pPr>
        <w:spacing w:after="0" w:line="23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3"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b w:val="1"/>
          <w:bCs w:val="1"/>
          <w:i w:val="1"/>
          <w:iCs w:val="1"/>
          <w:color w:val="auto"/>
        </w:rPr>
        <w:t>Our Amended Charter designates the Court of Chancery of the State of Delaware and the federal district courts of the United States of America as the exclusive forums for substantially all disputes between us and our stockholders, which could limit our stockholders’ ability to obtain a favorable judicial forum for disputes with us or our directors, officers, or employees</w:t>
      </w:r>
      <w:r>
        <w:rPr>
          <w:rFonts w:ascii="Arial" w:cs="Arial" w:eastAsia="Arial" w:hAnsi="Arial"/>
          <w:sz w:val="14"/>
          <w:szCs w:val="14"/>
          <w:color w:val="auto"/>
        </w:rPr>
        <w:t>.</w:t>
      </w:r>
    </w:p>
    <w:p>
      <w:pPr>
        <w:spacing w:after="0" w:line="3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Amended Charter provides that the Court of Chancery of the State of Delaware is the exclusive forum for the following types of actions or proceedings under Delaware statutory or common law: any derivative action or proceeding brought on our behalf, any action asserting a breach of fiduciary duty, any action asserting a claim against us arising under the Delaware General Corporation Law, our Amended Charter, or our Amended Bylaws (as either may be amended or restated), and any action asserting a claim against us that is governed by the internal affairs doctrine or as to which the Delaware General Corporation Law confers exclusive jurisdiction on the Court of Chancery of the State of Delaware. This provision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Charter further provides that the federal district courts of the United States of America are the exclusive forum for resolving any complaint asserting a cause of action arising under the Securities Act.</w:t>
      </w:r>
    </w:p>
    <w:p>
      <w:pPr>
        <w:spacing w:after="0" w:line="143"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Charter. This may require significant additional costs associated with resolving such action in other jurisdictions and there can be no assurance that the provisions will be enforced by a court in those other jurisdictions.</w:t>
      </w:r>
    </w:p>
    <w:p>
      <w:pPr>
        <w:spacing w:after="0" w:line="138"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Charter to be inapplicable or unenforceable in an action, we could incur further significant additional costs associated with resolving the dispute in other jurisdictions, all of which could seriously harm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Amended Charter provides that the doctrine of “corporate opportunity” does not apply with respect to any directors (or their affiliates) who are not our employees.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Amended Charter provides that the doctrine of “corporate opportunity” does not apply with respect to any director (or their respective affiliates) who is not employed by us or our subsidiaries. The doctrine of corporate opportunity generally provides that a corporate fiduciary may not develop an opportunity using corporate resources or information obtained in their corporate capacity for their personal advantage,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directors or other fiduciaries from personally benefiting from opportunities that belong to the corporation. Pursuant to our Amended Charter, to the extent permitted by Delaware law, we renounce any present or expectancy interest that we have in, or right to be offered an opportunity to participate in, specified business opportunities that are from time to time presented to our directors, or their respective affiliates (other than those who are employed by us or our subsidiaries). Any directors, or their respective affiliates, other than those directors, or affiliates who are employed by us or our subsidiaries,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directors, or their respective affiliates (other than those who are employed by us or our subsidiaries). Notwithstanding the foregoing, pursuant to our Amended Charter, we do not renounce our present or expectancy interest in any business opportunity that is expressly offered to a director, executive officer or employee of us or our subsidiaries, solely in his/her capacity as a director, executive officer or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effects of climate change and related regulatory, customer and investor responses may adversely impact our business.</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Our corporate offices, fulfillment centers and facilities of our brand and manufacturing partners are subject to risks relating to climate change and other environmental impacts. For example, the physical effects of climate change, such as more intense, prolonged, and/or frequent severe weather events, natural disasters and/or significant changes in climate patterns or temperatures, may result in facility damage, supply chain interruptions (including but not limited to challenges regarding the availability and quality of water and raw materials), changes in the availability and/or cost of insurance, as well as other adverse impacts. Similarly, our carbon emissions and our business’ overall impact on the environment could subject us to reputational, market and/or regulatory risks and could result in changes in consumer preferences. Climate change and other environmental concerns may cause social, economic and physical disruptions in the places where we operate, including disruptions to our supply chain and to local infrastructure and transportation systems which could limit material availability and quality, disrupt our data management and communications systems, increase product costs, impact our ability to ship and deliver products, prevent access to our physical locations and negatively impact the economy, consumer confidence and discretionary spending. In addition, implementing changes to mitigate these risks may result in substantial short- and long-term additional operational expenses, which may materially affect our profitability.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3" w:right="399" w:bottom="1440" w:gutter="0" w:footer="0" w:header="0"/>
        </w:sectPr>
      </w:pPr>
    </w:p>
    <w:bookmarkStart w:id="94" w:name="page95"/>
    <w:bookmarkEnd w:id="94"/>
    <w:p>
      <w:pPr>
        <w:spacing w:after="0"/>
        <w:rPr>
          <w:sz w:val="20"/>
          <w:szCs w:val="20"/>
          <w:color w:val="auto"/>
        </w:rPr>
      </w:pPr>
      <w:r>
        <w:rPr>
          <w:rFonts w:ascii="Arial" w:cs="Arial" w:eastAsia="Arial" w:hAnsi="Arial"/>
          <w:sz w:val="14"/>
          <w:szCs w:val="14"/>
          <w:b w:val="1"/>
          <w:bCs w:val="1"/>
          <w:i w:val="1"/>
          <w:iCs w:val="1"/>
          <w:color w:val="auto"/>
        </w:rPr>
        <w:t>Item 6. Exhibits</w:t>
      </w:r>
    </w:p>
    <w:p>
      <w:pPr>
        <w:spacing w:after="0" w:line="102" w:lineRule="exact"/>
        <w:rPr>
          <w:sz w:val="20"/>
          <w:szCs w:val="20"/>
          <w:color w:val="auto"/>
        </w:rPr>
      </w:pPr>
    </w:p>
    <w:p>
      <w:pPr>
        <w:ind w:left="600" w:hanging="213"/>
        <w:spacing w:after="0"/>
        <w:tabs>
          <w:tab w:leader="none" w:pos="600" w:val="left"/>
        </w:tabs>
        <w:numPr>
          <w:ilvl w:val="0"/>
          <w:numId w:val="49"/>
        </w:numPr>
        <w:rPr>
          <w:rFonts w:ascii="Arial" w:cs="Arial" w:eastAsia="Arial" w:hAnsi="Arial"/>
          <w:sz w:val="16"/>
          <w:szCs w:val="16"/>
          <w:color w:val="auto"/>
        </w:rPr>
      </w:pPr>
      <w:r>
        <w:rPr>
          <w:rFonts w:ascii="Arial" w:cs="Arial" w:eastAsia="Arial" w:hAnsi="Arial"/>
          <w:sz w:val="14"/>
          <w:szCs w:val="14"/>
          <w:color w:val="auto"/>
        </w:rPr>
        <w:t>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1"/>
                <w:szCs w:val="11"/>
                <w:b w:val="1"/>
                <w:bCs w:val="1"/>
                <w:color w:val="auto"/>
              </w:rPr>
              <w:t>Incorporated by Reference</w:t>
            </w:r>
          </w:p>
        </w:tc>
        <w:tc>
          <w:tcPr>
            <w:tcW w:w="12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12"/>
        </w:trPr>
        <w:tc>
          <w:tcPr>
            <w:tcW w:w="1120" w:type="dxa"/>
            <w:vAlign w:val="bottom"/>
            <w:gridSpan w:val="2"/>
          </w:tcPr>
          <w:p>
            <w:pPr>
              <w:ind w:left="340"/>
              <w:spacing w:after="0" w:line="112" w:lineRule="exact"/>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65"/>
        </w:trPr>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7"/>
          </w:tcPr>
          <w:p>
            <w:pPr>
              <w:spacing w:after="0"/>
              <w:rPr>
                <w:sz w:val="20"/>
                <w:szCs w:val="20"/>
                <w:color w:val="auto"/>
              </w:rPr>
            </w:pPr>
            <w:r>
              <w:rPr>
                <w:rFonts w:ascii="Arial" w:cs="Arial" w:eastAsia="Arial" w:hAnsi="Arial"/>
                <w:sz w:val="11"/>
                <w:szCs w:val="11"/>
                <w:b w:val="1"/>
                <w:bCs w:val="1"/>
                <w:color w:val="auto"/>
              </w:rPr>
              <w:t>Description of Exhibit</w:t>
            </w:r>
          </w:p>
        </w:tc>
        <w:tc>
          <w:tcPr>
            <w:tcW w:w="80" w:type="dxa"/>
            <w:vAlign w:val="bottom"/>
          </w:tcPr>
          <w:p>
            <w:pPr>
              <w:spacing w:after="0"/>
              <w:rPr>
                <w:sz w:val="14"/>
                <w:szCs w:val="1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Form</w:t>
            </w:r>
          </w:p>
        </w:tc>
        <w:tc>
          <w:tcPr>
            <w:tcW w:w="60" w:type="dxa"/>
            <w:vAlign w:val="bottom"/>
          </w:tcPr>
          <w:p>
            <w:pPr>
              <w:spacing w:after="0"/>
              <w:rPr>
                <w:sz w:val="14"/>
                <w:szCs w:val="14"/>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File No.</w:t>
            </w: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1"/>
                <w:szCs w:val="11"/>
                <w:b w:val="1"/>
                <w:bCs w:val="1"/>
                <w:color w:val="auto"/>
              </w:rPr>
              <w:t>Exhibit</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Filing date</w:t>
            </w:r>
          </w:p>
        </w:tc>
        <w:tc>
          <w:tcPr>
            <w:tcW w:w="60" w:type="dxa"/>
            <w:vAlign w:val="bottom"/>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Filed / Furnished Herewith</w:t>
            </w:r>
          </w:p>
        </w:tc>
      </w:tr>
      <w:tr>
        <w:trPr>
          <w:trHeight w:val="214"/>
        </w:trPr>
        <w:tc>
          <w:tcPr>
            <w:tcW w:w="1040" w:type="dxa"/>
            <w:vAlign w:val="bottom"/>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40" w:type="dxa"/>
            <w:vAlign w:val="bottom"/>
            <w:tcBorders>
              <w:bottom w:val="single" w:sz="8" w:color="0000FF"/>
            </w:tcBorders>
            <w:gridSpan w:val="4"/>
          </w:tcPr>
          <w:p>
            <w:pPr>
              <w:spacing w:after="0"/>
              <w:rPr>
                <w:rFonts w:ascii="Arial" w:cs="Arial" w:eastAsia="Arial" w:hAnsi="Arial"/>
                <w:sz w:val="14"/>
                <w:szCs w:val="14"/>
                <w:color w:val="0000FF"/>
              </w:rPr>
            </w:pPr>
            <w:hyperlink r:id="rId150">
              <w:r>
                <w:rPr>
                  <w:rFonts w:ascii="Arial" w:cs="Arial" w:eastAsia="Arial" w:hAnsi="Arial"/>
                  <w:sz w:val="14"/>
                  <w:szCs w:val="14"/>
                  <w:color w:val="0000FF"/>
                </w:rPr>
                <w:t>Amended &amp; Restated Certificate of Incorporation</w:t>
              </w:r>
            </w:hyperlink>
          </w:p>
        </w:tc>
        <w:tc>
          <w:tcPr>
            <w:tcW w:w="1460" w:type="dxa"/>
            <w:vAlign w:val="bottom"/>
            <w:gridSpan w:val="4"/>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8"/>
          </w:tcPr>
          <w:p>
            <w:pPr>
              <w:spacing w:after="0"/>
              <w:rPr>
                <w:rFonts w:ascii="Arial" w:cs="Arial" w:eastAsia="Arial" w:hAnsi="Arial"/>
                <w:sz w:val="14"/>
                <w:szCs w:val="14"/>
                <w:color w:val="0000FF"/>
              </w:rPr>
            </w:pPr>
            <w:hyperlink r:id="rId151">
              <w:r>
                <w:rPr>
                  <w:rFonts w:ascii="Arial" w:cs="Arial" w:eastAsia="Arial" w:hAnsi="Arial"/>
                  <w:sz w:val="14"/>
                  <w:szCs w:val="14"/>
                  <w:color w:val="0000FF"/>
                </w:rPr>
                <w:t>Certificate of Amendment to Twelfth Amended &amp; Restated Certificate</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04/02/2024</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8"/>
              </w:rPr>
            </w:pPr>
            <w:hyperlink r:id="rId151">
              <w:r>
                <w:rPr>
                  <w:rFonts w:ascii="Arial" w:cs="Arial" w:eastAsia="Arial" w:hAnsi="Arial"/>
                  <w:sz w:val="14"/>
                  <w:szCs w:val="14"/>
                  <w:color w:val="0000FF"/>
                  <w:w w:val="98"/>
                </w:rPr>
                <w:t>of Incorporation</w:t>
              </w:r>
            </w:hyperlink>
          </w:p>
        </w:tc>
        <w:tc>
          <w:tcPr>
            <w:tcW w:w="3320" w:type="dxa"/>
            <w:vAlign w:val="bottom"/>
            <w:tcBorders>
              <w:top w:val="single" w:sz="8" w:color="0000FF"/>
            </w:tcBorders>
            <w:gridSpan w:val="3"/>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24"/>
        </w:trPr>
        <w:tc>
          <w:tcPr>
            <w:tcW w:w="1040" w:type="dxa"/>
            <w:vAlign w:val="bottom"/>
          </w:tcPr>
          <w:p>
            <w:pPr>
              <w:ind w:left="20"/>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00" w:type="dxa"/>
            <w:vAlign w:val="bottom"/>
            <w:gridSpan w:val="8"/>
          </w:tcPr>
          <w:p>
            <w:pPr>
              <w:spacing w:after="0"/>
              <w:rPr>
                <w:rFonts w:ascii="Arial" w:cs="Arial" w:eastAsia="Arial" w:hAnsi="Arial"/>
                <w:sz w:val="14"/>
                <w:szCs w:val="14"/>
                <w:color w:val="0000FF"/>
              </w:rPr>
            </w:pPr>
            <w:hyperlink r:id="rId152">
              <w:r>
                <w:rPr>
                  <w:rFonts w:ascii="Arial" w:cs="Arial" w:eastAsia="Arial" w:hAnsi="Arial"/>
                  <w:sz w:val="14"/>
                  <w:szCs w:val="14"/>
                  <w:color w:val="0000FF"/>
                </w:rPr>
                <w:t>Amended &amp; Restated Bylaws</w:t>
              </w:r>
            </w:hyperlink>
          </w:p>
        </w:tc>
        <w:tc>
          <w:tcPr>
            <w:tcW w:w="820" w:type="dxa"/>
            <w:vAlign w:val="bottom"/>
            <w:gridSpan w:val="2"/>
          </w:tcPr>
          <w:p>
            <w:pPr>
              <w:ind w:left="20"/>
              <w:spacing w:after="0"/>
              <w:rPr>
                <w:sz w:val="20"/>
                <w:szCs w:val="20"/>
                <w:color w:val="auto"/>
              </w:rPr>
            </w:pPr>
            <w:r>
              <w:rPr>
                <w:rFonts w:ascii="Arial" w:cs="Arial" w:eastAsia="Arial" w:hAnsi="Arial"/>
                <w:sz w:val="14"/>
                <w:szCs w:val="14"/>
                <w:color w:val="auto"/>
              </w:rPr>
              <w:t>8-K</w:t>
            </w:r>
          </w:p>
        </w:tc>
        <w:tc>
          <w:tcPr>
            <w:tcW w:w="1160" w:type="dxa"/>
            <w:vAlign w:val="bottom"/>
          </w:tcPr>
          <w:p>
            <w:pPr>
              <w:ind w:left="20"/>
              <w:spacing w:after="0"/>
              <w:rPr>
                <w:sz w:val="20"/>
                <w:szCs w:val="20"/>
                <w:color w:val="auto"/>
              </w:rPr>
            </w:pPr>
            <w:r>
              <w:rPr>
                <w:rFonts w:ascii="Arial" w:cs="Arial" w:eastAsia="Arial" w:hAnsi="Arial"/>
                <w:sz w:val="14"/>
                <w:szCs w:val="14"/>
                <w:color w:val="auto"/>
              </w:rPr>
              <w:t>001-40958</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10/29/2021</w:t>
            </w:r>
          </w:p>
        </w:tc>
        <w:tc>
          <w:tcPr>
            <w:tcW w:w="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182"/>
        </w:trPr>
        <w:tc>
          <w:tcPr>
            <w:tcW w:w="1040" w:type="dxa"/>
            <w:vAlign w:val="bottom"/>
          </w:tcPr>
          <w:p>
            <w:pPr>
              <w:ind w:left="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00" w:type="dxa"/>
            <w:vAlign w:val="bottom"/>
            <w:gridSpan w:val="8"/>
          </w:tcPr>
          <w:p>
            <w:pPr>
              <w:spacing w:after="0"/>
              <w:rPr>
                <w:sz w:val="20"/>
                <w:szCs w:val="20"/>
                <w:color w:val="auto"/>
              </w:rPr>
            </w:pPr>
            <w:r>
              <w:rPr>
                <w:rFonts w:ascii="Arial" w:cs="Arial" w:eastAsia="Arial" w:hAnsi="Arial"/>
                <w:sz w:val="14"/>
                <w:szCs w:val="14"/>
                <w:color w:val="0000FF"/>
              </w:rPr>
              <w:t>Offer Letter between the Company and Sarah Tam, dated January 12,</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20" w:type="dxa"/>
            <w:vAlign w:val="bottom"/>
            <w:gridSpan w:val="2"/>
          </w:tcPr>
          <w:p>
            <w:pPr>
              <w:jc w:val="right"/>
              <w:ind w:right="643"/>
              <w:spacing w:after="0"/>
              <w:rPr>
                <w:sz w:val="20"/>
                <w:szCs w:val="20"/>
                <w:color w:val="auto"/>
              </w:rPr>
            </w:pPr>
            <w:r>
              <w:rPr>
                <w:rFonts w:ascii="Arial" w:cs="Arial" w:eastAsia="Arial" w:hAnsi="Arial"/>
                <w:sz w:val="14"/>
                <w:szCs w:val="14"/>
                <w:color w:val="auto"/>
              </w:rPr>
              <w:t>*</w:t>
            </w:r>
          </w:p>
        </w:tc>
      </w:tr>
      <w:tr>
        <w:trPr>
          <w:trHeight w:val="139"/>
        </w:trPr>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89"/>
              </w:rPr>
              <w:t>2015</w:t>
            </w:r>
          </w:p>
        </w:tc>
        <w:tc>
          <w:tcPr>
            <w:tcW w:w="680" w:type="dxa"/>
            <w:vAlign w:val="bottom"/>
            <w:tcBorders>
              <w:top w:val="single" w:sz="8" w:color="0000FF"/>
            </w:tcBorders>
          </w:tcPr>
          <w:p>
            <w:pPr>
              <w:spacing w:after="0"/>
              <w:rPr>
                <w:sz w:val="12"/>
                <w:szCs w:val="12"/>
                <w:color w:val="auto"/>
              </w:rPr>
            </w:pPr>
          </w:p>
        </w:tc>
        <w:tc>
          <w:tcPr>
            <w:tcW w:w="840" w:type="dxa"/>
            <w:vAlign w:val="bottom"/>
            <w:tcBorders>
              <w:top w:val="single" w:sz="8" w:color="0000FF"/>
            </w:tcBorders>
          </w:tcPr>
          <w:p>
            <w:pPr>
              <w:spacing w:after="0"/>
              <w:rPr>
                <w:sz w:val="12"/>
                <w:szCs w:val="12"/>
                <w:color w:val="auto"/>
              </w:rPr>
            </w:pPr>
          </w:p>
        </w:tc>
        <w:tc>
          <w:tcPr>
            <w:tcW w:w="1220" w:type="dxa"/>
            <w:vAlign w:val="bottom"/>
            <w:tcBorders>
              <w:top w:val="single" w:sz="8" w:color="0000FF"/>
            </w:tcBorders>
          </w:tcPr>
          <w:p>
            <w:pPr>
              <w:spacing w:after="0"/>
              <w:rPr>
                <w:sz w:val="12"/>
                <w:szCs w:val="12"/>
                <w:color w:val="auto"/>
              </w:rPr>
            </w:pPr>
          </w:p>
        </w:tc>
        <w:tc>
          <w:tcPr>
            <w:tcW w:w="12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r>
    </w:tbl>
    <w:p>
      <w:pPr>
        <w:spacing w:after="0" w:line="30" w:lineRule="exact"/>
        <w:rPr>
          <w:sz w:val="20"/>
          <w:szCs w:val="20"/>
          <w:color w:val="auto"/>
        </w:rPr>
      </w:pPr>
    </w:p>
    <w:p>
      <w:pPr>
        <w:sectPr>
          <w:pgSz w:w="11900" w:h="16838" w:orient="portrait"/>
          <w:cols w:equalWidth="0" w:num="1">
            <w:col w:w="11280"/>
          </w:cols>
          <w:pgMar w:left="300" w:top="1018" w:right="319" w:bottom="1440" w:gutter="0" w:footer="0" w:header="0"/>
        </w:sect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10.2+</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10.3†X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3"/>
          </w:tcPr>
          <w:p>
            <w:pPr>
              <w:spacing w:after="0"/>
              <w:rPr>
                <w:rFonts w:ascii="Arial" w:cs="Arial" w:eastAsia="Arial" w:hAnsi="Arial"/>
                <w:sz w:val="14"/>
                <w:szCs w:val="14"/>
                <w:color w:val="0000FF"/>
              </w:rPr>
            </w:pPr>
            <w:hyperlink r:id="rId153">
              <w:r>
                <w:rPr>
                  <w:rFonts w:ascii="Arial" w:cs="Arial" w:eastAsia="Arial" w:hAnsi="Arial"/>
                  <w:sz w:val="14"/>
                  <w:szCs w:val="14"/>
                  <w:color w:val="0000FF"/>
                </w:rPr>
                <w:t>Amendment to Amended and Restated Employment Agreement by</w:t>
              </w:r>
            </w:hyperlink>
          </w:p>
        </w:tc>
        <w:tc>
          <w:tcPr>
            <w:tcW w:w="740" w:type="dxa"/>
            <w:vAlign w:val="bottom"/>
          </w:tcPr>
          <w:p>
            <w:pPr>
              <w:ind w:left="180"/>
              <w:spacing w:after="0"/>
              <w:rPr>
                <w:sz w:val="20"/>
                <w:szCs w:val="20"/>
                <w:color w:val="auto"/>
              </w:rPr>
            </w:pPr>
            <w:r>
              <w:rPr>
                <w:rFonts w:ascii="Arial" w:cs="Arial" w:eastAsia="Arial" w:hAnsi="Arial"/>
                <w:sz w:val="14"/>
                <w:szCs w:val="14"/>
                <w:color w:val="auto"/>
              </w:rPr>
              <w:t>10-K</w:t>
            </w:r>
          </w:p>
        </w:tc>
        <w:tc>
          <w:tcPr>
            <w:tcW w:w="1380" w:type="dxa"/>
            <w:vAlign w:val="bottom"/>
          </w:tcPr>
          <w:p>
            <w:pPr>
              <w:jc w:val="right"/>
              <w:ind w:right="369"/>
              <w:spacing w:after="0"/>
              <w:rPr>
                <w:sz w:val="20"/>
                <w:szCs w:val="20"/>
                <w:color w:val="auto"/>
              </w:rPr>
            </w:pPr>
            <w:r>
              <w:rPr>
                <w:rFonts w:ascii="Arial" w:cs="Arial" w:eastAsia="Arial" w:hAnsi="Arial"/>
                <w:sz w:val="14"/>
                <w:szCs w:val="14"/>
                <w:color w:val="auto"/>
              </w:rPr>
              <w:t>001-40958</w:t>
            </w:r>
          </w:p>
        </w:tc>
        <w:tc>
          <w:tcPr>
            <w:tcW w:w="1160" w:type="dxa"/>
            <w:vAlign w:val="bottom"/>
          </w:tcPr>
          <w:p>
            <w:pPr>
              <w:jc w:val="right"/>
              <w:ind w:right="289"/>
              <w:spacing w:after="0"/>
              <w:rPr>
                <w:sz w:val="20"/>
                <w:szCs w:val="20"/>
                <w:color w:val="auto"/>
              </w:rPr>
            </w:pPr>
            <w:r>
              <w:rPr>
                <w:rFonts w:ascii="Arial" w:cs="Arial" w:eastAsia="Arial" w:hAnsi="Arial"/>
                <w:sz w:val="14"/>
                <w:szCs w:val="14"/>
                <w:color w:val="auto"/>
              </w:rPr>
              <w:t>10.17</w:t>
            </w:r>
          </w:p>
        </w:tc>
        <w:tc>
          <w:tcPr>
            <w:tcW w:w="1820" w:type="dxa"/>
            <w:vAlign w:val="bottom"/>
          </w:tcPr>
          <w:p>
            <w:pPr>
              <w:jc w:val="right"/>
              <w:ind w:right="769"/>
              <w:spacing w:after="0"/>
              <w:rPr>
                <w:sz w:val="20"/>
                <w:szCs w:val="20"/>
                <w:color w:val="auto"/>
              </w:rPr>
            </w:pPr>
            <w:r>
              <w:rPr>
                <w:rFonts w:ascii="Arial" w:cs="Arial" w:eastAsia="Arial" w:hAnsi="Arial"/>
                <w:sz w:val="14"/>
                <w:szCs w:val="14"/>
                <w:color w:val="auto"/>
              </w:rPr>
              <w:t>4/15/2025</w:t>
            </w:r>
          </w:p>
        </w:tc>
      </w:tr>
      <w:tr>
        <w:trPr>
          <w:trHeight w:val="139"/>
        </w:trPr>
        <w:tc>
          <w:tcPr>
            <w:tcW w:w="418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9"/>
              </w:rPr>
            </w:pPr>
            <w:hyperlink r:id="rId153">
              <w:r>
                <w:rPr>
                  <w:rFonts w:ascii="Arial" w:cs="Arial" w:eastAsia="Arial" w:hAnsi="Arial"/>
                  <w:sz w:val="14"/>
                  <w:szCs w:val="14"/>
                  <w:color w:val="0000FF"/>
                  <w:w w:val="99"/>
                </w:rPr>
                <w:t>and between the Company and Jennifer Y. Hyman, dated February</w:t>
              </w:r>
            </w:hyperlink>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20" w:type="dxa"/>
            <w:vAlign w:val="bottom"/>
          </w:tcPr>
          <w:p>
            <w:pPr>
              <w:spacing w:after="0"/>
              <w:rPr>
                <w:sz w:val="12"/>
                <w:szCs w:val="12"/>
                <w:color w:val="auto"/>
              </w:rPr>
            </w:pPr>
          </w:p>
        </w:tc>
      </w:tr>
      <w:tr>
        <w:trPr>
          <w:trHeight w:val="129"/>
        </w:trPr>
        <w:tc>
          <w:tcPr>
            <w:tcW w:w="4180" w:type="dxa"/>
            <w:vAlign w:val="bottom"/>
            <w:gridSpan w:val="2"/>
          </w:tcPr>
          <w:p>
            <w:pPr>
              <w:spacing w:after="0" w:line="129" w:lineRule="exact"/>
              <w:rPr>
                <w:rFonts w:ascii="Arial" w:cs="Arial" w:eastAsia="Arial" w:hAnsi="Arial"/>
                <w:sz w:val="14"/>
                <w:szCs w:val="14"/>
                <w:color w:val="0000FF"/>
              </w:rPr>
            </w:pPr>
            <w:hyperlink r:id="rId153">
              <w:r>
                <w:rPr>
                  <w:rFonts w:ascii="Arial" w:cs="Arial" w:eastAsia="Arial" w:hAnsi="Arial"/>
                  <w:sz w:val="14"/>
                  <w:szCs w:val="14"/>
                  <w:color w:val="0000FF"/>
                </w:rPr>
                <w:t>25, 2025</w:t>
              </w:r>
            </w:hyperlink>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20" w:type="dxa"/>
            <w:vAlign w:val="bottom"/>
          </w:tcPr>
          <w:p>
            <w:pPr>
              <w:spacing w:after="0"/>
              <w:rPr>
                <w:sz w:val="11"/>
                <w:szCs w:val="1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2"/>
        </w:trPr>
        <w:tc>
          <w:tcPr>
            <w:tcW w:w="434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Eleventh Amendment to the Credit Agreement, dated as of March 31,</w:t>
            </w:r>
          </w:p>
        </w:tc>
        <w:tc>
          <w:tcPr>
            <w:tcW w:w="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36" w:lineRule="auto"/>
        <w:rPr>
          <w:sz w:val="20"/>
          <w:szCs w:val="20"/>
          <w:color w:val="auto"/>
        </w:rPr>
      </w:pPr>
      <w:r>
        <w:rPr>
          <w:rFonts w:ascii="Arial" w:cs="Arial" w:eastAsia="Arial" w:hAnsi="Arial"/>
          <w:sz w:val="14"/>
          <w:szCs w:val="14"/>
          <w:u w:val="single" w:color="auto"/>
          <w:color w:val="0000FF"/>
        </w:rPr>
        <w:t>2025, (as previously amended on December 1, 2023, July 23, 2018,</w:t>
      </w:r>
    </w:p>
    <w:p>
      <w:pPr>
        <w:spacing w:after="0" w:line="237" w:lineRule="auto"/>
        <w:rPr>
          <w:sz w:val="20"/>
          <w:szCs w:val="20"/>
          <w:color w:val="auto"/>
        </w:rPr>
      </w:pPr>
      <w:r>
        <w:rPr>
          <w:rFonts w:ascii="Arial" w:cs="Arial" w:eastAsia="Arial" w:hAnsi="Arial"/>
          <w:sz w:val="14"/>
          <w:szCs w:val="14"/>
          <w:u w:val="single" w:color="auto"/>
          <w:color w:val="0000FF"/>
        </w:rPr>
        <w:t>December 21, 2018, April 24, 2019,November 26, 2019, June 2, 2020,</w:t>
      </w:r>
    </w:p>
    <w:p>
      <w:pPr>
        <w:spacing w:after="0" w:line="237" w:lineRule="auto"/>
        <w:rPr>
          <w:sz w:val="20"/>
          <w:szCs w:val="20"/>
          <w:color w:val="auto"/>
        </w:rPr>
      </w:pPr>
      <w:r>
        <w:rPr>
          <w:rFonts w:ascii="Arial" w:cs="Arial" w:eastAsia="Arial" w:hAnsi="Arial"/>
          <w:sz w:val="14"/>
          <w:szCs w:val="14"/>
          <w:u w:val="single" w:color="auto"/>
          <w:color w:val="0000FF"/>
        </w:rPr>
        <w:t>August 18, 2020, October 26, 2020, October 18, 2021 and January</w:t>
      </w:r>
    </w:p>
    <w:p>
      <w:pPr>
        <w:spacing w:after="0" w:line="237" w:lineRule="auto"/>
        <w:rPr>
          <w:sz w:val="20"/>
          <w:szCs w:val="20"/>
          <w:color w:val="auto"/>
        </w:rPr>
      </w:pPr>
      <w:r>
        <w:rPr>
          <w:rFonts w:ascii="Arial" w:cs="Arial" w:eastAsia="Arial" w:hAnsi="Arial"/>
          <w:sz w:val="14"/>
          <w:szCs w:val="14"/>
          <w:u w:val="single" w:color="auto"/>
          <w:color w:val="0000FF"/>
        </w:rPr>
        <w:t>31, 2023), by and among the Company, the lenders from time to time</w:t>
      </w:r>
    </w:p>
    <w:p>
      <w:pPr>
        <w:spacing w:after="0" w:line="238" w:lineRule="auto"/>
        <w:rPr>
          <w:sz w:val="20"/>
          <w:szCs w:val="20"/>
          <w:color w:val="auto"/>
        </w:rPr>
      </w:pPr>
      <w:r>
        <w:rPr>
          <w:rFonts w:ascii="Arial" w:cs="Arial" w:eastAsia="Arial" w:hAnsi="Arial"/>
          <w:sz w:val="14"/>
          <w:szCs w:val="14"/>
          <w:u w:val="single" w:color="auto"/>
          <w:color w:val="0000FF"/>
        </w:rPr>
        <w:t>party thereto and CHS (US) Management LLC., as administrative</w:t>
      </w:r>
    </w:p>
    <w:p>
      <w:pPr>
        <w:spacing w:after="0"/>
        <w:rPr>
          <w:sz w:val="20"/>
          <w:szCs w:val="20"/>
          <w:color w:val="auto"/>
        </w:rPr>
      </w:pPr>
      <w:r>
        <w:rPr>
          <w:rFonts w:ascii="Arial" w:cs="Arial" w:eastAsia="Arial" w:hAnsi="Arial"/>
          <w:sz w:val="14"/>
          <w:szCs w:val="14"/>
          <w:u w:val="single" w:color="auto"/>
          <w:color w:val="0000FF"/>
        </w:rPr>
        <w:t>agent.</w:t>
      </w:r>
    </w:p>
    <w:p>
      <w:pPr>
        <w:spacing w:after="0" w:line="61" w:lineRule="exact"/>
        <w:rPr>
          <w:sz w:val="20"/>
          <w:szCs w:val="20"/>
          <w:color w:val="auto"/>
        </w:rPr>
      </w:pPr>
    </w:p>
    <w:p>
      <w:pPr>
        <w:sectPr>
          <w:pgSz w:w="11900" w:h="16838" w:orient="portrait"/>
          <w:cols w:equalWidth="0" w:num="2">
            <w:col w:w="460" w:space="680"/>
            <w:col w:w="10140"/>
          </w:cols>
          <w:pgMar w:left="300" w:top="1018" w:right="319" w:bottom="1440" w:gutter="0" w:footer="0" w:header="0"/>
          <w:type w:val="continuous"/>
        </w:sectPr>
      </w:pPr>
    </w:p>
    <w:tbl>
      <w:tblPr>
        <w:tblLayout w:type="fixed"/>
        <w:tblInd w:w="2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color w:val="auto"/>
              </w:rPr>
              <w:t>31.1</w:t>
            </w:r>
          </w:p>
        </w:tc>
        <w:tc>
          <w:tcPr>
            <w:tcW w:w="6860" w:type="dxa"/>
            <w:vAlign w:val="bottom"/>
            <w:gridSpan w:val="7"/>
          </w:tcPr>
          <w:p>
            <w:pPr>
              <w:spacing w:after="0"/>
              <w:rPr>
                <w:sz w:val="20"/>
                <w:szCs w:val="20"/>
                <w:color w:val="auto"/>
              </w:rPr>
            </w:pPr>
            <w:r>
              <w:rPr>
                <w:rFonts w:ascii="Arial" w:cs="Arial" w:eastAsia="Arial" w:hAnsi="Arial"/>
                <w:sz w:val="14"/>
                <w:szCs w:val="14"/>
                <w:color w:val="0000FF"/>
              </w:rPr>
              <w:t>Certification of Chief Executive Officer pursuant to Rule 13a-</w:t>
            </w:r>
          </w:p>
        </w:tc>
        <w:tc>
          <w:tcPr>
            <w:tcW w:w="2620" w:type="dxa"/>
            <w:vAlign w:val="bottom"/>
          </w:tcPr>
          <w:p>
            <w:pPr>
              <w:jc w:val="center"/>
              <w:ind w:left="24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980" w:type="dxa"/>
            <w:vAlign w:val="bottom"/>
            <w:tcBorders>
              <w:top w:val="single" w:sz="8" w:color="0000FF"/>
              <w:bottom w:val="single" w:sz="8" w:color="0000FF"/>
            </w:tcBorders>
            <w:gridSpan w:val="2"/>
          </w:tcPr>
          <w:p>
            <w:pPr>
              <w:spacing w:after="0" w:line="139" w:lineRule="exact"/>
              <w:rPr>
                <w:sz w:val="20"/>
                <w:szCs w:val="20"/>
                <w:color w:val="auto"/>
              </w:rPr>
            </w:pPr>
            <w:r>
              <w:rPr>
                <w:rFonts w:ascii="Arial" w:cs="Arial" w:eastAsia="Arial" w:hAnsi="Arial"/>
                <w:sz w:val="14"/>
                <w:szCs w:val="14"/>
                <w:color w:val="0000FF"/>
                <w:w w:val="98"/>
              </w:rPr>
              <w:t>14(a)/15d-14(a)</w:t>
            </w:r>
          </w:p>
        </w:tc>
        <w:tc>
          <w:tcPr>
            <w:tcW w:w="280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20"/>
                <w:szCs w:val="20"/>
                <w:color w:val="auto"/>
              </w:rPr>
            </w:pPr>
            <w:r>
              <w:rPr>
                <w:rFonts w:ascii="Arial" w:cs="Arial" w:eastAsia="Arial" w:hAnsi="Arial"/>
                <w:sz w:val="14"/>
                <w:szCs w:val="14"/>
                <w:color w:val="auto"/>
              </w:rPr>
              <w:t>31.2</w:t>
            </w:r>
          </w:p>
        </w:tc>
        <w:tc>
          <w:tcPr>
            <w:tcW w:w="6860" w:type="dxa"/>
            <w:vAlign w:val="bottom"/>
            <w:gridSpan w:val="7"/>
          </w:tcPr>
          <w:p>
            <w:pPr>
              <w:spacing w:after="0"/>
              <w:rPr>
                <w:sz w:val="20"/>
                <w:szCs w:val="20"/>
                <w:color w:val="auto"/>
              </w:rPr>
            </w:pPr>
            <w:r>
              <w:rPr>
                <w:rFonts w:ascii="Arial" w:cs="Arial" w:eastAsia="Arial" w:hAnsi="Arial"/>
                <w:sz w:val="14"/>
                <w:szCs w:val="14"/>
                <w:color w:val="0000FF"/>
              </w:rPr>
              <w:t>Certification of Chief Financial Officer pursuant to Rule 13a-14(a)/15d-</w:t>
            </w:r>
          </w:p>
        </w:tc>
        <w:tc>
          <w:tcPr>
            <w:tcW w:w="2620" w:type="dxa"/>
            <w:vAlign w:val="bottom"/>
          </w:tcPr>
          <w:p>
            <w:pPr>
              <w:jc w:val="center"/>
              <w:ind w:left="24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4380" w:type="dxa"/>
            <w:vAlign w:val="bottom"/>
            <w:tcBorders>
              <w:top w:val="single" w:sz="8" w:color="0000FF"/>
            </w:tcBorders>
            <w:gridSpan w:val="6"/>
          </w:tcPr>
          <w:p>
            <w:pPr>
              <w:spacing w:after="0" w:line="139" w:lineRule="exact"/>
              <w:rPr>
                <w:sz w:val="20"/>
                <w:szCs w:val="20"/>
                <w:color w:val="auto"/>
              </w:rPr>
            </w:pPr>
            <w:r>
              <w:rPr>
                <w:rFonts w:ascii="Arial" w:cs="Arial" w:eastAsia="Arial" w:hAnsi="Arial"/>
                <w:sz w:val="14"/>
                <w:szCs w:val="14"/>
                <w:color w:val="0000FF"/>
              </w:rPr>
              <w:t>14(a)</w:t>
            </w:r>
          </w:p>
        </w:tc>
        <w:tc>
          <w:tcPr>
            <w:tcW w:w="2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20" w:type="dxa"/>
            <w:vAlign w:val="bottom"/>
          </w:tcPr>
          <w:p>
            <w:pPr>
              <w:spacing w:after="0"/>
              <w:rPr>
                <w:sz w:val="20"/>
                <w:szCs w:val="20"/>
                <w:color w:val="auto"/>
              </w:rPr>
            </w:pPr>
            <w:r>
              <w:rPr>
                <w:rFonts w:ascii="Arial" w:cs="Arial" w:eastAsia="Arial" w:hAnsi="Arial"/>
                <w:sz w:val="14"/>
                <w:szCs w:val="14"/>
                <w:color w:val="auto"/>
              </w:rPr>
              <w:t>32.1</w:t>
            </w:r>
          </w:p>
        </w:tc>
        <w:tc>
          <w:tcPr>
            <w:tcW w:w="6860" w:type="dxa"/>
            <w:vAlign w:val="bottom"/>
            <w:gridSpan w:val="7"/>
          </w:tcPr>
          <w:p>
            <w:pPr>
              <w:spacing w:after="0"/>
              <w:rPr>
                <w:sz w:val="20"/>
                <w:szCs w:val="20"/>
                <w:color w:val="auto"/>
              </w:rPr>
            </w:pPr>
            <w:r>
              <w:rPr>
                <w:rFonts w:ascii="Arial" w:cs="Arial" w:eastAsia="Arial" w:hAnsi="Arial"/>
                <w:sz w:val="14"/>
                <w:szCs w:val="14"/>
                <w:color w:val="0000FF"/>
              </w:rPr>
              <w:t>Certification of Chief Executive Officer pursuant to 18 U.S.C. Section</w:t>
            </w:r>
          </w:p>
        </w:tc>
        <w:tc>
          <w:tcPr>
            <w:tcW w:w="2620" w:type="dxa"/>
            <w:vAlign w:val="bottom"/>
          </w:tcPr>
          <w:p>
            <w:pPr>
              <w:jc w:val="center"/>
              <w:ind w:left="24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89"/>
              </w:rPr>
              <w:t>1350</w:t>
            </w:r>
          </w:p>
        </w:tc>
        <w:tc>
          <w:tcPr>
            <w:tcW w:w="660" w:type="dxa"/>
            <w:vAlign w:val="bottom"/>
            <w:tcBorders>
              <w:top w:val="single" w:sz="8" w:color="0000FF"/>
            </w:tcBorders>
          </w:tcPr>
          <w:p>
            <w:pPr>
              <w:spacing w:after="0"/>
              <w:rPr>
                <w:sz w:val="12"/>
                <w:szCs w:val="12"/>
                <w:color w:val="auto"/>
              </w:rPr>
            </w:pPr>
          </w:p>
        </w:tc>
        <w:tc>
          <w:tcPr>
            <w:tcW w:w="280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1120" w:type="dxa"/>
            <w:vAlign w:val="bottom"/>
          </w:tcPr>
          <w:p>
            <w:pPr>
              <w:spacing w:after="0"/>
              <w:rPr>
                <w:sz w:val="20"/>
                <w:szCs w:val="20"/>
                <w:color w:val="auto"/>
              </w:rPr>
            </w:pPr>
            <w:r>
              <w:rPr>
                <w:rFonts w:ascii="Arial" w:cs="Arial" w:eastAsia="Arial" w:hAnsi="Arial"/>
                <w:sz w:val="14"/>
                <w:szCs w:val="14"/>
                <w:color w:val="auto"/>
              </w:rPr>
              <w:t>32.2</w:t>
            </w:r>
          </w:p>
        </w:tc>
        <w:tc>
          <w:tcPr>
            <w:tcW w:w="6860" w:type="dxa"/>
            <w:vAlign w:val="bottom"/>
            <w:gridSpan w:val="7"/>
          </w:tcPr>
          <w:p>
            <w:pPr>
              <w:spacing w:after="0"/>
              <w:rPr>
                <w:sz w:val="20"/>
                <w:szCs w:val="20"/>
                <w:color w:val="auto"/>
              </w:rPr>
            </w:pPr>
            <w:r>
              <w:rPr>
                <w:rFonts w:ascii="Arial" w:cs="Arial" w:eastAsia="Arial" w:hAnsi="Arial"/>
                <w:sz w:val="14"/>
                <w:szCs w:val="14"/>
                <w:color w:val="0000FF"/>
              </w:rPr>
              <w:t>Certification of Chief Financial Officer pursuant to 18 U.S.C. Section</w:t>
            </w:r>
          </w:p>
        </w:tc>
        <w:tc>
          <w:tcPr>
            <w:tcW w:w="2620" w:type="dxa"/>
            <w:vAlign w:val="bottom"/>
          </w:tcPr>
          <w:p>
            <w:pPr>
              <w:jc w:val="center"/>
              <w:ind w:left="24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9"/>
        </w:trPr>
        <w:tc>
          <w:tcPr>
            <w:tcW w:w="11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39" w:lineRule="exact"/>
              <w:rPr>
                <w:sz w:val="20"/>
                <w:szCs w:val="20"/>
                <w:color w:val="auto"/>
              </w:rPr>
            </w:pPr>
            <w:r>
              <w:rPr>
                <w:rFonts w:ascii="Arial" w:cs="Arial" w:eastAsia="Arial" w:hAnsi="Arial"/>
                <w:sz w:val="14"/>
                <w:szCs w:val="14"/>
                <w:color w:val="0000FF"/>
                <w:w w:val="89"/>
              </w:rPr>
              <w:t>1350</w:t>
            </w:r>
          </w:p>
        </w:tc>
        <w:tc>
          <w:tcPr>
            <w:tcW w:w="660" w:type="dxa"/>
            <w:vAlign w:val="bottom"/>
            <w:tcBorders>
              <w:top w:val="single" w:sz="8" w:color="0000FF"/>
            </w:tcBorders>
          </w:tcPr>
          <w:p>
            <w:pPr>
              <w:spacing w:after="0"/>
              <w:rPr>
                <w:sz w:val="12"/>
                <w:szCs w:val="12"/>
                <w:color w:val="auto"/>
              </w:rPr>
            </w:pPr>
          </w:p>
        </w:tc>
        <w:tc>
          <w:tcPr>
            <w:tcW w:w="280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r>
              <w:rPr>
                <w:rFonts w:ascii="Arial" w:cs="Arial" w:eastAsia="Arial" w:hAnsi="Arial"/>
                <w:sz w:val="14"/>
                <w:szCs w:val="14"/>
                <w:color w:val="auto"/>
              </w:rPr>
              <w:t>101.INS</w:t>
            </w:r>
          </w:p>
        </w:tc>
        <w:tc>
          <w:tcPr>
            <w:tcW w:w="6860" w:type="dxa"/>
            <w:vAlign w:val="bottom"/>
            <w:gridSpan w:val="7"/>
          </w:tcPr>
          <w:p>
            <w:pPr>
              <w:spacing w:after="0"/>
              <w:rPr>
                <w:sz w:val="20"/>
                <w:szCs w:val="20"/>
                <w:color w:val="auto"/>
              </w:rPr>
            </w:pPr>
            <w:r>
              <w:rPr>
                <w:rFonts w:ascii="Arial" w:cs="Arial" w:eastAsia="Arial" w:hAnsi="Arial"/>
                <w:sz w:val="14"/>
                <w:szCs w:val="14"/>
                <w:color w:val="auto"/>
              </w:rPr>
              <w:t>Inline XBRL Instance Document - the instance document does not</w:t>
            </w:r>
          </w:p>
        </w:tc>
        <w:tc>
          <w:tcPr>
            <w:tcW w:w="2620" w:type="dxa"/>
            <w:vAlign w:val="bottom"/>
          </w:tcPr>
          <w:p>
            <w:pPr>
              <w:jc w:val="center"/>
              <w:ind w:left="24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6860" w:type="dxa"/>
            <w:vAlign w:val="bottom"/>
            <w:gridSpan w:val="7"/>
          </w:tcPr>
          <w:p>
            <w:pPr>
              <w:spacing w:after="0" w:line="149" w:lineRule="exact"/>
              <w:rPr>
                <w:sz w:val="20"/>
                <w:szCs w:val="20"/>
                <w:color w:val="auto"/>
              </w:rPr>
            </w:pPr>
            <w:r>
              <w:rPr>
                <w:rFonts w:ascii="Arial" w:cs="Arial" w:eastAsia="Arial" w:hAnsi="Arial"/>
                <w:sz w:val="14"/>
                <w:szCs w:val="14"/>
                <w:color w:val="auto"/>
              </w:rPr>
              <w:t>appear in the Interactive Data File because its XBRL tags are</w:t>
            </w: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6860" w:type="dxa"/>
            <w:vAlign w:val="bottom"/>
            <w:gridSpan w:val="7"/>
          </w:tcPr>
          <w:p>
            <w:pPr>
              <w:spacing w:after="0"/>
              <w:rPr>
                <w:sz w:val="20"/>
                <w:szCs w:val="20"/>
                <w:color w:val="auto"/>
              </w:rPr>
            </w:pPr>
            <w:r>
              <w:rPr>
                <w:rFonts w:ascii="Arial" w:cs="Arial" w:eastAsia="Arial" w:hAnsi="Arial"/>
                <w:sz w:val="14"/>
                <w:szCs w:val="14"/>
                <w:color w:val="auto"/>
              </w:rPr>
              <w:t>embedded within the Inline XBRL document.</w:t>
            </w: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0"/>
                <w:szCs w:val="20"/>
                <w:color w:val="auto"/>
              </w:rPr>
            </w:pPr>
            <w:r>
              <w:rPr>
                <w:rFonts w:ascii="Arial" w:cs="Arial" w:eastAsia="Arial" w:hAnsi="Arial"/>
                <w:sz w:val="14"/>
                <w:szCs w:val="14"/>
                <w:color w:val="auto"/>
              </w:rPr>
              <w:t>101.SCH</w:t>
            </w:r>
          </w:p>
        </w:tc>
        <w:tc>
          <w:tcPr>
            <w:tcW w:w="6860" w:type="dxa"/>
            <w:vAlign w:val="bottom"/>
            <w:gridSpan w:val="7"/>
          </w:tcPr>
          <w:p>
            <w:pPr>
              <w:spacing w:after="0"/>
              <w:rPr>
                <w:sz w:val="20"/>
                <w:szCs w:val="20"/>
                <w:color w:val="auto"/>
              </w:rPr>
            </w:pPr>
            <w:r>
              <w:rPr>
                <w:rFonts w:ascii="Arial" w:cs="Arial" w:eastAsia="Arial" w:hAnsi="Arial"/>
                <w:sz w:val="14"/>
                <w:szCs w:val="14"/>
                <w:color w:val="auto"/>
              </w:rPr>
              <w:t>Inline XBRL Taxonomy Extension Schema Document</w:t>
            </w:r>
          </w:p>
        </w:tc>
        <w:tc>
          <w:tcPr>
            <w:tcW w:w="2620" w:type="dxa"/>
            <w:vAlign w:val="bottom"/>
          </w:tcPr>
          <w:p>
            <w:pPr>
              <w:jc w:val="center"/>
              <w:ind w:left="24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0"/>
                <w:szCs w:val="20"/>
                <w:color w:val="auto"/>
              </w:rPr>
            </w:pPr>
            <w:r>
              <w:rPr>
                <w:rFonts w:ascii="Arial" w:cs="Arial" w:eastAsia="Arial" w:hAnsi="Arial"/>
                <w:sz w:val="14"/>
                <w:szCs w:val="14"/>
                <w:color w:val="auto"/>
              </w:rPr>
              <w:t>101.CAL</w:t>
            </w:r>
          </w:p>
        </w:tc>
        <w:tc>
          <w:tcPr>
            <w:tcW w:w="6860" w:type="dxa"/>
            <w:vAlign w:val="bottom"/>
            <w:gridSpan w:val="7"/>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2620" w:type="dxa"/>
            <w:vAlign w:val="bottom"/>
          </w:tcPr>
          <w:p>
            <w:pPr>
              <w:jc w:val="center"/>
              <w:ind w:left="24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0"/>
                <w:szCs w:val="20"/>
                <w:color w:val="auto"/>
              </w:rPr>
            </w:pPr>
            <w:r>
              <w:rPr>
                <w:rFonts w:ascii="Arial" w:cs="Arial" w:eastAsia="Arial" w:hAnsi="Arial"/>
                <w:sz w:val="14"/>
                <w:szCs w:val="14"/>
                <w:color w:val="auto"/>
              </w:rPr>
              <w:t>101.DEF</w:t>
            </w:r>
          </w:p>
        </w:tc>
        <w:tc>
          <w:tcPr>
            <w:tcW w:w="6860" w:type="dxa"/>
            <w:vAlign w:val="bottom"/>
            <w:gridSpan w:val="7"/>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2620" w:type="dxa"/>
            <w:vAlign w:val="bottom"/>
          </w:tcPr>
          <w:p>
            <w:pPr>
              <w:jc w:val="center"/>
              <w:ind w:left="24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0"/>
                <w:szCs w:val="20"/>
                <w:color w:val="auto"/>
              </w:rPr>
            </w:pPr>
            <w:r>
              <w:rPr>
                <w:rFonts w:ascii="Arial" w:cs="Arial" w:eastAsia="Arial" w:hAnsi="Arial"/>
                <w:sz w:val="14"/>
                <w:szCs w:val="14"/>
                <w:color w:val="auto"/>
              </w:rPr>
              <w:t>101.LAB</w:t>
            </w:r>
          </w:p>
        </w:tc>
        <w:tc>
          <w:tcPr>
            <w:tcW w:w="6860" w:type="dxa"/>
            <w:vAlign w:val="bottom"/>
            <w:gridSpan w:val="7"/>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2620" w:type="dxa"/>
            <w:vAlign w:val="bottom"/>
          </w:tcPr>
          <w:p>
            <w:pPr>
              <w:jc w:val="center"/>
              <w:ind w:left="24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1120" w:type="dxa"/>
            <w:vAlign w:val="bottom"/>
          </w:tcPr>
          <w:p>
            <w:pPr>
              <w:spacing w:after="0"/>
              <w:rPr>
                <w:sz w:val="20"/>
                <w:szCs w:val="20"/>
                <w:color w:val="auto"/>
              </w:rPr>
            </w:pPr>
            <w:r>
              <w:rPr>
                <w:rFonts w:ascii="Arial" w:cs="Arial" w:eastAsia="Arial" w:hAnsi="Arial"/>
                <w:sz w:val="14"/>
                <w:szCs w:val="14"/>
                <w:color w:val="auto"/>
              </w:rPr>
              <w:t>101.PRE</w:t>
            </w:r>
          </w:p>
        </w:tc>
        <w:tc>
          <w:tcPr>
            <w:tcW w:w="6860" w:type="dxa"/>
            <w:vAlign w:val="bottom"/>
            <w:gridSpan w:val="7"/>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2620" w:type="dxa"/>
            <w:vAlign w:val="bottom"/>
          </w:tcPr>
          <w:p>
            <w:pPr>
              <w:jc w:val="center"/>
              <w:ind w:left="24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120" w:type="dxa"/>
            <w:vAlign w:val="bottom"/>
            <w:vMerge w:val="restart"/>
          </w:tcPr>
          <w:p>
            <w:pPr>
              <w:spacing w:after="0"/>
              <w:rPr>
                <w:sz w:val="20"/>
                <w:szCs w:val="20"/>
                <w:color w:val="auto"/>
              </w:rPr>
            </w:pPr>
            <w:r>
              <w:rPr>
                <w:rFonts w:ascii="Arial" w:cs="Arial" w:eastAsia="Arial" w:hAnsi="Arial"/>
                <w:sz w:val="14"/>
                <w:szCs w:val="14"/>
                <w:color w:val="auto"/>
              </w:rPr>
              <w:t>104</w:t>
            </w:r>
          </w:p>
        </w:tc>
        <w:tc>
          <w:tcPr>
            <w:tcW w:w="6860" w:type="dxa"/>
            <w:vAlign w:val="bottom"/>
            <w:gridSpan w:val="7"/>
          </w:tcPr>
          <w:p>
            <w:pPr>
              <w:spacing w:after="0"/>
              <w:rPr>
                <w:sz w:val="20"/>
                <w:szCs w:val="20"/>
                <w:color w:val="auto"/>
              </w:rPr>
            </w:pPr>
            <w:r>
              <w:rPr>
                <w:rFonts w:ascii="Arial" w:cs="Arial" w:eastAsia="Arial" w:hAnsi="Arial"/>
                <w:sz w:val="14"/>
                <w:szCs w:val="14"/>
                <w:color w:val="auto"/>
              </w:rPr>
              <w:t>Cover Page Interactive Data File (formatted as Inline XBRL and</w:t>
            </w:r>
          </w:p>
        </w:tc>
        <w:tc>
          <w:tcPr>
            <w:tcW w:w="2620" w:type="dxa"/>
            <w:vAlign w:val="bottom"/>
            <w:vMerge w:val="restart"/>
          </w:tcPr>
          <w:p>
            <w:pPr>
              <w:jc w:val="center"/>
              <w:ind w:left="24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1120" w:type="dxa"/>
            <w:vAlign w:val="bottom"/>
            <w:vMerge w:val="continue"/>
          </w:tcPr>
          <w:p>
            <w:pPr>
              <w:spacing w:after="0"/>
              <w:rPr>
                <w:sz w:val="16"/>
                <w:szCs w:val="16"/>
                <w:color w:val="auto"/>
              </w:rPr>
            </w:pPr>
          </w:p>
        </w:tc>
        <w:tc>
          <w:tcPr>
            <w:tcW w:w="6860" w:type="dxa"/>
            <w:vAlign w:val="bottom"/>
            <w:gridSpan w:val="7"/>
          </w:tcPr>
          <w:p>
            <w:pPr>
              <w:spacing w:after="0"/>
              <w:rPr>
                <w:sz w:val="20"/>
                <w:szCs w:val="20"/>
                <w:color w:val="auto"/>
              </w:rPr>
            </w:pPr>
            <w:r>
              <w:rPr>
                <w:rFonts w:ascii="Arial" w:cs="Arial" w:eastAsia="Arial" w:hAnsi="Arial"/>
                <w:sz w:val="14"/>
                <w:szCs w:val="14"/>
                <w:color w:val="auto"/>
              </w:rPr>
              <w:t>contained in Exhibit 101)</w:t>
            </w:r>
          </w:p>
        </w:tc>
        <w:tc>
          <w:tcPr>
            <w:tcW w:w="2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Furnished herewith</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23" w:lineRule="exact"/>
        <w:rPr>
          <w:sz w:val="20"/>
          <w:szCs w:val="20"/>
          <w:color w:val="auto"/>
        </w:rPr>
      </w:pPr>
    </w:p>
    <w:p>
      <w:pPr>
        <w:ind w:right="200" w:firstLine="5"/>
        <w:spacing w:after="0" w:line="253" w:lineRule="auto"/>
        <w:tabs>
          <w:tab w:leader="none" w:pos="118" w:val="left"/>
        </w:tabs>
        <w:numPr>
          <w:ilvl w:val="0"/>
          <w:numId w:val="50"/>
        </w:numPr>
        <w:rPr>
          <w:rFonts w:ascii="Arial" w:cs="Arial" w:eastAsia="Arial" w:hAnsi="Arial"/>
          <w:sz w:val="14"/>
          <w:szCs w:val="14"/>
          <w:color w:val="auto"/>
        </w:rPr>
      </w:pPr>
      <w:r>
        <w:rPr>
          <w:rFonts w:ascii="Arial" w:cs="Arial" w:eastAsia="Arial" w:hAnsi="Arial"/>
          <w:sz w:val="14"/>
          <w:szCs w:val="14"/>
          <w:color w:val="auto"/>
        </w:rPr>
        <w:t>Certain portions of this exhibit (indicated by “[***]”) have been omitted pursuant to Regulation S-K, Item (601)(b)(10) because the omitted information (i) is not material and (ii) is treated as confidential by the Company</w:t>
      </w:r>
    </w:p>
    <w:p>
      <w:pPr>
        <w:ind w:right="280"/>
        <w:spacing w:after="0" w:line="269" w:lineRule="auto"/>
        <w:rPr>
          <w:rFonts w:ascii="Arial" w:cs="Arial" w:eastAsia="Arial" w:hAnsi="Arial"/>
          <w:sz w:val="14"/>
          <w:szCs w:val="14"/>
          <w:color w:val="auto"/>
        </w:rPr>
      </w:pPr>
      <w:r>
        <w:rPr>
          <w:rFonts w:ascii="Arial" w:cs="Arial" w:eastAsia="Arial" w:hAnsi="Arial"/>
          <w:sz w:val="14"/>
          <w:szCs w:val="14"/>
          <w:color w:val="auto"/>
        </w:rPr>
        <w:t>X Certain schedules (or similar attachments) to this exhibit have been omitted pursuant to Regulation S-K, Item 601(a)(5). The registrant agrees to furnish a copy of any omitted schedule (or similar attachment)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8" w:right="319" w:bottom="1440" w:gutter="0" w:footer="0" w:header="0"/>
          <w:type w:val="continuous"/>
        </w:sectPr>
      </w:pPr>
    </w:p>
    <w:bookmarkStart w:id="95" w:name="page96"/>
    <w:bookmarkEnd w:id="95"/>
    <w:p>
      <w:pPr>
        <w:jc w:val="center"/>
        <w:ind w:right="-179"/>
        <w:spacing w:after="0"/>
        <w:rPr>
          <w:sz w:val="20"/>
          <w:szCs w:val="20"/>
          <w:color w:val="auto"/>
        </w:rPr>
      </w:pPr>
      <w:r>
        <w:rPr>
          <w:rFonts w:ascii="Arial" w:cs="Arial" w:eastAsia="Arial" w:hAnsi="Arial"/>
          <w:sz w:val="14"/>
          <w:szCs w:val="14"/>
          <w:b w:val="1"/>
          <w:bCs w:val="1"/>
          <w:color w:val="auto"/>
        </w:rPr>
        <w:t>SIGNATURES</w:t>
      </w:r>
    </w:p>
    <w:p>
      <w:pPr>
        <w:spacing w:after="0" w:line="94" w:lineRule="exact"/>
        <w:rPr>
          <w:sz w:val="20"/>
          <w:szCs w:val="20"/>
          <w:color w:val="auto"/>
        </w:rPr>
      </w:pPr>
    </w:p>
    <w:p>
      <w:pPr>
        <w:ind w:firstLine="382"/>
        <w:spacing w:after="0" w:line="29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4"/>
          <w:szCs w:val="14"/>
          <w:b w:val="1"/>
          <w:bCs w:val="1"/>
          <w:color w:val="auto"/>
        </w:rPr>
        <w:t>RENT THE RUNWAY, INC.</w:t>
      </w:r>
    </w:p>
    <w:p>
      <w:pPr>
        <w:spacing w:after="0" w:line="210" w:lineRule="exact"/>
        <w:rPr>
          <w:sz w:val="20"/>
          <w:szCs w:val="20"/>
          <w:color w:val="auto"/>
        </w:rPr>
      </w:pPr>
    </w:p>
    <w:p>
      <w:pPr>
        <w:ind w:left="20"/>
        <w:spacing w:after="0"/>
        <w:tabs>
          <w:tab w:leader="none" w:pos="5940" w:val="left"/>
          <w:tab w:leader="none" w:pos="6400" w:val="left"/>
        </w:tabs>
        <w:rPr>
          <w:sz w:val="20"/>
          <w:szCs w:val="20"/>
          <w:color w:val="auto"/>
        </w:rPr>
      </w:pPr>
      <w:r>
        <w:rPr>
          <w:rFonts w:ascii="Arial" w:cs="Arial" w:eastAsia="Arial" w:hAnsi="Arial"/>
          <w:sz w:val="14"/>
          <w:szCs w:val="14"/>
          <w:color w:val="auto"/>
        </w:rPr>
        <w:t>Date: June 6, 2025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28575</wp:posOffset>
            </wp:positionV>
            <wp:extent cx="309943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3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Siddharth Thacker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Chief Financial Officer</w:t>
      </w:r>
    </w:p>
    <w:p>
      <w:pPr>
        <w:spacing w:after="0" w:line="41" w:lineRule="exact"/>
        <w:rPr>
          <w:sz w:val="20"/>
          <w:szCs w:val="20"/>
          <w:color w:val="auto"/>
        </w:rPr>
      </w:pPr>
    </w:p>
    <w:p>
      <w:pPr>
        <w:ind w:left="642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100"/>
          </w:cols>
          <w:pgMar w:left="300" w:top="1016" w:right="499" w:bottom="1440"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Jennifer Y. Hyman, certify that:</w:t>
      </w:r>
    </w:p>
    <w:p>
      <w:pPr>
        <w:spacing w:after="0" w:line="189" w:lineRule="exact"/>
        <w:rPr>
          <w:sz w:val="20"/>
          <w:szCs w:val="20"/>
          <w:color w:val="auto"/>
        </w:rPr>
      </w:pPr>
    </w:p>
    <w:p>
      <w:pPr>
        <w:ind w:left="540" w:hanging="280"/>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5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5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5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5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5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5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20" w:val="left"/>
          <w:tab w:leader="none" w:pos="6980" w:val="left"/>
        </w:tabs>
        <w:rPr>
          <w:sz w:val="20"/>
          <w:szCs w:val="20"/>
          <w:color w:val="auto"/>
        </w:rPr>
      </w:pPr>
      <w:r>
        <w:rPr>
          <w:rFonts w:ascii="Arial" w:cs="Arial" w:eastAsia="Arial" w:hAnsi="Arial"/>
          <w:sz w:val="14"/>
          <w:szCs w:val="14"/>
          <w:color w:val="auto"/>
        </w:rPr>
        <w:t>Date: June 6, 2025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34925</wp:posOffset>
            </wp:positionV>
            <wp:extent cx="372554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4">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42"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260"/>
          </w:cols>
          <w:pgMar w:left="320" w:top="125" w:right="3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I, Siddharth Thacker, certify that:</w:t>
      </w:r>
    </w:p>
    <w:p>
      <w:pPr>
        <w:spacing w:after="0" w:line="189" w:lineRule="exact"/>
        <w:rPr>
          <w:sz w:val="20"/>
          <w:szCs w:val="20"/>
          <w:color w:val="auto"/>
        </w:rPr>
      </w:pPr>
    </w:p>
    <w:p>
      <w:pPr>
        <w:ind w:left="540" w:hanging="280"/>
        <w:spacing w:after="0"/>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Rent the Runway, Inc.;</w:t>
      </w:r>
    </w:p>
    <w:p>
      <w:pPr>
        <w:spacing w:after="0" w:line="189" w:lineRule="exact"/>
        <w:rPr>
          <w:rFonts w:ascii="Arial" w:cs="Arial" w:eastAsia="Arial" w:hAnsi="Arial"/>
          <w:sz w:val="14"/>
          <w:szCs w:val="14"/>
          <w:color w:val="auto"/>
        </w:rPr>
      </w:pPr>
    </w:p>
    <w:p>
      <w:pPr>
        <w:ind w:left="520" w:right="20" w:hanging="260"/>
        <w:spacing w:after="0" w:line="274" w:lineRule="auto"/>
        <w:tabs>
          <w:tab w:leader="none" w:pos="511"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4"/>
          <w:szCs w:val="14"/>
          <w:color w:val="auto"/>
        </w:rPr>
      </w:pPr>
    </w:p>
    <w:p>
      <w:pPr>
        <w:ind w:left="520" w:right="80" w:hanging="260"/>
        <w:spacing w:after="0" w:line="274" w:lineRule="auto"/>
        <w:tabs>
          <w:tab w:leader="none" w:pos="511" w:val="left"/>
        </w:tabs>
        <w:numPr>
          <w:ilvl w:val="0"/>
          <w:numId w:val="5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4"/>
          <w:szCs w:val="14"/>
          <w:color w:val="auto"/>
        </w:rPr>
      </w:pPr>
    </w:p>
    <w:p>
      <w:pPr>
        <w:ind w:left="520" w:right="280" w:hanging="260"/>
        <w:spacing w:after="0" w:line="274" w:lineRule="auto"/>
        <w:tabs>
          <w:tab w:leader="none" w:pos="511"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4"/>
          <w:szCs w:val="14"/>
          <w:color w:val="auto"/>
        </w:rPr>
      </w:pPr>
    </w:p>
    <w:p>
      <w:pPr>
        <w:ind w:left="1020" w:right="360" w:hanging="251"/>
        <w:spacing w:after="0" w:line="255" w:lineRule="auto"/>
        <w:tabs>
          <w:tab w:leader="none" w:pos="1011" w:val="left"/>
        </w:tabs>
        <w:numPr>
          <w:ilvl w:val="1"/>
          <w:numId w:val="5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4"/>
          <w:szCs w:val="14"/>
          <w:color w:val="auto"/>
        </w:rPr>
      </w:pPr>
    </w:p>
    <w:p>
      <w:pPr>
        <w:ind w:left="1020" w:right="180" w:hanging="251"/>
        <w:spacing w:after="0" w:line="255" w:lineRule="auto"/>
        <w:tabs>
          <w:tab w:leader="none" w:pos="1011" w:val="left"/>
        </w:tabs>
        <w:numPr>
          <w:ilvl w:val="1"/>
          <w:numId w:val="5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4"/>
          <w:szCs w:val="14"/>
          <w:color w:val="auto"/>
        </w:rPr>
      </w:pPr>
    </w:p>
    <w:p>
      <w:pPr>
        <w:ind w:left="1020" w:right="520" w:hanging="251"/>
        <w:spacing w:after="0" w:line="274" w:lineRule="auto"/>
        <w:tabs>
          <w:tab w:leader="none" w:pos="1013" w:val="left"/>
        </w:tabs>
        <w:numPr>
          <w:ilvl w:val="1"/>
          <w:numId w:val="5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ind w:left="1020" w:right="20" w:hanging="251"/>
        <w:spacing w:after="0" w:line="255" w:lineRule="auto"/>
        <w:tabs>
          <w:tab w:leader="none" w:pos="1011" w:val="left"/>
        </w:tabs>
        <w:numPr>
          <w:ilvl w:val="1"/>
          <w:numId w:val="5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4"/>
          <w:szCs w:val="14"/>
          <w:color w:val="auto"/>
        </w:rPr>
      </w:pPr>
    </w:p>
    <w:p>
      <w:pPr>
        <w:ind w:left="520" w:right="160" w:hanging="260"/>
        <w:spacing w:after="0" w:line="274" w:lineRule="auto"/>
        <w:tabs>
          <w:tab w:leader="none" w:pos="511"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1020" w:right="260" w:hanging="251"/>
        <w:spacing w:after="0" w:line="274" w:lineRule="auto"/>
        <w:tabs>
          <w:tab w:leader="none" w:pos="1011" w:val="left"/>
        </w:tabs>
        <w:numPr>
          <w:ilvl w:val="1"/>
          <w:numId w:val="5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1020" w:right="500" w:hanging="251"/>
        <w:spacing w:after="0" w:line="274" w:lineRule="auto"/>
        <w:tabs>
          <w:tab w:leader="none" w:pos="1011" w:val="left"/>
        </w:tabs>
        <w:numPr>
          <w:ilvl w:val="1"/>
          <w:numId w:val="5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125" w:right="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4220" w:val="left"/>
          <w:tab w:leader="none" w:pos="7040" w:val="left"/>
        </w:tabs>
        <w:rPr>
          <w:sz w:val="20"/>
          <w:szCs w:val="20"/>
          <w:color w:val="auto"/>
        </w:rPr>
      </w:pPr>
      <w:r>
        <w:rPr>
          <w:rFonts w:ascii="Arial" w:cs="Arial" w:eastAsia="Arial" w:hAnsi="Arial"/>
          <w:sz w:val="14"/>
          <w:szCs w:val="14"/>
          <w:color w:val="auto"/>
        </w:rPr>
        <w:t>Date: June 6, 2025</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28575</wp:posOffset>
            </wp:positionV>
            <wp:extent cx="372554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5">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260"/>
          </w:cols>
          <w:pgMar w:left="320" w:top="125"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64"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4"/>
          <w:szCs w:val="14"/>
          <w:color w:val="auto"/>
        </w:rPr>
        <w:t>I, Jennifer Y. Hyman, the Chief Executive Officer of Rent the Runway, Inc., certify, pursuant to 18 U.S.C. Section 1350, as adopted pursuant to Section 906 of the Sarbanes-Oxley Act of 2002, that the Quarterly Report on Form 10-Q of Rent the Runway, Inc. for the quarterly period ended April 30,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100" w:val="left"/>
        </w:tabs>
        <w:rPr>
          <w:sz w:val="20"/>
          <w:szCs w:val="20"/>
          <w:color w:val="auto"/>
        </w:rPr>
      </w:pPr>
      <w:r>
        <w:rPr>
          <w:rFonts w:ascii="Times New Roman" w:cs="Times New Roman" w:eastAsia="Times New Roman" w:hAnsi="Times New Roman"/>
          <w:sz w:val="14"/>
          <w:szCs w:val="14"/>
          <w:color w:val="auto"/>
        </w:rPr>
        <w:t>Date: June 6,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Jennifer Y. Hyman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6">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Jennifer Y. Hyman</w:t>
      </w:r>
    </w:p>
    <w:p>
      <w:pPr>
        <w:spacing w:after="0" w:line="4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25" w:right="3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4"/>
          <w:szCs w:val="14"/>
          <w:color w:val="auto"/>
        </w:rPr>
        <w:t>I, Siddharth Thacker, the Chief Financial Officer of Rent the Runway, Inc., certify, pursuant to 18 U.S.C. Section 1350, as adopted pursuant to Section 906 of the Sarbanes-Oxley Act of 2002, that the Quarterly Report on Form 10-Q of Rent the Runway, Inc. for the quarterly period ended April 30,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Rent the Runway, Inc.</w:t>
      </w: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4240" w:val="left"/>
          <w:tab w:leader="none" w:pos="7120" w:val="left"/>
        </w:tabs>
        <w:rPr>
          <w:sz w:val="20"/>
          <w:szCs w:val="20"/>
          <w:color w:val="auto"/>
        </w:rPr>
      </w:pPr>
      <w:r>
        <w:rPr>
          <w:rFonts w:ascii="Times New Roman" w:cs="Times New Roman" w:eastAsia="Times New Roman" w:hAnsi="Times New Roman"/>
          <w:sz w:val="14"/>
          <w:szCs w:val="14"/>
          <w:color w:val="auto"/>
        </w:rPr>
        <w:t>Date: June 6,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Siddharth Thacker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28575</wp:posOffset>
            </wp:positionV>
            <wp:extent cx="372554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7">
                      <a:extLst>
                        <a:ext uri="{28A0092B-C50C-407E-A947-70E740481C1C}"/>
                      </a:extLst>
                    </a:blip>
                    <a:srcRect/>
                    <a:stretch>
                      <a:fillRect/>
                    </a:stretch>
                  </pic:blipFill>
                  <pic:spPr bwMode="auto">
                    <a:xfrm>
                      <a:off x="0" y="0"/>
                      <a:ext cx="3725545" cy="6985"/>
                    </a:xfrm>
                    <a:prstGeom prst="rect">
                      <a:avLst/>
                    </a:prstGeom>
                    <a:noFill/>
                  </pic:spPr>
                </pic:pic>
              </a:graphicData>
            </a:graphic>
          </wp:anchor>
        </w:drawing>
      </w:r>
    </w:p>
    <w:p>
      <w:pPr>
        <w:spacing w:after="0" w:line="3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Siddharth Thacker</w:t>
      </w:r>
    </w:p>
    <w:p>
      <w:pPr>
        <w:spacing w:after="0" w:line="4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4"/>
          <w:szCs w:val="14"/>
          <w:color w:val="auto"/>
        </w:rPr>
        <w:t>Chief Financial Officer</w:t>
      </w:r>
    </w:p>
    <w:sectPr>
      <w:pgSz w:w="11900" w:h="16838" w:orient="portrait"/>
      <w:cols w:equalWidth="0" w:num="1">
        <w:col w:w="11280"/>
      </w:cols>
      <w:pgMar w:left="300" w:top="12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3"/>
    </w:lvl>
  </w:abstractNum>
  <w:abstractNum w:abstractNumId="6">
    <w:nsid w:val="3A95F874"/>
    <w:multiLevelType w:val="hybridMultilevel"/>
    <w:lvl w:ilvl="0">
      <w:lvlJc w:val="left"/>
      <w:lvlText w:val="%1."/>
      <w:numFmt w:val="decimal"/>
      <w:start w:val="4"/>
    </w:lvl>
  </w:abstractNum>
  <w:abstractNum w:abstractNumId="7">
    <w:nsid w:val="8138641"/>
    <w:multiLevelType w:val="hybridMultilevel"/>
    <w:lvl w:ilvl="0">
      <w:lvlJc w:val="left"/>
      <w:lvlText w:val="%1."/>
      <w:numFmt w:val="decimal"/>
      <w:start w:val="5"/>
    </w:lvl>
  </w:abstractNum>
  <w:abstractNum w:abstractNumId="8">
    <w:nsid w:val="1E7FF521"/>
    <w:multiLevelType w:val="hybridMultilevel"/>
    <w:lvl w:ilvl="0">
      <w:lvlJc w:val="left"/>
      <w:lvlText w:val="%1."/>
      <w:numFmt w:val="decimal"/>
      <w:start w:val="6"/>
    </w:lvl>
  </w:abstractNum>
  <w:abstractNum w:abstractNumId="9">
    <w:nsid w:val="7C3DBD3D"/>
    <w:multiLevelType w:val="hybridMultilevel"/>
    <w:lvl w:ilvl="0">
      <w:lvlJc w:val="left"/>
      <w:lvlText w:val="%1."/>
      <w:numFmt w:val="decimal"/>
      <w:start w:val="7"/>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8"/>
    </w:lvl>
  </w:abstractNum>
  <w:abstractNum w:abstractNumId="15">
    <w:nsid w:val="614FD4A1"/>
    <w:multiLevelType w:val="hybridMultilevel"/>
    <w:lvl w:ilvl="0">
      <w:lvlJc w:val="left"/>
      <w:lvlText w:val="%1."/>
      <w:numFmt w:val="decimal"/>
      <w:start w:val="10"/>
    </w:lvl>
  </w:abstractNum>
  <w:abstractNum w:abstractNumId="16">
    <w:nsid w:val="419AC241"/>
    <w:multiLevelType w:val="hybridMultilevel"/>
    <w:lvl w:ilvl="0">
      <w:lvlJc w:val="left"/>
      <w:lvlText w:val="%1."/>
      <w:numFmt w:val="decimal"/>
      <w:start w:val="11"/>
    </w:lvl>
  </w:abstractNum>
  <w:abstractNum w:abstractNumId="17">
    <w:nsid w:val="5577F8E1"/>
    <w:multiLevelType w:val="hybridMultilevel"/>
    <w:lvl w:ilvl="0">
      <w:lvlJc w:val="left"/>
      <w:lvlText w:val="%1."/>
      <w:numFmt w:val="decimal"/>
      <w:start w:val="12"/>
    </w:lvl>
  </w:abstractNum>
  <w:abstractNum w:abstractNumId="18">
    <w:nsid w:val="440BADFC"/>
    <w:multiLevelType w:val="hybridMultilevel"/>
    <w:lvl w:ilvl="0">
      <w:lvlJc w:val="left"/>
      <w:lvlText w:val="%1."/>
      <w:numFmt w:val="decimal"/>
      <w:start w:val="13"/>
    </w:lvl>
  </w:abstractNum>
  <w:abstractNum w:abstractNumId="19">
    <w:nsid w:val="5072367"/>
    <w:multiLevelType w:val="hybridMultilevel"/>
    <w:lvl w:ilvl="0">
      <w:lvlJc w:val="left"/>
      <w:lvlText w:val="%1."/>
      <w:numFmt w:val="decimal"/>
      <w:start w:val="14"/>
    </w:lvl>
  </w:abstractNum>
  <w:abstractNum w:abstractNumId="20">
    <w:nsid w:val="3804823E"/>
    <w:multiLevelType w:val="hybridMultilevel"/>
    <w:lvl w:ilvl="0">
      <w:lvlJc w:val="left"/>
      <w:lvlText w:val="%1."/>
      <w:numFmt w:val="decimal"/>
      <w:start w:val="15"/>
    </w:lvl>
  </w:abstractNum>
  <w:abstractNum w:abstractNumId="21">
    <w:nsid w:val="77465F01"/>
    <w:multiLevelType w:val="hybridMultilevel"/>
    <w:lvl w:ilvl="0">
      <w:lvlJc w:val="left"/>
      <w:lvlText w:val="•"/>
      <w:numFmt w:val="bullet"/>
      <w:start w:val="1"/>
    </w:lvl>
    <w:lvl w:ilvl="1">
      <w:lvlJc w:val="left"/>
      <w:lvlText w:val="•"/>
      <w:numFmt w:val="bullet"/>
      <w:start w:val="1"/>
    </w:lvl>
  </w:abstractNum>
  <w:abstractNum w:abstractNumId="22">
    <w:nsid w:val="7724C67E"/>
    <w:multiLevelType w:val="hybridMultilevel"/>
    <w:lvl w:ilvl="0">
      <w:lvlJc w:val="left"/>
      <w:lvlText w:val="1"/>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2"/>
      <w:numFmt w:val="bullet"/>
      <w:start w:val="1"/>
    </w:lvl>
  </w:abstractNum>
  <w:abstractNum w:abstractNumId="26">
    <w:nsid w:val="51EAD36B"/>
    <w:multiLevelType w:val="hybridMultilevel"/>
    <w:lvl w:ilvl="0">
      <w:lvlJc w:val="left"/>
      <w:lvlText w:val="3"/>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endash "/>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6" Type="http://schemas.openxmlformats.org/officeDocument/2006/relationships/image" Target="media/image145.png"/><Relationship Id="rId157" Type="http://schemas.openxmlformats.org/officeDocument/2006/relationships/image" Target="media/image146.png"/><Relationship Id="rId158" Type="http://schemas.openxmlformats.org/officeDocument/2006/relationships/image" Target="media/image147.png"/><Relationship Id="rId159" Type="http://schemas.openxmlformats.org/officeDocument/2006/relationships/image" Target="media/image148.png"/><Relationship Id="rId160" Type="http://schemas.openxmlformats.org/officeDocument/2006/relationships/image" Target="media/image149.png"/><Relationship Id="rId161" Type="http://schemas.openxmlformats.org/officeDocument/2006/relationships/image" Target="media/image150.png"/><Relationship Id="rId162" Type="http://schemas.openxmlformats.org/officeDocument/2006/relationships/image" Target="media/image151.png"/><Relationship Id="rId163" Type="http://schemas.openxmlformats.org/officeDocument/2006/relationships/image" Target="media/image152.png"/><Relationship Id="rId164" Type="http://schemas.openxmlformats.org/officeDocument/2006/relationships/image" Target="media/image153.png"/><Relationship Id="rId165" Type="http://schemas.openxmlformats.org/officeDocument/2006/relationships/image" Target="media/image154.png"/><Relationship Id="rId166" Type="http://schemas.openxmlformats.org/officeDocument/2006/relationships/image" Target="media/image155.png"/><Relationship Id="rId167" Type="http://schemas.openxmlformats.org/officeDocument/2006/relationships/image" Target="media/image156.png"/><Relationship Id="rId150" Type="http://schemas.openxmlformats.org/officeDocument/2006/relationships/hyperlink" Target="https://www.sec.gov/Archives/edgar/data/0001468327/000119312521313321/d211519dex31.htm" TargetMode="External"/><Relationship Id="rId151" Type="http://schemas.openxmlformats.org/officeDocument/2006/relationships/hyperlink" Target="https://www.sec.gov/Archives/edgar/data/1468327/000146832724000100/exhibit31certificateofam.htm" TargetMode="External"/><Relationship Id="rId152" Type="http://schemas.openxmlformats.org/officeDocument/2006/relationships/hyperlink" Target="https://www.sec.gov/Archives/edgar/data/0001468327/000119312521313321/d211519dex32.htm" TargetMode="External"/><Relationship Id="rId153" Type="http://schemas.openxmlformats.org/officeDocument/2006/relationships/hyperlink" Target="https://www.sec.gov/Archives/edgar/data/1468327/000146832725000056/jhymansalaryamendment2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2025-06-06T07:50:00Z</dcterms:created>
  <dcterms:modified xsi:type="dcterms:W3CDTF">2025-06-06T07:50:00Z</dcterms:modified>
</cp:coreProperties>
</file>