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June 3, 2026, Rent the Runway, Inc. (the “Company”) issued a press release announcing its financial results for the quarter ended April 30, 2026. A copy of the press release is furnished as Exhibit 99.1 to this Form 8-K and is incorporated by reference.</w:t>
      </w:r>
    </w:p>
    <w:p>
      <w:pPr>
        <w:spacing w:after="0" w:line="18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3"/>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1"/>
                <w:szCs w:val="21"/>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Press Release issued by Rent the Runway, Inc. on June 3, 2026</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245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June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76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First Quarter 2026 Results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Revenue Grew to $89.9M, up 29.2% YoY, add-on revenue increased 70.4% YoY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Reaffirms FY26 Guidance for Revenue, Adjusted EBITDA and Rental Product Acquired</w:t>
      </w:r>
    </w:p>
    <w:p>
      <w:pPr>
        <w:spacing w:after="0" w:line="283" w:lineRule="exact"/>
        <w:rPr>
          <w:sz w:val="20"/>
          <w:szCs w:val="20"/>
          <w:color w:val="auto"/>
        </w:rPr>
      </w:pPr>
    </w:p>
    <w:p>
      <w:pPr>
        <w:jc w:val="center"/>
        <w:spacing w:after="0" w:line="300" w:lineRule="auto"/>
        <w:rPr>
          <w:sz w:val="20"/>
          <w:szCs w:val="20"/>
          <w:color w:val="auto"/>
        </w:rPr>
      </w:pPr>
      <w:r>
        <w:rPr>
          <w:rFonts w:ascii="Arial" w:cs="Arial" w:eastAsia="Arial" w:hAnsi="Arial"/>
          <w:sz w:val="20"/>
          <w:szCs w:val="20"/>
          <w:color w:val="auto"/>
        </w:rPr>
        <w:t>Welcomes Teri Bariquit as Interim CEO and President, Paige Thomas as Chief Commercial Officer, and Dave Loretta as Interim CFO</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20"/>
          <w:szCs w:val="20"/>
          <w:b w:val="1"/>
          <w:bCs w:val="1"/>
          <w:color w:val="auto"/>
        </w:rPr>
        <w:t xml:space="preserve">NEW YORK, June 3, 2026 </w:t>
      </w:r>
      <w:r>
        <w:rPr>
          <w:rFonts w:ascii="Arial" w:cs="Arial" w:eastAsia="Arial" w:hAnsi="Arial"/>
          <w:sz w:val="20"/>
          <w:szCs w:val="20"/>
          <w:color w:val="auto"/>
        </w:rPr>
        <w:t>- Rent the Runway, Inc. (“Rent the Runway” or "RTR") (NASDAQ: RENT), the company transforming</w:t>
      </w:r>
      <w:r>
        <w:rPr>
          <w:rFonts w:ascii="Arial" w:cs="Arial" w:eastAsia="Arial" w:hAnsi="Arial"/>
          <w:sz w:val="20"/>
          <w:szCs w:val="20"/>
          <w:b w:val="1"/>
          <w:bCs w:val="1"/>
          <w:color w:val="auto"/>
        </w:rPr>
        <w:t xml:space="preserve"> </w:t>
      </w:r>
      <w:r>
        <w:rPr>
          <w:rFonts w:ascii="Arial" w:cs="Arial" w:eastAsia="Arial" w:hAnsi="Arial"/>
          <w:sz w:val="20"/>
          <w:szCs w:val="20"/>
          <w:color w:val="auto"/>
        </w:rPr>
        <w:t>the way women get dressed, today reported financial results for the fiscal quarter ended April 30, 2026.</w:t>
      </w:r>
    </w:p>
    <w:p>
      <w:pPr>
        <w:spacing w:after="0" w:line="19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First quarter results demonstrate continued momentum across the business, with total revenue of $89.9 million exceeding guidance and up 29.2% YoY. EBITDA margin also surpassed expectations. We also continued to see significant growth in our add-on business, with add-on revenue increasing 70.4% year-over-year and 11.0% quarter-over-quarter in Q1, driven primarily by higher subscriber engagement following a large inventory infusion and multiple product enhancements launched last year.</w:t>
      </w:r>
    </w:p>
    <w:p>
      <w:pPr>
        <w:spacing w:after="0" w:line="211" w:lineRule="exact"/>
        <w:rPr>
          <w:sz w:val="20"/>
          <w:szCs w:val="20"/>
          <w:color w:val="auto"/>
        </w:rPr>
      </w:pPr>
    </w:p>
    <w:p>
      <w:pPr>
        <w:ind w:right="100"/>
        <w:spacing w:after="0" w:line="300" w:lineRule="auto"/>
        <w:rPr>
          <w:sz w:val="20"/>
          <w:szCs w:val="20"/>
          <w:color w:val="auto"/>
        </w:rPr>
      </w:pPr>
      <w:r>
        <w:rPr>
          <w:rFonts w:ascii="Arial" w:cs="Arial" w:eastAsia="Arial" w:hAnsi="Arial"/>
          <w:sz w:val="20"/>
          <w:szCs w:val="20"/>
          <w:color w:val="auto"/>
        </w:rPr>
        <w:t>The company’s focus in 2026 remains on Discovery, and it is continuing to deploy AI-driven experiences designed to deliver the closet of her dreams with more choice, personalization, and flexibility than ever before.</w:t>
      </w:r>
    </w:p>
    <w:p>
      <w:pPr>
        <w:spacing w:after="0" w:line="195" w:lineRule="exact"/>
        <w:rPr>
          <w:sz w:val="20"/>
          <w:szCs w:val="20"/>
          <w:color w:val="auto"/>
        </w:rPr>
      </w:pPr>
    </w:p>
    <w:p>
      <w:pPr>
        <w:ind w:right="200"/>
        <w:spacing w:after="0" w:line="290" w:lineRule="auto"/>
        <w:rPr>
          <w:sz w:val="20"/>
          <w:szCs w:val="20"/>
          <w:color w:val="auto"/>
        </w:rPr>
      </w:pPr>
      <w:r>
        <w:rPr>
          <w:rFonts w:ascii="Arial" w:cs="Arial" w:eastAsia="Arial" w:hAnsi="Arial"/>
          <w:sz w:val="20"/>
          <w:szCs w:val="20"/>
          <w:color w:val="auto"/>
        </w:rPr>
        <w:t>Rent the Runway also announced recently that Teri Bariquit has been appointed Interim CEO and President, succeeding Co-Founder Jennifer Hyman, who stepped down after 18 years of category-defining leadership. Ms. Hyman will remain an advisor to the company through January 2027 to ensure a seamless transition.</w:t>
      </w:r>
    </w:p>
    <w:p>
      <w:pPr>
        <w:spacing w:after="0" w:line="192" w:lineRule="exact"/>
        <w:rPr>
          <w:sz w:val="20"/>
          <w:szCs w:val="20"/>
          <w:color w:val="auto"/>
        </w:rPr>
      </w:pPr>
    </w:p>
    <w:p>
      <w:pPr>
        <w:ind w:right="60"/>
        <w:spacing w:after="0" w:line="282" w:lineRule="auto"/>
        <w:rPr>
          <w:sz w:val="20"/>
          <w:szCs w:val="20"/>
          <w:color w:val="auto"/>
        </w:rPr>
      </w:pPr>
      <w:r>
        <w:rPr>
          <w:rFonts w:ascii="Arial" w:cs="Arial" w:eastAsia="Arial" w:hAnsi="Arial"/>
          <w:sz w:val="20"/>
          <w:szCs w:val="20"/>
          <w:color w:val="auto"/>
        </w:rPr>
        <w:t>Ms. Bariquit brings 37 years of retail and merchandising leadership to the role, most recently serving as Chief Merchandising Officer at Nordstrom, where she led more than 1,200 team members across Buying, Planning, Product Development, and Inventory Management. She joined Rent the Runway's Board of Directors in October 2025 and will continue to work closely with Executive Chairman Dhiren Fonseca and the Senior Leadership Team to advance the company's strategy, while the Board is actively conducting a search for a permanent CEO.</w:t>
      </w:r>
    </w:p>
    <w:p>
      <w:pPr>
        <w:spacing w:after="0" w:line="215" w:lineRule="exact"/>
        <w:rPr>
          <w:sz w:val="20"/>
          <w:szCs w:val="20"/>
          <w:color w:val="auto"/>
        </w:rPr>
      </w:pPr>
    </w:p>
    <w:p>
      <w:pPr>
        <w:ind w:right="60"/>
        <w:spacing w:after="0" w:line="282" w:lineRule="auto"/>
        <w:rPr>
          <w:sz w:val="20"/>
          <w:szCs w:val="20"/>
          <w:color w:val="auto"/>
        </w:rPr>
      </w:pPr>
      <w:r>
        <w:rPr>
          <w:rFonts w:ascii="Arial" w:cs="Arial" w:eastAsia="Arial" w:hAnsi="Arial"/>
          <w:sz w:val="20"/>
          <w:szCs w:val="20"/>
          <w:color w:val="auto"/>
        </w:rPr>
        <w:t>Alongside Ms. Bariquit, the company also welcomed Paige Thomas as Chief Commercial Officer and named Dave Loretta as interim CFO. Ms. Thomas, a 25+ year retail veteran, spent over a decade at Nordstrom and most recently served as Chief Merchant &amp; Product Innovation Officer at Signet Jeweler. Mr. Loretta most recently served as CFO of The Honest Company and prior to that as CFO of Duluth Trading Company. He also brings over a decade of experience at Nordstrom, including as President and CFO of Nordstrom Bank.</w:t>
      </w:r>
    </w:p>
    <w:p>
      <w:pPr>
        <w:sectPr>
          <w:pgSz w:w="11900" w:h="16838" w:orient="portrait"/>
          <w:cols w:equalWidth="0" w:num="1">
            <w:col w:w="11240"/>
          </w:cols>
          <w:pgMar w:left="320" w:top="1101" w:right="339" w:bottom="1440" w:gutter="0" w:footer="0" w:header="0"/>
        </w:sectPr>
      </w:pPr>
    </w:p>
    <w:bookmarkStart w:id="4" w:name="page5"/>
    <w:bookmarkEnd w:id="4"/>
    <w:p>
      <w:pPr>
        <w:ind w:right="40"/>
        <w:spacing w:after="0" w:line="287" w:lineRule="auto"/>
        <w:rPr>
          <w:sz w:val="20"/>
          <w:szCs w:val="20"/>
          <w:color w:val="auto"/>
        </w:rPr>
      </w:pPr>
      <w:r>
        <w:rPr>
          <w:rFonts w:ascii="Arial" w:cs="Arial" w:eastAsia="Arial" w:hAnsi="Arial"/>
          <w:sz w:val="20"/>
          <w:szCs w:val="20"/>
          <w:color w:val="auto"/>
        </w:rPr>
        <w:t>"Rent the Runway is operating from a solid foundation, supported by a strong core business, a renewed capital structure aligned with our long-term ambitions, and diversified set of revenue streams,” said Teri Bariquit, Interim CEO and President of Rent the Runway. "I'm honored to step into this leadership role at such an exciting moment. The team has built remarkable momentum, and this quarter's results reflect the strength of a strategy that is clearly resonating with our customers.”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w:t>
      </w:r>
    </w:p>
    <w:p>
      <w:pPr>
        <w:spacing w:after="0" w:line="270" w:lineRule="exact"/>
        <w:rPr>
          <w:sz w:val="20"/>
          <w:szCs w:val="20"/>
          <w:color w:val="auto"/>
        </w:rPr>
      </w:pPr>
    </w:p>
    <w:p>
      <w:pPr>
        <w:ind w:left="500" w:hanging="492"/>
        <w:spacing w:after="0" w:line="274" w:lineRule="auto"/>
        <w:tabs>
          <w:tab w:leader="none" w:pos="48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Expanded Personalized Discovery Across the RTR Platform: </w:t>
      </w:r>
      <w:r>
        <w:rPr>
          <w:rFonts w:ascii="Arial" w:cs="Arial" w:eastAsia="Arial" w:hAnsi="Arial"/>
          <w:sz w:val="20"/>
          <w:szCs w:val="20"/>
          <w:color w:val="auto"/>
        </w:rPr>
        <w:t>In April 2026, we launched personalized carousels</w:t>
      </w:r>
      <w:r>
        <w:rPr>
          <w:rFonts w:ascii="Arial" w:cs="Arial" w:eastAsia="Arial" w:hAnsi="Arial"/>
          <w:sz w:val="20"/>
          <w:szCs w:val="20"/>
          <w:b w:val="1"/>
          <w:bCs w:val="1"/>
          <w:color w:val="auto"/>
        </w:rPr>
        <w:t xml:space="preserve"> </w:t>
      </w:r>
      <w:r>
        <w:rPr>
          <w:rFonts w:ascii="Arial" w:cs="Arial" w:eastAsia="Arial" w:hAnsi="Arial"/>
          <w:sz w:val="20"/>
          <w:szCs w:val="20"/>
          <w:color w:val="auto"/>
        </w:rPr>
        <w:t>across our platform, now live for all subscribers. Customers can now discover items similar to their recent favorites and explore a curated “For You” feed tailored to their individual style preferences. These enhancements are designed to reduce friction in discovery, save her time, and make every visit feel more personalized, and we are seeing a 11% increase in hearting behavior on the home page for active subscribers.</w:t>
      </w:r>
    </w:p>
    <w:p>
      <w:pPr>
        <w:spacing w:after="0" w:line="3" w:lineRule="exact"/>
        <w:rPr>
          <w:rFonts w:ascii="Arial" w:cs="Arial" w:eastAsia="Arial" w:hAnsi="Arial"/>
          <w:sz w:val="20"/>
          <w:szCs w:val="20"/>
          <w:b w:val="1"/>
          <w:bCs w:val="1"/>
          <w:i w:val="1"/>
          <w:iCs w:val="1"/>
          <w:color w:val="auto"/>
        </w:rPr>
      </w:pPr>
    </w:p>
    <w:p>
      <w:pPr>
        <w:ind w:left="500" w:right="20" w:hanging="330"/>
        <w:spacing w:after="0" w:line="289" w:lineRule="auto"/>
        <w:tabs>
          <w:tab w:leader="none" w:pos="488" w:val="left"/>
        </w:tabs>
        <w:numPr>
          <w:ilvl w:val="1"/>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Enhanced Visual Experience with AI-Driven Imagery: </w:t>
      </w:r>
      <w:r>
        <w:rPr>
          <w:rFonts w:ascii="Arial" w:cs="Arial" w:eastAsia="Arial" w:hAnsi="Arial"/>
          <w:sz w:val="19"/>
          <w:szCs w:val="19"/>
          <w:color w:val="auto"/>
        </w:rPr>
        <w:t>In April 2026, we significantly improved imagery across our</w:t>
      </w:r>
      <w:r>
        <w:rPr>
          <w:rFonts w:ascii="Arial" w:cs="Arial" w:eastAsia="Arial" w:hAnsi="Arial"/>
          <w:sz w:val="19"/>
          <w:szCs w:val="19"/>
          <w:b w:val="1"/>
          <w:bCs w:val="1"/>
          <w:color w:val="auto"/>
        </w:rPr>
        <w:t xml:space="preserve"> </w:t>
      </w:r>
      <w:r>
        <w:rPr>
          <w:rFonts w:ascii="Arial" w:cs="Arial" w:eastAsia="Arial" w:hAnsi="Arial"/>
          <w:sz w:val="19"/>
          <w:szCs w:val="19"/>
          <w:color w:val="auto"/>
        </w:rPr>
        <w:t>platform by moving away from outdated visuals and introducing more relatable, true-to-life imagery designed to help customers better envision themselves wearing each item. These updates are intended to improve engagement, product discovery, and rental confidence across the customer journey, and increased views on these tried and true styles by 129%.</w:t>
      </w:r>
    </w:p>
    <w:p>
      <w:pPr>
        <w:ind w:left="500" w:right="240" w:hanging="330"/>
        <w:spacing w:after="0" w:line="274" w:lineRule="auto"/>
        <w:tabs>
          <w:tab w:leader="none" w:pos="488"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Advancing AI-Powered Outfit Discovery</w:t>
      </w:r>
      <w:r>
        <w:rPr>
          <w:rFonts w:ascii="Arial" w:cs="Arial" w:eastAsia="Arial" w:hAnsi="Arial"/>
          <w:sz w:val="20"/>
          <w:szCs w:val="20"/>
          <w:color w:val="auto"/>
        </w:rPr>
        <w:t>: In May 2026, we began internal testing of outfit generation capabilities,</w:t>
      </w:r>
      <w:r>
        <w:rPr>
          <w:rFonts w:ascii="Arial" w:cs="Arial" w:eastAsia="Arial" w:hAnsi="Arial"/>
          <w:sz w:val="20"/>
          <w:szCs w:val="20"/>
          <w:b w:val="1"/>
          <w:bCs w:val="1"/>
          <w:color w:val="auto"/>
        </w:rPr>
        <w:t xml:space="preserve"> </w:t>
      </w:r>
      <w:r>
        <w:rPr>
          <w:rFonts w:ascii="Arial" w:cs="Arial" w:eastAsia="Arial" w:hAnsi="Arial"/>
          <w:sz w:val="20"/>
          <w:szCs w:val="20"/>
          <w:color w:val="auto"/>
        </w:rPr>
        <w:t>enabling RTR to recommend complete looks rather than individual items. We expect to roll out this functionality to subscribers in the coming months and believe it has the potential to meaningfully transform how customers discover and rent on RTR.</w:t>
      </w:r>
    </w:p>
    <w:p>
      <w:pPr>
        <w:spacing w:after="0" w:line="2" w:lineRule="exact"/>
        <w:rPr>
          <w:rFonts w:ascii="Arial" w:cs="Arial" w:eastAsia="Arial" w:hAnsi="Arial"/>
          <w:sz w:val="20"/>
          <w:szCs w:val="20"/>
          <w:color w:val="auto"/>
        </w:rPr>
      </w:pPr>
    </w:p>
    <w:p>
      <w:pPr>
        <w:ind w:left="500" w:right="500" w:hanging="330"/>
        <w:spacing w:after="0" w:line="310" w:lineRule="auto"/>
        <w:tabs>
          <w:tab w:leader="none" w:pos="488" w:val="left"/>
        </w:tabs>
        <w:numPr>
          <w:ilvl w:val="1"/>
          <w:numId w:val="2"/>
        </w:numPr>
        <w:rPr>
          <w:rFonts w:ascii="Arial" w:cs="Arial" w:eastAsia="Arial" w:hAnsi="Arial"/>
          <w:sz w:val="19"/>
          <w:szCs w:val="19"/>
          <w:color w:val="auto"/>
        </w:rPr>
      </w:pPr>
      <w:r>
        <w:rPr>
          <w:rFonts w:ascii="Arial" w:cs="Arial" w:eastAsia="Arial" w:hAnsi="Arial"/>
          <w:sz w:val="19"/>
          <w:szCs w:val="19"/>
          <w:b w:val="1"/>
          <w:bCs w:val="1"/>
          <w:color w:val="auto"/>
        </w:rPr>
        <w:t>Continued Progress Across New Revenue Stream Initiatives</w:t>
      </w:r>
      <w:r>
        <w:rPr>
          <w:rFonts w:ascii="Arial" w:cs="Arial" w:eastAsia="Arial" w:hAnsi="Arial"/>
          <w:sz w:val="19"/>
          <w:szCs w:val="19"/>
          <w:color w:val="auto"/>
        </w:rPr>
        <w:t>: We continue to advance a set of early-stage growth</w:t>
      </w:r>
      <w:r>
        <w:rPr>
          <w:rFonts w:ascii="Arial" w:cs="Arial" w:eastAsia="Arial" w:hAnsi="Arial"/>
          <w:sz w:val="19"/>
          <w:szCs w:val="19"/>
          <w:b w:val="1"/>
          <w:bCs w:val="1"/>
          <w:color w:val="auto"/>
        </w:rPr>
        <w:t xml:space="preserve"> </w:t>
      </w:r>
      <w:r>
        <w:rPr>
          <w:rFonts w:ascii="Arial" w:cs="Arial" w:eastAsia="Arial" w:hAnsi="Arial"/>
          <w:sz w:val="19"/>
          <w:szCs w:val="19"/>
          <w:color w:val="auto"/>
        </w:rPr>
        <w:t>initiatives across our online marketplace, advertising and media platform, and B2B business. Across each initiative introduced last quarter, we have moved from pilot programs to early operational progress and revenue generation.</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"Q1 2026 was a strong start to fiscal year 2026, with revenue growth of 29.2% and continued evidence that our inventory investments are resonating with customers," said Sid Thacker, Chief Financial Officer of Rent the Runway. "With our underlying business drivers intact, we reaffirm our Revenue, Adjusted EBITDA, and Rental Product Acquired guidance for fiscal year 2026."</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Key Metrics and Financial Highlights</w:t>
      </w:r>
    </w:p>
    <w:p>
      <w:pPr>
        <w:spacing w:after="0" w:line="285" w:lineRule="exact"/>
        <w:rPr>
          <w:sz w:val="20"/>
          <w:szCs w:val="20"/>
          <w:color w:val="auto"/>
        </w:rPr>
      </w:pPr>
    </w:p>
    <w:p>
      <w:pPr>
        <w:ind w:left="480" w:hanging="310"/>
        <w:spacing w:after="0"/>
        <w:tabs>
          <w:tab w:leader="none" w:pos="48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Revenue was $89.9 million, a 29.2% increase year-over-year from $69.6 million in the first quarter of fiscal year 2025.</w:t>
      </w:r>
    </w:p>
    <w:p>
      <w:pPr>
        <w:spacing w:after="0" w:line="41" w:lineRule="exact"/>
        <w:rPr>
          <w:rFonts w:ascii="Arial" w:cs="Arial" w:eastAsia="Arial" w:hAnsi="Arial"/>
          <w:sz w:val="20"/>
          <w:szCs w:val="20"/>
          <w:b w:val="1"/>
          <w:bCs w:val="1"/>
          <w:color w:val="auto"/>
        </w:rPr>
      </w:pPr>
    </w:p>
    <w:p>
      <w:pPr>
        <w:ind w:left="500" w:right="200" w:hanging="330"/>
        <w:spacing w:after="0" w:line="269"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155,692 ending Active Subscribers, representing an increase of 5.8% from 147,157 at the end of the first quarter of fiscal year 2025.</w:t>
      </w:r>
    </w:p>
    <w:p>
      <w:pPr>
        <w:ind w:left="500" w:right="460" w:hanging="330"/>
        <w:spacing w:after="0" w:line="274"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color w:val="auto"/>
        </w:rPr>
        <w:t>149,744 Average Active Subscribers, representing an increase of 12.2% from 133,468 at the end of the first quarter of fiscal year 2025.</w:t>
      </w:r>
    </w:p>
    <w:p>
      <w:pPr>
        <w:spacing w:after="0" w:line="1" w:lineRule="exact"/>
        <w:rPr>
          <w:rFonts w:ascii="Arial" w:cs="Arial" w:eastAsia="Arial" w:hAnsi="Arial"/>
          <w:sz w:val="20"/>
          <w:szCs w:val="20"/>
          <w:color w:val="auto"/>
        </w:rPr>
      </w:pPr>
    </w:p>
    <w:p>
      <w:pPr>
        <w:ind w:left="500" w:right="320" w:hanging="330"/>
        <w:spacing w:after="0" w:line="274"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196,147 ending Total Subscribers, representing an increase of 7.6% from 182,209 at the end of the first quarter of fiscal year 2025.</w:t>
      </w:r>
    </w:p>
    <w:p>
      <w:pPr>
        <w:spacing w:after="0" w:line="1" w:lineRule="exact"/>
        <w:rPr>
          <w:rFonts w:ascii="Arial" w:cs="Arial" w:eastAsia="Arial" w:hAnsi="Arial"/>
          <w:sz w:val="20"/>
          <w:szCs w:val="20"/>
          <w:b w:val="1"/>
          <w:bCs w:val="1"/>
          <w:color w:val="auto"/>
        </w:rPr>
      </w:pPr>
    </w:p>
    <w:p>
      <w:pPr>
        <w:ind w:left="500" w:right="400" w:hanging="330"/>
        <w:spacing w:after="0" w:line="309"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Gross Profit was $23.3 million, representing a change of 6.4% from $21.9 million in the first quarter of fiscal year 2025. Gross Margin was 25.9%, as compared to 31.5% in the first quarter of fiscal year 2025.</w:t>
      </w:r>
    </w:p>
    <w:p>
      <w:pPr>
        <w:sectPr>
          <w:pgSz w:w="11900" w:h="16838" w:orient="portrait"/>
          <w:cols w:equalWidth="0" w:num="1">
            <w:col w:w="11240"/>
          </w:cols>
          <w:pgMar w:left="320" w:top="1103" w:right="339" w:bottom="1440" w:gutter="0" w:footer="0" w:header="0"/>
        </w:sectPr>
      </w:pPr>
    </w:p>
    <w:bookmarkStart w:id="5" w:name="page6"/>
    <w:bookmarkEnd w:id="5"/>
    <w:p>
      <w:pPr>
        <w:ind w:left="500" w:right="860" w:hanging="330"/>
        <w:spacing w:after="0" w:line="277"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Net Loss was $(18.9) million, as compared to $(26.1) million in the first quarter of fiscal year 2025. Net Loss as a percentage of revenue was (21.0)%, as compared to (37.5)% in the first quarter of fiscal year 2025.</w:t>
      </w:r>
    </w:p>
    <w:p>
      <w:pPr>
        <w:ind w:left="500" w:hanging="330"/>
        <w:spacing w:after="0" w:line="274"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Adjusted EBITDA was $(0.8) million, as compared to $(1.3) million in the first quarter of fiscal year 2025. Adjusted EBITDA Margin was (0.9)%, as compared to (1.9)% in the first quarter of fiscal year 2025.</w:t>
      </w:r>
    </w:p>
    <w:p>
      <w:pPr>
        <w:spacing w:after="0" w:line="1" w:lineRule="exact"/>
        <w:rPr>
          <w:rFonts w:ascii="Arial" w:cs="Arial" w:eastAsia="Arial" w:hAnsi="Arial"/>
          <w:sz w:val="20"/>
          <w:szCs w:val="20"/>
          <w:b w:val="1"/>
          <w:bCs w:val="1"/>
          <w:color w:val="auto"/>
        </w:rPr>
      </w:pPr>
    </w:p>
    <w:p>
      <w:pPr>
        <w:ind w:left="500" w:right="380" w:hanging="330"/>
        <w:spacing w:after="0" w:line="274"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cash (used in) provided by operating activities was $(3.8) million, as compared to $8.3 million in the first quarter of fiscal year 2025.</w:t>
      </w:r>
    </w:p>
    <w:p>
      <w:pPr>
        <w:spacing w:after="0" w:line="1" w:lineRule="exact"/>
        <w:rPr>
          <w:rFonts w:ascii="Arial" w:cs="Arial" w:eastAsia="Arial" w:hAnsi="Arial"/>
          <w:sz w:val="20"/>
          <w:szCs w:val="20"/>
          <w:color w:val="auto"/>
        </w:rPr>
      </w:pPr>
    </w:p>
    <w:p>
      <w:pPr>
        <w:ind w:left="500" w:right="200" w:hanging="330"/>
        <w:spacing w:after="0" w:line="274"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cash (used in) provided by operating activities as a percentage of revenue was (4.2)%, as compared to 11.9% in the first quarter of fiscal year 2025.</w:t>
      </w:r>
    </w:p>
    <w:p>
      <w:pPr>
        <w:spacing w:after="0" w:line="1" w:lineRule="exact"/>
        <w:rPr>
          <w:rFonts w:ascii="Arial" w:cs="Arial" w:eastAsia="Arial" w:hAnsi="Arial"/>
          <w:sz w:val="20"/>
          <w:szCs w:val="20"/>
          <w:color w:val="auto"/>
        </w:rPr>
      </w:pPr>
    </w:p>
    <w:p>
      <w:pPr>
        <w:ind w:left="500" w:right="440" w:hanging="330"/>
        <w:spacing w:after="0" w:line="274"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cash used in investing activities was $(9.8) million, as compared to $(14.7) million in the first quarter of fiscal year 2025.</w:t>
      </w:r>
    </w:p>
    <w:p>
      <w:pPr>
        <w:spacing w:after="0" w:line="1" w:lineRule="exact"/>
        <w:rPr>
          <w:rFonts w:ascii="Arial" w:cs="Arial" w:eastAsia="Arial" w:hAnsi="Arial"/>
          <w:sz w:val="20"/>
          <w:szCs w:val="20"/>
          <w:color w:val="auto"/>
        </w:rPr>
      </w:pPr>
    </w:p>
    <w:p>
      <w:pPr>
        <w:ind w:left="500" w:right="140" w:hanging="330"/>
        <w:spacing w:after="0" w:line="274"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cash used in investing activities as a percentage of revenue was (10.9)%, as compared to (21.1)% in the first quarter of fiscal year 2025.</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Cash and Cash Equivalents was $37.1 million, as compared to $70.4 million in the first quarter of fiscal year 2025.</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second quarter of 2026, Rent the Runway expects:</w:t>
      </w:r>
    </w:p>
    <w:p>
      <w:pPr>
        <w:spacing w:after="0" w:line="40" w:lineRule="exact"/>
        <w:rPr>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of between $91 million and $95 million</w:t>
      </w:r>
    </w:p>
    <w:p>
      <w:pPr>
        <w:spacing w:after="0" w:line="31" w:lineRule="exact"/>
        <w:rPr>
          <w:rFonts w:ascii="Arial" w:cs="Arial" w:eastAsia="Arial" w:hAnsi="Arial"/>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between 5% and 8%</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2026, Rent the Runway continues to expect:</w:t>
      </w:r>
    </w:p>
    <w:p>
      <w:pPr>
        <w:spacing w:after="0" w:line="31" w:lineRule="exact"/>
        <w:rPr>
          <w:sz w:val="20"/>
          <w:szCs w:val="20"/>
          <w:color w:val="auto"/>
        </w:rPr>
      </w:pPr>
    </w:p>
    <w:p>
      <w:pPr>
        <w:ind w:left="500" w:right="660" w:hanging="330"/>
        <w:spacing w:after="0" w:line="274"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Double-Digit Revenue Growth versus fiscal year 2025, led primarily by continued product and inventory experience improvements.</w:t>
      </w:r>
    </w:p>
    <w:p>
      <w:pPr>
        <w:spacing w:after="0" w:line="1" w:lineRule="exact"/>
        <w:rPr>
          <w:rFonts w:ascii="Arial" w:cs="Arial" w:eastAsia="Arial" w:hAnsi="Arial"/>
          <w:sz w:val="20"/>
          <w:szCs w:val="20"/>
          <w:color w:val="auto"/>
        </w:rPr>
      </w:pPr>
    </w:p>
    <w:p>
      <w:pPr>
        <w:ind w:left="480" w:hanging="310"/>
        <w:spacing w:after="0" w:line="236" w:lineRule="auto"/>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between 4% and 7%</w:t>
      </w:r>
    </w:p>
    <w:p>
      <w:pPr>
        <w:ind w:left="480" w:hanging="31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Rental Product Acquired</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of between $45 million and $50 million versus $74.9 million in fiscal year 2025.</w:t>
      </w:r>
    </w:p>
    <w:p>
      <w:pPr>
        <w:spacing w:after="0" w:line="194" w:lineRule="exact"/>
        <w:rPr>
          <w:sz w:val="20"/>
          <w:szCs w:val="20"/>
          <w:color w:val="auto"/>
        </w:rPr>
      </w:pPr>
    </w:p>
    <w:p>
      <w:pPr>
        <w:ind w:right="60"/>
        <w:spacing w:after="0" w:line="282" w:lineRule="auto"/>
        <w:rPr>
          <w:sz w:val="20"/>
          <w:szCs w:val="20"/>
          <w:color w:val="auto"/>
        </w:rPr>
      </w:pPr>
      <w:r>
        <w:rPr>
          <w:rFonts w:ascii="Arial" w:cs="Arial" w:eastAsia="Arial" w:hAnsi="Arial"/>
          <w:sz w:val="20"/>
          <w:szCs w:val="20"/>
          <w:color w:val="auto"/>
        </w:rPr>
        <w:t>There are unknowns around the economy, such as fuel surcharges, tariffs, and other macroeconomic developments, which are not incorporated into our expectations and that can materially affect actual results for fiscal year 2026 versus our current expectations. Our outlook is based on current conditions and assumptions and does not contemplate material deterioration, including volatility in these factors or from our decision to pass on fuel surcharges to customers; accordingly, actual results may differ materially if such conditions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8" w:lineRule="exact"/>
        <w:rPr>
          <w:sz w:val="20"/>
          <w:szCs w:val="20"/>
          <w:color w:val="auto"/>
        </w:rPr>
      </w:pPr>
    </w:p>
    <w:p>
      <w:pPr>
        <w:ind w:right="60" w:firstLine="8"/>
        <w:spacing w:after="0" w:line="230" w:lineRule="auto"/>
        <w:tabs>
          <w:tab w:leader="none" w:pos="92"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Represents a non-GAAP financial measure. As more fully described in the Non-GAAP Financial Measures section of this release, a reconciliation of Adjusted EBITDA Margin for the second quarter of fiscal year 2026 is not available without unreasonable efforts.</w:t>
      </w:r>
    </w:p>
    <w:p>
      <w:pPr>
        <w:spacing w:after="0" w:line="1" w:lineRule="exact"/>
        <w:rPr>
          <w:rFonts w:ascii="Arial" w:cs="Arial" w:eastAsia="Arial" w:hAnsi="Arial"/>
          <w:sz w:val="19"/>
          <w:szCs w:val="19"/>
          <w:color w:val="auto"/>
          <w:vertAlign w:val="superscript"/>
        </w:rPr>
      </w:pPr>
    </w:p>
    <w:p>
      <w:pPr>
        <w:ind w:right="60"/>
        <w:spacing w:after="0" w:line="211"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Represents a non-GAAP financial measure. As more fully described in the Non-GAAP Financial Measures section of this release, a reconciliation of Adjusted EBITDA Margin for fiscal year 2026 is not available without unreasonable efforts.</w:t>
      </w:r>
    </w:p>
    <w:p>
      <w:pPr>
        <w:spacing w:after="0" w:line="220"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Purchases of Rental Product as presented on the Consolidated Statement of Cash Flows may vary from Rental Product Acquired due to timing of payments for rental product. Rental Product Acquired reflects the cost of owned rental product received in the period.</w:t>
      </w:r>
    </w:p>
    <w:p>
      <w:pPr>
        <w:sectPr>
          <w:pgSz w:w="11900" w:h="16838" w:orient="portrait"/>
          <w:cols w:equalWidth="0" w:num="1">
            <w:col w:w="11180"/>
          </w:cols>
          <w:pgMar w:left="320" w:top="1103" w:right="39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7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first quarter 2026 Earnings Presentation is now accessible through the Investor Relations section of Rent the Runway’s website at https://investors.renttherunway.com/ under the “Presentations” section.</w:t>
      </w:r>
    </w:p>
    <w:p>
      <w:pPr>
        <w:spacing w:after="0" w:line="183" w:lineRule="exact"/>
        <w:rPr>
          <w:sz w:val="20"/>
          <w:szCs w:val="20"/>
          <w:color w:val="auto"/>
        </w:rPr>
      </w:pPr>
    </w:p>
    <w:p>
      <w:pPr>
        <w:ind w:right="820"/>
        <w:spacing w:after="0" w:line="300" w:lineRule="auto"/>
        <w:rPr>
          <w:sz w:val="20"/>
          <w:szCs w:val="20"/>
          <w:color w:val="auto"/>
        </w:rPr>
      </w:pPr>
      <w:r>
        <w:rPr>
          <w:rFonts w:ascii="Arial" w:cs="Arial" w:eastAsia="Arial" w:hAnsi="Arial"/>
          <w:sz w:val="20"/>
          <w:szCs w:val="20"/>
          <w:color w:val="auto"/>
        </w:rPr>
        <w:t>Rent the Runway will host a conference call and webcast to discuss its first quarter 2026 financial results and provide a business update today, June 3, 2026 at 8:30 am ET.</w:t>
      </w:r>
    </w:p>
    <w:p>
      <w:pPr>
        <w:spacing w:after="0" w:line="195" w:lineRule="exact"/>
        <w:rPr>
          <w:sz w:val="20"/>
          <w:szCs w:val="20"/>
          <w:color w:val="auto"/>
        </w:rPr>
      </w:pPr>
    </w:p>
    <w:p>
      <w:pPr>
        <w:ind w:right="120"/>
        <w:spacing w:after="0" w:line="290" w:lineRule="auto"/>
        <w:rPr>
          <w:sz w:val="20"/>
          <w:szCs w:val="20"/>
          <w:color w:val="auto"/>
        </w:rPr>
      </w:pPr>
      <w:r>
        <w:rPr>
          <w:rFonts w:ascii="Arial" w:cs="Arial" w:eastAsia="Arial" w:hAnsi="Arial"/>
          <w:sz w:val="20"/>
          <w:szCs w:val="20"/>
          <w:color w:val="auto"/>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spacing w:after="0" w:line="179" w:lineRule="exact"/>
        <w:rPr>
          <w:sz w:val="20"/>
          <w:szCs w:val="20"/>
          <w:color w:val="auto"/>
        </w:rPr>
      </w:pPr>
    </w:p>
    <w:p>
      <w:pPr>
        <w:jc w:val="both"/>
        <w:ind w:right="120"/>
        <w:spacing w:after="0" w:line="298" w:lineRule="auto"/>
        <w:rPr>
          <w:sz w:val="20"/>
          <w:szCs w:val="20"/>
          <w:color w:val="auto"/>
        </w:rPr>
      </w:pPr>
      <w:r>
        <w:rPr>
          <w:rFonts w:ascii="Arial" w:cs="Arial" w:eastAsia="Arial" w:hAnsi="Arial"/>
          <w:sz w:val="19"/>
          <w:szCs w:val="19"/>
          <w:color w:val="auto"/>
        </w:rPr>
        <w:t>A replay of the conference call will be posted shortly after the call and will be available for at least fourteen days. To access the replay, dial 1-844-512-2921 (in the U.S.) or 1-412-317-6671 (international callers). The access code for the replay is 13760590.</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58" w:lineRule="exact"/>
        <w:rPr>
          <w:sz w:val="20"/>
          <w:szCs w:val="20"/>
          <w:color w:val="auto"/>
        </w:rPr>
      </w:pPr>
    </w:p>
    <w:p>
      <w:pPr>
        <w:jc w:val="both"/>
        <w:ind w:right="360"/>
        <w:spacing w:after="0" w:line="258" w:lineRule="auto"/>
        <w:rPr>
          <w:sz w:val="20"/>
          <w:szCs w:val="20"/>
          <w:color w:val="auto"/>
        </w:rPr>
      </w:pPr>
      <w:r>
        <w:rPr>
          <w:rFonts w:ascii="Arial" w:cs="Arial" w:eastAsia="Arial" w:hAnsi="Arial"/>
          <w:sz w:val="19"/>
          <w:szCs w:val="19"/>
          <w:color w:val="auto"/>
        </w:rPr>
        <w:t>Founded in 2009, Rent the Runway is disrupting the trillion-dollar fashion industry and changing the way women get dressed through the Closet in the Cloud. RTR’s mission has remained the same since its founding: powering women to feel their best every day. Through RTR, customers can subscribe, rent items a-la-carte and shop resale from hundreds of designer brands.</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9"/>
          <w:szCs w:val="19"/>
          <w:color w:val="auto"/>
        </w:rPr>
        <w:t>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RTR has been named to CNBC’s “Disruptor 50” five times in ten years, and has been placed on Fast Company’s Most Innovative Companies list four times.</w:t>
      </w:r>
    </w:p>
    <w:p>
      <w:pPr>
        <w:sectPr>
          <w:pgSz w:w="11900" w:h="16838" w:orient="portrait"/>
          <w:cols w:equalWidth="0" w:num="1">
            <w:col w:w="11240"/>
          </w:cols>
          <w:pgMar w:left="320" w:top="1101" w:right="339" w:bottom="1440" w:gutter="0" w:footer="0" w:header="0"/>
        </w:sectPr>
      </w:pPr>
    </w:p>
    <w:bookmarkStart w:id="7" w:name="page8"/>
    <w:bookmarkEnd w:id="7"/>
    <w:p>
      <w:pPr>
        <w:spacing w:after="0" w:line="244" w:lineRule="auto"/>
        <w:rPr>
          <w:sz w:val="20"/>
          <w:szCs w:val="20"/>
          <w:color w:val="auto"/>
        </w:rPr>
      </w:pPr>
      <w:r>
        <w:rPr>
          <w:rFonts w:ascii="Arial" w:cs="Arial" w:eastAsia="Arial" w:hAnsi="Arial"/>
          <w:sz w:val="19"/>
          <w:szCs w:val="19"/>
          <w:b w:val="1"/>
          <w:bCs w:val="1"/>
          <w:color w:val="auto"/>
        </w:rPr>
        <w:t xml:space="preserve">Forward-Looking Statements: </w:t>
      </w:r>
      <w:r>
        <w:rPr>
          <w:rFonts w:ascii="Arial" w:cs="Arial" w:eastAsia="Arial" w:hAnsi="Arial"/>
          <w:sz w:val="19"/>
          <w:szCs w:val="19"/>
          <w:color w:val="auto"/>
        </w:rPr>
        <w:t>This press release contains forward-looking statements within the meaning of the Private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Litigation Reform Act of 1995. All statements contained in this press release that do not relate to matters of historical fact should be considered forward-looking statements. These statements include, but are not limited to, guidance and underlying assumptions for the second fiscal quarter of 2026 and the fiscal year 2026, and statements regarding the anticipated benefits of the recapitalization transactions, the impact of potential product and customer experience improvements, the impact and volume of our new inventory, the success of our AI investments and initiatives, the success of our marketing plans, and our position for sustained growth.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drive future growth or manage our growth effectively; the highly competitive and rapidly changing nature of the global fashion industry; risks related to the macroeconomic environment, including war in the Middle East and fuel surcharges; changes in global trade policies, tariffs, and other measures that could restrict international trade;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risks related to AI technology; our failure to successfully recruit a permanent CEO and CFO and manage these leadership transitions; our failure to realize all of the anticipated benefits of the recapitalization transactions, or that those benefits may be short-lived or insufficient for our future needs; failure to manage the transition of our Board of Directors; our failure to comply with the covenants under our credit agreement; our ability to remediate our material weaknesses in our internal control over financial reporting; our ability to comply with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our debt; our noncompliance with Nasdaq Marketplace Rule 5606(c)(2)(A), which requires listed companies to have at least three audit committee members; and risks related to our Class A capital stock and ownership structure.</w:t>
      </w:r>
    </w:p>
    <w:p>
      <w:pPr>
        <w:sectPr>
          <w:pgSz w:w="11900" w:h="16838" w:orient="portrait"/>
          <w:cols w:equalWidth="0" w:num="1">
            <w:col w:w="11220"/>
          </w:cols>
          <w:pgMar w:left="320" w:top="1088" w:right="359" w:bottom="1440" w:gutter="0" w:footer="0" w:header="0"/>
        </w:sectPr>
      </w:pPr>
    </w:p>
    <w:bookmarkStart w:id="8" w:name="page9"/>
    <w:bookmarkEnd w:id="8"/>
    <w:p>
      <w:pPr>
        <w:jc w:val="both"/>
        <w:spacing w:after="0" w:line="282" w:lineRule="auto"/>
        <w:rPr>
          <w:sz w:val="20"/>
          <w:szCs w:val="20"/>
          <w:color w:val="auto"/>
        </w:rPr>
      </w:pPr>
      <w:r>
        <w:rPr>
          <w:rFonts w:ascii="Arial" w:cs="Arial" w:eastAsia="Arial" w:hAnsi="Arial"/>
          <w:sz w:val="20"/>
          <w:szCs w:val="20"/>
          <w:color w:val="auto"/>
        </w:rPr>
        <w:t>Additional information regarding these and other risks and uncertainties that could cause actual results to differ materially from the expectations is included in our Annual Report on Form 10-K for the year ended January 31, 2026, as will be updated in our Quarterly Report on Form 10-Q for the quarter ended April 30, 2026. Except as required by law, we do not undertake any obligation to publicly update or revise any forward-looking statement, whether as a result of new information, future developments,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72"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196" w:lineRule="exact"/>
        <w:rPr>
          <w:sz w:val="20"/>
          <w:szCs w:val="20"/>
          <w:color w:val="auto"/>
        </w:rPr>
      </w:pPr>
    </w:p>
    <w:p>
      <w:pPr>
        <w:jc w:val="both"/>
        <w:ind w:right="580"/>
        <w:spacing w:after="0" w:line="290" w:lineRule="auto"/>
        <w:rPr>
          <w:sz w:val="20"/>
          <w:szCs w:val="20"/>
          <w:color w:val="auto"/>
        </w:rPr>
      </w:pPr>
      <w:r>
        <w:rPr>
          <w:rFonts w:ascii="Arial" w:cs="Arial" w:eastAsia="Arial" w:hAnsi="Arial"/>
          <w:sz w:val="20"/>
          <w:szCs w:val="20"/>
          <w:color w:val="auto"/>
        </w:rPr>
        <w:t>Average Active Subscribers is defined as the mean of the beginning of quarter and end of quarter Active Subscribers for a quarterly period; and for other periods, represents the mean of the Average Active Subscribers of every quarter within that period.</w:t>
      </w:r>
    </w:p>
    <w:p>
      <w:pPr>
        <w:spacing w:after="0" w:line="206"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Gross Profit is defined as total revenue less costs related to activities to fulfill customer orders and rental product acquisition costs, presented as fulfillment and rental product depreciation and revenue share, respectively, on the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Adjusted EBITDA margin, free cash flow, and free cash flow margin. In addition to our results determined in accordance with GAAP, we believe that Adjusted EBITDA and Adjusted EBITDA margin are useful in evaluating our performance and free cash flow and free cash flow margin are useful in evaluating our performance and liquidity.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ectPr>
          <w:pgSz w:w="11900" w:h="16838" w:orient="portrait"/>
          <w:cols w:equalWidth="0" w:num="1">
            <w:col w:w="11240"/>
          </w:cols>
          <w:pgMar w:left="320" w:top="1103" w:right="339" w:bottom="1440" w:gutter="0" w:footer="0" w:header="0"/>
        </w:sectPr>
      </w:pPr>
    </w:p>
    <w:bookmarkStart w:id="9" w:name="page10"/>
    <w:bookmarkEnd w:id="9"/>
    <w:p>
      <w:pPr>
        <w:spacing w:after="0" w:line="287" w:lineRule="auto"/>
        <w:rPr>
          <w:sz w:val="20"/>
          <w:szCs w:val="20"/>
          <w:color w:val="auto"/>
        </w:rPr>
      </w:pPr>
      <w:r>
        <w:rPr>
          <w:rFonts w:ascii="Arial" w:cs="Arial" w:eastAsia="Arial" w:hAnsi="Arial"/>
          <w:sz w:val="20"/>
          <w:szCs w:val="20"/>
          <w:color w:val="auto"/>
        </w:rPr>
        <w:t>We define Adjusted EBITDA as net loss, adjusted to exclude interest expense, rental product depreciation, other depreciation and amortization, share-based compensation expense, write-off of liquidated assets, non-recurring adjustments, non-ordinary course legal fees, income tax (benefit) expense, other income and expense, and other gains / losses. Adjusted EBITDA margin is defined as Adjusted EBITDA calculated as a percentage of total revenue, net for a period.</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We define free cash flow as net cash used in operating activities and net cash used in investing activities on a combined basis.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margin is defined as free cash flow as a percentage of revenue.</w:t>
      </w:r>
    </w:p>
    <w:p>
      <w:pPr>
        <w:spacing w:after="0" w:line="270" w:lineRule="exact"/>
        <w:rPr>
          <w:sz w:val="20"/>
          <w:szCs w:val="20"/>
          <w:color w:val="auto"/>
        </w:rPr>
      </w:pPr>
    </w:p>
    <w:p>
      <w:pPr>
        <w:ind w:right="60"/>
        <w:spacing w:after="0" w:line="278" w:lineRule="auto"/>
        <w:rPr>
          <w:sz w:val="20"/>
          <w:szCs w:val="20"/>
          <w:color w:val="auto"/>
        </w:rPr>
      </w:pPr>
      <w:r>
        <w:rPr>
          <w:rFonts w:ascii="Arial" w:cs="Arial" w:eastAsia="Arial" w:hAnsi="Arial"/>
          <w:sz w:val="20"/>
          <w:szCs w:val="20"/>
          <w:color w:val="auto"/>
        </w:rPr>
        <w:t>The reconciliation of presented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Reconciliations of Adjusted EBITDA margin expectations for fiscal year 2026 and Q2 2026 to the most directly comparable GAAP measures are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Press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100"/>
          </w:cols>
          <w:pgMar w:left="320" w:top="1103" w:right="479" w:bottom="1440" w:gutter="0" w:footer="0" w:header="0"/>
        </w:sectPr>
      </w:pPr>
    </w:p>
    <w:bookmarkStart w:id="10" w:name="page11"/>
    <w:bookmarkEnd w:id="10"/>
    <w:p>
      <w:pPr>
        <w:ind w:left="4580"/>
        <w:spacing w:after="0"/>
        <w:rPr>
          <w:sz w:val="20"/>
          <w:szCs w:val="20"/>
          <w:color w:val="auto"/>
        </w:rPr>
      </w:pPr>
      <w:r>
        <w:rPr>
          <w:rFonts w:ascii="Arial" w:cs="Arial" w:eastAsia="Arial" w:hAnsi="Arial"/>
          <w:sz w:val="20"/>
          <w:szCs w:val="20"/>
          <w:b w:val="1"/>
          <w:bCs w:val="1"/>
          <w:color w:val="auto"/>
        </w:rPr>
        <w:t>Rent the Runway, Inc.</w:t>
      </w:r>
    </w:p>
    <w:p>
      <w:pPr>
        <w:ind w:left="3660"/>
        <w:spacing w:after="0" w:line="197" w:lineRule="auto"/>
        <w:rPr>
          <w:sz w:val="20"/>
          <w:szCs w:val="20"/>
          <w:color w:val="auto"/>
        </w:rPr>
      </w:pPr>
      <w:r>
        <w:rPr>
          <w:rFonts w:ascii="Arial" w:cs="Arial" w:eastAsia="Arial" w:hAnsi="Arial"/>
          <w:sz w:val="20"/>
          <w:szCs w:val="20"/>
          <w:b w:val="1"/>
          <w:bCs w:val="1"/>
          <w:color w:val="auto"/>
        </w:rPr>
        <w:t>Condensed Consolidated Balance Sheets</w:t>
      </w:r>
    </w:p>
    <w:p>
      <w:pPr>
        <w:ind w:left="5040"/>
        <w:spacing w:after="0"/>
        <w:rPr>
          <w:sz w:val="20"/>
          <w:szCs w:val="20"/>
          <w:color w:val="auto"/>
        </w:rPr>
      </w:pPr>
      <w:r>
        <w:rPr>
          <w:rFonts w:ascii="Arial" w:cs="Arial" w:eastAsia="Arial" w:hAnsi="Arial"/>
          <w:sz w:val="20"/>
          <w:szCs w:val="20"/>
          <w:b w:val="1"/>
          <w:bCs w:val="1"/>
          <w:color w:val="auto"/>
        </w:rPr>
        <w:t>(in millions)</w:t>
      </w:r>
    </w:p>
    <w:p>
      <w:pPr>
        <w:ind w:left="510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17"/>
                <w:szCs w:val="17"/>
                <w:color w:val="auto"/>
              </w:rPr>
            </w:pPr>
          </w:p>
        </w:tc>
        <w:tc>
          <w:tcPr>
            <w:tcW w:w="1240" w:type="dxa"/>
            <w:vAlign w:val="bottom"/>
          </w:tcPr>
          <w:p>
            <w:pPr>
              <w:jc w:val="right"/>
              <w:ind w:right="256"/>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26"/>
        </w:trPr>
        <w:tc>
          <w:tcPr>
            <w:tcW w:w="81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180" w:type="dxa"/>
            <w:vAlign w:val="bottom"/>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818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76"/>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37.1</w:t>
            </w:r>
          </w:p>
        </w:tc>
        <w:tc>
          <w:tcPr>
            <w:tcW w:w="80" w:type="dxa"/>
            <w:vAlign w:val="bottom"/>
          </w:tcPr>
          <w:p>
            <w:pPr>
              <w:spacing w:after="0"/>
              <w:rPr>
                <w:sz w:val="23"/>
                <w:szCs w:val="23"/>
                <w:color w:val="auto"/>
              </w:rPr>
            </w:pPr>
          </w:p>
        </w:tc>
        <w:tc>
          <w:tcPr>
            <w:tcW w:w="240" w:type="dxa"/>
            <w:vAlign w:val="bottom"/>
          </w:tcPr>
          <w:p>
            <w:pPr>
              <w:jc w:val="right"/>
              <w:ind w:right="36"/>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57"/>
        </w:trPr>
        <w:tc>
          <w:tcPr>
            <w:tcW w:w="8180" w:type="dxa"/>
            <w:vAlign w:val="bottom"/>
          </w:tcPr>
          <w:p>
            <w:pPr>
              <w:ind w:left="340"/>
              <w:spacing w:after="0"/>
              <w:rPr>
                <w:sz w:val="20"/>
                <w:szCs w:val="20"/>
                <w:color w:val="auto"/>
              </w:rPr>
            </w:pPr>
            <w:r>
              <w:rPr>
                <w:rFonts w:ascii="Arial" w:cs="Arial" w:eastAsia="Arial" w:hAnsi="Arial"/>
                <w:sz w:val="17"/>
                <w:szCs w:val="17"/>
                <w:color w:val="auto"/>
              </w:rPr>
              <w:t>Restricted cash, current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66"/>
        </w:trPr>
        <w:tc>
          <w:tcPr>
            <w:tcW w:w="818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54"/>
        </w:trPr>
        <w:tc>
          <w:tcPr>
            <w:tcW w:w="8180" w:type="dxa"/>
            <w:vAlign w:val="bottom"/>
          </w:tcPr>
          <w:p>
            <w:pPr>
              <w:ind w:left="66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59"/>
        </w:trPr>
        <w:tc>
          <w:tcPr>
            <w:tcW w:w="8180" w:type="dxa"/>
            <w:vAlign w:val="bottom"/>
          </w:tcPr>
          <w:p>
            <w:pPr>
              <w:spacing w:after="0"/>
              <w:rPr>
                <w:sz w:val="20"/>
                <w:szCs w:val="20"/>
                <w:color w:val="auto"/>
              </w:rPr>
            </w:pPr>
            <w:r>
              <w:rPr>
                <w:rFonts w:ascii="Arial" w:cs="Arial" w:eastAsia="Arial" w:hAnsi="Arial"/>
                <w:sz w:val="17"/>
                <w:szCs w:val="17"/>
                <w:color w:val="auto"/>
              </w:rPr>
              <w:t>Restricted cash</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83"/>
        </w:trPr>
        <w:tc>
          <w:tcPr>
            <w:tcW w:w="8180" w:type="dxa"/>
            <w:vAlign w:val="bottom"/>
          </w:tcPr>
          <w:p>
            <w:pPr>
              <w:spacing w:after="0"/>
              <w:rPr>
                <w:sz w:val="20"/>
                <w:szCs w:val="20"/>
                <w:color w:val="auto"/>
              </w:rPr>
            </w:pPr>
            <w:r>
              <w:rPr>
                <w:rFonts w:ascii="Arial" w:cs="Arial" w:eastAsia="Arial" w:hAnsi="Arial"/>
                <w:sz w:val="17"/>
                <w:szCs w:val="17"/>
                <w:color w:val="auto"/>
              </w:rPr>
              <w:t>Rental product,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91.6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83"/>
        </w:trPr>
        <w:tc>
          <w:tcPr>
            <w:tcW w:w="8180" w:type="dxa"/>
            <w:vAlign w:val="bottom"/>
          </w:tcPr>
          <w:p>
            <w:pPr>
              <w:spacing w:after="0"/>
              <w:rPr>
                <w:sz w:val="20"/>
                <w:szCs w:val="20"/>
                <w:color w:val="auto"/>
              </w:rPr>
            </w:pPr>
            <w:r>
              <w:rPr>
                <w:rFonts w:ascii="Arial" w:cs="Arial" w:eastAsia="Arial" w:hAnsi="Arial"/>
                <w:sz w:val="17"/>
                <w:szCs w:val="17"/>
                <w:color w:val="auto"/>
              </w:rPr>
              <w:t>Fixed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83"/>
        </w:trPr>
        <w:tc>
          <w:tcPr>
            <w:tcW w:w="8180" w:type="dxa"/>
            <w:vAlign w:val="bottom"/>
          </w:tcPr>
          <w:p>
            <w:pPr>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83"/>
        </w:trPr>
        <w:tc>
          <w:tcPr>
            <w:tcW w:w="818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318"/>
        </w:trPr>
        <w:tc>
          <w:tcPr>
            <w:tcW w:w="818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57"/>
        </w:trPr>
        <w:tc>
          <w:tcPr>
            <w:tcW w:w="8180" w:type="dxa"/>
            <w:vAlign w:val="bottom"/>
          </w:tcPr>
          <w:p>
            <w:pPr>
              <w:ind w:left="66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212.7</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221.0</w:t>
            </w:r>
          </w:p>
        </w:tc>
        <w:tc>
          <w:tcPr>
            <w:tcW w:w="0" w:type="dxa"/>
            <w:vAlign w:val="bottom"/>
          </w:tcPr>
          <w:p>
            <w:pPr>
              <w:spacing w:after="0"/>
              <w:rPr>
                <w:sz w:val="1"/>
                <w:szCs w:val="1"/>
                <w:color w:val="auto"/>
              </w:rPr>
            </w:pPr>
          </w:p>
        </w:tc>
      </w:tr>
      <w:tr>
        <w:trPr>
          <w:trHeight w:val="21"/>
        </w:trPr>
        <w:tc>
          <w:tcPr>
            <w:tcW w:w="81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13.4</w:t>
            </w:r>
          </w:p>
        </w:tc>
        <w:tc>
          <w:tcPr>
            <w:tcW w:w="80" w:type="dxa"/>
            <w:vAlign w:val="bottom"/>
          </w:tcPr>
          <w:p>
            <w:pPr>
              <w:spacing w:after="0"/>
              <w:rPr>
                <w:sz w:val="22"/>
                <w:szCs w:val="22"/>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56"/>
        </w:trPr>
        <w:tc>
          <w:tcPr>
            <w:tcW w:w="818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57"/>
        </w:trPr>
        <w:tc>
          <w:tcPr>
            <w:tcW w:w="818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56"/>
        </w:trPr>
        <w:tc>
          <w:tcPr>
            <w:tcW w:w="8180" w:type="dxa"/>
            <w:vAlign w:val="bottom"/>
          </w:tcPr>
          <w:p>
            <w:pPr>
              <w:ind w:left="160"/>
              <w:spacing w:after="0"/>
              <w:rPr>
                <w:sz w:val="20"/>
                <w:szCs w:val="20"/>
                <w:color w:val="auto"/>
              </w:rPr>
            </w:pPr>
            <w:r>
              <w:rPr>
                <w:rFonts w:ascii="Arial" w:cs="Arial" w:eastAsia="Arial" w:hAnsi="Arial"/>
                <w:sz w:val="17"/>
                <w:szCs w:val="17"/>
                <w:color w:val="auto"/>
              </w:rPr>
              <w:t>Customer credit and gift card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57"/>
        </w:trPr>
        <w:tc>
          <w:tcPr>
            <w:tcW w:w="818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66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56"/>
        </w:trPr>
        <w:tc>
          <w:tcPr>
            <w:tcW w:w="8180" w:type="dxa"/>
            <w:vAlign w:val="bottom"/>
          </w:tcPr>
          <w:p>
            <w:pPr>
              <w:spacing w:after="0"/>
              <w:rPr>
                <w:sz w:val="20"/>
                <w:szCs w:val="20"/>
                <w:color w:val="auto"/>
              </w:rPr>
            </w:pPr>
            <w:r>
              <w:rPr>
                <w:rFonts w:ascii="Arial" w:cs="Arial" w:eastAsia="Arial" w:hAnsi="Arial"/>
                <w:sz w:val="17"/>
                <w:szCs w:val="17"/>
                <w:color w:val="auto"/>
              </w:rPr>
              <w:t>Long-term debt, net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157.1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156.6</w:t>
            </w:r>
          </w:p>
        </w:tc>
        <w:tc>
          <w:tcPr>
            <w:tcW w:w="0" w:type="dxa"/>
            <w:vAlign w:val="bottom"/>
          </w:tcPr>
          <w:p>
            <w:pPr>
              <w:spacing w:after="0"/>
              <w:rPr>
                <w:sz w:val="1"/>
                <w:szCs w:val="1"/>
                <w:color w:val="auto"/>
              </w:rPr>
            </w:pPr>
          </w:p>
        </w:tc>
      </w:tr>
      <w:tr>
        <w:trPr>
          <w:trHeight w:val="257"/>
        </w:trPr>
        <w:tc>
          <w:tcPr>
            <w:tcW w:w="818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56"/>
        </w:trPr>
        <w:tc>
          <w:tcPr>
            <w:tcW w:w="8180" w:type="dxa"/>
            <w:vAlign w:val="bottom"/>
          </w:tcPr>
          <w:p>
            <w:pPr>
              <w:spacing w:after="0"/>
              <w:rPr>
                <w:sz w:val="20"/>
                <w:szCs w:val="20"/>
                <w:color w:val="auto"/>
              </w:rPr>
            </w:pPr>
            <w:r>
              <w:rPr>
                <w:rFonts w:ascii="Arial" w:cs="Arial" w:eastAsia="Arial" w:hAnsi="Arial"/>
                <w:sz w:val="17"/>
                <w:szCs w:val="17"/>
                <w:color w:val="auto"/>
              </w:rPr>
              <w:t>Other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66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257.1</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Arial" w:cs="Arial" w:eastAsia="Arial" w:hAnsi="Arial"/>
                <w:sz w:val="17"/>
                <w:szCs w:val="17"/>
                <w:color w:val="auto"/>
              </w:rPr>
              <w:t>Stockholders’ equity (deficit)</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8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340"/>
              <w:spacing w:after="0"/>
              <w:rPr>
                <w:sz w:val="20"/>
                <w:szCs w:val="20"/>
                <w:color w:val="auto"/>
              </w:rPr>
            </w:pPr>
            <w:r>
              <w:rPr>
                <w:rFonts w:ascii="Arial" w:cs="Arial" w:eastAsia="Arial" w:hAnsi="Arial"/>
                <w:sz w:val="17"/>
                <w:szCs w:val="17"/>
                <w:color w:val="auto"/>
              </w:rPr>
              <w:t>Class A common stock</w:t>
            </w:r>
          </w:p>
        </w:tc>
        <w:tc>
          <w:tcPr>
            <w:tcW w:w="28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4"/>
        </w:trPr>
        <w:tc>
          <w:tcPr>
            <w:tcW w:w="8180" w:type="dxa"/>
            <w:vAlign w:val="bottom"/>
          </w:tcPr>
          <w:p>
            <w:pPr>
              <w:ind w:left="340"/>
              <w:spacing w:after="0"/>
              <w:rPr>
                <w:sz w:val="20"/>
                <w:szCs w:val="20"/>
                <w:color w:val="auto"/>
              </w:rPr>
            </w:pPr>
            <w:r>
              <w:rPr>
                <w:rFonts w:ascii="Arial" w:cs="Arial" w:eastAsia="Arial" w:hAnsi="Arial"/>
                <w:sz w:val="17"/>
                <w:szCs w:val="17"/>
                <w:color w:val="auto"/>
              </w:rPr>
              <w:t>Class B common stock</w:t>
            </w: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8180" w:type="dxa"/>
            <w:vAlign w:val="bottom"/>
          </w:tcPr>
          <w:p>
            <w:pPr>
              <w:ind w:left="340"/>
              <w:spacing w:after="0"/>
              <w:rPr>
                <w:sz w:val="20"/>
                <w:szCs w:val="20"/>
                <w:color w:val="auto"/>
              </w:rPr>
            </w:pPr>
            <w:r>
              <w:rPr>
                <w:rFonts w:ascii="Arial" w:cs="Arial" w:eastAsia="Arial" w:hAnsi="Arial"/>
                <w:sz w:val="17"/>
                <w:szCs w:val="17"/>
                <w:color w:val="auto"/>
              </w:rPr>
              <w:t>Preferred stock</w:t>
            </w: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8180" w:type="dxa"/>
            <w:vAlign w:val="bottom"/>
          </w:tcPr>
          <w:p>
            <w:pPr>
              <w:ind w:left="34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1,066.0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1,064.3</w:t>
            </w:r>
          </w:p>
        </w:tc>
        <w:tc>
          <w:tcPr>
            <w:tcW w:w="0" w:type="dxa"/>
            <w:vAlign w:val="bottom"/>
          </w:tcPr>
          <w:p>
            <w:pPr>
              <w:spacing w:after="0"/>
              <w:rPr>
                <w:sz w:val="1"/>
                <w:szCs w:val="1"/>
                <w:color w:val="auto"/>
              </w:rPr>
            </w:pPr>
          </w:p>
        </w:tc>
      </w:tr>
      <w:tr>
        <w:trPr>
          <w:trHeight w:val="284"/>
        </w:trPr>
        <w:tc>
          <w:tcPr>
            <w:tcW w:w="818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(1,119.3)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(1,100.4)</w:t>
            </w:r>
          </w:p>
        </w:tc>
        <w:tc>
          <w:tcPr>
            <w:tcW w:w="0" w:type="dxa"/>
            <w:vAlign w:val="bottom"/>
          </w:tcPr>
          <w:p>
            <w:pPr>
              <w:spacing w:after="0"/>
              <w:rPr>
                <w:sz w:val="1"/>
                <w:szCs w:val="1"/>
                <w:color w:val="auto"/>
              </w:rPr>
            </w:pPr>
          </w:p>
        </w:tc>
      </w:tr>
      <w:tr>
        <w:trPr>
          <w:trHeight w:val="40"/>
        </w:trPr>
        <w:tc>
          <w:tcPr>
            <w:tcW w:w="8180" w:type="dxa"/>
            <w:vAlign w:val="bottom"/>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0"/>
                <w:szCs w:val="20"/>
                <w:color w:val="auto"/>
              </w:rPr>
            </w:pPr>
            <w:r>
              <w:rPr>
                <w:rFonts w:ascii="Arial" w:cs="Arial" w:eastAsia="Arial" w:hAnsi="Arial"/>
                <w:sz w:val="17"/>
                <w:szCs w:val="17"/>
                <w:color w:val="auto"/>
              </w:rPr>
              <w:t>Total liabilities and stockholders’ equity (deficit)</w:t>
            </w: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212.7</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221.0</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067"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0"/>
          <w:szCs w:val="20"/>
          <w:b w:val="1"/>
          <w:bCs w:val="1"/>
          <w:color w:val="auto"/>
        </w:rPr>
        <w:t>Rent the Runway, Inc.</w:t>
      </w:r>
    </w:p>
    <w:p>
      <w:pPr>
        <w:jc w:val="center"/>
        <w:ind w:right="20"/>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jc w:val="center"/>
        <w:ind w:right="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3"/>
        </w:trPr>
        <w:tc>
          <w:tcPr>
            <w:tcW w:w="8000" w:type="dxa"/>
            <w:vAlign w:val="bottom"/>
          </w:tcPr>
          <w:p>
            <w:pPr>
              <w:spacing w:after="0"/>
              <w:rPr>
                <w:sz w:val="20"/>
                <w:szCs w:val="20"/>
                <w:color w:val="auto"/>
              </w:rPr>
            </w:pPr>
            <w:r>
              <w:rPr>
                <w:rFonts w:ascii="Arial" w:cs="Arial" w:eastAsia="Arial" w:hAnsi="Arial"/>
                <w:sz w:val="18"/>
                <w:szCs w:val="18"/>
                <w:color w:val="auto"/>
              </w:rPr>
              <w:t>Revenue:</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0"/>
                <w:szCs w:val="20"/>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97"/>
        </w:trPr>
        <w:tc>
          <w:tcPr>
            <w:tcW w:w="8000" w:type="dxa"/>
            <w:vAlign w:val="bottom"/>
          </w:tcPr>
          <w:p>
            <w:pPr>
              <w:ind w:left="340"/>
              <w:spacing w:after="0"/>
              <w:rPr>
                <w:sz w:val="20"/>
                <w:szCs w:val="20"/>
                <w:color w:val="auto"/>
              </w:rPr>
            </w:pPr>
            <w:r>
              <w:rPr>
                <w:rFonts w:ascii="Arial" w:cs="Arial" w:eastAsia="Arial" w:hAnsi="Arial"/>
                <w:sz w:val="18"/>
                <w:szCs w:val="18"/>
                <w:color w:val="auto"/>
              </w:rPr>
              <w:t>Subscription and Reserve rental revenue</w:t>
            </w:r>
          </w:p>
        </w:tc>
        <w:tc>
          <w:tcPr>
            <w:tcW w:w="34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000" w:type="dxa"/>
            <w:vAlign w:val="bottom"/>
          </w:tcPr>
          <w:p>
            <w:pPr>
              <w:ind w:left="660"/>
              <w:spacing w:after="0"/>
              <w:rPr>
                <w:sz w:val="20"/>
                <w:szCs w:val="20"/>
                <w:color w:val="auto"/>
              </w:rPr>
            </w:pPr>
            <w:r>
              <w:rPr>
                <w:rFonts w:ascii="Arial" w:cs="Arial" w:eastAsia="Arial" w:hAnsi="Arial"/>
                <w:sz w:val="18"/>
                <w:szCs w:val="18"/>
                <w:color w:val="auto"/>
              </w:rPr>
              <w:t>Total revenue, net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
        </w:trPr>
        <w:tc>
          <w:tcPr>
            <w:tcW w:w="800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0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340"/>
              <w:spacing w:after="0"/>
              <w:rPr>
                <w:sz w:val="20"/>
                <w:szCs w:val="20"/>
                <w:color w:val="auto"/>
              </w:rPr>
            </w:pPr>
            <w:r>
              <w:rPr>
                <w:rFonts w:ascii="Arial" w:cs="Arial" w:eastAsia="Arial" w:hAnsi="Arial"/>
                <w:sz w:val="18"/>
                <w:szCs w:val="18"/>
                <w:color w:val="auto"/>
              </w:rPr>
              <w:t>Fulfillment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0"/>
        </w:trPr>
        <w:tc>
          <w:tcPr>
            <w:tcW w:w="800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0"/>
        </w:trPr>
        <w:tc>
          <w:tcPr>
            <w:tcW w:w="8000" w:type="dxa"/>
            <w:vAlign w:val="bottom"/>
          </w:tcPr>
          <w:p>
            <w:pPr>
              <w:ind w:left="340"/>
              <w:spacing w:after="0"/>
              <w:rPr>
                <w:sz w:val="20"/>
                <w:szCs w:val="20"/>
                <w:color w:val="auto"/>
              </w:rPr>
            </w:pPr>
            <w:r>
              <w:rPr>
                <w:rFonts w:ascii="Arial" w:cs="Arial" w:eastAsia="Arial" w:hAnsi="Arial"/>
                <w:sz w:val="18"/>
                <w:szCs w:val="18"/>
                <w:color w:val="auto"/>
              </w:rPr>
              <w:t>Marketing</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80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0"/>
        </w:trPr>
        <w:tc>
          <w:tcPr>
            <w:tcW w:w="8000" w:type="dxa"/>
            <w:vAlign w:val="bottom"/>
          </w:tcPr>
          <w:p>
            <w:pPr>
              <w:ind w:left="340"/>
              <w:spacing w:after="0"/>
              <w:rPr>
                <w:sz w:val="20"/>
                <w:szCs w:val="20"/>
                <w:color w:val="auto"/>
              </w:rPr>
            </w:pPr>
            <w:r>
              <w:rPr>
                <w:rFonts w:ascii="Arial" w:cs="Arial" w:eastAsia="Arial" w:hAnsi="Arial"/>
                <w:sz w:val="18"/>
                <w:szCs w:val="18"/>
                <w:color w:val="auto"/>
              </w:rPr>
              <w:t>Rental product depreciation and revenue share</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0"/>
        </w:trPr>
        <w:tc>
          <w:tcPr>
            <w:tcW w:w="8000" w:type="dxa"/>
            <w:vAlign w:val="bottom"/>
          </w:tcPr>
          <w:p>
            <w:pPr>
              <w:ind w:left="340"/>
              <w:spacing w:after="0"/>
              <w:rPr>
                <w:sz w:val="20"/>
                <w:szCs w:val="20"/>
                <w:color w:val="auto"/>
              </w:rPr>
            </w:pPr>
            <w:r>
              <w:rPr>
                <w:rFonts w:ascii="Arial" w:cs="Arial" w:eastAsia="Arial" w:hAnsi="Arial"/>
                <w:sz w:val="18"/>
                <w:szCs w:val="18"/>
                <w:color w:val="auto"/>
              </w:rPr>
              <w:t>Other depreciation and amortization</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000" w:type="dxa"/>
            <w:vAlign w:val="bottom"/>
          </w:tcPr>
          <w:p>
            <w:pPr>
              <w:ind w:left="66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000" w:type="dxa"/>
            <w:vAlign w:val="bottom"/>
          </w:tcPr>
          <w:p>
            <w:pPr>
              <w:ind w:left="98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000" w:type="dxa"/>
            <w:vAlign w:val="bottom"/>
          </w:tcPr>
          <w:p>
            <w:pPr>
              <w:ind w:left="880"/>
              <w:spacing w:after="0"/>
              <w:rPr>
                <w:sz w:val="20"/>
                <w:szCs w:val="20"/>
                <w:color w:val="auto"/>
              </w:rPr>
            </w:pPr>
            <w:r>
              <w:rPr>
                <w:rFonts w:ascii="Arial" w:cs="Arial" w:eastAsia="Arial" w:hAnsi="Arial"/>
                <w:sz w:val="18"/>
                <w:szCs w:val="18"/>
                <w:color w:val="auto"/>
              </w:rPr>
              <w:t>Net loss before income tax benefit / (expense)</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3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8000" w:type="dxa"/>
            <w:vAlign w:val="bottom"/>
          </w:tcPr>
          <w:p>
            <w:pPr>
              <w:ind w:left="98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00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
        </w:trPr>
        <w:tc>
          <w:tcPr>
            <w:tcW w:w="800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0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33,423,930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4,168,053</w:t>
            </w:r>
          </w:p>
        </w:tc>
        <w:tc>
          <w:tcPr>
            <w:tcW w:w="0" w:type="dxa"/>
            <w:vAlign w:val="bottom"/>
          </w:tcPr>
          <w:p>
            <w:pPr>
              <w:spacing w:after="0"/>
              <w:rPr>
                <w:sz w:val="1"/>
                <w:szCs w:val="1"/>
                <w:color w:val="auto"/>
              </w:rPr>
            </w:pPr>
          </w:p>
        </w:tc>
      </w:tr>
      <w:tr>
        <w:trPr>
          <w:trHeight w:val="235"/>
        </w:trPr>
        <w:tc>
          <w:tcPr>
            <w:tcW w:w="800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101" w:right="339" w:bottom="1440" w:gutter="0" w:footer="0" w:header="0"/>
        </w:sectPr>
      </w:pPr>
    </w:p>
    <w:bookmarkStart w:id="12" w:name="page13"/>
    <w:bookmarkEnd w:id="12"/>
    <w:p>
      <w:pPr>
        <w:ind w:left="4580"/>
        <w:spacing w:after="0"/>
        <w:rPr>
          <w:sz w:val="20"/>
          <w:szCs w:val="20"/>
          <w:color w:val="auto"/>
        </w:rPr>
      </w:pPr>
      <w:r>
        <w:rPr>
          <w:rFonts w:ascii="Arial" w:cs="Arial" w:eastAsia="Arial" w:hAnsi="Arial"/>
          <w:sz w:val="20"/>
          <w:szCs w:val="20"/>
          <w:b w:val="1"/>
          <w:bCs w:val="1"/>
          <w:color w:val="auto"/>
        </w:rPr>
        <w:t>Rent the Runway, Inc.</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Condensed Consolidated Statements of Cash Flows</w:t>
      </w:r>
    </w:p>
    <w:p>
      <w:pPr>
        <w:ind w:left="5040"/>
        <w:spacing w:after="0"/>
        <w:rPr>
          <w:sz w:val="20"/>
          <w:szCs w:val="20"/>
          <w:color w:val="auto"/>
        </w:rPr>
      </w:pPr>
      <w:r>
        <w:rPr>
          <w:rFonts w:ascii="Arial" w:cs="Arial" w:eastAsia="Arial" w:hAnsi="Arial"/>
          <w:sz w:val="20"/>
          <w:szCs w:val="20"/>
          <w:b w:val="1"/>
          <w:bCs w:val="1"/>
          <w:color w:val="auto"/>
        </w:rPr>
        <w:t>(in millions)</w:t>
      </w:r>
    </w:p>
    <w:p>
      <w:pPr>
        <w:ind w:left="510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1220"/>
          </w:cols>
          <w:pgMar w:left="340"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Rental product depreciation and write-offs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Write-off of rental product sold</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depreciation and amortization</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Proceeds from rental product sold</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(Gain) / loss from liquidation of rental product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Accrual of paid-in-kind interest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of debt (premium) discount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Share-based compensation expense</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operating assets and liabilities: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Prepaid expenses and other current assets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lease right-of-use assets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assets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Accounts payable, accrued expenses and other current liabilities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Deferred revenue and customer credit liabilities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lease liabilities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liabilities</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cash (used in) provided by operating activities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Purchases of rental product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Proceeds from liquidation of rental product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Proceeds from sale of rental product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Purchases of fixed and intangible assets</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investing activities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Proceeds from issuance of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financing payments</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(decrease) increase in cash and cash equivalents and restricted cash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and restricted cash at beginning of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19113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r>
      <w:tr>
        <w:trPr>
          <w:trHeight w:val="440"/>
        </w:trPr>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24"/>
                <w:szCs w:val="24"/>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(26.1)</w:t>
            </w:r>
          </w:p>
        </w:tc>
      </w:tr>
      <w:tr>
        <w:trPr>
          <w:trHeight w:val="486"/>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10.3</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60"/>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6.9</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1.5</w:t>
            </w:r>
          </w:p>
        </w:tc>
      </w:tr>
      <w:tr>
        <w:trPr>
          <w:trHeight w:val="486"/>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0.2</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0.7</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13.4</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2.4</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2"/>
        </w:trPr>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0.4</w:t>
            </w:r>
          </w:p>
        </w:tc>
      </w:tr>
      <w:tr>
        <w:trPr>
          <w:trHeight w:val="228"/>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8.3</w:t>
            </w:r>
          </w:p>
        </w:tc>
      </w:tr>
      <w:tr>
        <w:trPr>
          <w:trHeight w:val="43"/>
        </w:trPr>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451"/>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0.9</w:t>
            </w:r>
          </w:p>
        </w:tc>
      </w:tr>
      <w:tr>
        <w:trPr>
          <w:trHeight w:val="225"/>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(14.7)</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73"/>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(0.7)</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(0.7)</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70"/>
        </w:trPr>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86.5</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45.3</w:t>
            </w:r>
          </w:p>
        </w:tc>
        <w:tc>
          <w:tcPr>
            <w:tcW w:w="100" w:type="dxa"/>
            <w:vAlign w:val="bottom"/>
          </w:tcPr>
          <w:p>
            <w:pPr>
              <w:spacing w:after="0"/>
              <w:rPr>
                <w:sz w:val="18"/>
                <w:szCs w:val="18"/>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79.4</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480" w:space="720"/>
            <w:col w:w="3020"/>
          </w:cols>
          <w:pgMar w:left="340" w:top="1101" w:right="339" w:bottom="1440" w:gutter="0" w:footer="0" w:header="0"/>
          <w:type w:val="continuous"/>
        </w:sectPr>
      </w:pPr>
    </w:p>
    <w:bookmarkStart w:id="13" w:name="page14"/>
    <w:bookmarkEnd w:id="13"/>
    <w:p>
      <w:pPr>
        <w:ind w:left="4580"/>
        <w:spacing w:after="0"/>
        <w:rPr>
          <w:sz w:val="20"/>
          <w:szCs w:val="20"/>
          <w:color w:val="auto"/>
        </w:rPr>
      </w:pPr>
      <w:r>
        <w:rPr>
          <w:rFonts w:ascii="Arial" w:cs="Arial" w:eastAsia="Arial" w:hAnsi="Arial"/>
          <w:sz w:val="20"/>
          <w:szCs w:val="20"/>
          <w:b w:val="1"/>
          <w:bCs w:val="1"/>
          <w:color w:val="auto"/>
        </w:rPr>
        <w:t>Rent the Runway, Inc.</w:t>
      </w:r>
    </w:p>
    <w:p>
      <w:pPr>
        <w:ind w:left="3160"/>
        <w:spacing w:after="0" w:line="231" w:lineRule="auto"/>
        <w:rPr>
          <w:sz w:val="20"/>
          <w:szCs w:val="20"/>
          <w:color w:val="auto"/>
        </w:rPr>
      </w:pPr>
      <w:r>
        <w:rPr>
          <w:rFonts w:ascii="Arial" w:cs="Arial" w:eastAsia="Arial" w:hAnsi="Arial"/>
          <w:sz w:val="20"/>
          <w:szCs w:val="20"/>
          <w:b w:val="1"/>
          <w:bCs w:val="1"/>
          <w:color w:val="auto"/>
        </w:rPr>
        <w:t>Condensed Consolidated Statements of Cash Flows</w:t>
      </w:r>
    </w:p>
    <w:p>
      <w:pPr>
        <w:ind w:left="5040"/>
        <w:spacing w:after="0"/>
        <w:rPr>
          <w:sz w:val="20"/>
          <w:szCs w:val="20"/>
          <w:color w:val="auto"/>
        </w:rPr>
      </w:pPr>
      <w:r>
        <w:rPr>
          <w:rFonts w:ascii="Arial" w:cs="Arial" w:eastAsia="Arial" w:hAnsi="Arial"/>
          <w:sz w:val="20"/>
          <w:szCs w:val="20"/>
          <w:b w:val="1"/>
          <w:bCs w:val="1"/>
          <w:color w:val="auto"/>
        </w:rPr>
        <w:t>(in millions)</w:t>
      </w:r>
    </w:p>
    <w:p>
      <w:pPr>
        <w:ind w:left="510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00" w:type="dxa"/>
            <w:vAlign w:val="bottom"/>
          </w:tcPr>
          <w:p>
            <w:pPr>
              <w:spacing w:after="0"/>
              <w:rPr>
                <w:sz w:val="17"/>
                <w:szCs w:val="17"/>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420" w:type="dxa"/>
            <w:vAlign w:val="bottom"/>
            <w:tcBorders>
              <w:bottom w:val="single" w:sz="8" w:color="auto"/>
            </w:tcBorders>
          </w:tcPr>
          <w:p>
            <w:pPr>
              <w:spacing w:after="0"/>
              <w:rPr>
                <w:sz w:val="17"/>
                <w:szCs w:val="17"/>
                <w:color w:val="auto"/>
              </w:rPr>
            </w:pPr>
          </w:p>
        </w:tc>
      </w:tr>
      <w:tr>
        <w:trPr>
          <w:trHeight w:val="237"/>
        </w:trPr>
        <w:tc>
          <w:tcPr>
            <w:tcW w:w="8200" w:type="dxa"/>
            <w:vAlign w:val="bottom"/>
          </w:tcPr>
          <w:p>
            <w:pPr>
              <w:spacing w:after="0"/>
              <w:rPr>
                <w:sz w:val="20"/>
                <w:szCs w:val="20"/>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20"/>
                <w:szCs w:val="20"/>
                <w:color w:val="auto"/>
              </w:rPr>
            </w:pPr>
          </w:p>
        </w:tc>
      </w:tr>
      <w:tr>
        <w:trPr>
          <w:trHeight w:val="200"/>
        </w:trPr>
        <w:tc>
          <w:tcPr>
            <w:tcW w:w="8200" w:type="dxa"/>
            <w:vAlign w:val="bottom"/>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4"/>
        </w:trPr>
        <w:tc>
          <w:tcPr>
            <w:tcW w:w="8200" w:type="dxa"/>
            <w:vAlign w:val="bottom"/>
          </w:tcPr>
          <w:p>
            <w:pPr>
              <w:spacing w:after="0"/>
              <w:rPr>
                <w:sz w:val="20"/>
                <w:szCs w:val="20"/>
                <w:color w:val="auto"/>
              </w:rPr>
            </w:pPr>
            <w:r>
              <w:rPr>
                <w:rFonts w:ascii="Arial" w:cs="Arial" w:eastAsia="Arial" w:hAnsi="Arial"/>
                <w:sz w:val="14"/>
                <w:szCs w:val="14"/>
                <w:color w:val="auto"/>
              </w:rPr>
              <w:t>Cash payments (receipts) for:</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43"/>
        </w:trPr>
        <w:tc>
          <w:tcPr>
            <w:tcW w:w="8200" w:type="dxa"/>
            <w:vAlign w:val="bottom"/>
          </w:tcPr>
          <w:p>
            <w:pPr>
              <w:ind w:left="440"/>
              <w:spacing w:after="0"/>
              <w:rPr>
                <w:sz w:val="20"/>
                <w:szCs w:val="20"/>
                <w:color w:val="auto"/>
              </w:rPr>
            </w:pPr>
            <w:r>
              <w:rPr>
                <w:rFonts w:ascii="Arial" w:cs="Arial" w:eastAsia="Arial" w:hAnsi="Arial"/>
                <w:sz w:val="14"/>
                <w:szCs w:val="14"/>
                <w:color w:val="auto"/>
              </w:rPr>
              <w:t>Interest paid on loans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1"/>
                <w:szCs w:val="21"/>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8200" w:type="dxa"/>
            <w:vAlign w:val="bottom"/>
          </w:tcPr>
          <w:p>
            <w:pPr>
              <w:ind w:left="440"/>
              <w:spacing w:after="0"/>
              <w:rPr>
                <w:sz w:val="20"/>
                <w:szCs w:val="20"/>
                <w:color w:val="auto"/>
              </w:rPr>
            </w:pPr>
            <w:r>
              <w:rPr>
                <w:rFonts w:ascii="Arial" w:cs="Arial" w:eastAsia="Arial" w:hAnsi="Arial"/>
                <w:sz w:val="14"/>
                <w:szCs w:val="14"/>
                <w:color w:val="auto"/>
              </w:rPr>
              <w:t>Fixed operating lease payments, net</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43"/>
        </w:trPr>
        <w:tc>
          <w:tcPr>
            <w:tcW w:w="8200" w:type="dxa"/>
            <w:vAlign w:val="bottom"/>
          </w:tcPr>
          <w:p>
            <w:pPr>
              <w:ind w:left="440"/>
              <w:spacing w:after="0"/>
              <w:rPr>
                <w:sz w:val="20"/>
                <w:szCs w:val="20"/>
                <w:color w:val="auto"/>
              </w:rPr>
            </w:pPr>
            <w:r>
              <w:rPr>
                <w:rFonts w:ascii="Arial" w:cs="Arial" w:eastAsia="Arial" w:hAnsi="Arial"/>
                <w:sz w:val="14"/>
                <w:szCs w:val="14"/>
                <w:color w:val="auto"/>
              </w:rPr>
              <w:t>Fixed assets and intangibles received in the prior period</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8200" w:type="dxa"/>
            <w:vAlign w:val="bottom"/>
          </w:tcPr>
          <w:p>
            <w:pPr>
              <w:ind w:left="440"/>
              <w:spacing w:after="0"/>
              <w:rPr>
                <w:sz w:val="20"/>
                <w:szCs w:val="20"/>
                <w:color w:val="auto"/>
              </w:rPr>
            </w:pPr>
            <w:r>
              <w:rPr>
                <w:rFonts w:ascii="Arial" w:cs="Arial" w:eastAsia="Arial" w:hAnsi="Arial"/>
                <w:sz w:val="14"/>
                <w:szCs w:val="14"/>
                <w:color w:val="auto"/>
              </w:rPr>
              <w:t>Rental product received in the prior period</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29"/>
        </w:trPr>
        <w:tc>
          <w:tcPr>
            <w:tcW w:w="8200" w:type="dxa"/>
            <w:vAlign w:val="bottom"/>
          </w:tcPr>
          <w:p>
            <w:pPr>
              <w:spacing w:after="0"/>
              <w:rPr>
                <w:sz w:val="20"/>
                <w:szCs w:val="20"/>
                <w:color w:val="auto"/>
              </w:rPr>
            </w:pPr>
            <w:r>
              <w:rPr>
                <w:rFonts w:ascii="Arial" w:cs="Arial" w:eastAsia="Arial" w:hAnsi="Arial"/>
                <w:sz w:val="14"/>
                <w:szCs w:val="14"/>
                <w:color w:val="auto"/>
              </w:rPr>
              <w:t>Non-cash financing and investing activities:</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43"/>
        </w:trPr>
        <w:tc>
          <w:tcPr>
            <w:tcW w:w="8200" w:type="dxa"/>
            <w:vAlign w:val="bottom"/>
          </w:tcPr>
          <w:p>
            <w:pPr>
              <w:ind w:left="440"/>
              <w:spacing w:after="0"/>
              <w:rPr>
                <w:sz w:val="20"/>
                <w:szCs w:val="20"/>
                <w:color w:val="auto"/>
              </w:rPr>
            </w:pPr>
            <w:r>
              <w:rPr>
                <w:rFonts w:ascii="Arial" w:cs="Arial" w:eastAsia="Arial" w:hAnsi="Arial"/>
                <w:sz w:val="14"/>
                <w:szCs w:val="14"/>
                <w:color w:val="auto"/>
              </w:rPr>
              <w:t>Purchases of fixed assets and intangibles not yet settled</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1"/>
                <w:szCs w:val="21"/>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8200" w:type="dxa"/>
            <w:vAlign w:val="bottom"/>
          </w:tcPr>
          <w:p>
            <w:pPr>
              <w:ind w:left="440"/>
              <w:spacing w:after="0"/>
              <w:rPr>
                <w:sz w:val="20"/>
                <w:szCs w:val="20"/>
                <w:color w:val="auto"/>
              </w:rPr>
            </w:pPr>
            <w:r>
              <w:rPr>
                <w:rFonts w:ascii="Arial" w:cs="Arial" w:eastAsia="Arial" w:hAnsi="Arial"/>
                <w:sz w:val="14"/>
                <w:szCs w:val="14"/>
                <w:color w:val="auto"/>
              </w:rPr>
              <w:t>Purchases of rental product not yet settled</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11.3</w:t>
            </w:r>
          </w:p>
        </w:tc>
      </w:tr>
    </w:tbl>
    <w:p>
      <w:pPr>
        <w:sectPr>
          <w:pgSz w:w="11900" w:h="16838" w:orient="portrait"/>
          <w:cols w:equalWidth="0" w:num="1">
            <w:col w:w="11220"/>
          </w:cols>
          <w:pgMar w:left="340" w:top="1101" w:right="339" w:bottom="1440" w:gutter="0" w:footer="0" w:header="0"/>
        </w:sectPr>
      </w:pPr>
    </w:p>
    <w:bookmarkStart w:id="14" w:name="page15"/>
    <w:bookmarkEnd w:id="14"/>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133"/>
        <w:spacing w:after="0"/>
        <w:rPr>
          <w:sz w:val="20"/>
          <w:szCs w:val="20"/>
          <w:color w:val="auto"/>
        </w:rPr>
      </w:pPr>
      <w:r>
        <w:rPr>
          <w:rFonts w:ascii="Arial" w:cs="Arial" w:eastAsia="Arial" w:hAnsi="Arial"/>
          <w:sz w:val="20"/>
          <w:szCs w:val="20"/>
          <w:b w:val="1"/>
          <w:bCs w:val="1"/>
          <w:color w:val="auto"/>
        </w:rPr>
        <w:t>(in millions)</w:t>
      </w:r>
    </w:p>
    <w:p>
      <w:pPr>
        <w:ind w:left="5193"/>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68" w:lineRule="exact"/>
        <w:rPr>
          <w:sz w:val="20"/>
          <w:szCs w:val="20"/>
          <w:color w:val="auto"/>
        </w:rPr>
      </w:pPr>
    </w:p>
    <w:p>
      <w:pPr>
        <w:ind w:left="73" w:right="280"/>
        <w:spacing w:after="0" w:line="243" w:lineRule="auto"/>
        <w:rPr>
          <w:sz w:val="20"/>
          <w:szCs w:val="20"/>
          <w:color w:val="auto"/>
        </w:rPr>
      </w:pPr>
      <w:r>
        <w:rPr>
          <w:rFonts w:ascii="Arial" w:cs="Arial" w:eastAsia="Arial" w:hAnsi="Arial"/>
          <w:sz w:val="20"/>
          <w:szCs w:val="20"/>
          <w:color w:val="auto"/>
        </w:rPr>
        <w:t>The following table presents a reconciliation of net loss and net loss as a percentage of revenue, the most comparable GAAP financial measures, to Adjusted EBITDA and Adjusted EBITDA Margin, respectively, for the periods presented:</w:t>
      </w:r>
    </w:p>
    <w:p>
      <w:pPr>
        <w:spacing w:after="0" w:line="276" w:lineRule="exact"/>
        <w:rPr>
          <w:sz w:val="20"/>
          <w:szCs w:val="20"/>
          <w:color w:val="auto"/>
        </w:rPr>
      </w:pPr>
    </w:p>
    <w:tbl>
      <w:tblPr>
        <w:tblLayout w:type="fixed"/>
        <w:tblInd w:w="93" w:type="dxa"/>
        <w:tblCellMar>
          <w:top w:w="0" w:type="dxa"/>
          <w:left w:w="0" w:type="dxa"/>
          <w:bottom w:w="0" w:type="dxa"/>
          <w:right w:w="0" w:type="dxa"/>
        </w:tblCellMar>
      </w:tblPr>
      <w:tr>
        <w:trPr>
          <w:trHeight w:val="205"/>
        </w:trPr>
        <w:tc>
          <w:tcPr>
            <w:tcW w:w="776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80" w:type="dxa"/>
            <w:vAlign w:val="bottom"/>
            <w:tcBorders>
              <w:bottom w:val="single" w:sz="8" w:color="auto"/>
            </w:tcBorders>
          </w:tcPr>
          <w:p>
            <w:pPr>
              <w:spacing w:after="0"/>
              <w:rPr>
                <w:sz w:val="17"/>
                <w:szCs w:val="17"/>
                <w:color w:val="auto"/>
              </w:rPr>
            </w:pPr>
          </w:p>
        </w:tc>
      </w:tr>
      <w:tr>
        <w:trPr>
          <w:trHeight w:val="237"/>
        </w:trPr>
        <w:tc>
          <w:tcPr>
            <w:tcW w:w="77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20"/>
                <w:szCs w:val="20"/>
                <w:color w:val="auto"/>
              </w:rPr>
            </w:pPr>
          </w:p>
        </w:tc>
      </w:tr>
      <w:tr>
        <w:trPr>
          <w:trHeight w:val="228"/>
        </w:trPr>
        <w:tc>
          <w:tcPr>
            <w:tcW w:w="7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80" w:type="dxa"/>
            <w:vAlign w:val="bottom"/>
            <w:gridSpan w:val="3"/>
          </w:tcPr>
          <w:p>
            <w:pPr>
              <w:jc w:val="right"/>
              <w:ind w:right="576"/>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9"/>
                <w:szCs w:val="19"/>
                <w:color w:val="auto"/>
              </w:rPr>
            </w:pPr>
          </w:p>
        </w:tc>
      </w:tr>
      <w:tr>
        <w:trPr>
          <w:trHeight w:val="276"/>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1"/>
              <w:spacing w:after="0"/>
              <w:rPr>
                <w:sz w:val="20"/>
                <w:szCs w:val="20"/>
                <w:color w:val="auto"/>
              </w:rPr>
            </w:pPr>
            <w:r>
              <w:rPr>
                <w:rFonts w:ascii="Arial" w:cs="Arial" w:eastAsia="Arial" w:hAnsi="Arial"/>
                <w:sz w:val="18"/>
                <w:szCs w:val="18"/>
                <w:color w:val="auto"/>
                <w:w w:val="97"/>
              </w:rPr>
              <w:t>(18.9)</w:t>
            </w:r>
          </w:p>
        </w:tc>
        <w:tc>
          <w:tcPr>
            <w:tcW w:w="100" w:type="dxa"/>
            <w:vAlign w:val="bottom"/>
          </w:tcPr>
          <w:p>
            <w:pPr>
              <w:spacing w:after="0"/>
              <w:rPr>
                <w:sz w:val="24"/>
                <w:szCs w:val="24"/>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(26.1)</w:t>
            </w:r>
          </w:p>
        </w:tc>
      </w:tr>
      <w:tr>
        <w:trPr>
          <w:trHeight w:val="355"/>
        </w:trPr>
        <w:tc>
          <w:tcPr>
            <w:tcW w:w="7760" w:type="dxa"/>
            <w:vAlign w:val="bottom"/>
          </w:tcPr>
          <w:p>
            <w:pPr>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tc>
        <w:tc>
          <w:tcPr>
            <w:tcW w:w="1000" w:type="dxa"/>
            <w:vAlign w:val="bottom"/>
          </w:tcPr>
          <w:p>
            <w:pPr>
              <w:spacing w:after="0"/>
              <w:rPr>
                <w:sz w:val="24"/>
                <w:szCs w:val="24"/>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6.3</w:t>
            </w:r>
          </w:p>
        </w:tc>
      </w:tr>
      <w:tr>
        <w:trPr>
          <w:trHeight w:val="239"/>
        </w:trPr>
        <w:tc>
          <w:tcPr>
            <w:tcW w:w="7760" w:type="dxa"/>
            <w:vAlign w:val="bottom"/>
          </w:tcPr>
          <w:p>
            <w:pPr>
              <w:spacing w:after="0"/>
              <w:rPr>
                <w:sz w:val="20"/>
                <w:szCs w:val="20"/>
                <w:color w:val="auto"/>
              </w:rPr>
            </w:pPr>
            <w:r>
              <w:rPr>
                <w:rFonts w:ascii="Arial" w:cs="Arial" w:eastAsia="Arial" w:hAnsi="Arial"/>
                <w:sz w:val="18"/>
                <w:szCs w:val="18"/>
                <w:color w:val="auto"/>
              </w:rPr>
              <w:t>Rental product depreciation</w:t>
            </w:r>
          </w:p>
        </w:tc>
        <w:tc>
          <w:tcPr>
            <w:tcW w:w="1000" w:type="dxa"/>
            <w:vAlign w:val="bottom"/>
          </w:tcPr>
          <w:p>
            <w:pPr>
              <w:spacing w:after="0"/>
              <w:rPr>
                <w:sz w:val="20"/>
                <w:szCs w:val="20"/>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13.2</w:t>
            </w:r>
          </w:p>
        </w:tc>
      </w:tr>
      <w:tr>
        <w:trPr>
          <w:trHeight w:val="353"/>
        </w:trPr>
        <w:tc>
          <w:tcPr>
            <w:tcW w:w="7760" w:type="dxa"/>
            <w:vAlign w:val="bottom"/>
          </w:tcPr>
          <w:p>
            <w:pPr>
              <w:spacing w:after="0"/>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23"/>
                <w:szCs w:val="23"/>
                <w:color w:val="auto"/>
                <w:vertAlign w:val="superscript"/>
              </w:rPr>
              <w:t>(2)</w:t>
            </w:r>
          </w:p>
        </w:tc>
        <w:tc>
          <w:tcPr>
            <w:tcW w:w="1000" w:type="dxa"/>
            <w:vAlign w:val="bottom"/>
          </w:tcPr>
          <w:p>
            <w:pPr>
              <w:spacing w:after="0"/>
              <w:rPr>
                <w:sz w:val="24"/>
                <w:szCs w:val="24"/>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2.7</w:t>
            </w:r>
          </w:p>
        </w:tc>
      </w:tr>
      <w:tr>
        <w:trPr>
          <w:trHeight w:val="297"/>
        </w:trPr>
        <w:tc>
          <w:tcPr>
            <w:tcW w:w="7760" w:type="dxa"/>
            <w:vAlign w:val="bottom"/>
          </w:tcPr>
          <w:p>
            <w:pPr>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tc>
        <w:tc>
          <w:tcPr>
            <w:tcW w:w="1000" w:type="dxa"/>
            <w:vAlign w:val="bottom"/>
          </w:tcPr>
          <w:p>
            <w:pPr>
              <w:spacing w:after="0"/>
              <w:rPr>
                <w:sz w:val="24"/>
                <w:szCs w:val="24"/>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1.5</w:t>
            </w:r>
          </w:p>
        </w:tc>
      </w:tr>
      <w:tr>
        <w:trPr>
          <w:trHeight w:val="297"/>
        </w:trPr>
        <w:tc>
          <w:tcPr>
            <w:tcW w:w="7760" w:type="dxa"/>
            <w:vAlign w:val="bottom"/>
          </w:tcPr>
          <w:p>
            <w:pPr>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tc>
        <w:tc>
          <w:tcPr>
            <w:tcW w:w="1000" w:type="dxa"/>
            <w:vAlign w:val="bottom"/>
          </w:tcPr>
          <w:p>
            <w:pPr>
              <w:spacing w:after="0"/>
              <w:rPr>
                <w:sz w:val="24"/>
                <w:szCs w:val="24"/>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0.7</w:t>
            </w:r>
          </w:p>
        </w:tc>
      </w:tr>
      <w:tr>
        <w:trPr>
          <w:trHeight w:val="297"/>
        </w:trPr>
        <w:tc>
          <w:tcPr>
            <w:tcW w:w="7760" w:type="dxa"/>
            <w:vAlign w:val="bottom"/>
          </w:tcPr>
          <w:p>
            <w:pPr>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tc>
        <w:tc>
          <w:tcPr>
            <w:tcW w:w="1000" w:type="dxa"/>
            <w:vAlign w:val="bottom"/>
          </w:tcPr>
          <w:p>
            <w:pPr>
              <w:spacing w:after="0"/>
              <w:rPr>
                <w:sz w:val="24"/>
                <w:szCs w:val="24"/>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99"/>
        </w:trPr>
        <w:tc>
          <w:tcPr>
            <w:tcW w:w="7760" w:type="dxa"/>
            <w:vAlign w:val="bottom"/>
          </w:tcPr>
          <w:p>
            <w:pPr>
              <w:spacing w:after="0"/>
              <w:rPr>
                <w:sz w:val="20"/>
                <w:szCs w:val="20"/>
                <w:color w:val="auto"/>
              </w:rPr>
            </w:pPr>
            <w:r>
              <w:rPr>
                <w:rFonts w:ascii="Arial" w:cs="Arial" w:eastAsia="Arial" w:hAnsi="Arial"/>
                <w:sz w:val="18"/>
                <w:szCs w:val="18"/>
                <w:color w:val="auto"/>
              </w:rPr>
              <w:t xml:space="preserve">Non-ordinary course legal fees </w:t>
            </w:r>
            <w:r>
              <w:rPr>
                <w:rFonts w:ascii="Arial" w:cs="Arial" w:eastAsia="Arial" w:hAnsi="Arial"/>
                <w:sz w:val="23"/>
                <w:szCs w:val="23"/>
                <w:color w:val="auto"/>
                <w:vertAlign w:val="superscript"/>
              </w:rPr>
              <w:t>(6)</w:t>
            </w:r>
          </w:p>
        </w:tc>
        <w:tc>
          <w:tcPr>
            <w:tcW w:w="1000" w:type="dxa"/>
            <w:vAlign w:val="bottom"/>
          </w:tcPr>
          <w:p>
            <w:pPr>
              <w:spacing w:after="0"/>
              <w:rPr>
                <w:sz w:val="24"/>
                <w:szCs w:val="24"/>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39"/>
        </w:trPr>
        <w:tc>
          <w:tcPr>
            <w:tcW w:w="776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100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353"/>
        </w:trPr>
        <w:tc>
          <w:tcPr>
            <w:tcW w:w="7760" w:type="dxa"/>
            <w:vAlign w:val="bottom"/>
          </w:tcPr>
          <w:p>
            <w:pPr>
              <w:spacing w:after="0"/>
              <w:rPr>
                <w:sz w:val="20"/>
                <w:szCs w:val="20"/>
                <w:color w:val="auto"/>
              </w:rPr>
            </w:pPr>
            <w:r>
              <w:rPr>
                <w:rFonts w:ascii="Arial" w:cs="Arial" w:eastAsia="Arial" w:hAnsi="Arial"/>
                <w:sz w:val="18"/>
                <w:szCs w:val="18"/>
                <w:color w:val="auto"/>
              </w:rPr>
              <w:t xml:space="preserve">Other (income) / expense, net </w:t>
            </w:r>
            <w:r>
              <w:rPr>
                <w:rFonts w:ascii="Arial" w:cs="Arial" w:eastAsia="Arial" w:hAnsi="Arial"/>
                <w:sz w:val="23"/>
                <w:szCs w:val="23"/>
                <w:color w:val="auto"/>
                <w:vertAlign w:val="superscript"/>
              </w:rPr>
              <w:t>(7)</w:t>
            </w:r>
          </w:p>
        </w:tc>
        <w:tc>
          <w:tcPr>
            <w:tcW w:w="1000" w:type="dxa"/>
            <w:vAlign w:val="bottom"/>
          </w:tcPr>
          <w:p>
            <w:pPr>
              <w:spacing w:after="0"/>
              <w:rPr>
                <w:sz w:val="24"/>
                <w:szCs w:val="24"/>
                <w:color w:val="auto"/>
              </w:rPr>
            </w:pP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8"/>
        </w:trPr>
        <w:tc>
          <w:tcPr>
            <w:tcW w:w="7760" w:type="dxa"/>
            <w:vAlign w:val="bottom"/>
          </w:tcPr>
          <w:p>
            <w:pPr>
              <w:spacing w:after="0"/>
              <w:rPr>
                <w:sz w:val="20"/>
                <w:szCs w:val="20"/>
                <w:color w:val="auto"/>
              </w:rPr>
            </w:pPr>
            <w:r>
              <w:rPr>
                <w:rFonts w:ascii="Arial" w:cs="Arial" w:eastAsia="Arial" w:hAnsi="Arial"/>
                <w:sz w:val="18"/>
                <w:szCs w:val="18"/>
                <w:color w:val="auto"/>
              </w:rPr>
              <w:t xml:space="preserve">Other (gains) / losses </w:t>
            </w:r>
            <w:r>
              <w:rPr>
                <w:rFonts w:ascii="Arial" w:cs="Arial" w:eastAsia="Arial" w:hAnsi="Arial"/>
                <w:sz w:val="23"/>
                <w:szCs w:val="23"/>
                <w:color w:val="auto"/>
                <w:vertAlign w:val="superscript"/>
              </w:rPr>
              <w:t>(8)</w:t>
            </w:r>
          </w:p>
        </w:tc>
        <w:tc>
          <w:tcPr>
            <w:tcW w:w="10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r>
      <w:tr>
        <w:trPr>
          <w:trHeight w:val="286"/>
        </w:trPr>
        <w:tc>
          <w:tcPr>
            <w:tcW w:w="7760" w:type="dxa"/>
            <w:vAlign w:val="bottom"/>
          </w:tcPr>
          <w:p>
            <w:pPr>
              <w:spacing w:after="0"/>
              <w:rPr>
                <w:sz w:val="20"/>
                <w:szCs w:val="20"/>
                <w:color w:val="auto"/>
              </w:rPr>
            </w:pPr>
            <w:r>
              <w:rPr>
                <w:rFonts w:ascii="Arial" w:cs="Arial" w:eastAsia="Arial" w:hAnsi="Arial"/>
                <w:sz w:val="18"/>
                <w:szCs w:val="18"/>
                <w:color w:val="auto"/>
              </w:rPr>
              <w:t>Adjusted EBITDA</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r>
      <w:tr>
        <w:trPr>
          <w:trHeight w:val="25"/>
        </w:trPr>
        <w:tc>
          <w:tcPr>
            <w:tcW w:w="77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6"/>
        </w:trPr>
        <w:tc>
          <w:tcPr>
            <w:tcW w:w="7760" w:type="dxa"/>
            <w:vAlign w:val="bottom"/>
          </w:tcPr>
          <w:p>
            <w:pPr>
              <w:spacing w:after="0"/>
              <w:rPr>
                <w:sz w:val="20"/>
                <w:szCs w:val="20"/>
                <w:color w:val="auto"/>
              </w:rPr>
            </w:pPr>
            <w:r>
              <w:rPr>
                <w:rFonts w:ascii="Arial" w:cs="Arial" w:eastAsia="Arial" w:hAnsi="Arial"/>
                <w:sz w:val="18"/>
                <w:szCs w:val="18"/>
                <w:color w:val="auto"/>
              </w:rPr>
              <w:t>Net Loss as a percentage of revenue</w:t>
            </w:r>
          </w:p>
        </w:tc>
        <w:tc>
          <w:tcPr>
            <w:tcW w:w="10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r>
      <w:tr>
        <w:trPr>
          <w:trHeight w:val="25"/>
        </w:trPr>
        <w:tc>
          <w:tcPr>
            <w:tcW w:w="77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90"/>
        </w:trPr>
        <w:tc>
          <w:tcPr>
            <w:tcW w:w="7760" w:type="dxa"/>
            <w:vAlign w:val="bottom"/>
          </w:tcPr>
          <w:p>
            <w:pPr>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(9)</w:t>
            </w:r>
          </w:p>
        </w:tc>
        <w:tc>
          <w:tcPr>
            <w:tcW w:w="10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7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313" w:hanging="313"/>
        <w:spacing w:after="0"/>
        <w:tabs>
          <w:tab w:leader="none" w:pos="313" w:val="left"/>
        </w:tabs>
        <w:numPr>
          <w:ilvl w:val="0"/>
          <w:numId w:val="8"/>
        </w:numPr>
        <w:rPr>
          <w:rFonts w:ascii="Arial" w:cs="Arial" w:eastAsia="Arial" w:hAnsi="Arial"/>
          <w:sz w:val="9"/>
          <w:szCs w:val="9"/>
          <w:i w:val="1"/>
          <w:iCs w:val="1"/>
          <w:color w:val="auto"/>
        </w:rPr>
      </w:pPr>
      <w:r>
        <w:rPr>
          <w:rFonts w:ascii="Arial" w:cs="Arial" w:eastAsia="Arial" w:hAnsi="Arial"/>
          <w:sz w:val="14"/>
          <w:szCs w:val="14"/>
          <w:color w:val="auto"/>
        </w:rPr>
        <w:t>Includes debt (premium) discount amortization of $(2.2) million in the three months ended April 30, 2026 and $6.9 million in the three months ended April 30, 2025.</w:t>
      </w:r>
    </w:p>
    <w:p>
      <w:pPr>
        <w:spacing w:after="0" w:line="107" w:lineRule="exact"/>
        <w:rPr>
          <w:rFonts w:ascii="Arial" w:cs="Arial" w:eastAsia="Arial" w:hAnsi="Arial"/>
          <w:sz w:val="9"/>
          <w:szCs w:val="9"/>
          <w:i w:val="1"/>
          <w:iCs w:val="1"/>
          <w:color w:val="auto"/>
        </w:rPr>
      </w:pPr>
    </w:p>
    <w:p>
      <w:pPr>
        <w:ind w:left="313" w:hanging="313"/>
        <w:spacing w:after="0"/>
        <w:tabs>
          <w:tab w:leader="none" w:pos="313"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106" w:lineRule="exact"/>
        <w:rPr>
          <w:rFonts w:ascii="Arial" w:cs="Arial" w:eastAsia="Arial" w:hAnsi="Arial"/>
          <w:sz w:val="19"/>
          <w:szCs w:val="19"/>
          <w:i w:val="1"/>
          <w:iCs w:val="1"/>
          <w:color w:val="auto"/>
          <w:vertAlign w:val="superscript"/>
        </w:rPr>
      </w:pPr>
    </w:p>
    <w:p>
      <w:pPr>
        <w:ind w:left="313" w:hanging="313"/>
        <w:spacing w:after="0"/>
        <w:tabs>
          <w:tab w:leader="none" w:pos="313" w:val="left"/>
        </w:tabs>
        <w:numPr>
          <w:ilvl w:val="0"/>
          <w:numId w:val="8"/>
        </w:numPr>
        <w:rPr>
          <w:rFonts w:ascii="Arial" w:cs="Arial" w:eastAsia="Arial" w:hAnsi="Arial"/>
          <w:sz w:val="9"/>
          <w:szCs w:val="9"/>
          <w:i w:val="1"/>
          <w:iCs w:val="1"/>
          <w:color w:val="auto"/>
        </w:rPr>
      </w:pPr>
      <w:r>
        <w:rPr>
          <w:rFonts w:ascii="Arial" w:cs="Arial" w:eastAsia="Arial" w:hAnsi="Arial"/>
          <w:sz w:val="14"/>
          <w:szCs w:val="14"/>
          <w:color w:val="auto"/>
        </w:rPr>
        <w:t>Reflects the non-cash expense for share-based compensation.</w:t>
      </w:r>
    </w:p>
    <w:p>
      <w:pPr>
        <w:spacing w:after="0" w:line="136" w:lineRule="exact"/>
        <w:rPr>
          <w:rFonts w:ascii="Arial" w:cs="Arial" w:eastAsia="Arial" w:hAnsi="Arial"/>
          <w:sz w:val="9"/>
          <w:szCs w:val="9"/>
          <w:i w:val="1"/>
          <w:iCs w:val="1"/>
          <w:color w:val="auto"/>
        </w:rPr>
      </w:pPr>
    </w:p>
    <w:p>
      <w:pPr>
        <w:ind w:left="313" w:hanging="313"/>
        <w:spacing w:after="0"/>
        <w:tabs>
          <w:tab w:leader="none" w:pos="313" w:val="left"/>
        </w:tabs>
        <w:numPr>
          <w:ilvl w:val="0"/>
          <w:numId w:val="8"/>
        </w:numPr>
        <w:rPr>
          <w:rFonts w:ascii="Arial" w:cs="Arial" w:eastAsia="Arial" w:hAnsi="Arial"/>
          <w:sz w:val="9"/>
          <w:szCs w:val="9"/>
          <w:i w:val="1"/>
          <w:iCs w:val="1"/>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121" w:lineRule="exact"/>
        <w:rPr>
          <w:rFonts w:ascii="Arial" w:cs="Arial" w:eastAsia="Arial" w:hAnsi="Arial"/>
          <w:sz w:val="9"/>
          <w:szCs w:val="9"/>
          <w:i w:val="1"/>
          <w:iCs w:val="1"/>
          <w:color w:val="auto"/>
        </w:rPr>
      </w:pPr>
    </w:p>
    <w:p>
      <w:pPr>
        <w:ind w:left="313" w:hanging="313"/>
        <w:spacing w:after="0"/>
        <w:tabs>
          <w:tab w:leader="none" w:pos="313"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4"/>
          <w:szCs w:val="14"/>
          <w:color w:val="auto"/>
        </w:rPr>
        <w:t>Non-recurring adjustments for the three months ended April 30, 2026 includes $0.1 million of costs related to public company SOX readiness.</w:t>
      </w:r>
    </w:p>
    <w:p>
      <w:pPr>
        <w:spacing w:after="0" w:line="106" w:lineRule="exact"/>
        <w:rPr>
          <w:rFonts w:ascii="Arial" w:cs="Arial" w:eastAsia="Arial" w:hAnsi="Arial"/>
          <w:sz w:val="19"/>
          <w:szCs w:val="19"/>
          <w:i w:val="1"/>
          <w:iCs w:val="1"/>
          <w:color w:val="auto"/>
          <w:vertAlign w:val="superscript"/>
        </w:rPr>
      </w:pPr>
    </w:p>
    <w:p>
      <w:pPr>
        <w:ind w:left="333" w:right="340" w:hanging="333"/>
        <w:spacing w:after="0" w:line="239" w:lineRule="auto"/>
        <w:tabs>
          <w:tab w:leader="none" w:pos="326"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4"/>
          <w:szCs w:val="14"/>
          <w:color w:val="auto"/>
        </w:rPr>
        <w:t>Non-ordinary course legal fees for the three months ended April 30, 2026 and 2025 includes $0.6 million and $0.6 million of costs related to securities lawsuits and non-recurring legal fees, respectively.</w:t>
      </w:r>
    </w:p>
    <w:p>
      <w:pPr>
        <w:spacing w:after="0" w:line="79" w:lineRule="exact"/>
        <w:rPr>
          <w:rFonts w:ascii="Arial" w:cs="Arial" w:eastAsia="Arial" w:hAnsi="Arial"/>
          <w:sz w:val="19"/>
          <w:szCs w:val="19"/>
          <w:i w:val="1"/>
          <w:iCs w:val="1"/>
          <w:color w:val="auto"/>
          <w:vertAlign w:val="superscript"/>
        </w:rPr>
      </w:pPr>
    </w:p>
    <w:p>
      <w:pPr>
        <w:ind w:left="313" w:hanging="313"/>
        <w:spacing w:after="0"/>
        <w:tabs>
          <w:tab w:leader="none" w:pos="313"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4"/>
          <w:szCs w:val="14"/>
          <w:color w:val="auto"/>
        </w:rPr>
        <w:t>Includes other (income) / expense recognized in the period.</w:t>
      </w:r>
    </w:p>
    <w:p>
      <w:pPr>
        <w:spacing w:after="0" w:line="106" w:lineRule="exact"/>
        <w:rPr>
          <w:rFonts w:ascii="Arial" w:cs="Arial" w:eastAsia="Arial" w:hAnsi="Arial"/>
          <w:sz w:val="19"/>
          <w:szCs w:val="19"/>
          <w:i w:val="1"/>
          <w:iCs w:val="1"/>
          <w:color w:val="auto"/>
          <w:vertAlign w:val="superscript"/>
        </w:rPr>
      </w:pPr>
    </w:p>
    <w:p>
      <w:pPr>
        <w:ind w:left="333" w:right="280" w:hanging="333"/>
        <w:spacing w:after="0" w:line="325" w:lineRule="auto"/>
        <w:tabs>
          <w:tab w:leader="none" w:pos="326" w:val="left"/>
        </w:tabs>
        <w:numPr>
          <w:ilvl w:val="0"/>
          <w:numId w:val="8"/>
        </w:numPr>
        <w:rPr>
          <w:rFonts w:ascii="Arial" w:cs="Arial" w:eastAsia="Arial" w:hAnsi="Arial"/>
          <w:sz w:val="9"/>
          <w:szCs w:val="9"/>
          <w:i w:val="1"/>
          <w:iCs w:val="1"/>
          <w:color w:val="auto"/>
        </w:rPr>
      </w:pPr>
      <w:r>
        <w:rPr>
          <w:rFonts w:ascii="Arial" w:cs="Arial" w:eastAsia="Arial" w:hAnsi="Arial"/>
          <w:sz w:val="14"/>
          <w:szCs w:val="14"/>
          <w:color w:val="auto"/>
        </w:rPr>
        <w:t>Includes gains / losses recognized in relation to foreign exchange, operating lease terminations and the related surrender of fixed assets (see “Note 4 - Leases – Lessee Accounting” in the Notes to the Condensed Consolidated Financial Statements).</w:t>
      </w:r>
    </w:p>
    <w:p>
      <w:pPr>
        <w:spacing w:after="0" w:line="35" w:lineRule="exact"/>
        <w:rPr>
          <w:rFonts w:ascii="Arial" w:cs="Arial" w:eastAsia="Arial" w:hAnsi="Arial"/>
          <w:sz w:val="9"/>
          <w:szCs w:val="9"/>
          <w:i w:val="1"/>
          <w:iCs w:val="1"/>
          <w:color w:val="auto"/>
        </w:rPr>
      </w:pPr>
    </w:p>
    <w:p>
      <w:pPr>
        <w:ind w:left="313" w:hanging="313"/>
        <w:spacing w:after="0"/>
        <w:tabs>
          <w:tab w:leader="none" w:pos="313"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4"/>
          <w:szCs w:val="14"/>
          <w:color w:val="auto"/>
        </w:rPr>
        <w:t>Adjusted EBITDA Margin calculated as Adjusted EBITDA as a percentage of revenue.</w:t>
      </w:r>
    </w:p>
    <w:p>
      <w:pPr>
        <w:sectPr>
          <w:pgSz w:w="11900" w:h="16838" w:orient="portrait"/>
          <w:cols w:equalWidth="0" w:num="1">
            <w:col w:w="11313"/>
          </w:cols>
          <w:pgMar w:left="247" w:top="1101" w:right="339" w:bottom="1440" w:gutter="0" w:footer="0" w:header="0"/>
        </w:sectPr>
      </w:pPr>
    </w:p>
    <w:bookmarkStart w:id="15" w:name="page16"/>
    <w:bookmarkEnd w:id="15"/>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w:t>
      </w:r>
    </w:p>
    <w:p>
      <w:pPr>
        <w:spacing w:after="0" w:line="319"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The following table presents a reconciliation of net cash (used in) provided by operating activities, the most comparable GAAP financial measure, to Free Cash Flow and Free Cash Flow Margin for the periods presented:</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 April 30,</w:t>
            </w:r>
          </w:p>
        </w:tc>
      </w:tr>
      <w:tr>
        <w:trPr>
          <w:trHeight w:val="223"/>
        </w:trPr>
        <w:tc>
          <w:tcPr>
            <w:tcW w:w="8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r>
      <w:tr>
        <w:trPr>
          <w:trHeight w:val="237"/>
        </w:trPr>
        <w:tc>
          <w:tcPr>
            <w:tcW w:w="8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Borders>
              <w:bottom w:val="single" w:sz="8" w:color="auto"/>
            </w:tcBorders>
          </w:tcPr>
          <w:p>
            <w:pPr>
              <w:spacing w:after="0"/>
              <w:rPr>
                <w:sz w:val="20"/>
                <w:szCs w:val="20"/>
                <w:color w:val="auto"/>
              </w:rPr>
            </w:pPr>
          </w:p>
        </w:tc>
      </w:tr>
      <w:tr>
        <w:trPr>
          <w:trHeight w:val="261"/>
        </w:trPr>
        <w:tc>
          <w:tcPr>
            <w:tcW w:w="824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8.3</w:t>
            </w:r>
          </w:p>
        </w:tc>
      </w:tr>
      <w:tr>
        <w:trPr>
          <w:trHeight w:val="297"/>
        </w:trPr>
        <w:tc>
          <w:tcPr>
            <w:tcW w:w="824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300" w:type="dxa"/>
            <w:vAlign w:val="bottom"/>
          </w:tcPr>
          <w:p>
            <w:pPr>
              <w:spacing w:after="0"/>
              <w:rPr>
                <w:sz w:val="24"/>
                <w:szCs w:val="24"/>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(19.3)</w:t>
            </w:r>
          </w:p>
        </w:tc>
      </w:tr>
      <w:tr>
        <w:trPr>
          <w:trHeight w:val="297"/>
        </w:trPr>
        <w:tc>
          <w:tcPr>
            <w:tcW w:w="8240" w:type="dxa"/>
            <w:vAlign w:val="bottom"/>
          </w:tcPr>
          <w:p>
            <w:pPr>
              <w:ind w:left="440"/>
              <w:spacing w:after="0"/>
              <w:rPr>
                <w:sz w:val="20"/>
                <w:szCs w:val="20"/>
                <w:color w:val="auto"/>
              </w:rPr>
            </w:pPr>
            <w:r>
              <w:rPr>
                <w:rFonts w:ascii="Arial" w:cs="Arial" w:eastAsia="Arial" w:hAnsi="Arial"/>
                <w:sz w:val="18"/>
                <w:szCs w:val="18"/>
                <w:color w:val="auto"/>
              </w:rPr>
              <w:t>Proceeds from liquidation of rental product</w:t>
            </w:r>
          </w:p>
        </w:tc>
        <w:tc>
          <w:tcPr>
            <w:tcW w:w="300" w:type="dxa"/>
            <w:vAlign w:val="bottom"/>
          </w:tcPr>
          <w:p>
            <w:pPr>
              <w:spacing w:after="0"/>
              <w:rPr>
                <w:sz w:val="24"/>
                <w:szCs w:val="24"/>
                <w:color w:val="auto"/>
              </w:rPr>
            </w:pP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0.9</w:t>
            </w:r>
          </w:p>
        </w:tc>
      </w:tr>
      <w:tr>
        <w:trPr>
          <w:trHeight w:val="297"/>
        </w:trPr>
        <w:tc>
          <w:tcPr>
            <w:tcW w:w="8240" w:type="dxa"/>
            <w:vAlign w:val="bottom"/>
          </w:tcPr>
          <w:p>
            <w:pPr>
              <w:ind w:left="440"/>
              <w:spacing w:after="0"/>
              <w:rPr>
                <w:sz w:val="20"/>
                <w:szCs w:val="20"/>
                <w:color w:val="auto"/>
              </w:rPr>
            </w:pPr>
            <w:r>
              <w:rPr>
                <w:rFonts w:ascii="Arial" w:cs="Arial" w:eastAsia="Arial" w:hAnsi="Arial"/>
                <w:sz w:val="18"/>
                <w:szCs w:val="18"/>
                <w:color w:val="auto"/>
              </w:rPr>
              <w:t>Proceeds from sale of rental product</w:t>
            </w:r>
          </w:p>
        </w:tc>
        <w:tc>
          <w:tcPr>
            <w:tcW w:w="300" w:type="dxa"/>
            <w:vAlign w:val="bottom"/>
          </w:tcPr>
          <w:p>
            <w:pPr>
              <w:spacing w:after="0"/>
              <w:rPr>
                <w:sz w:val="24"/>
                <w:szCs w:val="24"/>
                <w:color w:val="auto"/>
              </w:rPr>
            </w:pP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4.9</w:t>
            </w:r>
          </w:p>
        </w:tc>
      </w:tr>
      <w:tr>
        <w:trPr>
          <w:trHeight w:val="297"/>
        </w:trPr>
        <w:tc>
          <w:tcPr>
            <w:tcW w:w="824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300" w:type="dxa"/>
            <w:vAlign w:val="bottom"/>
          </w:tcPr>
          <w:p>
            <w:pPr>
              <w:spacing w:after="0"/>
              <w:rPr>
                <w:sz w:val="24"/>
                <w:szCs w:val="24"/>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w:t>
            </w:r>
          </w:p>
        </w:tc>
      </w:tr>
      <w:tr>
        <w:trPr>
          <w:trHeight w:val="37"/>
        </w:trPr>
        <w:tc>
          <w:tcPr>
            <w:tcW w:w="82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86"/>
        </w:trPr>
        <w:tc>
          <w:tcPr>
            <w:tcW w:w="8240" w:type="dxa"/>
            <w:vAlign w:val="bottom"/>
          </w:tcPr>
          <w:p>
            <w:pPr>
              <w:spacing w:after="0"/>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(6.4)</w:t>
            </w:r>
          </w:p>
        </w:tc>
      </w:tr>
      <w:tr>
        <w:trPr>
          <w:trHeight w:val="25"/>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6"/>
        </w:trPr>
        <w:tc>
          <w:tcPr>
            <w:tcW w:w="8240" w:type="dxa"/>
            <w:vAlign w:val="bottom"/>
          </w:tcPr>
          <w:p>
            <w:pPr>
              <w:spacing w:after="0"/>
              <w:rPr>
                <w:sz w:val="20"/>
                <w:szCs w:val="20"/>
                <w:color w:val="auto"/>
              </w:rPr>
            </w:pPr>
            <w:r>
              <w:rPr>
                <w:rFonts w:ascii="Arial" w:cs="Arial" w:eastAsia="Arial" w:hAnsi="Arial"/>
                <w:sz w:val="18"/>
                <w:szCs w:val="18"/>
                <w:color w:val="auto"/>
              </w:rPr>
              <w:t>Free Cash Flow Margin</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5"/>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12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2026-06-03T07:09:42Z</dcterms:created>
  <dcterms:modified xsi:type="dcterms:W3CDTF">2026-06-03T07:09:42Z</dcterms:modified>
</cp:coreProperties>
</file>