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Roth Michael</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Arial" w:cs="Arial" w:eastAsia="Arial" w:hAnsi="Arial"/>
                <w:sz w:val="20"/>
                <w:szCs w:val="20"/>
                <w:color w:val="0000FF"/>
              </w:rPr>
              <w:t>55,041</w:t>
            </w:r>
            <w:r>
              <w:rPr>
                <w:rFonts w:ascii="Arial" w:cs="Arial" w:eastAsia="Arial" w:hAnsi="Arial"/>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Series G Preferred Stock</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right"/>
              <w:ind w:right="309"/>
              <w:spacing w:after="0"/>
              <w:rPr>
                <w:sz w:val="20"/>
                <w:szCs w:val="20"/>
                <w:color w:val="auto"/>
              </w:rPr>
            </w:pPr>
            <w:r>
              <w:rPr>
                <w:rFonts w:ascii="Arial" w:cs="Arial" w:eastAsia="Arial" w:hAnsi="Arial"/>
                <w:sz w:val="13"/>
                <w:szCs w:val="13"/>
                <w:color w:val="008000"/>
              </w:rPr>
              <w:t>(2)</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67,838</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Arial" w:cs="Arial" w:eastAsia="Arial" w:hAnsi="Arial"/>
                <w:sz w:val="13"/>
                <w:szCs w:val="13"/>
                <w:color w:val="008000"/>
              </w:rPr>
              <w:t>(2)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20" w:firstLine="5"/>
        <w:spacing w:after="0" w:line="241"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Includes restricted stock units ("RSUs"), each of which represents a contingent right to receive one share of the Issuer's Common Stock. The RSUs were issued in two separate awards which include (i) 15,625 of the RSUs vesting in 10 substantially equal quarterly commencing on November 1, 2021; and (ii) 18,776 of the RSUs vesting in 10 substantially equal quarterly installments commencing on November 1, 2021. The RSUs have no expiration date.</w:t>
      </w:r>
    </w:p>
    <w:p>
      <w:pPr>
        <w:spacing w:after="0" w:line="35" w:lineRule="exact"/>
        <w:rPr>
          <w:rFonts w:ascii="Arial" w:cs="Arial" w:eastAsia="Arial" w:hAnsi="Arial"/>
          <w:sz w:val="15"/>
          <w:szCs w:val="15"/>
          <w:color w:val="008000"/>
        </w:rPr>
      </w:pPr>
    </w:p>
    <w:p>
      <w:pPr>
        <w:ind w:left="40" w:right="580" w:firstLine="5"/>
        <w:spacing w:after="0" w:line="305" w:lineRule="auto"/>
        <w:tabs>
          <w:tab w:leader="none" w:pos="19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Shares of the Issuer's preferred stock have no expiration date and are convertible, at the holder's election. into Issuer's Common Stock at a conversion ratio of 1-to-1. The preferred stock will automatically convert into shares of the Issuer's Common Stock, for no additional consideration, upon the closing of the Issuer's initial public offering.</w:t>
      </w: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00" w:type="dxa"/>
            <w:vAlign w:val="bottom"/>
            <w:gridSpan w:val="3"/>
          </w:tcPr>
          <w:p>
            <w:pPr>
              <w:spacing w:after="0"/>
              <w:rPr>
                <w:sz w:val="20"/>
                <w:szCs w:val="20"/>
                <w:color w:val="auto"/>
              </w:rPr>
            </w:pPr>
            <w:r>
              <w:rPr>
                <w:rFonts w:ascii="Arial" w:cs="Arial" w:eastAsia="Arial" w:hAnsi="Arial"/>
                <w:sz w:val="20"/>
                <w:szCs w:val="20"/>
                <w:color w:val="0000FF"/>
              </w:rPr>
              <w:t>/s/ Cara Schembri as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4"/>
              </w:rPr>
              <w:t>Attorney-in-fact for Mike  10/26/2021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5"/>
              </w:rPr>
              <w:t>Roth</w:t>
            </w:r>
          </w:p>
        </w:tc>
        <w:tc>
          <w:tcPr>
            <w:tcW w:w="1620" w:type="dxa"/>
            <w:vAlign w:val="bottom"/>
            <w:tcBorders>
              <w:top w:val="single" w:sz="8" w:color="auto"/>
            </w:tcBorders>
            <w:gridSpan w:val="2"/>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936"/>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400" w:right="619" w:hanging="464"/>
        <w:spacing w:after="0" w:line="269" w:lineRule="auto"/>
        <w:tabs>
          <w:tab w:leader="none" w:pos="14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07" w:lineRule="exact"/>
        <w:rPr>
          <w:rFonts w:ascii="Courier New" w:cs="Courier New" w:eastAsia="Courier New" w:hAnsi="Courier New"/>
          <w:sz w:val="18"/>
          <w:szCs w:val="18"/>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September 25, 2021.</w:t>
      </w:r>
    </w:p>
    <w:p>
      <w:pPr>
        <w:spacing w:after="0" w:line="224"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Mike Roth</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jc w:val="center"/>
        <w:ind w:right="-440"/>
        <w:spacing w:after="0" w:line="238" w:lineRule="auto"/>
        <w:rPr>
          <w:sz w:val="20"/>
          <w:szCs w:val="20"/>
          <w:color w:val="auto"/>
        </w:rPr>
      </w:pPr>
      <w:r>
        <w:rPr>
          <w:rFonts w:ascii="Courier New" w:cs="Courier New" w:eastAsia="Courier New" w:hAnsi="Courier New"/>
          <w:sz w:val="20"/>
          <w:szCs w:val="20"/>
          <w:color w:val="auto"/>
        </w:rPr>
        <w:t>Mike Roth</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8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7947"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2021-10-26T20:03:51Z</dcterms:created>
  <dcterms:modified xsi:type="dcterms:W3CDTF">2021-10-26T20:03:51Z</dcterms:modified>
</cp:coreProperties>
</file>