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64770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001-40958</w:t>
            </w:r>
          </w:p>
        </w:tc>
        <w:tc>
          <w:tcPr>
            <w:tcW w:w="900" w:type="dxa"/>
            <w:vAlign w:val="bottom"/>
          </w:tcPr>
          <w:p>
            <w:pPr>
              <w:spacing w:after="0"/>
              <w:rPr>
                <w:sz w:val="20"/>
                <w:szCs w:val="20"/>
                <w:color w:val="auto"/>
              </w:rPr>
            </w:pP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8"/>
                <w:szCs w:val="18"/>
                <w:b w:val="1"/>
                <w:bCs w:val="1"/>
                <w:color w:val="auto"/>
                <w:w w:val="98"/>
              </w:rPr>
              <w:t>80-0376379</w:t>
            </w:r>
          </w:p>
        </w:tc>
      </w:tr>
      <w:tr>
        <w:trPr>
          <w:trHeight w:val="17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880" w:type="dxa"/>
            <w:vAlign w:val="bottom"/>
          </w:tcPr>
          <w:p>
            <w:pPr>
              <w:spacing w:after="0"/>
              <w:rPr>
                <w:sz w:val="15"/>
                <w:szCs w:val="15"/>
                <w:color w:val="auto"/>
              </w:rPr>
            </w:pPr>
          </w:p>
        </w:tc>
        <w:tc>
          <w:tcPr>
            <w:tcW w:w="472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880" w:type="dxa"/>
            <w:vAlign w:val="bottom"/>
          </w:tcPr>
          <w:p>
            <w:pPr>
              <w:spacing w:after="0"/>
              <w:rPr>
                <w:sz w:val="16"/>
                <w:szCs w:val="16"/>
                <w:color w:val="auto"/>
              </w:rPr>
            </w:pPr>
          </w:p>
        </w:tc>
        <w:tc>
          <w:tcPr>
            <w:tcW w:w="472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20"/>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16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10 Jay Street</w:t>
            </w:r>
          </w:p>
        </w:tc>
        <w:tc>
          <w:tcPr>
            <w:tcW w:w="1660" w:type="dxa"/>
            <w:vAlign w:val="bottom"/>
          </w:tcPr>
          <w:p>
            <w:pPr>
              <w:spacing w:after="0"/>
              <w:rPr>
                <w:sz w:val="18"/>
                <w:szCs w:val="18"/>
                <w:color w:val="auto"/>
              </w:rPr>
            </w:pPr>
          </w:p>
        </w:tc>
      </w:tr>
      <w:tr>
        <w:trPr>
          <w:trHeight w:val="200"/>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20" w:type="dxa"/>
            <w:vAlign w:val="bottom"/>
            <w:gridSpan w:val="2"/>
          </w:tcPr>
          <w:p>
            <w:pPr>
              <w:jc w:val="center"/>
              <w:ind w:right="9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Brooklyn, New York 11201</w:t>
            </w:r>
          </w:p>
        </w:tc>
        <w:tc>
          <w:tcPr>
            <w:tcW w:w="166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60" w:type="dxa"/>
            <w:vAlign w:val="bottom"/>
          </w:tcPr>
          <w:p>
            <w:pPr>
              <w:spacing w:after="0"/>
              <w:rPr>
                <w:sz w:val="16"/>
                <w:szCs w:val="16"/>
                <w:color w:val="auto"/>
              </w:rPr>
            </w:pPr>
          </w:p>
        </w:tc>
      </w:tr>
      <w:tr>
        <w:trPr>
          <w:trHeight w:val="320"/>
        </w:trPr>
        <w:tc>
          <w:tcPr>
            <w:tcW w:w="1840" w:type="dxa"/>
            <w:vAlign w:val="bottom"/>
          </w:tcPr>
          <w:p>
            <w:pPr>
              <w:spacing w:after="0"/>
              <w:rPr>
                <w:sz w:val="24"/>
                <w:szCs w:val="24"/>
                <w:color w:val="auto"/>
              </w:rPr>
            </w:pPr>
          </w:p>
        </w:tc>
        <w:tc>
          <w:tcPr>
            <w:tcW w:w="56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524-6860</w:t>
            </w:r>
          </w:p>
        </w:tc>
        <w:tc>
          <w:tcPr>
            <w:tcW w:w="1660" w:type="dxa"/>
            <w:vAlign w:val="bottom"/>
          </w:tcPr>
          <w:p>
            <w:pPr>
              <w:spacing w:after="0"/>
              <w:rPr>
                <w:sz w:val="24"/>
                <w:szCs w:val="24"/>
                <w:color w:val="auto"/>
              </w:rPr>
            </w:pPr>
          </w:p>
        </w:tc>
      </w:tr>
      <w:tr>
        <w:trPr>
          <w:trHeight w:val="81"/>
        </w:trPr>
        <w:tc>
          <w:tcPr>
            <w:tcW w:w="1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80" w:type="dxa"/>
            <w:vAlign w:val="bottom"/>
          </w:tcPr>
          <w:p>
            <w:pPr>
              <w:spacing w:after="0"/>
              <w:rPr>
                <w:sz w:val="15"/>
                <w:szCs w:val="15"/>
                <w:color w:val="auto"/>
              </w:rPr>
            </w:pPr>
          </w:p>
        </w:tc>
      </w:tr>
      <w:tr>
        <w:trPr>
          <w:trHeight w:val="204"/>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74"/>
        </w:trPr>
        <w:tc>
          <w:tcPr>
            <w:tcW w:w="37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Class A common stock, $0.001 par value per</w:t>
            </w:r>
          </w:p>
        </w:tc>
        <w:tc>
          <w:tcPr>
            <w:tcW w:w="16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RENT</w:t>
            </w:r>
          </w:p>
        </w:tc>
        <w:tc>
          <w:tcPr>
            <w:tcW w:w="14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84"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11, 2025, Rent the Runway, Inc. (the “Company”) issued a press release announcing its financial results for the quarter ended July 31, 2025.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to this Form 8-K and is incorporated by reference.</w:t>
      </w:r>
    </w:p>
    <w:p>
      <w:pPr>
        <w:spacing w:after="0" w:line="21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Information in Exhibit 99.1 of this Form 8-K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filing.</w:t>
      </w:r>
    </w:p>
    <w:p>
      <w:pPr>
        <w:spacing w:after="0" w:line="1"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20" w:type="dxa"/>
            <w:vAlign w:val="bottom"/>
            <w:gridSpan w:val="3"/>
          </w:tcPr>
          <w:p>
            <w:pPr>
              <w:ind w:left="4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1"/>
                <w:szCs w:val="21"/>
                <w:color w:val="auto"/>
              </w:rPr>
            </w:pPr>
          </w:p>
        </w:tc>
        <w:tc>
          <w:tcPr>
            <w:tcW w:w="9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Press Release issued by Rent the Runway, Inc. on September 11, 2025</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line="20" w:lineRule="exact"/>
              <w:rPr>
                <w:sz w:val="1"/>
                <w:szCs w:val="1"/>
                <w:color w:val="auto"/>
              </w:rPr>
            </w:pPr>
          </w:p>
        </w:tc>
        <w:tc>
          <w:tcPr>
            <w:tcW w:w="5060" w:type="dxa"/>
            <w:vAlign w:val="bottom"/>
            <w:shd w:val="clear" w:color="auto" w:fill="0000FF"/>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2450"/>
        </w:trPr>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135" w:lineRule="exact"/>
        <w:rPr>
          <w:sz w:val="20"/>
          <w:szCs w:val="20"/>
          <w:color w:val="auto"/>
        </w:rPr>
      </w:pPr>
    </w:p>
    <w:p>
      <w:pPr>
        <w:ind w:left="440"/>
        <w:spacing w:after="0"/>
        <w:tabs>
          <w:tab w:leader="none" w:pos="5560" w:val="left"/>
          <w:tab w:leader="none" w:pos="6180" w:val="left"/>
        </w:tabs>
        <w:rPr>
          <w:sz w:val="20"/>
          <w:szCs w:val="20"/>
          <w:color w:val="auto"/>
        </w:rPr>
      </w:pPr>
      <w:r>
        <w:rPr>
          <w:rFonts w:ascii="Times New Roman" w:cs="Times New Roman" w:eastAsia="Times New Roman" w:hAnsi="Times New Roman"/>
          <w:sz w:val="18"/>
          <w:szCs w:val="18"/>
          <w:color w:val="auto"/>
        </w:rPr>
        <w:t>Date: September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8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Siddharth Thacker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160"/>
          </w:cols>
          <w:pgMar w:left="320" w:top="765"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Rent the Runway, Inc. Announces Second Quarter 2025 Results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Announced Transformative Recapitalization Plan to Strengthen the Balance Sheet and Inject Capital into the Business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 Growth of the Business with July Ending Active Subscribers + 13.4% YoY</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Achieved Q2 Subscription Net Promoter Score +77% YoY</w:t>
      </w:r>
    </w:p>
    <w:p>
      <w:pPr>
        <w:spacing w:after="0" w:line="268" w:lineRule="exact"/>
        <w:rPr>
          <w:sz w:val="20"/>
          <w:szCs w:val="20"/>
          <w:color w:val="auto"/>
        </w:rPr>
      </w:pPr>
    </w:p>
    <w:p>
      <w:pPr>
        <w:jc w:val="both"/>
        <w:ind w:right="20"/>
        <w:spacing w:after="0" w:line="316" w:lineRule="auto"/>
        <w:rPr>
          <w:sz w:val="20"/>
          <w:szCs w:val="20"/>
          <w:color w:val="auto"/>
        </w:rPr>
      </w:pPr>
      <w:r>
        <w:rPr>
          <w:rFonts w:ascii="Arial" w:cs="Arial" w:eastAsia="Arial" w:hAnsi="Arial"/>
          <w:sz w:val="20"/>
          <w:szCs w:val="20"/>
          <w:b w:val="1"/>
          <w:bCs w:val="1"/>
          <w:color w:val="auto"/>
        </w:rPr>
        <w:t xml:space="preserve">NEW YORK, September 11, 2025 </w:t>
      </w:r>
      <w:r>
        <w:rPr>
          <w:rFonts w:ascii="Arial" w:cs="Arial" w:eastAsia="Arial" w:hAnsi="Arial"/>
          <w:sz w:val="20"/>
          <w:szCs w:val="20"/>
          <w:color w:val="auto"/>
        </w:rPr>
        <w:t>- Rent the Runway, Inc. (“Rent the Runway” or "RTR") (NASDAQ: RENT),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transforming the way women get dressed, today reported financial results for the fiscal quarter ended July 31, 2025.</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With a transformative recapitalization plan in motion, market conditions that are increasing interest in clothing rental, and a bold inventory strategy that continues to make its way to customers, Rent the Runway is in a position of strength to deliver on its value proposition and win more customers in the category we created 15 years ago.</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"We are at a pivotal moment for Rent the Runway with our recapitalization plan and continued business momentum," said Jennifer Hyman, Co-Founder and CEO of Rent the Runway. "Reducing our debt from $340 million to $120 million while extending maturity to 2029 gives us the financial flexibility we need to fully execute on our turnaround. The numbers speak for themselves – 13.4% year-over-year subscriber growth, customer satisfaction at its highest in three years, and engagement with our new inventory overperforming across every key metric. We're executing on our strategy and delivering results that position us for sustained growth."</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Highlights</w:t>
      </w:r>
    </w:p>
    <w:p>
      <w:pPr>
        <w:spacing w:after="0" w:line="256" w:lineRule="exact"/>
        <w:rPr>
          <w:sz w:val="20"/>
          <w:szCs w:val="20"/>
          <w:color w:val="auto"/>
        </w:rPr>
      </w:pPr>
    </w:p>
    <w:p>
      <w:pPr>
        <w:ind w:left="500" w:right="80" w:hanging="492"/>
        <w:spacing w:after="0" w:line="275" w:lineRule="auto"/>
        <w:tabs>
          <w:tab w:leader="none" w:pos="488" w:val="left"/>
        </w:tabs>
        <w:numPr>
          <w:ilvl w:val="0"/>
          <w:numId w:val="2"/>
        </w:numPr>
        <w:rPr>
          <w:rFonts w:ascii="Arial" w:cs="Arial" w:eastAsia="Arial" w:hAnsi="Arial"/>
          <w:sz w:val="20"/>
          <w:szCs w:val="20"/>
          <w:i w:val="1"/>
          <w:iCs w:val="1"/>
          <w:color w:val="auto"/>
        </w:rPr>
      </w:pPr>
      <w:r>
        <w:rPr>
          <w:rFonts w:ascii="Arial" w:cs="Arial" w:eastAsia="Arial" w:hAnsi="Arial"/>
          <w:sz w:val="20"/>
          <w:szCs w:val="20"/>
          <w:b w:val="1"/>
          <w:bCs w:val="1"/>
          <w:color w:val="auto"/>
        </w:rPr>
        <w:t>Announced a recapitalization to address debt on the balance sheet</w:t>
      </w:r>
      <w:r>
        <w:rPr>
          <w:rFonts w:ascii="Arial" w:cs="Arial" w:eastAsia="Arial" w:hAnsi="Arial"/>
          <w:sz w:val="20"/>
          <w:szCs w:val="20"/>
          <w:color w:val="auto"/>
        </w:rPr>
        <w:t>: The transaction, led by our existing lender</w:t>
      </w:r>
      <w:r>
        <w:rPr>
          <w:rFonts w:ascii="Arial" w:cs="Arial" w:eastAsia="Arial" w:hAnsi="Arial"/>
          <w:sz w:val="20"/>
          <w:szCs w:val="20"/>
          <w:b w:val="1"/>
          <w:bCs w:val="1"/>
          <w:color w:val="auto"/>
        </w:rPr>
        <w:t xml:space="preserve"> </w:t>
      </w:r>
      <w:r>
        <w:rPr>
          <w:rFonts w:ascii="Arial" w:cs="Arial" w:eastAsia="Arial" w:hAnsi="Arial"/>
          <w:sz w:val="20"/>
          <w:szCs w:val="20"/>
          <w:color w:val="auto"/>
        </w:rPr>
        <w:t>Aranda Principal Strategies (APS) in partnership with STORY 3 Capital Partners and Nexus Capital Management, will reduce our debt from $340 million to $120 million and extend the maturity of the debt to 2029, giving us years of additional runway to execute on our vision. APS will convert debt in excess of $100M into common equity, while APS, STORY3, and Nexus will contribute $20M of incremental cash via new debt to the balance sheet. The transaction is expected to be consummated by December 31, 2025.</w:t>
      </w:r>
    </w:p>
    <w:p>
      <w:pPr>
        <w:spacing w:after="0" w:line="5" w:lineRule="exact"/>
        <w:rPr>
          <w:rFonts w:ascii="Arial" w:cs="Arial" w:eastAsia="Arial" w:hAnsi="Arial"/>
          <w:sz w:val="20"/>
          <w:szCs w:val="20"/>
          <w:i w:val="1"/>
          <w:iCs w:val="1"/>
          <w:color w:val="auto"/>
        </w:rPr>
      </w:pPr>
    </w:p>
    <w:p>
      <w:pPr>
        <w:ind w:left="500" w:right="100" w:hanging="492"/>
        <w:spacing w:after="0" w:line="288"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Continued deployment of our bold inventory strategy</w:t>
      </w:r>
      <w:r>
        <w:rPr>
          <w:rFonts w:ascii="Arial" w:cs="Arial" w:eastAsia="Arial" w:hAnsi="Arial"/>
          <w:sz w:val="20"/>
          <w:szCs w:val="20"/>
          <w:color w:val="auto"/>
        </w:rPr>
        <w:t>: As of August, we have posted almost twice the inventory units</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the prior year, with 323% more styles in May, 235% more in June, and 253% more in July. Year to date, Rent the Runway has added thousands of new styles and dozens of new brands to the platform.</w:t>
      </w:r>
    </w:p>
    <w:p>
      <w:pPr>
        <w:sectPr>
          <w:pgSz w:w="11900" w:h="16838" w:orient="portrait"/>
          <w:cols w:equalWidth="0" w:num="1">
            <w:col w:w="11240"/>
          </w:cols>
          <w:pgMar w:left="320" w:top="1101" w:right="339" w:bottom="1440" w:gutter="0" w:footer="0" w:header="0"/>
        </w:sectPr>
      </w:pPr>
    </w:p>
    <w:bookmarkStart w:id="4" w:name="page5"/>
    <w:bookmarkEnd w:id="4"/>
    <w:p>
      <w:pPr>
        <w:ind w:left="500" w:right="220" w:hanging="492"/>
        <w:spacing w:after="0" w:line="277" w:lineRule="auto"/>
        <w:tabs>
          <w:tab w:leader="none" w:pos="48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Increased customer engagement</w:t>
      </w:r>
      <w:r>
        <w:rPr>
          <w:rFonts w:ascii="Arial" w:cs="Arial" w:eastAsia="Arial" w:hAnsi="Arial"/>
          <w:sz w:val="20"/>
          <w:szCs w:val="20"/>
          <w:color w:val="auto"/>
        </w:rPr>
        <w:t>: Engagement with new inventory in Q2 overperformed last year across every key</w:t>
      </w:r>
      <w:r>
        <w:rPr>
          <w:rFonts w:ascii="Arial" w:cs="Arial" w:eastAsia="Arial" w:hAnsi="Arial"/>
          <w:sz w:val="20"/>
          <w:szCs w:val="20"/>
          <w:b w:val="1"/>
          <w:bCs w:val="1"/>
          <w:color w:val="auto"/>
        </w:rPr>
        <w:t xml:space="preserve"> </w:t>
      </w:r>
      <w:r>
        <w:rPr>
          <w:rFonts w:ascii="Arial" w:cs="Arial" w:eastAsia="Arial" w:hAnsi="Arial"/>
          <w:sz w:val="20"/>
          <w:szCs w:val="20"/>
          <w:color w:val="auto"/>
        </w:rPr>
        <w:t>metric, including share of views (up 84% YoY), hearts per style (up 15% YoY), and new units at home (up 57% YoY). Q2 average subscription net promoter score was up 77% versus the prior year.</w:t>
      </w:r>
    </w:p>
    <w:p>
      <w:pPr>
        <w:jc w:val="both"/>
        <w:ind w:left="500" w:right="40" w:hanging="492"/>
        <w:spacing w:after="0" w:line="289" w:lineRule="auto"/>
        <w:tabs>
          <w:tab w:leader="none" w:pos="488"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Increased revenue share units and launched new exclusive brand collaborations</w:t>
      </w:r>
      <w:r>
        <w:rPr>
          <w:rFonts w:ascii="Arial" w:cs="Arial" w:eastAsia="Arial" w:hAnsi="Arial"/>
          <w:sz w:val="19"/>
          <w:szCs w:val="19"/>
          <w:color w:val="auto"/>
        </w:rPr>
        <w:t>: Revenue share units from existing</w:t>
      </w:r>
      <w:r>
        <w:rPr>
          <w:rFonts w:ascii="Arial" w:cs="Arial" w:eastAsia="Arial" w:hAnsi="Arial"/>
          <w:sz w:val="19"/>
          <w:szCs w:val="19"/>
          <w:b w:val="1"/>
          <w:bCs w:val="1"/>
          <w:color w:val="auto"/>
        </w:rPr>
        <w:t xml:space="preserve"> </w:t>
      </w:r>
      <w:r>
        <w:rPr>
          <w:rFonts w:ascii="Arial" w:cs="Arial" w:eastAsia="Arial" w:hAnsi="Arial"/>
          <w:sz w:val="19"/>
          <w:szCs w:val="19"/>
          <w:color w:val="auto"/>
        </w:rPr>
        <w:t>revenue share partners are up 40% YoY, and total revenue share units are up 119% YoY. We plan to add 80+ new brands in FY 2025, with 56 already launched in H1, and have launched 7 new exclusive brand collaborations year to date.</w:t>
      </w:r>
    </w:p>
    <w:p>
      <w:pPr>
        <w:ind w:left="500" w:right="40" w:hanging="492"/>
        <w:spacing w:after="0" w:line="274" w:lineRule="auto"/>
        <w:tabs>
          <w:tab w:leader="none" w:pos="48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Organic social delivered its strongest quarter in years</w:t>
      </w:r>
      <w:r>
        <w:rPr>
          <w:rFonts w:ascii="Arial" w:cs="Arial" w:eastAsia="Arial" w:hAnsi="Arial"/>
          <w:sz w:val="20"/>
          <w:szCs w:val="20"/>
          <w:color w:val="auto"/>
        </w:rPr>
        <w:t>: Through 11 new social series, a new ‘face of RTR,’ and a fresh</w:t>
      </w:r>
      <w:r>
        <w:rPr>
          <w:rFonts w:ascii="Arial" w:cs="Arial" w:eastAsia="Arial" w:hAnsi="Arial"/>
          <w:sz w:val="20"/>
          <w:szCs w:val="20"/>
          <w:b w:val="1"/>
          <w:bCs w:val="1"/>
          <w:color w:val="auto"/>
        </w:rPr>
        <w:t xml:space="preserve"> </w:t>
      </w:r>
      <w:r>
        <w:rPr>
          <w:rFonts w:ascii="Arial" w:cs="Arial" w:eastAsia="Arial" w:hAnsi="Arial"/>
          <w:sz w:val="20"/>
          <w:szCs w:val="20"/>
          <w:color w:val="auto"/>
        </w:rPr>
        <w:t>approach to our influencer strategy, Q2 overall engagement with our social media channels is up ~800% YoY and views are up 175% YoY.</w:t>
      </w:r>
    </w:p>
    <w:p>
      <w:pPr>
        <w:spacing w:after="0" w:line="2" w:lineRule="exact"/>
        <w:rPr>
          <w:rFonts w:ascii="Arial" w:cs="Arial" w:eastAsia="Arial" w:hAnsi="Arial"/>
          <w:sz w:val="20"/>
          <w:szCs w:val="20"/>
          <w:color w:val="auto"/>
        </w:rPr>
      </w:pPr>
    </w:p>
    <w:p>
      <w:pPr>
        <w:ind w:left="500" w:right="80" w:hanging="492"/>
        <w:spacing w:after="0" w:line="274" w:lineRule="auto"/>
        <w:tabs>
          <w:tab w:leader="none" w:pos="48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Enhanced the subscription experience to be more personalized, rewarding, and engaging</w:t>
      </w:r>
      <w:r>
        <w:rPr>
          <w:rFonts w:ascii="Arial" w:cs="Arial" w:eastAsia="Arial" w:hAnsi="Arial"/>
          <w:sz w:val="20"/>
          <w:szCs w:val="20"/>
          <w:color w:val="auto"/>
        </w:rPr>
        <w:t>: Introduced a new</w:t>
      </w:r>
      <w:r>
        <w:rPr>
          <w:rFonts w:ascii="Arial" w:cs="Arial" w:eastAsia="Arial" w:hAnsi="Arial"/>
          <w:sz w:val="20"/>
          <w:szCs w:val="20"/>
          <w:b w:val="1"/>
          <w:bCs w:val="1"/>
          <w:color w:val="auto"/>
        </w:rPr>
        <w:t xml:space="preserve"> </w:t>
      </w:r>
      <w:r>
        <w:rPr>
          <w:rFonts w:ascii="Arial" w:cs="Arial" w:eastAsia="Arial" w:hAnsi="Arial"/>
          <w:sz w:val="20"/>
          <w:szCs w:val="20"/>
          <w:color w:val="auto"/>
        </w:rPr>
        <w:t>personalized home screen that we estimate will drive a significant increase in engagement, a rewards program with tiered membership perks, and the ability to preview "coming soon" styles.</w:t>
      </w:r>
    </w:p>
    <w:p>
      <w:pPr>
        <w:spacing w:after="0" w:line="1" w:lineRule="exact"/>
        <w:rPr>
          <w:rFonts w:ascii="Arial" w:cs="Arial" w:eastAsia="Arial" w:hAnsi="Arial"/>
          <w:sz w:val="20"/>
          <w:szCs w:val="20"/>
          <w:color w:val="auto"/>
        </w:rPr>
      </w:pPr>
    </w:p>
    <w:p>
      <w:pPr>
        <w:ind w:left="500" w:right="120" w:hanging="492"/>
        <w:spacing w:after="0" w:line="309" w:lineRule="auto"/>
        <w:tabs>
          <w:tab w:leader="none" w:pos="48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Increased prices of our subscription plans to respond to inflationary and tariff pressures</w:t>
      </w:r>
      <w:r>
        <w:rPr>
          <w:rFonts w:ascii="Arial" w:cs="Arial" w:eastAsia="Arial" w:hAnsi="Arial"/>
          <w:sz w:val="20"/>
          <w:szCs w:val="20"/>
          <w:color w:val="auto"/>
        </w:rPr>
        <w:t>: Implemented first pricing</w:t>
      </w:r>
      <w:r>
        <w:rPr>
          <w:rFonts w:ascii="Arial" w:cs="Arial" w:eastAsia="Arial" w:hAnsi="Arial"/>
          <w:sz w:val="20"/>
          <w:szCs w:val="20"/>
          <w:b w:val="1"/>
          <w:bCs w:val="1"/>
          <w:color w:val="auto"/>
        </w:rPr>
        <w:t xml:space="preserve"> </w:t>
      </w:r>
      <w:r>
        <w:rPr>
          <w:rFonts w:ascii="Arial" w:cs="Arial" w:eastAsia="Arial" w:hAnsi="Arial"/>
          <w:sz w:val="20"/>
          <w:szCs w:val="20"/>
          <w:color w:val="auto"/>
        </w:rPr>
        <w:t>adjustment in three years on August 1st, with an average increase of $2 per item.</w:t>
      </w:r>
    </w:p>
    <w:p>
      <w:pPr>
        <w:spacing w:after="0" w:line="173" w:lineRule="exact"/>
        <w:rPr>
          <w:sz w:val="20"/>
          <w:szCs w:val="20"/>
          <w:color w:val="auto"/>
        </w:rPr>
      </w:pPr>
    </w:p>
    <w:p>
      <w:pPr>
        <w:spacing w:after="0" w:line="290" w:lineRule="auto"/>
        <w:rPr>
          <w:sz w:val="20"/>
          <w:szCs w:val="20"/>
          <w:color w:val="auto"/>
        </w:rPr>
      </w:pPr>
      <w:r>
        <w:rPr>
          <w:rFonts w:ascii="Arial" w:cs="Arial" w:eastAsia="Arial" w:hAnsi="Arial"/>
          <w:sz w:val="20"/>
          <w:szCs w:val="20"/>
          <w:color w:val="auto"/>
        </w:rPr>
        <w:t>"We are executing a turnaround and seeing strong signals that our strategy is working," said Sid Thacker, Chief Financial Officer of Rent the Runway. "We are feeling better about the health of our balance sheet, and look forward to re-introducing Rent the Runway to many investors and building trust in our future vision."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2025 Key Metrics and Financial Highlights</w:t>
      </w:r>
    </w:p>
    <w:p>
      <w:pPr>
        <w:spacing w:after="0" w:line="272" w:lineRule="exact"/>
        <w:rPr>
          <w:sz w:val="20"/>
          <w:szCs w:val="20"/>
          <w:color w:val="auto"/>
        </w:rPr>
      </w:pPr>
    </w:p>
    <w:p>
      <w:pPr>
        <w:ind w:left="480" w:hanging="310"/>
        <w:spacing w:after="0"/>
        <w:tabs>
          <w:tab w:leader="none" w:pos="48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Revenue was $80.9 million, a 2.5% increase year-over-year from $78.9 million in the second quarter of fiscal year 2024.</w:t>
      </w:r>
    </w:p>
    <w:p>
      <w:pPr>
        <w:spacing w:after="0" w:line="41" w:lineRule="exact"/>
        <w:rPr>
          <w:rFonts w:ascii="Arial" w:cs="Arial" w:eastAsia="Arial" w:hAnsi="Arial"/>
          <w:sz w:val="20"/>
          <w:szCs w:val="20"/>
          <w:b w:val="1"/>
          <w:bCs w:val="1"/>
          <w:color w:val="auto"/>
        </w:rPr>
      </w:pPr>
    </w:p>
    <w:p>
      <w:pPr>
        <w:ind w:left="500" w:right="240" w:hanging="330"/>
        <w:spacing w:after="0" w:line="274"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146,373 ending Active Subscribers, representing an increase of 13.4% from 129,073 at the end of the second quarter of fiscal year 2024.</w:t>
      </w:r>
    </w:p>
    <w:p>
      <w:pPr>
        <w:ind w:left="500" w:right="200" w:hanging="330"/>
        <w:spacing w:after="0" w:line="273"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146,765 Average Active Subscribers, representing an increase of 6.8% from 137,455 at the end of the second quarter of fiscal year 2024.</w:t>
      </w:r>
    </w:p>
    <w:p>
      <w:pPr>
        <w:spacing w:after="0" w:line="3" w:lineRule="exact"/>
        <w:rPr>
          <w:rFonts w:ascii="Arial" w:cs="Arial" w:eastAsia="Arial" w:hAnsi="Arial"/>
          <w:sz w:val="20"/>
          <w:szCs w:val="20"/>
          <w:color w:val="auto"/>
        </w:rPr>
      </w:pPr>
    </w:p>
    <w:p>
      <w:pPr>
        <w:ind w:left="500" w:right="460" w:hanging="330"/>
        <w:spacing w:after="0" w:line="273"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185,102 ending Total Subscribers, representing an increase of 5.7% from 175,087 at the end of the second quarter of fiscal year 2024.</w:t>
      </w:r>
    </w:p>
    <w:p>
      <w:pPr>
        <w:spacing w:after="0" w:line="3" w:lineRule="exact"/>
        <w:rPr>
          <w:rFonts w:ascii="Arial" w:cs="Arial" w:eastAsia="Arial" w:hAnsi="Arial"/>
          <w:sz w:val="20"/>
          <w:szCs w:val="20"/>
          <w:b w:val="1"/>
          <w:bCs w:val="1"/>
          <w:color w:val="auto"/>
        </w:rPr>
      </w:pPr>
    </w:p>
    <w:p>
      <w:pPr>
        <w:ind w:left="500" w:right="360" w:hanging="330"/>
        <w:spacing w:after="0" w:line="273"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Gross Profit was $24.3 million, representing a change of (25.0)% from $32.4 million in the second quarter of fiscal year 2024. Gross Margin was 30.0%, as compared to 41.1% in the second quarter of fiscal year 2024.</w:t>
      </w:r>
    </w:p>
    <w:p>
      <w:pPr>
        <w:spacing w:after="0" w:line="3" w:lineRule="exact"/>
        <w:rPr>
          <w:rFonts w:ascii="Arial" w:cs="Arial" w:eastAsia="Arial" w:hAnsi="Arial"/>
          <w:sz w:val="20"/>
          <w:szCs w:val="20"/>
          <w:b w:val="1"/>
          <w:bCs w:val="1"/>
          <w:color w:val="auto"/>
        </w:rPr>
      </w:pPr>
    </w:p>
    <w:p>
      <w:pPr>
        <w:ind w:left="500" w:right="560" w:hanging="330"/>
        <w:spacing w:after="0" w:line="273"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Net Loss was $(26.4) million, as compared to $(15.6) million in the second quarter of fiscal year 2024. Net Loss as a percentage of revenue was (32.6)%, as compared to (19.8)% in the second quarter of fiscal year 2024.</w:t>
      </w:r>
    </w:p>
    <w:p>
      <w:pPr>
        <w:spacing w:after="0" w:line="3" w:lineRule="exact"/>
        <w:rPr>
          <w:rFonts w:ascii="Arial" w:cs="Arial" w:eastAsia="Arial" w:hAnsi="Arial"/>
          <w:sz w:val="20"/>
          <w:szCs w:val="20"/>
          <w:b w:val="1"/>
          <w:bCs w:val="1"/>
          <w:color w:val="auto"/>
        </w:rPr>
      </w:pPr>
    </w:p>
    <w:p>
      <w:pPr>
        <w:ind w:left="500" w:right="620" w:hanging="330"/>
        <w:spacing w:after="0" w:line="300"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Adjusted EBITDA was $3.6 million, as compared to $13.7 million in the second quarter of fiscal year 2024. Adjusted EBITDA Margin was 4.4%, as compared to 17.4% in the second quarter of fiscal year 2024.</w:t>
      </w:r>
    </w:p>
    <w:p>
      <w:pPr>
        <w:sectPr>
          <w:pgSz w:w="11900" w:h="16838" w:orient="portrait"/>
          <w:cols w:equalWidth="0" w:num="1">
            <w:col w:w="11200"/>
          </w:cols>
          <w:pgMar w:left="320" w:top="1101" w:right="37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Outlook</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For the fiscal third quarter of 2025, Rent the Runway expects:</w:t>
      </w:r>
    </w:p>
    <w:p>
      <w:pPr>
        <w:spacing w:after="0" w:line="270"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Revenue of between $82 million and $84 million</w:t>
      </w:r>
    </w:p>
    <w:p>
      <w:pPr>
        <w:spacing w:after="0" w:line="31"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EBITDA Margin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between (2)% and +2%</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For fiscal year 2025, Rent the Runway -</w:t>
      </w:r>
    </w:p>
    <w:p>
      <w:pPr>
        <w:spacing w:after="0" w:line="283"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Reiterates guidance for double-digit growth in ending Active Subscribers versus fiscal year 2024.</w:t>
      </w:r>
    </w:p>
    <w:p>
      <w:pPr>
        <w:spacing w:after="0" w:line="31" w:lineRule="exact"/>
        <w:rPr>
          <w:rFonts w:ascii="Arial" w:cs="Arial" w:eastAsia="Arial" w:hAnsi="Arial"/>
          <w:sz w:val="20"/>
          <w:szCs w:val="20"/>
          <w:color w:val="auto"/>
        </w:rPr>
      </w:pPr>
    </w:p>
    <w:p>
      <w:pPr>
        <w:ind w:left="660" w:hanging="328"/>
        <w:spacing w:after="0" w:line="24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Expects Free Cash Flow</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to be lower than $(40) million, primarily due to costs related to the recapitalization transactions announced on August 21, 2025.</w:t>
      </w:r>
    </w:p>
    <w:p>
      <w:pPr>
        <w:spacing w:after="0" w:line="228" w:lineRule="exact"/>
        <w:rPr>
          <w:sz w:val="20"/>
          <w:szCs w:val="20"/>
          <w:color w:val="auto"/>
        </w:rPr>
      </w:pPr>
    </w:p>
    <w:p>
      <w:pPr>
        <w:ind w:right="280"/>
        <w:spacing w:after="0" w:line="314" w:lineRule="auto"/>
        <w:rPr>
          <w:sz w:val="20"/>
          <w:szCs w:val="20"/>
          <w:color w:val="auto"/>
        </w:rPr>
      </w:pPr>
      <w:r>
        <w:rPr>
          <w:rFonts w:ascii="Arial" w:cs="Arial" w:eastAsia="Arial" w:hAnsi="Arial"/>
          <w:sz w:val="20"/>
          <w:szCs w:val="20"/>
          <w:color w:val="auto"/>
        </w:rPr>
        <w:t>There are unknowns around the economy and tariffs as well as timing of potential customer retention improvements that can further affect actual results for fiscal year 2025 versus expectations.</w:t>
      </w:r>
    </w:p>
    <w:p>
      <w:pPr>
        <w:spacing w:after="0" w:line="168" w:lineRule="exact"/>
        <w:rPr>
          <w:sz w:val="20"/>
          <w:szCs w:val="20"/>
          <w:color w:val="auto"/>
        </w:rPr>
      </w:pPr>
    </w:p>
    <w:p>
      <w:pPr>
        <w:ind w:right="280"/>
        <w:spacing w:after="0" w:line="314" w:lineRule="auto"/>
        <w:rPr>
          <w:sz w:val="20"/>
          <w:szCs w:val="20"/>
          <w:color w:val="auto"/>
        </w:rPr>
      </w:pPr>
      <w:r>
        <w:rPr>
          <w:rFonts w:ascii="Arial" w:cs="Arial" w:eastAsia="Arial" w:hAnsi="Arial"/>
          <w:sz w:val="20"/>
          <w:szCs w:val="20"/>
          <w:color w:val="auto"/>
        </w:rPr>
        <w:t>Please see our second quarter 2025 earnings presentation at https://investors.renttherunway.com/ under the “Presentations” section for supplemental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714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1" w:lineRule="exact"/>
        <w:rPr>
          <w:sz w:val="20"/>
          <w:szCs w:val="20"/>
          <w:color w:val="auto"/>
        </w:rPr>
      </w:pPr>
    </w:p>
    <w:p>
      <w:pPr>
        <w:ind w:right="40" w:firstLine="8"/>
        <w:spacing w:after="0" w:line="290" w:lineRule="auto"/>
        <w:tabs>
          <w:tab w:leader="none" w:pos="92" w:val="left"/>
        </w:tabs>
        <w:numPr>
          <w:ilvl w:val="0"/>
          <w:numId w:val="7"/>
        </w:numPr>
        <w:rPr>
          <w:rFonts w:ascii="Arial" w:cs="Arial" w:eastAsia="Arial" w:hAnsi="Arial"/>
          <w:sz w:val="9"/>
          <w:szCs w:val="9"/>
          <w:color w:val="auto"/>
        </w:rPr>
      </w:pPr>
      <w:r>
        <w:rPr>
          <w:rFonts w:ascii="Arial" w:cs="Arial" w:eastAsia="Arial" w:hAnsi="Arial"/>
          <w:sz w:val="14"/>
          <w:szCs w:val="14"/>
          <w:color w:val="auto"/>
        </w:rPr>
        <w:t>Represents a non-GAAP financial measure. As more fully described in the Non-GAAP Financial Measures section of this release, a reconciliation of Adjusted EBITDA Margin for the third quarter of fiscal year 2025 is not available without unreasonable efforts.</w:t>
      </w:r>
    </w:p>
    <w:p>
      <w:pPr>
        <w:ind w:right="40"/>
        <w:spacing w:after="0" w:line="260" w:lineRule="auto"/>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Represents a non-GAAP financial measure. As more fully described in the Non-GAAP Financial Measures section of this release, a reconciliation of Free Cash Flow for fiscal year 2025 is not available without unreasonable efforts.</w:t>
      </w:r>
    </w:p>
    <w:p>
      <w:pPr>
        <w:sectPr>
          <w:pgSz w:w="11900" w:h="16838" w:orient="portrait"/>
          <w:cols w:equalWidth="0" w:num="1">
            <w:col w:w="11160"/>
          </w:cols>
          <w:pgMar w:left="320" w:top="1101" w:right="41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Earnings Presentation, Conference Call and Webcast</w:t>
      </w:r>
    </w:p>
    <w:p>
      <w:pPr>
        <w:spacing w:after="0" w:line="272"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The second quarter 2025 Earnings Presentation is now accessible through the Investor Relations section of Rent the Runway’s website at https://investors.renttherunway.com/ under the “Presentations” section.</w:t>
      </w:r>
    </w:p>
    <w:p>
      <w:pPr>
        <w:spacing w:after="0" w:line="183" w:lineRule="exact"/>
        <w:rPr>
          <w:sz w:val="20"/>
          <w:szCs w:val="20"/>
          <w:color w:val="auto"/>
        </w:rPr>
      </w:pPr>
    </w:p>
    <w:p>
      <w:pPr>
        <w:ind w:right="500"/>
        <w:spacing w:after="0" w:line="300" w:lineRule="auto"/>
        <w:rPr>
          <w:sz w:val="20"/>
          <w:szCs w:val="20"/>
          <w:color w:val="auto"/>
        </w:rPr>
      </w:pPr>
      <w:r>
        <w:rPr>
          <w:rFonts w:ascii="Arial" w:cs="Arial" w:eastAsia="Arial" w:hAnsi="Arial"/>
          <w:sz w:val="20"/>
          <w:szCs w:val="20"/>
          <w:color w:val="auto"/>
        </w:rPr>
        <w:t>Rent the Runway will host a conference call and webcast to discuss its second quarter 2025 financial results and provide a business update today, September 11, 2025, at 4:30 pm ET.</w:t>
      </w:r>
    </w:p>
    <w:p>
      <w:pPr>
        <w:spacing w:after="0" w:line="195" w:lineRule="exact"/>
        <w:rPr>
          <w:sz w:val="20"/>
          <w:szCs w:val="20"/>
          <w:color w:val="auto"/>
        </w:rPr>
      </w:pPr>
    </w:p>
    <w:p>
      <w:pPr>
        <w:ind w:right="120"/>
        <w:spacing w:after="0" w:line="290" w:lineRule="auto"/>
        <w:rPr>
          <w:sz w:val="20"/>
          <w:szCs w:val="20"/>
          <w:color w:val="auto"/>
        </w:rPr>
      </w:pPr>
      <w:r>
        <w:rPr>
          <w:rFonts w:ascii="Arial" w:cs="Arial" w:eastAsia="Arial" w:hAnsi="Arial"/>
          <w:sz w:val="20"/>
          <w:szCs w:val="20"/>
          <w:color w:val="auto"/>
        </w:rPr>
        <w:t>The financial results and live webcast will be accessible through the Investor Relations section of Rent the Runway’s website at https://investors.renttherunway.com/ under the “Events” section. To access the call through a conference line, dial 1-877-407-3982 (in the U.S.) or 1-201-493-6780 (international callers).</w:t>
      </w:r>
    </w:p>
    <w:p>
      <w:pPr>
        <w:spacing w:after="0" w:line="179" w:lineRule="exact"/>
        <w:rPr>
          <w:sz w:val="20"/>
          <w:szCs w:val="20"/>
          <w:color w:val="auto"/>
        </w:rPr>
      </w:pPr>
    </w:p>
    <w:p>
      <w:pPr>
        <w:jc w:val="both"/>
        <w:ind w:right="120"/>
        <w:spacing w:after="0" w:line="298" w:lineRule="auto"/>
        <w:rPr>
          <w:sz w:val="20"/>
          <w:szCs w:val="20"/>
          <w:color w:val="auto"/>
        </w:rPr>
      </w:pPr>
      <w:r>
        <w:rPr>
          <w:rFonts w:ascii="Arial" w:cs="Arial" w:eastAsia="Arial" w:hAnsi="Arial"/>
          <w:sz w:val="19"/>
          <w:szCs w:val="19"/>
          <w:color w:val="auto"/>
        </w:rPr>
        <w:t>A replay of the conference call will be posted shortly after the call and will be available for at least fourteen days. To access the replay, dial 1-844-512-2921 (in the U.S.) or 1-412-317-6671 (international callers). The access code for the replay is 13755468.</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Rent the Runway, Inc.</w:t>
      </w: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Founded in 2009, Rent the Runway is disrupting the trillion-dollar fashion industry and changing the way women get dressed through the Closet in the Cloud. RTR’s mission has remained the same since its founding: powering women to feel their best every day. Through RTR, customers can subscribe, rent items a-la-carte and shop resale from hundreds of designer brands. The Closet in the Cloud offers a wide assortment of millions of items for every occasion, from evening wear and accessories to ready-to-wear, workwear, denim, casual, maternity, outerwear, blouses, knitwear, loungewear, jewelry, handbags, activewear and ski wear. RTR has built a two-sided discovery engine, which connects deeply engaged customers and differentiated brand partners on a powerful platform built around its brand, data, logistics and technology. Under CEO and Co-Founder Jennifer Hyman’s leadership, RTR has been named to CNBC’s “Disruptor 50” five times in ten years, and has been placed on Fast Company’s Most Innovative Companies list four times, while Hyman herself has been named to the “TIME 100: Most Influential People in the World" and as one of People Magazine’s “Women Changing the World."</w:t>
      </w:r>
    </w:p>
    <w:p>
      <w:pPr>
        <w:sectPr>
          <w:pgSz w:w="11900" w:h="16838" w:orient="portrait"/>
          <w:cols w:equalWidth="0" w:num="1">
            <w:col w:w="11240"/>
          </w:cols>
          <w:pgMar w:left="320" w:top="1101" w:right="339" w:bottom="1440" w:gutter="0" w:footer="0" w:header="0"/>
        </w:sectPr>
      </w:pPr>
    </w:p>
    <w:bookmarkStart w:id="7" w:name="page8"/>
    <w:bookmarkEnd w:id="7"/>
    <w:p>
      <w:pPr>
        <w:spacing w:after="0" w:line="251" w:lineRule="auto"/>
        <w:rPr>
          <w:sz w:val="20"/>
          <w:szCs w:val="20"/>
          <w:color w:val="auto"/>
        </w:rPr>
      </w:pPr>
      <w:r>
        <w:rPr>
          <w:rFonts w:ascii="Arial" w:cs="Arial" w:eastAsia="Arial" w:hAnsi="Arial"/>
          <w:sz w:val="19"/>
          <w:szCs w:val="19"/>
          <w:b w:val="1"/>
          <w:bCs w:val="1"/>
          <w:color w:val="auto"/>
        </w:rPr>
        <w:t xml:space="preserve">Forward-Looking Statements: </w:t>
      </w:r>
      <w:r>
        <w:rPr>
          <w:rFonts w:ascii="Arial" w:cs="Arial" w:eastAsia="Arial" w:hAnsi="Arial"/>
          <w:sz w:val="19"/>
          <w:szCs w:val="19"/>
          <w:color w:val="auto"/>
        </w:rPr>
        <w:t>This press release contains forward-looking statements within the meaning of the Private</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Litigation Reform Act of 1995. All statements contained in this press release that do not relate to matters of historical fact should be considered forward-looking statements. These statements include, but are not limited to, guidance and underlying assumptions for the third fiscal quarter of 2025 and fiscal year 2025, and statements regarding the proposed recapitalization transactions, the impact of our multi-year transformational plan, the impact and volume of our new inventory, our planned improvements to the new member experience and our position for sustained growth.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press release may not occur and actual results could differ materially from those anticipated or implied in the forward-looking statements. These risks and uncertainties include the completion of the proposed recapitalization transactions on the anticipated terms, or at all, and the timing of completion; the failure of our stockholders to approve the required proposals to consummate the recapitalization transactions; our failure to comply with covenants under our existing credit agreement or any new credit agreement; the issuance of Class A common stock pursuant to the recapitalization transactions; our ability to drive future growth or manage our growth effectively; the highly competitive and rapidly changing nature of the global fashion industry; risks related to the macroeconomic environment; changes in global trade policies, tariffs, and other measures that could restrict international trade; our ability to cost-effectively grow our customer base; any failure to attract or retain customers; our ability to accurately forecast customer demand, acquire and manage our offerings effectively and plan for future expenses; risks arising from the restructuring of our operations; our reliance on the effective operation of proprietary technology systems and software as well as those of third-party vendors and service providers; risks related to shipping, logistics and our supply chain; our ability to remediate our material weaknesses in our internal control over financial reporting; laws and regulations applicable to our business; our reliance on the experience and expertise of our senior management and other key personnel; our ability to adequately obtain, maintain, protect and enforce our intellectual property and proprietary rights; compliance with data privacy, data security, data protection and consumer protection laws and industry standards; risks associated with our brand and manufacturing partners; our reliance on third parties to provide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risks related to the Company's debt, including the Company's ability to comply with covenants in the Company's credit facility; risks related to our Class A capital stock and ownership structure; and risks related to future pandemics or public health crises.</w:t>
      </w:r>
    </w:p>
    <w:p>
      <w:pPr>
        <w:sectPr>
          <w:pgSz w:w="11900" w:h="16838" w:orient="portrait"/>
          <w:cols w:equalWidth="0" w:num="1">
            <w:col w:w="11220"/>
          </w:cols>
          <w:pgMar w:left="320" w:top="1088" w:right="359" w:bottom="1440" w:gutter="0" w:footer="0" w:header="0"/>
        </w:sectPr>
      </w:pPr>
    </w:p>
    <w:bookmarkStart w:id="8" w:name="page9"/>
    <w:bookmarkEnd w:id="8"/>
    <w:p>
      <w:pPr>
        <w:jc w:val="both"/>
        <w:spacing w:after="0" w:line="282" w:lineRule="auto"/>
        <w:rPr>
          <w:sz w:val="20"/>
          <w:szCs w:val="20"/>
          <w:color w:val="auto"/>
        </w:rPr>
      </w:pPr>
      <w:r>
        <w:rPr>
          <w:rFonts w:ascii="Arial" w:cs="Arial" w:eastAsia="Arial" w:hAnsi="Arial"/>
          <w:sz w:val="20"/>
          <w:szCs w:val="20"/>
          <w:color w:val="auto"/>
        </w:rPr>
        <w:t>Additional information regarding these and other risks and uncertainties that could cause actual results to differ materially from the Company’s expectations is included in our Quarterly Report on Form 10-Q for the quarter ended April 30, 2025, as will be updated in our Quarterly Report on Form 10-Q for the quarter ended July 31, 2025. Except as required by law, we do not undertake any obligation to publicly update or revise any forward-looking statement, whether as a result of new information, future developments, or otherwise.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Business and Financial Metrics</w:t>
      </w:r>
    </w:p>
    <w:p>
      <w:pPr>
        <w:spacing w:after="0" w:line="272"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color w:val="auto"/>
        </w:rPr>
        <w:t>Active Subscribers is defined as the number of subscribers with an active membership as of the last day of any given period and excludes paused subscribers.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spacing w:after="0" w:line="196" w:lineRule="exact"/>
        <w:rPr>
          <w:sz w:val="20"/>
          <w:szCs w:val="20"/>
          <w:color w:val="auto"/>
        </w:rPr>
      </w:pPr>
    </w:p>
    <w:p>
      <w:pPr>
        <w:jc w:val="both"/>
        <w:ind w:right="580"/>
        <w:spacing w:after="0" w:line="290" w:lineRule="auto"/>
        <w:rPr>
          <w:sz w:val="20"/>
          <w:szCs w:val="20"/>
          <w:color w:val="auto"/>
        </w:rPr>
      </w:pPr>
      <w:r>
        <w:rPr>
          <w:rFonts w:ascii="Arial" w:cs="Arial" w:eastAsia="Arial" w:hAnsi="Arial"/>
          <w:sz w:val="20"/>
          <w:szCs w:val="20"/>
          <w:color w:val="auto"/>
        </w:rPr>
        <w:t>Average Active Subscribers is defined as the mean of the beginning of quarter and end of quarter Active Subscribers for a quarterly period; and for other periods, represents the mean of the Average Active Subscribers of every quarter within that period.</w:t>
      </w:r>
    </w:p>
    <w:p>
      <w:pPr>
        <w:spacing w:after="0" w:line="206" w:lineRule="exact"/>
        <w:rPr>
          <w:sz w:val="20"/>
          <w:szCs w:val="20"/>
          <w:color w:val="auto"/>
        </w:rPr>
      </w:pPr>
    </w:p>
    <w:p>
      <w:pPr>
        <w:ind w:right="20"/>
        <w:spacing w:after="0" w:line="280" w:lineRule="auto"/>
        <w:rPr>
          <w:sz w:val="20"/>
          <w:szCs w:val="20"/>
          <w:color w:val="auto"/>
        </w:rPr>
      </w:pPr>
      <w:r>
        <w:rPr>
          <w:rFonts w:ascii="Arial" w:cs="Arial" w:eastAsia="Arial" w:hAnsi="Arial"/>
          <w:sz w:val="20"/>
          <w:szCs w:val="20"/>
          <w:color w:val="auto"/>
        </w:rPr>
        <w:t>Gross Profit is defined as total revenue less costs related to activities to fulfill customer orders and rental product acquisition costs, presented as fulfillment and rental product depreciation and revenue share, respectively, on the consolidated statement of operations. We depreciate owned apparel assets over three years and owned accessory assets over two years, net of 20% and 30% salvage values, respectively, and recognize the depreciation on a straight-line basis and remaining cost of items when sold or retired on our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This press release and the accompanying tables contain the non-GAAP financial measures of Adjusted EBITDA, Adjusted EBITDA margin, free cash flow, and free cash flow margin. In addition to our results determined in accordance with GAAP, we believe that Adjusted EBITDA and Adjusted EBITDA margin are useful in evaluating our performance and free cash flow and free cash flow margin are useful in evaluating our performance and liquidity. Adjusted EBITDA is a key performance measure used by management to assess our operating performance and the operating leverage of our business prior to capital expenditures.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press release.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ectPr>
          <w:pgSz w:w="11900" w:h="16838" w:orient="portrait"/>
          <w:cols w:equalWidth="0" w:num="1">
            <w:col w:w="11240"/>
          </w:cols>
          <w:pgMar w:left="320" w:top="1103" w:right="339" w:bottom="1440" w:gutter="0" w:footer="0" w:header="0"/>
        </w:sectPr>
      </w:pPr>
    </w:p>
    <w:bookmarkStart w:id="9" w:name="page10"/>
    <w:bookmarkEnd w:id="9"/>
    <w:p>
      <w:pPr>
        <w:jc w:val="both"/>
        <w:ind w:right="260"/>
        <w:spacing w:after="0" w:line="291" w:lineRule="auto"/>
        <w:rPr>
          <w:sz w:val="20"/>
          <w:szCs w:val="20"/>
          <w:color w:val="auto"/>
        </w:rPr>
      </w:pPr>
      <w:r>
        <w:rPr>
          <w:rFonts w:ascii="Arial" w:cs="Arial" w:eastAsia="Arial" w:hAnsi="Arial"/>
          <w:sz w:val="19"/>
          <w:szCs w:val="19"/>
          <w:color w:val="auto"/>
        </w:rPr>
        <w:t>We define Adjusted EBITDA as net loss, adjusted to exclude interest expense, rental product depreciation, other depreciation and amortization, share-based compensation expense, write-off of liquidated assets, non-recurring adjustments, non-ordinary course legal fees, restructuring charges, income tax (benefit) expense, other income and expense, and other gains / losses.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Adjusted EBITDA margin is defined as Adjusted EBITDA calculated as a percentage of total revenue, net for a period.</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We define free cash flow as net cash used in operating activities and net cash used in investing activities on a combined basis.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Free cash flow margin is defined as free cash flow as a percentage of revenue.</w:t>
      </w:r>
    </w:p>
    <w:p>
      <w:pPr>
        <w:spacing w:after="0" w:line="270"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The reconciliation of presented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 Reconciliations of free cash flow and Adjusted EBITDA margin expectations for fiscal year 2025 and Q3 2025, respectively, to the most directly comparable GAAP measures are not available without unreasonable efforts on a forward-looking basis due to the high variability, complexity, and low visibility with respect to the charges excluded from these non-GAAP measures, in particular, share-based compensation expense, and non-recurring expenses, which can have unpredictable fluctuations based on unforeseen activity that is out of our control and/or cannot reasonably be predicted.</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investors@renttherunway.com</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Press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press@renttherunway.com</w:t>
      </w:r>
    </w:p>
    <w:p>
      <w:pPr>
        <w:sectPr>
          <w:pgSz w:w="11900" w:h="16838" w:orient="portrait"/>
          <w:cols w:equalWidth="0" w:num="1">
            <w:col w:w="11220"/>
          </w:cols>
          <w:pgMar w:left="320" w:top="1103" w:right="359" w:bottom="1440" w:gutter="0" w:footer="0" w:header="0"/>
        </w:sectPr>
      </w:pPr>
    </w:p>
    <w:bookmarkStart w:id="10" w:name="page11"/>
    <w:bookmarkEnd w:id="10"/>
    <w:p>
      <w:pPr>
        <w:ind w:left="4200"/>
        <w:spacing w:after="0"/>
        <w:rPr>
          <w:sz w:val="20"/>
          <w:szCs w:val="20"/>
          <w:color w:val="auto"/>
        </w:rPr>
      </w:pPr>
      <w:r>
        <w:rPr>
          <w:rFonts w:ascii="Arial" w:cs="Arial" w:eastAsia="Arial" w:hAnsi="Arial"/>
          <w:sz w:val="20"/>
          <w:szCs w:val="20"/>
          <w:b w:val="1"/>
          <w:bCs w:val="1"/>
          <w:color w:val="auto"/>
        </w:rPr>
        <w:t>Rent the Runway, Inc.</w:t>
      </w:r>
    </w:p>
    <w:p>
      <w:pPr>
        <w:ind w:left="3280"/>
        <w:spacing w:after="0" w:line="197" w:lineRule="auto"/>
        <w:rPr>
          <w:sz w:val="20"/>
          <w:szCs w:val="20"/>
          <w:color w:val="auto"/>
        </w:rPr>
      </w:pPr>
      <w:r>
        <w:rPr>
          <w:rFonts w:ascii="Arial" w:cs="Arial" w:eastAsia="Arial" w:hAnsi="Arial"/>
          <w:sz w:val="20"/>
          <w:szCs w:val="20"/>
          <w:b w:val="1"/>
          <w:bCs w:val="1"/>
          <w:color w:val="auto"/>
        </w:rPr>
        <w:t>Condensed Consolidated Balance Sheets</w:t>
      </w:r>
    </w:p>
    <w:p>
      <w:pPr>
        <w:ind w:left="4660"/>
        <w:spacing w:after="0"/>
        <w:rPr>
          <w:sz w:val="20"/>
          <w:szCs w:val="20"/>
          <w:color w:val="auto"/>
        </w:rPr>
      </w:pPr>
      <w:r>
        <w:rPr>
          <w:rFonts w:ascii="Arial" w:cs="Arial" w:eastAsia="Arial" w:hAnsi="Arial"/>
          <w:sz w:val="20"/>
          <w:szCs w:val="20"/>
          <w:b w:val="1"/>
          <w:bCs w:val="1"/>
          <w:color w:val="auto"/>
        </w:rPr>
        <w:t>(in millions)</w:t>
      </w:r>
    </w:p>
    <w:p>
      <w:pPr>
        <w:ind w:left="472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31,</w:t>
            </w:r>
          </w:p>
        </w:tc>
        <w:tc>
          <w:tcPr>
            <w:tcW w:w="220" w:type="dxa"/>
            <w:vAlign w:val="bottom"/>
          </w:tcPr>
          <w:p>
            <w:pPr>
              <w:spacing w:after="0"/>
              <w:rPr>
                <w:sz w:val="17"/>
                <w:szCs w:val="17"/>
                <w:color w:val="auto"/>
              </w:rPr>
            </w:pPr>
          </w:p>
        </w:tc>
        <w:tc>
          <w:tcPr>
            <w:tcW w:w="1260" w:type="dxa"/>
            <w:vAlign w:val="bottom"/>
          </w:tcPr>
          <w:p>
            <w:pPr>
              <w:jc w:val="right"/>
              <w:ind w:right="276"/>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6"/>
        </w:trPr>
        <w:tc>
          <w:tcPr>
            <w:tcW w:w="742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420" w:type="dxa"/>
            <w:vAlign w:val="bottom"/>
          </w:tcPr>
          <w:p>
            <w:pPr>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7420" w:type="dxa"/>
            <w:vAlign w:val="bottom"/>
          </w:tcPr>
          <w:p>
            <w:pPr>
              <w:ind w:left="32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96"/>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23"/>
                <w:szCs w:val="23"/>
                <w:color w:val="auto"/>
              </w:rPr>
            </w:pPr>
          </w:p>
        </w:tc>
        <w:tc>
          <w:tcPr>
            <w:tcW w:w="220" w:type="dxa"/>
            <w:vAlign w:val="bottom"/>
          </w:tcPr>
          <w:p>
            <w:pPr>
              <w:jc w:val="right"/>
              <w:ind w:right="36"/>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57"/>
        </w:trPr>
        <w:tc>
          <w:tcPr>
            <w:tcW w:w="7420" w:type="dxa"/>
            <w:vAlign w:val="bottom"/>
          </w:tcPr>
          <w:p>
            <w:pPr>
              <w:ind w:left="320"/>
              <w:spacing w:after="0"/>
              <w:rPr>
                <w:sz w:val="20"/>
                <w:szCs w:val="20"/>
                <w:color w:val="auto"/>
              </w:rPr>
            </w:pPr>
            <w:r>
              <w:rPr>
                <w:rFonts w:ascii="Arial" w:cs="Arial" w:eastAsia="Arial" w:hAnsi="Arial"/>
                <w:sz w:val="17"/>
                <w:szCs w:val="17"/>
                <w:color w:val="auto"/>
              </w:rPr>
              <w:t>Restricted cash, current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66"/>
        </w:trPr>
        <w:tc>
          <w:tcPr>
            <w:tcW w:w="742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54"/>
        </w:trPr>
        <w:tc>
          <w:tcPr>
            <w:tcW w:w="7420" w:type="dxa"/>
            <w:vAlign w:val="bottom"/>
          </w:tcPr>
          <w:p>
            <w:pPr>
              <w:ind w:left="640"/>
              <w:spacing w:after="0"/>
              <w:rPr>
                <w:sz w:val="20"/>
                <w:szCs w:val="20"/>
                <w:color w:val="auto"/>
              </w:rPr>
            </w:pPr>
            <w:r>
              <w:rPr>
                <w:rFonts w:ascii="Arial" w:cs="Arial" w:eastAsia="Arial" w:hAnsi="Arial"/>
                <w:sz w:val="17"/>
                <w:szCs w:val="17"/>
                <w:color w:val="auto"/>
              </w:rPr>
              <w:t>Total current assets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59"/>
        </w:trPr>
        <w:tc>
          <w:tcPr>
            <w:tcW w:w="7420" w:type="dxa"/>
            <w:vAlign w:val="bottom"/>
          </w:tcPr>
          <w:p>
            <w:pPr>
              <w:spacing w:after="0"/>
              <w:rPr>
                <w:sz w:val="20"/>
                <w:szCs w:val="20"/>
                <w:color w:val="auto"/>
              </w:rPr>
            </w:pPr>
            <w:r>
              <w:rPr>
                <w:rFonts w:ascii="Arial" w:cs="Arial" w:eastAsia="Arial" w:hAnsi="Arial"/>
                <w:sz w:val="17"/>
                <w:szCs w:val="17"/>
                <w:color w:val="auto"/>
              </w:rPr>
              <w:t>Restricted cash</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Rental product,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86.7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Fixed assets,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Intangible assets,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318"/>
        </w:trPr>
        <w:tc>
          <w:tcPr>
            <w:tcW w:w="7420" w:type="dxa"/>
            <w:vAlign w:val="bottom"/>
          </w:tcPr>
          <w:p>
            <w:pPr>
              <w:spacing w:after="0"/>
              <w:rPr>
                <w:sz w:val="20"/>
                <w:szCs w:val="20"/>
                <w:color w:val="auto"/>
              </w:rPr>
            </w:pPr>
            <w:r>
              <w:rPr>
                <w:rFonts w:ascii="Arial" w:cs="Arial" w:eastAsia="Arial" w:hAnsi="Arial"/>
                <w:sz w:val="17"/>
                <w:szCs w:val="17"/>
                <w:color w:val="auto"/>
              </w:rPr>
              <w:t>Other assets</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57"/>
        </w:trPr>
        <w:tc>
          <w:tcPr>
            <w:tcW w:w="7420" w:type="dxa"/>
            <w:vAlign w:val="bottom"/>
          </w:tcPr>
          <w:p>
            <w:pPr>
              <w:ind w:left="64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240.0</w:t>
            </w:r>
          </w:p>
        </w:tc>
        <w:tc>
          <w:tcPr>
            <w:tcW w:w="0" w:type="dxa"/>
            <w:vAlign w:val="bottom"/>
          </w:tcPr>
          <w:p>
            <w:pPr>
              <w:spacing w:after="0"/>
              <w:rPr>
                <w:sz w:val="1"/>
                <w:szCs w:val="1"/>
                <w:color w:val="auto"/>
              </w:rPr>
            </w:pPr>
          </w:p>
        </w:tc>
      </w:tr>
      <w:tr>
        <w:trPr>
          <w:trHeight w:val="21"/>
        </w:trPr>
        <w:tc>
          <w:tcPr>
            <w:tcW w:w="74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r>
              <w:rPr>
                <w:rFonts w:ascii="Arial" w:cs="Arial" w:eastAsia="Arial" w:hAnsi="Arial"/>
                <w:sz w:val="17"/>
                <w:szCs w:val="17"/>
                <w:color w:val="auto"/>
              </w:rPr>
              <w:t>Current liabilities: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22"/>
                <w:szCs w:val="22"/>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Accrued expenses and other current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Deferred revenue</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Customer credit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Operating lease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64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256"/>
        </w:trPr>
        <w:tc>
          <w:tcPr>
            <w:tcW w:w="7420" w:type="dxa"/>
            <w:vAlign w:val="bottom"/>
          </w:tcPr>
          <w:p>
            <w:pPr>
              <w:spacing w:after="0"/>
              <w:rPr>
                <w:sz w:val="20"/>
                <w:szCs w:val="20"/>
                <w:color w:val="auto"/>
              </w:rPr>
            </w:pPr>
            <w:r>
              <w:rPr>
                <w:rFonts w:ascii="Arial" w:cs="Arial" w:eastAsia="Arial" w:hAnsi="Arial"/>
                <w:sz w:val="17"/>
                <w:szCs w:val="17"/>
                <w:color w:val="auto"/>
              </w:rPr>
              <w:t>Long-term debt, net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343.9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333.7</w:t>
            </w:r>
          </w:p>
        </w:tc>
        <w:tc>
          <w:tcPr>
            <w:tcW w:w="0" w:type="dxa"/>
            <w:vAlign w:val="bottom"/>
          </w:tcPr>
          <w:p>
            <w:pPr>
              <w:spacing w:after="0"/>
              <w:rPr>
                <w:sz w:val="1"/>
                <w:szCs w:val="1"/>
                <w:color w:val="auto"/>
              </w:rPr>
            </w:pPr>
          </w:p>
        </w:tc>
      </w:tr>
      <w:tr>
        <w:trPr>
          <w:trHeight w:val="257"/>
        </w:trPr>
        <w:tc>
          <w:tcPr>
            <w:tcW w:w="742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56"/>
        </w:trPr>
        <w:tc>
          <w:tcPr>
            <w:tcW w:w="7420" w:type="dxa"/>
            <w:vAlign w:val="bottom"/>
          </w:tcPr>
          <w:p>
            <w:pPr>
              <w:spacing w:after="0"/>
              <w:rPr>
                <w:sz w:val="20"/>
                <w:szCs w:val="20"/>
                <w:color w:val="auto"/>
              </w:rPr>
            </w:pPr>
            <w:r>
              <w:rPr>
                <w:rFonts w:ascii="Arial" w:cs="Arial" w:eastAsia="Arial" w:hAnsi="Arial"/>
                <w:sz w:val="17"/>
                <w:szCs w:val="17"/>
                <w:color w:val="auto"/>
              </w:rPr>
              <w:t>Other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64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422.5</w:t>
            </w:r>
          </w:p>
        </w:tc>
        <w:tc>
          <w:tcPr>
            <w:tcW w:w="0" w:type="dxa"/>
            <w:vAlign w:val="bottom"/>
          </w:tcPr>
          <w:p>
            <w:pPr>
              <w:spacing w:after="0"/>
              <w:rPr>
                <w:sz w:val="1"/>
                <w:szCs w:val="1"/>
                <w:color w:val="auto"/>
              </w:rPr>
            </w:pPr>
          </w:p>
        </w:tc>
      </w:tr>
      <w:tr>
        <w:trPr>
          <w:trHeight w:val="27"/>
        </w:trPr>
        <w:tc>
          <w:tcPr>
            <w:tcW w:w="7420" w:type="dxa"/>
            <w:vAlign w:val="bottom"/>
            <w:vMerge w:val="restart"/>
          </w:tcPr>
          <w:p>
            <w:pPr>
              <w:spacing w:after="0"/>
              <w:rPr>
                <w:sz w:val="20"/>
                <w:szCs w:val="20"/>
                <w:color w:val="auto"/>
              </w:rPr>
            </w:pPr>
            <w:r>
              <w:rPr>
                <w:rFonts w:ascii="Arial" w:cs="Arial" w:eastAsia="Arial" w:hAnsi="Arial"/>
                <w:sz w:val="17"/>
                <w:szCs w:val="17"/>
                <w:color w:val="auto"/>
              </w:rPr>
              <w:t>Stockholders’ equity (deficit)</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7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320"/>
              <w:spacing w:after="0"/>
              <w:rPr>
                <w:sz w:val="20"/>
                <w:szCs w:val="20"/>
                <w:color w:val="auto"/>
              </w:rPr>
            </w:pPr>
            <w:r>
              <w:rPr>
                <w:rFonts w:ascii="Arial" w:cs="Arial" w:eastAsia="Arial" w:hAnsi="Arial"/>
                <w:sz w:val="17"/>
                <w:szCs w:val="17"/>
                <w:color w:val="auto"/>
              </w:rPr>
              <w:t>Class A common stock</w:t>
            </w:r>
          </w:p>
        </w:tc>
        <w:tc>
          <w:tcPr>
            <w:tcW w:w="28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4"/>
        </w:trPr>
        <w:tc>
          <w:tcPr>
            <w:tcW w:w="7420" w:type="dxa"/>
            <w:vAlign w:val="bottom"/>
          </w:tcPr>
          <w:p>
            <w:pPr>
              <w:ind w:left="320"/>
              <w:spacing w:after="0"/>
              <w:rPr>
                <w:sz w:val="20"/>
                <w:szCs w:val="20"/>
                <w:color w:val="auto"/>
              </w:rPr>
            </w:pPr>
            <w:r>
              <w:rPr>
                <w:rFonts w:ascii="Arial" w:cs="Arial" w:eastAsia="Arial" w:hAnsi="Arial"/>
                <w:sz w:val="17"/>
                <w:szCs w:val="17"/>
                <w:color w:val="auto"/>
              </w:rPr>
              <w:t>Class B common stock</w:t>
            </w:r>
          </w:p>
        </w:tc>
        <w:tc>
          <w:tcPr>
            <w:tcW w:w="28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Preferred stock</w:t>
            </w:r>
          </w:p>
        </w:tc>
        <w:tc>
          <w:tcPr>
            <w:tcW w:w="28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943.4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940.5</w:t>
            </w:r>
          </w:p>
        </w:tc>
        <w:tc>
          <w:tcPr>
            <w:tcW w:w="0" w:type="dxa"/>
            <w:vAlign w:val="bottom"/>
          </w:tcPr>
          <w:p>
            <w:pPr>
              <w:spacing w:after="0"/>
              <w:rPr>
                <w:sz w:val="1"/>
                <w:szCs w:val="1"/>
                <w:color w:val="auto"/>
              </w:rPr>
            </w:pPr>
          </w:p>
        </w:tc>
      </w:tr>
      <w:tr>
        <w:trPr>
          <w:trHeight w:val="284"/>
        </w:trPr>
        <w:tc>
          <w:tcPr>
            <w:tcW w:w="742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(1,175.5)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(1,123.0)</w:t>
            </w:r>
          </w:p>
        </w:tc>
        <w:tc>
          <w:tcPr>
            <w:tcW w:w="0" w:type="dxa"/>
            <w:vAlign w:val="bottom"/>
          </w:tcPr>
          <w:p>
            <w:pPr>
              <w:spacing w:after="0"/>
              <w:rPr>
                <w:sz w:val="1"/>
                <w:szCs w:val="1"/>
                <w:color w:val="auto"/>
              </w:rPr>
            </w:pPr>
          </w:p>
        </w:tc>
      </w:tr>
      <w:tr>
        <w:trPr>
          <w:trHeight w:val="40"/>
        </w:trPr>
        <w:tc>
          <w:tcPr>
            <w:tcW w:w="7420" w:type="dxa"/>
            <w:vAlign w:val="bottom"/>
            <w:vMerge w:val="restart"/>
          </w:tcPr>
          <w:p>
            <w:pPr>
              <w:spacing w:after="0"/>
              <w:rPr>
                <w:sz w:val="20"/>
                <w:szCs w:val="20"/>
                <w:color w:val="auto"/>
              </w:rPr>
            </w:pPr>
            <w:r>
              <w:rPr>
                <w:rFonts w:ascii="Arial" w:cs="Arial" w:eastAsia="Arial" w:hAnsi="Arial"/>
                <w:sz w:val="17"/>
                <w:szCs w:val="17"/>
                <w:color w:val="auto"/>
              </w:rPr>
              <w:t>Total stockholders’ equity (deficit)</w:t>
            </w: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(182.5)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20" w:type="dxa"/>
            <w:vAlign w:val="bottom"/>
          </w:tcPr>
          <w:p>
            <w:pPr>
              <w:spacing w:after="0"/>
              <w:rPr>
                <w:sz w:val="20"/>
                <w:szCs w:val="20"/>
                <w:color w:val="auto"/>
              </w:rPr>
            </w:pPr>
            <w:r>
              <w:rPr>
                <w:rFonts w:ascii="Arial" w:cs="Arial" w:eastAsia="Arial" w:hAnsi="Arial"/>
                <w:sz w:val="17"/>
                <w:szCs w:val="17"/>
                <w:color w:val="auto"/>
              </w:rPr>
              <w:t>Total liabilities and stockholders’ equity (deficit)</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240.0</w:t>
            </w:r>
          </w:p>
        </w:tc>
        <w:tc>
          <w:tcPr>
            <w:tcW w:w="0" w:type="dxa"/>
            <w:vAlign w:val="bottom"/>
          </w:tcPr>
          <w:p>
            <w:pPr>
              <w:spacing w:after="0"/>
              <w:rPr>
                <w:sz w:val="1"/>
                <w:szCs w:val="1"/>
                <w:color w:val="auto"/>
              </w:rPr>
            </w:pPr>
          </w:p>
        </w:tc>
      </w:tr>
      <w:tr>
        <w:trPr>
          <w:trHeight w:val="21"/>
        </w:trPr>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720" w:top="1067" w:right="69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20"/>
          <w:szCs w:val="20"/>
          <w:b w:val="1"/>
          <w:bCs w:val="1"/>
          <w:color w:val="auto"/>
        </w:rPr>
        <w:t>Rent the Runway, Inc.</w:t>
      </w:r>
    </w:p>
    <w:p>
      <w:pPr>
        <w:jc w:val="center"/>
        <w:ind w:right="20"/>
        <w:spacing w:after="0" w:line="197" w:lineRule="auto"/>
        <w:rPr>
          <w:sz w:val="20"/>
          <w:szCs w:val="20"/>
          <w:color w:val="auto"/>
        </w:rPr>
      </w:pPr>
      <w:r>
        <w:rPr>
          <w:rFonts w:ascii="Arial" w:cs="Arial" w:eastAsia="Arial" w:hAnsi="Arial"/>
          <w:sz w:val="20"/>
          <w:szCs w:val="20"/>
          <w:b w:val="1"/>
          <w:bCs w:val="1"/>
          <w:color w:val="auto"/>
        </w:rPr>
        <w:t>Condensed Consolidated Statements of Operations</w:t>
      </w:r>
    </w:p>
    <w:p>
      <w:pPr>
        <w:jc w:val="center"/>
        <w:ind w:right="20"/>
        <w:spacing w:after="0"/>
        <w:rPr>
          <w:sz w:val="20"/>
          <w:szCs w:val="20"/>
          <w:color w:val="auto"/>
        </w:rPr>
      </w:pPr>
      <w:r>
        <w:rPr>
          <w:rFonts w:ascii="Arial" w:cs="Arial" w:eastAsia="Arial" w:hAnsi="Arial"/>
          <w:sz w:val="20"/>
          <w:szCs w:val="20"/>
          <w:b w:val="1"/>
          <w:bCs w:val="1"/>
          <w:color w:val="auto"/>
        </w:rPr>
        <w:t>(in millions, except share and per share amounts)</w:t>
      </w:r>
    </w:p>
    <w:p>
      <w:pPr>
        <w:jc w:val="center"/>
        <w:ind w:right="2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6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11"/>
        </w:trPr>
        <w:tc>
          <w:tcPr>
            <w:tcW w:w="5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July 31,</w:t>
            </w:r>
          </w:p>
        </w:tc>
        <w:tc>
          <w:tcPr>
            <w:tcW w:w="10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July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r>
              <w:rPr>
                <w:rFonts w:ascii="Arial" w:cs="Arial" w:eastAsia="Arial" w:hAnsi="Arial"/>
                <w:sz w:val="18"/>
                <w:szCs w:val="18"/>
                <w:color w:val="auto"/>
              </w:rPr>
              <w:t>Revenue:</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69.2</w:t>
            </w:r>
          </w:p>
        </w:tc>
        <w:tc>
          <w:tcPr>
            <w:tcW w:w="80" w:type="dxa"/>
            <w:vAlign w:val="bottom"/>
          </w:tcPr>
          <w:p>
            <w:pPr>
              <w:spacing w:after="0"/>
              <w:rPr>
                <w:sz w:val="20"/>
                <w:szCs w:val="20"/>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20"/>
                <w:szCs w:val="20"/>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131.2</w:t>
            </w:r>
          </w:p>
        </w:tc>
        <w:tc>
          <w:tcPr>
            <w:tcW w:w="80" w:type="dxa"/>
            <w:vAlign w:val="bottom"/>
          </w:tcPr>
          <w:p>
            <w:pPr>
              <w:spacing w:after="0"/>
              <w:rPr>
                <w:sz w:val="20"/>
                <w:szCs w:val="20"/>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97"/>
        </w:trPr>
        <w:tc>
          <w:tcPr>
            <w:tcW w:w="5500" w:type="dxa"/>
            <w:vAlign w:val="bottom"/>
          </w:tcPr>
          <w:p>
            <w:pPr>
              <w:ind w:left="340"/>
              <w:spacing w:after="0"/>
              <w:rPr>
                <w:sz w:val="20"/>
                <w:szCs w:val="20"/>
                <w:color w:val="auto"/>
              </w:rPr>
            </w:pPr>
            <w:r>
              <w:rPr>
                <w:rFonts w:ascii="Arial" w:cs="Arial" w:eastAsia="Arial" w:hAnsi="Arial"/>
                <w:sz w:val="18"/>
                <w:szCs w:val="18"/>
                <w:color w:val="auto"/>
              </w:rPr>
              <w:t>Subscription and Reserve rental revenue</w:t>
            </w:r>
          </w:p>
        </w:tc>
        <w:tc>
          <w:tcPr>
            <w:tcW w:w="3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00" w:type="dxa"/>
            <w:vAlign w:val="bottom"/>
          </w:tcPr>
          <w:p>
            <w:pPr>
              <w:ind w:left="660"/>
              <w:spacing w:after="0"/>
              <w:rPr>
                <w:sz w:val="20"/>
                <w:szCs w:val="20"/>
                <w:color w:val="auto"/>
              </w:rPr>
            </w:pPr>
            <w:r>
              <w:rPr>
                <w:rFonts w:ascii="Arial" w:cs="Arial" w:eastAsia="Arial" w:hAnsi="Arial"/>
                <w:sz w:val="18"/>
                <w:szCs w:val="18"/>
                <w:color w:val="auto"/>
              </w:rPr>
              <w:t>Total revenue, net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150.5</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3"/>
        </w:trPr>
        <w:tc>
          <w:tcPr>
            <w:tcW w:w="5500" w:type="dxa"/>
            <w:vAlign w:val="bottom"/>
            <w:vMerge w:val="restart"/>
          </w:tcPr>
          <w:p>
            <w:pPr>
              <w:spacing w:after="0"/>
              <w:rPr>
                <w:sz w:val="20"/>
                <w:szCs w:val="20"/>
                <w:color w:val="auto"/>
              </w:rPr>
            </w:pPr>
            <w:r>
              <w:rPr>
                <w:rFonts w:ascii="Arial" w:cs="Arial" w:eastAsia="Arial" w:hAnsi="Arial"/>
                <w:sz w:val="18"/>
                <w:szCs w:val="18"/>
                <w:color w:val="auto"/>
              </w:rPr>
              <w:t>Costs and expenses: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5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340"/>
              <w:spacing w:after="0"/>
              <w:rPr>
                <w:sz w:val="20"/>
                <w:szCs w:val="20"/>
                <w:color w:val="auto"/>
              </w:rPr>
            </w:pPr>
            <w:r>
              <w:rPr>
                <w:rFonts w:ascii="Arial" w:cs="Arial" w:eastAsia="Arial" w:hAnsi="Arial"/>
                <w:sz w:val="18"/>
                <w:szCs w:val="18"/>
                <w:color w:val="auto"/>
              </w:rPr>
              <w:t>Fulfillment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0"/>
        </w:trPr>
        <w:tc>
          <w:tcPr>
            <w:tcW w:w="550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0"/>
        </w:trPr>
        <w:tc>
          <w:tcPr>
            <w:tcW w:w="5500" w:type="dxa"/>
            <w:vAlign w:val="bottom"/>
          </w:tcPr>
          <w:p>
            <w:pPr>
              <w:ind w:left="340"/>
              <w:spacing w:after="0"/>
              <w:rPr>
                <w:sz w:val="20"/>
                <w:szCs w:val="20"/>
                <w:color w:val="auto"/>
              </w:rPr>
            </w:pPr>
            <w:r>
              <w:rPr>
                <w:rFonts w:ascii="Arial" w:cs="Arial" w:eastAsia="Arial" w:hAnsi="Arial"/>
                <w:sz w:val="18"/>
                <w:szCs w:val="18"/>
                <w:color w:val="auto"/>
              </w:rPr>
              <w:t>Marketing</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0"/>
        </w:trPr>
        <w:tc>
          <w:tcPr>
            <w:tcW w:w="55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0"/>
        </w:trPr>
        <w:tc>
          <w:tcPr>
            <w:tcW w:w="5500" w:type="dxa"/>
            <w:vAlign w:val="bottom"/>
          </w:tcPr>
          <w:p>
            <w:pPr>
              <w:ind w:left="340"/>
              <w:spacing w:after="0"/>
              <w:rPr>
                <w:sz w:val="20"/>
                <w:szCs w:val="20"/>
                <w:color w:val="auto"/>
              </w:rPr>
            </w:pPr>
            <w:r>
              <w:rPr>
                <w:rFonts w:ascii="Arial" w:cs="Arial" w:eastAsia="Arial" w:hAnsi="Arial"/>
                <w:sz w:val="18"/>
                <w:szCs w:val="18"/>
                <w:color w:val="auto"/>
              </w:rPr>
              <w:t>Rental product depreciation and revenue share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0"/>
        </w:trPr>
        <w:tc>
          <w:tcPr>
            <w:tcW w:w="5500" w:type="dxa"/>
            <w:vAlign w:val="bottom"/>
          </w:tcPr>
          <w:p>
            <w:pPr>
              <w:ind w:left="340"/>
              <w:spacing w:after="0"/>
              <w:rPr>
                <w:sz w:val="20"/>
                <w:szCs w:val="20"/>
                <w:color w:val="auto"/>
              </w:rPr>
            </w:pPr>
            <w:r>
              <w:rPr>
                <w:rFonts w:ascii="Arial" w:cs="Arial" w:eastAsia="Arial" w:hAnsi="Arial"/>
                <w:sz w:val="18"/>
                <w:szCs w:val="18"/>
                <w:color w:val="auto"/>
              </w:rPr>
              <w:t>Other depreciation and amortization</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97"/>
        </w:trPr>
        <w:tc>
          <w:tcPr>
            <w:tcW w:w="5500" w:type="dxa"/>
            <w:vAlign w:val="bottom"/>
          </w:tcPr>
          <w:p>
            <w:pPr>
              <w:ind w:left="340"/>
              <w:spacing w:after="0"/>
              <w:rPr>
                <w:sz w:val="20"/>
                <w:szCs w:val="20"/>
                <w:color w:val="auto"/>
              </w:rPr>
            </w:pPr>
            <w:r>
              <w:rPr>
                <w:rFonts w:ascii="Arial" w:cs="Arial" w:eastAsia="Arial" w:hAnsi="Arial"/>
                <w:sz w:val="18"/>
                <w:szCs w:val="18"/>
                <w:color w:val="auto"/>
              </w:rPr>
              <w:t>Restructuring charges</w:t>
            </w:r>
          </w:p>
        </w:tc>
        <w:tc>
          <w:tcPr>
            <w:tcW w:w="3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00" w:type="dxa"/>
            <w:vAlign w:val="bottom"/>
          </w:tcPr>
          <w:p>
            <w:pPr>
              <w:ind w:left="660"/>
              <w:spacing w:after="0"/>
              <w:rPr>
                <w:sz w:val="20"/>
                <w:szCs w:val="20"/>
                <w:color w:val="auto"/>
              </w:rPr>
            </w:pPr>
            <w:r>
              <w:rPr>
                <w:rFonts w:ascii="Arial" w:cs="Arial" w:eastAsia="Arial" w:hAnsi="Arial"/>
                <w:sz w:val="18"/>
                <w:szCs w:val="18"/>
                <w:color w:val="auto"/>
              </w:rPr>
              <w:t>Total costs and expenses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190.3</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00" w:type="dxa"/>
            <w:vAlign w:val="bottom"/>
          </w:tcPr>
          <w:p>
            <w:pPr>
              <w:ind w:left="980"/>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Interest income / (expense), net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Other income / (expense), net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00" w:type="dxa"/>
            <w:vAlign w:val="bottom"/>
          </w:tcPr>
          <w:p>
            <w:pPr>
              <w:ind w:left="880"/>
              <w:spacing w:after="0"/>
              <w:rPr>
                <w:sz w:val="20"/>
                <w:szCs w:val="20"/>
                <w:color w:val="auto"/>
              </w:rPr>
            </w:pPr>
            <w:r>
              <w:rPr>
                <w:rFonts w:ascii="Arial" w:cs="Arial" w:eastAsia="Arial" w:hAnsi="Arial"/>
                <w:sz w:val="18"/>
                <w:szCs w:val="18"/>
                <w:color w:val="auto"/>
              </w:rPr>
              <w:t>Net loss before income tax benefit / (expense)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(52.3)</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Income tax benefit / (expense)</w:t>
            </w:r>
          </w:p>
        </w:tc>
        <w:tc>
          <w:tcPr>
            <w:tcW w:w="32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5500" w:type="dxa"/>
            <w:vAlign w:val="bottom"/>
          </w:tcPr>
          <w:p>
            <w:pPr>
              <w:ind w:left="98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500" w:type="dxa"/>
            <w:vAlign w:val="bottom"/>
            <w:vMerge w:val="continue"/>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(6.55)</w:t>
            </w:r>
          </w:p>
        </w:tc>
        <w:tc>
          <w:tcPr>
            <w:tcW w:w="80" w:type="dxa"/>
            <w:vAlign w:val="bottom"/>
          </w:tcPr>
          <w:p>
            <w:pPr>
              <w:spacing w:after="0"/>
              <w:rPr>
                <w:sz w:val="16"/>
                <w:szCs w:val="16"/>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(13.12)</w:t>
            </w:r>
          </w:p>
        </w:tc>
        <w:tc>
          <w:tcPr>
            <w:tcW w:w="80" w:type="dxa"/>
            <w:vAlign w:val="bottom"/>
          </w:tcPr>
          <w:p>
            <w:pPr>
              <w:spacing w:after="0"/>
              <w:rPr>
                <w:sz w:val="16"/>
                <w:szCs w:val="16"/>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40"/>
        </w:trPr>
        <w:tc>
          <w:tcPr>
            <w:tcW w:w="5500" w:type="dxa"/>
            <w:vAlign w:val="bottom"/>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50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loss per share</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5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4,033,571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3,736,953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4,000,887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3,692,025</w:t>
            </w:r>
          </w:p>
        </w:tc>
        <w:tc>
          <w:tcPr>
            <w:tcW w:w="0" w:type="dxa"/>
            <w:vAlign w:val="bottom"/>
          </w:tcPr>
          <w:p>
            <w:pPr>
              <w:spacing w:after="0"/>
              <w:rPr>
                <w:sz w:val="1"/>
                <w:szCs w:val="1"/>
                <w:color w:val="auto"/>
              </w:rPr>
            </w:pPr>
          </w:p>
        </w:tc>
      </w:tr>
      <w:tr>
        <w:trPr>
          <w:trHeight w:val="235"/>
        </w:trPr>
        <w:tc>
          <w:tcPr>
            <w:tcW w:w="5500" w:type="dxa"/>
            <w:vAlign w:val="bottom"/>
          </w:tcPr>
          <w:p>
            <w:pPr>
              <w:ind w:left="160"/>
              <w:spacing w:after="0"/>
              <w:rPr>
                <w:sz w:val="20"/>
                <w:szCs w:val="20"/>
                <w:color w:val="auto"/>
              </w:rPr>
            </w:pPr>
            <w:r>
              <w:rPr>
                <w:rFonts w:ascii="Arial" w:cs="Arial" w:eastAsia="Arial" w:hAnsi="Arial"/>
                <w:sz w:val="18"/>
                <w:szCs w:val="18"/>
                <w:color w:val="auto"/>
              </w:rPr>
              <w:t>attributable to common stockholders, basic and diluted</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067" w:right="339" w:bottom="1440" w:gutter="0" w:footer="0" w:header="0"/>
        </w:sectPr>
      </w:pPr>
    </w:p>
    <w:bookmarkStart w:id="12" w:name="page13"/>
    <w:bookmarkEnd w:id="12"/>
    <w:p>
      <w:pPr>
        <w:ind w:left="4540"/>
        <w:spacing w:after="0"/>
        <w:rPr>
          <w:sz w:val="20"/>
          <w:szCs w:val="20"/>
          <w:color w:val="auto"/>
        </w:rPr>
      </w:pPr>
      <w:r>
        <w:rPr>
          <w:rFonts w:ascii="Arial" w:cs="Arial" w:eastAsia="Arial" w:hAnsi="Arial"/>
          <w:sz w:val="20"/>
          <w:szCs w:val="20"/>
          <w:b w:val="1"/>
          <w:bCs w:val="1"/>
          <w:color w:val="auto"/>
        </w:rPr>
        <w:t>Rent the Runway, Inc.</w:t>
      </w:r>
    </w:p>
    <w:p>
      <w:pPr>
        <w:spacing w:after="0" w:line="4" w:lineRule="exact"/>
        <w:rPr>
          <w:sz w:val="20"/>
          <w:szCs w:val="20"/>
          <w:color w:val="auto"/>
        </w:rPr>
      </w:pPr>
    </w:p>
    <w:p>
      <w:pPr>
        <w:ind w:left="3160"/>
        <w:spacing w:after="0"/>
        <w:rPr>
          <w:sz w:val="20"/>
          <w:szCs w:val="20"/>
          <w:color w:val="auto"/>
        </w:rPr>
      </w:pPr>
      <w:r>
        <w:rPr>
          <w:rFonts w:ascii="Arial" w:cs="Arial" w:eastAsia="Arial" w:hAnsi="Arial"/>
          <w:sz w:val="19"/>
          <w:szCs w:val="19"/>
          <w:b w:val="1"/>
          <w:bCs w:val="1"/>
          <w:color w:val="auto"/>
        </w:rPr>
        <w:t>Condensed Consolidated Statements of Cash Flow</w:t>
      </w:r>
    </w:p>
    <w:p>
      <w:pPr>
        <w:ind w:left="5000"/>
        <w:spacing w:after="0"/>
        <w:rPr>
          <w:sz w:val="20"/>
          <w:szCs w:val="20"/>
          <w:color w:val="auto"/>
        </w:rPr>
      </w:pPr>
      <w:r>
        <w:rPr>
          <w:rFonts w:ascii="Arial" w:cs="Arial" w:eastAsia="Arial" w:hAnsi="Arial"/>
          <w:sz w:val="20"/>
          <w:szCs w:val="20"/>
          <w:b w:val="1"/>
          <w:bCs w:val="1"/>
          <w:color w:val="auto"/>
        </w:rPr>
        <w:t>(in millions)</w:t>
      </w:r>
    </w:p>
    <w:p>
      <w:pPr>
        <w:ind w:left="5060"/>
        <w:spacing w:after="0"/>
        <w:rPr>
          <w:sz w:val="20"/>
          <w:szCs w:val="20"/>
          <w:color w:val="auto"/>
        </w:rPr>
      </w:pPr>
      <w:r>
        <w:rPr>
          <w:rFonts w:ascii="Arial" w:cs="Arial" w:eastAsia="Arial" w:hAnsi="Arial"/>
          <w:sz w:val="20"/>
          <w:szCs w:val="20"/>
          <w:color w:val="auto"/>
        </w:rPr>
        <w:t>(unaudited)</w:t>
      </w:r>
    </w:p>
    <w:p>
      <w:pPr>
        <w:sectPr>
          <w:pgSz w:w="11900" w:h="16838" w:orient="portrait"/>
          <w:cols w:equalWidth="0" w:num="1">
            <w:col w:w="11080"/>
          </w:cols>
          <w:pgMar w:left="380" w:top="110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OPERATING ACTIVITIES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loss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Rental product depreciation and write-offs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Write-off of rental product sold</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depreciation and amortization</w:t>
      </w:r>
    </w:p>
    <w:p>
      <w:pPr>
        <w:spacing w:after="0" w:line="59" w:lineRule="exact"/>
        <w:rPr>
          <w:sz w:val="20"/>
          <w:szCs w:val="20"/>
          <w:color w:val="auto"/>
        </w:rPr>
      </w:pPr>
    </w:p>
    <w:p>
      <w:pPr>
        <w:ind w:left="380" w:right="1700"/>
        <w:spacing w:after="0" w:line="316" w:lineRule="auto"/>
        <w:rPr>
          <w:sz w:val="20"/>
          <w:szCs w:val="20"/>
          <w:color w:val="auto"/>
        </w:rPr>
      </w:pPr>
      <w:r>
        <w:rPr>
          <w:rFonts w:ascii="Arial" w:cs="Arial" w:eastAsia="Arial" w:hAnsi="Arial"/>
          <w:sz w:val="16"/>
          <w:szCs w:val="16"/>
          <w:color w:val="auto"/>
        </w:rPr>
        <w:t>Loss from write-off of fixed and intangible assets and lease termination Proceeds from rental product sold</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(Gain) / loss from liquidation of rental product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Accrual of paid-in-kind interest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debt discount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Share-based compensation expense</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operating assets and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Prepaid expenses and other current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Operating lease right-of-use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Accounts payable, accrued expenses and other current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Deferred revenue and customer credit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Operating lease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liabilities</w:t>
      </w:r>
    </w:p>
    <w:p>
      <w:pPr>
        <w:spacing w:after="0" w:line="10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Net cash (used in) provided by operating activities</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INVESTING ACTIVITIES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Purchases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liquidation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sale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Purchases of fixed and intangible assets</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Net cash (used in) provided by investing activities</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FINANCING ACTIVITIES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 financing payments</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Net cash (used in) provided by financing activities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(decrease) increase in cash and cash equivalents and restricted cash</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and cash equivalents and restricted cash at beginning of period</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and cash equivalents and restricted cash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Six Months Ended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20491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r>
      <w:tr>
        <w:trPr>
          <w:trHeight w:val="439"/>
        </w:trPr>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(52.5)</w:t>
            </w:r>
          </w:p>
        </w:tc>
        <w:tc>
          <w:tcPr>
            <w:tcW w:w="100" w:type="dxa"/>
            <w:vAlign w:val="bottom"/>
          </w:tcPr>
          <w:p>
            <w:pPr>
              <w:spacing w:after="0"/>
              <w:rPr>
                <w:sz w:val="24"/>
                <w:szCs w:val="24"/>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(37.6)</w:t>
            </w:r>
          </w:p>
        </w:tc>
      </w:tr>
      <w:tr>
        <w:trPr>
          <w:trHeight w:val="486"/>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23.3</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43"/>
        </w:trPr>
        <w:tc>
          <w:tcPr>
            <w:tcW w:w="3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0.2</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(13.6)</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0.6</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13.1</w:t>
            </w:r>
          </w:p>
        </w:tc>
      </w:tr>
      <w:tr>
        <w:trPr>
          <w:trHeight w:val="260"/>
        </w:trPr>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486"/>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52"/>
        </w:trPr>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28"/>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43"/>
        </w:trPr>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450"/>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25"/>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13.6</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33"/>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(12.7)</w:t>
            </w:r>
          </w:p>
        </w:tc>
      </w:tr>
      <w:tr>
        <w:trPr>
          <w:trHeight w:val="33"/>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73"/>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33"/>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33"/>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86.5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94.0</w:t>
            </w:r>
          </w:p>
        </w:tc>
      </w:tr>
      <w:tr>
        <w:trPr>
          <w:trHeight w:val="33"/>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52.2</w:t>
            </w:r>
          </w:p>
        </w:tc>
        <w:tc>
          <w:tcPr>
            <w:tcW w:w="100" w:type="dxa"/>
            <w:vAlign w:val="bottom"/>
          </w:tcPr>
          <w:p>
            <w:pPr>
              <w:spacing w:after="0"/>
              <w:rPr>
                <w:sz w:val="18"/>
                <w:szCs w:val="18"/>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86.6</w:t>
            </w:r>
          </w:p>
        </w:tc>
      </w:tr>
      <w:tr>
        <w:trPr>
          <w:trHeight w:val="33"/>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140" w:space="720"/>
            <w:col w:w="3220"/>
          </w:cols>
          <w:pgMar w:left="380" w:top="1101" w:right="439" w:bottom="1440" w:gutter="0" w:footer="0" w:header="0"/>
          <w:type w:val="continuous"/>
        </w:sectPr>
      </w:pPr>
    </w:p>
    <w:bookmarkStart w:id="13" w:name="page14"/>
    <w:bookmarkEnd w:id="13"/>
    <w:p>
      <w:pPr>
        <w:ind w:left="4280"/>
        <w:spacing w:after="0"/>
        <w:rPr>
          <w:sz w:val="20"/>
          <w:szCs w:val="20"/>
          <w:color w:val="auto"/>
        </w:rPr>
      </w:pPr>
      <w:r>
        <w:rPr>
          <w:rFonts w:ascii="Arial" w:cs="Arial" w:eastAsia="Arial" w:hAnsi="Arial"/>
          <w:sz w:val="20"/>
          <w:szCs w:val="20"/>
          <w:b w:val="1"/>
          <w:bCs w:val="1"/>
          <w:color w:val="auto"/>
        </w:rPr>
        <w:t>Rent the Runway, Inc.</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19"/>
          <w:szCs w:val="19"/>
          <w:b w:val="1"/>
          <w:bCs w:val="1"/>
          <w:color w:val="auto"/>
        </w:rPr>
        <w:t>Condensed Consolidated Statements of Cash Flow</w:t>
      </w:r>
    </w:p>
    <w:p>
      <w:pPr>
        <w:ind w:left="4740"/>
        <w:spacing w:after="0"/>
        <w:rPr>
          <w:sz w:val="20"/>
          <w:szCs w:val="20"/>
          <w:color w:val="auto"/>
        </w:rPr>
      </w:pPr>
      <w:r>
        <w:rPr>
          <w:rFonts w:ascii="Arial" w:cs="Arial" w:eastAsia="Arial" w:hAnsi="Arial"/>
          <w:sz w:val="20"/>
          <w:szCs w:val="20"/>
          <w:b w:val="1"/>
          <w:bCs w:val="1"/>
          <w:color w:val="auto"/>
        </w:rPr>
        <w:t>(in millions)</w:t>
      </w:r>
    </w:p>
    <w:p>
      <w:pPr>
        <w:ind w:left="4800"/>
        <w:spacing w:after="0"/>
        <w:rPr>
          <w:sz w:val="20"/>
          <w:szCs w:val="20"/>
          <w:color w:val="auto"/>
        </w:rPr>
      </w:pPr>
      <w:r>
        <w:rPr>
          <w:rFonts w:ascii="Arial" w:cs="Arial" w:eastAsia="Arial" w:hAnsi="Arial"/>
          <w:sz w:val="20"/>
          <w:szCs w:val="20"/>
          <w:color w:val="auto"/>
        </w:rPr>
        <w:t>(unaudited)</w:t>
      </w:r>
    </w:p>
    <w:p>
      <w:pPr>
        <w:sectPr>
          <w:pgSz w:w="11900" w:h="16838" w:orient="portrait"/>
          <w:cols w:equalWidth="0" w:num="1">
            <w:col w:w="10620"/>
          </w:cols>
          <w:pgMar w:left="640" w:top="110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0" w:hanging="161"/>
        <w:spacing w:after="0" w:line="301" w:lineRule="auto"/>
        <w:rPr>
          <w:sz w:val="20"/>
          <w:szCs w:val="20"/>
          <w:color w:val="auto"/>
        </w:rPr>
      </w:pPr>
      <w:r>
        <w:rPr>
          <w:rFonts w:ascii="Arial" w:cs="Arial" w:eastAsia="Arial" w:hAnsi="Arial"/>
          <w:sz w:val="14"/>
          <w:szCs w:val="14"/>
          <w:b w:val="1"/>
          <w:bCs w:val="1"/>
          <w:color w:val="auto"/>
        </w:rPr>
        <w:t>RECONCILIATION OF CASH AND CASH EQUIVALENTS AND RESTRICTED CASH TO THE CONDENSED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current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noncurrent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Total cash and cash equivalents and restricted cash</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Cash Flow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Cash payments (receipts) for:</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Fixed operating lease payments, net</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Fixed assets and intangibles received in the prior period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Rental product received in the prior period</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Non-cash financing and investing activities: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Financing lease right-of-use asset amortization</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of fixed assets and intangibles not yet settled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of rental product not yet settled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Six Months Ended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19119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1198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r>
      <w:tr>
        <w:trPr>
          <w:trHeight w:val="599"/>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43.6</w:t>
            </w:r>
          </w:p>
        </w:tc>
        <w:tc>
          <w:tcPr>
            <w:tcW w:w="8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76.6</w:t>
            </w:r>
          </w:p>
        </w:tc>
      </w:tr>
      <w:tr>
        <w:trPr>
          <w:trHeight w:val="229"/>
        </w:trPr>
        <w:tc>
          <w:tcPr>
            <w:tcW w:w="320" w:type="dxa"/>
            <w:vAlign w:val="bottom"/>
          </w:tcPr>
          <w:p>
            <w:pPr>
              <w:spacing w:after="0"/>
              <w:rPr>
                <w:sz w:val="19"/>
                <w:szCs w:val="19"/>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43"/>
        </w:trPr>
        <w:tc>
          <w:tcPr>
            <w:tcW w:w="320" w:type="dxa"/>
            <w:vAlign w:val="bottom"/>
          </w:tcPr>
          <w:p>
            <w:pPr>
              <w:spacing w:after="0"/>
              <w:rPr>
                <w:sz w:val="21"/>
                <w:szCs w:val="21"/>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5"/>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52.2</w:t>
            </w:r>
          </w:p>
        </w:tc>
        <w:tc>
          <w:tcPr>
            <w:tcW w:w="8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86.6</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7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43"/>
        </w:trPr>
        <w:tc>
          <w:tcPr>
            <w:tcW w:w="62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43"/>
        </w:trPr>
        <w:tc>
          <w:tcPr>
            <w:tcW w:w="62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473"/>
        </w:trPr>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7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43"/>
        </w:trPr>
        <w:tc>
          <w:tcPr>
            <w:tcW w:w="62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43"/>
        </w:trPr>
        <w:tc>
          <w:tcPr>
            <w:tcW w:w="62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0.9</w:t>
            </w:r>
          </w:p>
        </w:tc>
      </w:tr>
    </w:tbl>
    <w:p>
      <w:pPr>
        <w:sectPr>
          <w:pgSz w:w="11900" w:h="16838" w:orient="portrait"/>
          <w:cols w:equalWidth="0" w:num="2">
            <w:col w:w="7060" w:space="560"/>
            <w:col w:w="3000"/>
          </w:cols>
          <w:pgMar w:left="640" w:top="1101" w:right="639" w:bottom="1440" w:gutter="0" w:footer="0" w:header="0"/>
          <w:type w:val="continuous"/>
        </w:sectPr>
      </w:pPr>
    </w:p>
    <w:bookmarkStart w:id="14" w:name="page15"/>
    <w:bookmarkEnd w:id="14"/>
    <w:p>
      <w:pPr>
        <w:ind w:left="4673"/>
        <w:spacing w:after="0"/>
        <w:rPr>
          <w:sz w:val="20"/>
          <w:szCs w:val="20"/>
          <w:color w:val="auto"/>
        </w:rPr>
      </w:pPr>
      <w:r>
        <w:rPr>
          <w:rFonts w:ascii="Arial" w:cs="Arial" w:eastAsia="Arial" w:hAnsi="Arial"/>
          <w:sz w:val="20"/>
          <w:szCs w:val="20"/>
          <w:b w:val="1"/>
          <w:bCs w:val="1"/>
          <w:color w:val="auto"/>
        </w:rPr>
        <w:t>Rent the Runway, Inc.</w:t>
      </w:r>
    </w:p>
    <w:p>
      <w:pPr>
        <w:ind w:left="2993"/>
        <w:spacing w:after="0" w:line="231" w:lineRule="auto"/>
        <w:rPr>
          <w:sz w:val="20"/>
          <w:szCs w:val="20"/>
          <w:color w:val="auto"/>
        </w:rPr>
      </w:pPr>
      <w:r>
        <w:rPr>
          <w:rFonts w:ascii="Arial" w:cs="Arial" w:eastAsia="Arial" w:hAnsi="Arial"/>
          <w:sz w:val="20"/>
          <w:szCs w:val="20"/>
          <w:b w:val="1"/>
          <w:bCs w:val="1"/>
          <w:color w:val="auto"/>
        </w:rPr>
        <w:t>Reconciliation of GAAP to Non-GAAP Financial Measures</w:t>
      </w:r>
    </w:p>
    <w:p>
      <w:pPr>
        <w:ind w:left="5133"/>
        <w:spacing w:after="0"/>
        <w:rPr>
          <w:sz w:val="20"/>
          <w:szCs w:val="20"/>
          <w:color w:val="auto"/>
        </w:rPr>
      </w:pPr>
      <w:r>
        <w:rPr>
          <w:rFonts w:ascii="Arial" w:cs="Arial" w:eastAsia="Arial" w:hAnsi="Arial"/>
          <w:sz w:val="20"/>
          <w:szCs w:val="20"/>
          <w:b w:val="1"/>
          <w:bCs w:val="1"/>
          <w:color w:val="auto"/>
        </w:rPr>
        <w:t>(in millions)</w:t>
      </w:r>
    </w:p>
    <w:p>
      <w:pPr>
        <w:ind w:left="5193"/>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68" w:lineRule="exact"/>
        <w:rPr>
          <w:sz w:val="20"/>
          <w:szCs w:val="20"/>
          <w:color w:val="auto"/>
        </w:rPr>
      </w:pPr>
    </w:p>
    <w:p>
      <w:pPr>
        <w:ind w:left="73"/>
        <w:spacing w:after="0" w:line="243" w:lineRule="auto"/>
        <w:rPr>
          <w:sz w:val="20"/>
          <w:szCs w:val="20"/>
          <w:color w:val="auto"/>
        </w:rPr>
      </w:pPr>
      <w:r>
        <w:rPr>
          <w:rFonts w:ascii="Arial" w:cs="Arial" w:eastAsia="Arial" w:hAnsi="Arial"/>
          <w:sz w:val="20"/>
          <w:szCs w:val="20"/>
          <w:color w:val="auto"/>
        </w:rPr>
        <w:t>The following table presents a reconciliation of net loss and net loss as a percentage of revenue, the most comparable GAAP financial measures, to Adjusted EBITDA and Adjusted EBITDA Margin, respectively, for the periods presented:</w:t>
      </w:r>
    </w:p>
    <w:p>
      <w:pPr>
        <w:sectPr>
          <w:pgSz w:w="11900" w:h="16838" w:orient="portrait"/>
          <w:cols w:equalWidth="0" w:num="1">
            <w:col w:w="11033"/>
          </w:cols>
          <w:pgMar w:left="247" w:top="1101"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3"/>
        <w:spacing w:after="0"/>
        <w:rPr>
          <w:sz w:val="20"/>
          <w:szCs w:val="20"/>
          <w:color w:val="auto"/>
        </w:rPr>
      </w:pPr>
      <w:r>
        <w:rPr>
          <w:rFonts w:ascii="Arial" w:cs="Arial" w:eastAsia="Arial" w:hAnsi="Arial"/>
          <w:sz w:val="18"/>
          <w:szCs w:val="18"/>
          <w:color w:val="auto"/>
        </w:rPr>
        <w:t>Net loss</w:t>
      </w:r>
    </w:p>
    <w:p>
      <w:pPr>
        <w:spacing w:after="0" w:line="88"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Interest (income) / expense, net </w:t>
      </w:r>
      <w:r>
        <w:rPr>
          <w:rFonts w:ascii="Arial" w:cs="Arial" w:eastAsia="Arial" w:hAnsi="Arial"/>
          <w:sz w:val="23"/>
          <w:szCs w:val="23"/>
          <w:color w:val="auto"/>
          <w:vertAlign w:val="superscript"/>
        </w:rPr>
        <w:t>(1)</w:t>
      </w:r>
    </w:p>
    <w:p>
      <w:pPr>
        <w:spacing w:after="0" w:line="46" w:lineRule="exact"/>
        <w:rPr>
          <w:sz w:val="20"/>
          <w:szCs w:val="20"/>
          <w:color w:val="auto"/>
        </w:rPr>
      </w:pPr>
    </w:p>
    <w:p>
      <w:pPr>
        <w:ind w:left="93"/>
        <w:spacing w:after="0"/>
        <w:rPr>
          <w:sz w:val="20"/>
          <w:szCs w:val="20"/>
          <w:color w:val="auto"/>
        </w:rPr>
      </w:pPr>
      <w:r>
        <w:rPr>
          <w:rFonts w:ascii="Arial" w:cs="Arial" w:eastAsia="Arial" w:hAnsi="Arial"/>
          <w:sz w:val="18"/>
          <w:szCs w:val="18"/>
          <w:color w:val="auto"/>
        </w:rPr>
        <w:t>Rental product depreciation</w:t>
      </w:r>
    </w:p>
    <w:p>
      <w:pPr>
        <w:spacing w:after="0" w:line="77" w:lineRule="exact"/>
        <w:rPr>
          <w:sz w:val="20"/>
          <w:szCs w:val="20"/>
          <w:color w:val="auto"/>
        </w:rPr>
      </w:pPr>
    </w:p>
    <w:p>
      <w:pPr>
        <w:ind w:left="93"/>
        <w:spacing w:after="0"/>
        <w:rPr>
          <w:sz w:val="20"/>
          <w:szCs w:val="20"/>
          <w:color w:val="auto"/>
        </w:rPr>
      </w:pPr>
      <w:r>
        <w:rPr>
          <w:rFonts w:ascii="Arial" w:cs="Arial" w:eastAsia="Arial" w:hAnsi="Arial"/>
          <w:sz w:val="17"/>
          <w:szCs w:val="17"/>
          <w:color w:val="auto"/>
        </w:rPr>
        <w:t xml:space="preserve">Other depreciation and amortization </w:t>
      </w:r>
      <w:r>
        <w:rPr>
          <w:rFonts w:ascii="Arial" w:cs="Arial" w:eastAsia="Arial" w:hAnsi="Arial"/>
          <w:sz w:val="22"/>
          <w:szCs w:val="22"/>
          <w:color w:val="auto"/>
          <w:vertAlign w:val="superscript"/>
        </w:rPr>
        <w:t>(2)</w:t>
      </w:r>
    </w:p>
    <w:p>
      <w:pPr>
        <w:spacing w:after="0" w:line="58"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(3)</w:t>
      </w:r>
    </w:p>
    <w:p>
      <w:pPr>
        <w:spacing w:after="0" w:line="21"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Write-off of liquidated assets </w:t>
      </w:r>
      <w:r>
        <w:rPr>
          <w:rFonts w:ascii="Arial" w:cs="Arial" w:eastAsia="Arial" w:hAnsi="Arial"/>
          <w:sz w:val="23"/>
          <w:szCs w:val="23"/>
          <w:color w:val="auto"/>
          <w:vertAlign w:val="superscript"/>
        </w:rPr>
        <w:t>(4)</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Non-recurring adjustments </w:t>
      </w:r>
      <w:r>
        <w:rPr>
          <w:rFonts w:ascii="Arial" w:cs="Arial" w:eastAsia="Arial" w:hAnsi="Arial"/>
          <w:sz w:val="23"/>
          <w:szCs w:val="23"/>
          <w:color w:val="auto"/>
          <w:vertAlign w:val="superscript"/>
        </w:rPr>
        <w:t>(5)</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Non-ordinary course legal fees </w:t>
      </w:r>
      <w:r>
        <w:rPr>
          <w:rFonts w:ascii="Arial" w:cs="Arial" w:eastAsia="Arial" w:hAnsi="Arial"/>
          <w:sz w:val="23"/>
          <w:szCs w:val="23"/>
          <w:color w:val="auto"/>
          <w:vertAlign w:val="superscript"/>
        </w:rPr>
        <w:t>(6)</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(7)</w:t>
      </w:r>
    </w:p>
    <w:p>
      <w:pPr>
        <w:spacing w:after="0" w:line="33" w:lineRule="exact"/>
        <w:rPr>
          <w:sz w:val="20"/>
          <w:szCs w:val="20"/>
          <w:color w:val="auto"/>
        </w:rPr>
      </w:pPr>
    </w:p>
    <w:p>
      <w:pPr>
        <w:ind w:left="93" w:right="620"/>
        <w:spacing w:after="0" w:line="347" w:lineRule="auto"/>
        <w:rPr>
          <w:sz w:val="20"/>
          <w:szCs w:val="20"/>
          <w:color w:val="auto"/>
        </w:rPr>
      </w:pPr>
      <w:r>
        <w:rPr>
          <w:rFonts w:ascii="Arial" w:cs="Arial" w:eastAsia="Arial" w:hAnsi="Arial"/>
          <w:sz w:val="18"/>
          <w:szCs w:val="18"/>
          <w:color w:val="auto"/>
        </w:rPr>
        <w:t xml:space="preserve">Income tax (benefit) / expense Other (income) / expense, net </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Other (gains) / losses </w:t>
      </w:r>
      <w:r>
        <w:rPr>
          <w:rFonts w:ascii="Arial" w:cs="Arial" w:eastAsia="Arial" w:hAnsi="Arial"/>
          <w:sz w:val="23"/>
          <w:szCs w:val="23"/>
          <w:color w:val="auto"/>
          <w:vertAlign w:val="superscript"/>
        </w:rPr>
        <w:t>(9)</w:t>
      </w:r>
      <w:r>
        <w:rPr>
          <w:rFonts w:ascii="Arial" w:cs="Arial" w:eastAsia="Arial" w:hAnsi="Arial"/>
          <w:sz w:val="18"/>
          <w:szCs w:val="18"/>
          <w:color w:val="auto"/>
        </w:rPr>
        <w:t xml:space="preserve"> Adjusted EBITDA</w:t>
      </w:r>
    </w:p>
    <w:p>
      <w:pPr>
        <w:spacing w:after="0" w:line="2" w:lineRule="exact"/>
        <w:rPr>
          <w:sz w:val="20"/>
          <w:szCs w:val="20"/>
          <w:color w:val="auto"/>
        </w:rPr>
      </w:pPr>
    </w:p>
    <w:p>
      <w:pPr>
        <w:ind w:left="93" w:right="240"/>
        <w:spacing w:after="0" w:line="385" w:lineRule="auto"/>
        <w:rPr>
          <w:sz w:val="20"/>
          <w:szCs w:val="20"/>
          <w:color w:val="auto"/>
        </w:rPr>
      </w:pPr>
      <w:r>
        <w:rPr>
          <w:rFonts w:ascii="Arial" w:cs="Arial" w:eastAsia="Arial" w:hAnsi="Arial"/>
          <w:sz w:val="18"/>
          <w:szCs w:val="18"/>
          <w:color w:val="auto"/>
        </w:rPr>
        <w:t xml:space="preserve">Net Loss as a percentage of revenue Adjusted EBITDA Margin </w:t>
      </w:r>
      <w:r>
        <w:rPr>
          <w:rFonts w:ascii="Arial" w:cs="Arial" w:eastAsia="Arial" w:hAnsi="Arial"/>
          <w:sz w:val="23"/>
          <w:szCs w:val="23"/>
          <w:color w:val="auto"/>
          <w:vertAlign w:val="superscript"/>
        </w:rPr>
        <w:t>(10)</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80" w:type="dxa"/>
            <w:vAlign w:val="bottom"/>
          </w:tcPr>
          <w:p>
            <w:pPr>
              <w:spacing w:after="0"/>
              <w:rPr>
                <w:sz w:val="16"/>
                <w:szCs w:val="16"/>
                <w:color w:val="auto"/>
              </w:rPr>
            </w:pPr>
          </w:p>
        </w:tc>
        <w:tc>
          <w:tcPr>
            <w:tcW w:w="2360" w:type="dxa"/>
            <w:vAlign w:val="bottom"/>
            <w:gridSpan w:val="3"/>
          </w:tcPr>
          <w:p>
            <w:pPr>
              <w:jc w:val="center"/>
              <w:ind w:left="174"/>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center"/>
              <w:ind w:left="554"/>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Pr>
          <w:p>
            <w:pPr>
              <w:spacing w:after="0"/>
              <w:rPr>
                <w:sz w:val="16"/>
                <w:szCs w:val="16"/>
                <w:color w:val="auto"/>
              </w:rPr>
            </w:pPr>
          </w:p>
        </w:tc>
      </w:tr>
      <w:tr>
        <w:trPr>
          <w:trHeight w:val="205"/>
        </w:trPr>
        <w:tc>
          <w:tcPr>
            <w:tcW w:w="3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center"/>
              <w:ind w:left="194"/>
              <w:spacing w:after="0"/>
              <w:rPr>
                <w:sz w:val="20"/>
                <w:szCs w:val="20"/>
                <w:color w:val="auto"/>
              </w:rPr>
            </w:pPr>
            <w:r>
              <w:rPr>
                <w:rFonts w:ascii="Arial" w:cs="Arial" w:eastAsia="Arial" w:hAnsi="Arial"/>
                <w:sz w:val="14"/>
                <w:szCs w:val="14"/>
                <w:b w:val="1"/>
                <w:bCs w:val="1"/>
                <w:color w:val="auto"/>
              </w:rPr>
              <w:t>July 31,</w:t>
            </w:r>
          </w:p>
        </w:tc>
        <w:tc>
          <w:tcPr>
            <w:tcW w:w="6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center"/>
              <w:ind w:left="554"/>
              <w:spacing w:after="0"/>
              <w:rPr>
                <w:sz w:val="20"/>
                <w:szCs w:val="20"/>
                <w:color w:val="auto"/>
              </w:rPr>
            </w:pPr>
            <w:r>
              <w:rPr>
                <w:rFonts w:ascii="Arial" w:cs="Arial" w:eastAsia="Arial" w:hAnsi="Arial"/>
                <w:sz w:val="14"/>
                <w:szCs w:val="14"/>
                <w:b w:val="1"/>
                <w:bCs w:val="1"/>
                <w:color w:val="auto"/>
              </w:rPr>
              <w:t>July 31,</w:t>
            </w:r>
          </w:p>
        </w:tc>
        <w:tc>
          <w:tcPr>
            <w:tcW w:w="1020" w:type="dxa"/>
            <w:vAlign w:val="bottom"/>
            <w:tcBorders>
              <w:bottom w:val="single" w:sz="8" w:color="auto"/>
            </w:tcBorders>
          </w:tcPr>
          <w:p>
            <w:pPr>
              <w:spacing w:after="0"/>
              <w:rPr>
                <w:sz w:val="17"/>
                <w:szCs w:val="17"/>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2024</w:t>
            </w:r>
          </w:p>
        </w:tc>
      </w:tr>
      <w:tr>
        <w:trPr>
          <w:trHeight w:val="227"/>
        </w:trPr>
        <w:tc>
          <w:tcPr>
            <w:tcW w:w="380" w:type="dxa"/>
            <w:vAlign w:val="bottom"/>
          </w:tcPr>
          <w:p>
            <w:pPr>
              <w:spacing w:after="0"/>
              <w:rPr>
                <w:sz w:val="19"/>
                <w:szCs w:val="19"/>
                <w:color w:val="auto"/>
              </w:rPr>
            </w:pPr>
          </w:p>
        </w:tc>
        <w:tc>
          <w:tcPr>
            <w:tcW w:w="2360" w:type="dxa"/>
            <w:vAlign w:val="bottom"/>
            <w:gridSpan w:val="3"/>
          </w:tcPr>
          <w:p>
            <w:pPr>
              <w:jc w:val="center"/>
              <w:ind w:left="194"/>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gridSpan w:val="3"/>
          </w:tcPr>
          <w:p>
            <w:pPr>
              <w:jc w:val="center"/>
              <w:ind w:left="554"/>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9"/>
                <w:szCs w:val="19"/>
                <w:color w:val="auto"/>
              </w:rPr>
            </w:pPr>
          </w:p>
        </w:tc>
      </w:tr>
      <w:tr>
        <w:trPr>
          <w:trHeight w:val="276"/>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24"/>
                <w:szCs w:val="24"/>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w w:val="93"/>
              </w:rPr>
              <w:t>(15.6)</w:t>
            </w:r>
          </w:p>
        </w:tc>
        <w:tc>
          <w:tcPr>
            <w:tcW w:w="14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(52.5)</w:t>
            </w:r>
          </w:p>
        </w:tc>
        <w:tc>
          <w:tcPr>
            <w:tcW w:w="140" w:type="dxa"/>
            <w:vAlign w:val="bottom"/>
          </w:tcPr>
          <w:p>
            <w:pPr>
              <w:spacing w:after="0"/>
              <w:rPr>
                <w:sz w:val="24"/>
                <w:szCs w:val="24"/>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(37.6)</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11.6</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31.1</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6.6</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5.4</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2.8</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97"/>
        </w:trPr>
        <w:tc>
          <w:tcPr>
            <w:tcW w:w="380" w:type="dxa"/>
            <w:vAlign w:val="bottom"/>
          </w:tcPr>
          <w:p>
            <w:pPr>
              <w:spacing w:after="0"/>
              <w:rPr>
                <w:sz w:val="24"/>
                <w:szCs w:val="2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0.2</w:t>
            </w:r>
          </w:p>
        </w:tc>
      </w:tr>
      <w:tr>
        <w:trPr>
          <w:trHeight w:val="297"/>
        </w:trPr>
        <w:tc>
          <w:tcPr>
            <w:tcW w:w="380" w:type="dxa"/>
            <w:vAlign w:val="bottom"/>
          </w:tcPr>
          <w:p>
            <w:pPr>
              <w:spacing w:after="0"/>
              <w:rPr>
                <w:sz w:val="24"/>
                <w:szCs w:val="2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0.1</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(0.2)</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0.2</w:t>
            </w:r>
          </w:p>
        </w:tc>
      </w:tr>
      <w:tr>
        <w:trPr>
          <w:trHeight w:val="37"/>
        </w:trPr>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54"/>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2"/>
                <w:szCs w:val="22"/>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2"/>
                <w:szCs w:val="22"/>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20.2</w:t>
            </w:r>
          </w:p>
        </w:tc>
      </w:tr>
      <w:tr>
        <w:trPr>
          <w:trHeight w:val="37"/>
        </w:trPr>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4"/>
        </w:trPr>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(19.8)%</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37"/>
        </w:trPr>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4"/>
        </w:trPr>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4.4 %</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17.4 %</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1.5 %</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13.1 %</w:t>
            </w:r>
          </w:p>
        </w:tc>
      </w:tr>
    </w:tbl>
    <w:p>
      <w:pPr>
        <w:spacing w:after="0" w:line="393" w:lineRule="exact"/>
        <w:rPr>
          <w:sz w:val="20"/>
          <w:szCs w:val="20"/>
          <w:color w:val="auto"/>
        </w:rPr>
      </w:pPr>
    </w:p>
    <w:p>
      <w:pPr>
        <w:sectPr>
          <w:pgSz w:w="11900" w:h="16838" w:orient="portrait"/>
          <w:cols w:equalWidth="0" w:num="2">
            <w:col w:w="3293" w:space="720"/>
            <w:col w:w="7020"/>
          </w:cols>
          <w:pgMar w:left="247" w:top="1101" w:right="619" w:bottom="1440" w:gutter="0" w:footer="0" w:header="0"/>
          <w:type w:val="continuous"/>
        </w:sectPr>
      </w:pPr>
    </w:p>
    <w:p>
      <w:pPr>
        <w:spacing w:after="0" w:line="201" w:lineRule="exact"/>
        <w:rPr>
          <w:sz w:val="20"/>
          <w:szCs w:val="20"/>
          <w:color w:val="auto"/>
        </w:rPr>
      </w:pPr>
    </w:p>
    <w:p>
      <w:pPr>
        <w:ind w:left="333" w:hanging="333"/>
        <w:spacing w:after="0" w:line="305" w:lineRule="auto"/>
        <w:tabs>
          <w:tab w:leader="none" w:pos="326" w:val="left"/>
        </w:tabs>
        <w:numPr>
          <w:ilvl w:val="0"/>
          <w:numId w:val="8"/>
        </w:numPr>
        <w:rPr>
          <w:rFonts w:ascii="Arial" w:cs="Arial" w:eastAsia="Arial" w:hAnsi="Arial"/>
          <w:sz w:val="9"/>
          <w:szCs w:val="9"/>
          <w:i w:val="1"/>
          <w:iCs w:val="1"/>
          <w:color w:val="auto"/>
        </w:rPr>
      </w:pPr>
      <w:r>
        <w:rPr>
          <w:rFonts w:ascii="Arial" w:cs="Arial" w:eastAsia="Arial" w:hAnsi="Arial"/>
          <w:sz w:val="14"/>
          <w:szCs w:val="14"/>
          <w:color w:val="auto"/>
        </w:rPr>
        <w:t>Includes debt discount amortization of $(3.9) million in the three months ended July 31, 2025, $6.7 million in the three months ended July 31, 2024, $3.0 million in the six months ended July 31, 2025 and $13.1 million in the six months ended July 31, 2024.</w:t>
      </w:r>
    </w:p>
    <w:p>
      <w:pPr>
        <w:spacing w:after="0" w:line="35" w:lineRule="exact"/>
        <w:rPr>
          <w:rFonts w:ascii="Arial" w:cs="Arial" w:eastAsia="Arial" w:hAnsi="Arial"/>
          <w:sz w:val="9"/>
          <w:szCs w:val="9"/>
          <w:i w:val="1"/>
          <w:iCs w:val="1"/>
          <w:color w:val="auto"/>
        </w:rPr>
      </w:pPr>
    </w:p>
    <w:p>
      <w:pPr>
        <w:ind w:left="313" w:hanging="313"/>
        <w:spacing w:after="0"/>
        <w:tabs>
          <w:tab w:leader="none" w:pos="313"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Reflects non-rental product depreciation and capitalized software amortization.</w:t>
      </w:r>
    </w:p>
    <w:p>
      <w:pPr>
        <w:spacing w:after="0" w:line="78"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Reflects the non-cash expense for share-based compensation.</w:t>
      </w:r>
    </w:p>
    <w:p>
      <w:pPr>
        <w:spacing w:after="0" w:line="106"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8"/>
        </w:numPr>
        <w:rPr>
          <w:rFonts w:ascii="Arial" w:cs="Arial" w:eastAsia="Arial" w:hAnsi="Arial"/>
          <w:sz w:val="9"/>
          <w:szCs w:val="9"/>
          <w:color w:val="auto"/>
        </w:rPr>
      </w:pPr>
      <w:r>
        <w:rPr>
          <w:rFonts w:ascii="Arial" w:cs="Arial" w:eastAsia="Arial" w:hAnsi="Arial"/>
          <w:sz w:val="14"/>
          <w:szCs w:val="14"/>
          <w:color w:val="auto"/>
        </w:rPr>
        <w:t>Reflects the write-off of the remaining book value of liquidated rental product that had previously been held for sale.</w:t>
      </w:r>
    </w:p>
    <w:p>
      <w:pPr>
        <w:spacing w:after="0" w:line="136" w:lineRule="exact"/>
        <w:rPr>
          <w:rFonts w:ascii="Arial" w:cs="Arial" w:eastAsia="Arial" w:hAnsi="Arial"/>
          <w:sz w:val="9"/>
          <w:szCs w:val="9"/>
          <w:color w:val="auto"/>
        </w:rPr>
      </w:pPr>
    </w:p>
    <w:p>
      <w:pPr>
        <w:ind w:left="313" w:hanging="313"/>
        <w:spacing w:after="0"/>
        <w:tabs>
          <w:tab w:leader="none" w:pos="313" w:val="left"/>
        </w:tabs>
        <w:numPr>
          <w:ilvl w:val="0"/>
          <w:numId w:val="8"/>
        </w:numPr>
        <w:rPr>
          <w:rFonts w:ascii="Arial" w:cs="Arial" w:eastAsia="Arial" w:hAnsi="Arial"/>
          <w:sz w:val="9"/>
          <w:szCs w:val="9"/>
          <w:color w:val="auto"/>
        </w:rPr>
      </w:pPr>
      <w:r>
        <w:rPr>
          <w:rFonts w:ascii="Arial" w:cs="Arial" w:eastAsia="Arial" w:hAnsi="Arial"/>
          <w:sz w:val="14"/>
          <w:szCs w:val="14"/>
          <w:color w:val="auto"/>
        </w:rPr>
        <w:t>Non-recurring adjustments for the three and six months ended July 31, 2025 includes $2.0 million of transaction related costs.</w:t>
      </w:r>
    </w:p>
    <w:p>
      <w:pPr>
        <w:spacing w:after="0" w:line="149" w:lineRule="exact"/>
        <w:rPr>
          <w:rFonts w:ascii="Arial" w:cs="Arial" w:eastAsia="Arial" w:hAnsi="Arial"/>
          <w:sz w:val="9"/>
          <w:szCs w:val="9"/>
          <w:color w:val="auto"/>
        </w:rPr>
      </w:pPr>
    </w:p>
    <w:p>
      <w:pPr>
        <w:ind w:left="333" w:right="240" w:hanging="333"/>
        <w:spacing w:after="0" w:line="239" w:lineRule="auto"/>
        <w:tabs>
          <w:tab w:leader="none" w:pos="326"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Non-ordinary course legal fees for the three and six months ended July 31, 2025 includes $1.4 million and $2.0 million of costs related to securities lawsuits and non-recurring legal fees including transaction related costs.</w:t>
      </w:r>
    </w:p>
    <w:p>
      <w:pPr>
        <w:spacing w:after="0" w:line="79"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Reflects restructuring charges primarily related to severance and related costs in connection with the January 2024 restructuring plan.</w:t>
      </w:r>
    </w:p>
    <w:p>
      <w:pPr>
        <w:spacing w:after="0" w:line="78"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Includes other (income) / expense recognized in the period.</w:t>
      </w:r>
    </w:p>
    <w:p>
      <w:pPr>
        <w:spacing w:after="0" w:line="106" w:lineRule="exact"/>
        <w:rPr>
          <w:rFonts w:ascii="Arial" w:cs="Arial" w:eastAsia="Arial" w:hAnsi="Arial"/>
          <w:sz w:val="19"/>
          <w:szCs w:val="19"/>
          <w:color w:val="auto"/>
          <w:vertAlign w:val="superscript"/>
        </w:rPr>
      </w:pPr>
    </w:p>
    <w:p>
      <w:pPr>
        <w:ind w:left="333" w:hanging="333"/>
        <w:spacing w:after="0" w:line="325" w:lineRule="auto"/>
        <w:tabs>
          <w:tab w:leader="none" w:pos="326" w:val="left"/>
        </w:tabs>
        <w:numPr>
          <w:ilvl w:val="0"/>
          <w:numId w:val="8"/>
        </w:numPr>
        <w:rPr>
          <w:rFonts w:ascii="Arial" w:cs="Arial" w:eastAsia="Arial" w:hAnsi="Arial"/>
          <w:sz w:val="9"/>
          <w:szCs w:val="9"/>
          <w:color w:val="auto"/>
        </w:rPr>
      </w:pPr>
      <w:r>
        <w:rPr>
          <w:rFonts w:ascii="Arial" w:cs="Arial" w:eastAsia="Arial" w:hAnsi="Arial"/>
          <w:sz w:val="14"/>
          <w:szCs w:val="14"/>
          <w:color w:val="auto"/>
        </w:rPr>
        <w:t>Includes gains / losses recognized in relation to foreign exchange, operating lease terminations and the related surrender of fixed assets (see “Note 5 - Leases – Lessee Accounting” in the Notes to the Condensed Consolidated Financial Statements).</w:t>
      </w:r>
    </w:p>
    <w:p>
      <w:pPr>
        <w:spacing w:after="0" w:line="35" w:lineRule="exact"/>
        <w:rPr>
          <w:rFonts w:ascii="Arial" w:cs="Arial" w:eastAsia="Arial" w:hAnsi="Arial"/>
          <w:sz w:val="9"/>
          <w:szCs w:val="9"/>
          <w:color w:val="auto"/>
        </w:rPr>
      </w:pPr>
    </w:p>
    <w:p>
      <w:pPr>
        <w:ind w:left="313" w:hanging="313"/>
        <w:spacing w:after="0"/>
        <w:tabs>
          <w:tab w:leader="none" w:pos="313"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Adjusted EBITDA Margin calculated as Adjusted EBITDA as a percentage of revenue.</w:t>
      </w:r>
    </w:p>
    <w:p>
      <w:pPr>
        <w:sectPr>
          <w:pgSz w:w="11900" w:h="16838" w:orient="portrait"/>
          <w:cols w:equalWidth="0" w:num="1">
            <w:col w:w="11033"/>
          </w:cols>
          <w:pgMar w:left="247" w:top="1101" w:right="619" w:bottom="1440" w:gutter="0" w:footer="0" w:header="0"/>
          <w:type w:val="continuous"/>
        </w:sectPr>
      </w:pPr>
    </w:p>
    <w:bookmarkStart w:id="15" w:name="page16"/>
    <w:bookmarkEnd w:id="15"/>
    <w:p>
      <w:pPr>
        <w:ind w:left="4600"/>
        <w:spacing w:after="0"/>
        <w:rPr>
          <w:sz w:val="20"/>
          <w:szCs w:val="20"/>
          <w:color w:val="auto"/>
        </w:rPr>
      </w:pPr>
      <w:r>
        <w:rPr>
          <w:rFonts w:ascii="Arial" w:cs="Arial" w:eastAsia="Arial" w:hAnsi="Arial"/>
          <w:sz w:val="20"/>
          <w:szCs w:val="20"/>
          <w:b w:val="1"/>
          <w:bCs w:val="1"/>
          <w:color w:val="auto"/>
        </w:rPr>
        <w:t>Rent the Runway, Inc.</w:t>
      </w:r>
    </w:p>
    <w:p>
      <w:pPr>
        <w:ind w:left="2920"/>
        <w:spacing w:after="0" w:line="231" w:lineRule="auto"/>
        <w:rPr>
          <w:sz w:val="20"/>
          <w:szCs w:val="20"/>
          <w:color w:val="auto"/>
        </w:rPr>
      </w:pPr>
      <w:r>
        <w:rPr>
          <w:rFonts w:ascii="Arial" w:cs="Arial" w:eastAsia="Arial" w:hAnsi="Arial"/>
          <w:sz w:val="20"/>
          <w:szCs w:val="20"/>
          <w:b w:val="1"/>
          <w:bCs w:val="1"/>
          <w:color w:val="auto"/>
        </w:rPr>
        <w:t>Reconciliation of GAAP to Non-GAAP Financial Measures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millions)</w:t>
      </w:r>
    </w:p>
    <w:p>
      <w:pPr>
        <w:spacing w:after="0" w:line="319"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color w:val="auto"/>
        </w:rPr>
        <w:t>The following table presents a reconciliation of net cash (used in) provided by operating activities, the most comparable GAAP financial measure, to Free Cash Flow and Free Cash Flow Margin for the periods presented:</w:t>
      </w:r>
    </w:p>
    <w:p>
      <w:pPr>
        <w:spacing w:after="0" w:line="276"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Six Months Ended</w:t>
      </w:r>
    </w:p>
    <w:p>
      <w:pPr>
        <w:spacing w:after="0" w:line="35"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27940</wp:posOffset>
            </wp:positionV>
            <wp:extent cx="18084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2024</w:t>
            </w:r>
          </w:p>
        </w:tc>
      </w:tr>
      <w:tr>
        <w:trPr>
          <w:trHeight w:val="228"/>
        </w:trPr>
        <w:tc>
          <w:tcPr>
            <w:tcW w:w="8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9"/>
                <w:szCs w:val="19"/>
                <w:color w:val="auto"/>
              </w:rPr>
            </w:pPr>
          </w:p>
        </w:tc>
      </w:tr>
      <w:tr>
        <w:trPr>
          <w:trHeight w:val="276"/>
        </w:trPr>
        <w:tc>
          <w:tcPr>
            <w:tcW w:w="828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6.8</w:t>
            </w:r>
          </w:p>
        </w:tc>
      </w:tr>
      <w:tr>
        <w:trPr>
          <w:trHeight w:val="297"/>
        </w:trPr>
        <w:tc>
          <w:tcPr>
            <w:tcW w:w="8280" w:type="dxa"/>
            <w:vAlign w:val="bottom"/>
          </w:tcPr>
          <w:p>
            <w:pPr>
              <w:ind w:left="440"/>
              <w:spacing w:after="0"/>
              <w:rPr>
                <w:sz w:val="20"/>
                <w:szCs w:val="20"/>
                <w:color w:val="auto"/>
              </w:rPr>
            </w:pPr>
            <w:r>
              <w:rPr>
                <w:rFonts w:ascii="Arial" w:cs="Arial" w:eastAsia="Arial" w:hAnsi="Arial"/>
                <w:sz w:val="18"/>
                <w:szCs w:val="18"/>
                <w:color w:val="auto"/>
              </w:rPr>
              <w:t>Purchases of rental product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(26.3)</w:t>
            </w:r>
          </w:p>
        </w:tc>
      </w:tr>
      <w:tr>
        <w:trPr>
          <w:trHeight w:val="297"/>
        </w:trPr>
        <w:tc>
          <w:tcPr>
            <w:tcW w:w="8280" w:type="dxa"/>
            <w:vAlign w:val="bottom"/>
          </w:tcPr>
          <w:p>
            <w:pPr>
              <w:ind w:left="440"/>
              <w:spacing w:after="0"/>
              <w:rPr>
                <w:sz w:val="20"/>
                <w:szCs w:val="20"/>
                <w:color w:val="auto"/>
              </w:rPr>
            </w:pPr>
            <w:r>
              <w:rPr>
                <w:rFonts w:ascii="Arial" w:cs="Arial" w:eastAsia="Arial" w:hAnsi="Arial"/>
                <w:sz w:val="18"/>
                <w:szCs w:val="18"/>
                <w:color w:val="auto"/>
              </w:rPr>
              <w:t>Proceeds from liquidation of rental product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2.2</w:t>
            </w:r>
          </w:p>
        </w:tc>
      </w:tr>
      <w:tr>
        <w:trPr>
          <w:trHeight w:val="297"/>
        </w:trPr>
        <w:tc>
          <w:tcPr>
            <w:tcW w:w="8280" w:type="dxa"/>
            <w:vAlign w:val="bottom"/>
          </w:tcPr>
          <w:p>
            <w:pPr>
              <w:ind w:left="440"/>
              <w:spacing w:after="0"/>
              <w:rPr>
                <w:sz w:val="20"/>
                <w:szCs w:val="20"/>
                <w:color w:val="auto"/>
              </w:rPr>
            </w:pPr>
            <w:r>
              <w:rPr>
                <w:rFonts w:ascii="Arial" w:cs="Arial" w:eastAsia="Arial" w:hAnsi="Arial"/>
                <w:sz w:val="18"/>
                <w:szCs w:val="18"/>
                <w:color w:val="auto"/>
              </w:rPr>
              <w:t>Proceeds from sale of rental product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13.6</w:t>
            </w:r>
          </w:p>
        </w:tc>
      </w:tr>
      <w:tr>
        <w:trPr>
          <w:trHeight w:val="297"/>
        </w:trPr>
        <w:tc>
          <w:tcPr>
            <w:tcW w:w="8280" w:type="dxa"/>
            <w:vAlign w:val="bottom"/>
          </w:tcPr>
          <w:p>
            <w:pPr>
              <w:ind w:left="440"/>
              <w:spacing w:after="0"/>
              <w:rPr>
                <w:sz w:val="20"/>
                <w:szCs w:val="20"/>
                <w:color w:val="auto"/>
              </w:rPr>
            </w:pPr>
            <w:r>
              <w:rPr>
                <w:rFonts w:ascii="Arial" w:cs="Arial" w:eastAsia="Arial" w:hAnsi="Arial"/>
                <w:sz w:val="18"/>
                <w:szCs w:val="18"/>
                <w:color w:val="auto"/>
              </w:rPr>
              <w:t>Purchases of fixed and intangible assets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(2.2)</w:t>
            </w:r>
          </w:p>
        </w:tc>
      </w:tr>
      <w:tr>
        <w:trPr>
          <w:trHeight w:val="36"/>
        </w:trPr>
        <w:tc>
          <w:tcPr>
            <w:tcW w:w="82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86"/>
        </w:trPr>
        <w:tc>
          <w:tcPr>
            <w:tcW w:w="8280" w:type="dxa"/>
            <w:vAlign w:val="bottom"/>
          </w:tcPr>
          <w:p>
            <w:pPr>
              <w:spacing w:after="0"/>
              <w:rPr>
                <w:sz w:val="20"/>
                <w:szCs w:val="20"/>
                <w:color w:val="auto"/>
              </w:rPr>
            </w:pPr>
            <w:r>
              <w:rPr>
                <w:rFonts w:ascii="Arial" w:cs="Arial" w:eastAsia="Arial" w:hAnsi="Arial"/>
                <w:sz w:val="18"/>
                <w:szCs w:val="18"/>
                <w:color w:val="auto"/>
              </w:rPr>
              <w:t>Free Cash Flow</w:t>
            </w:r>
          </w:p>
        </w:tc>
        <w:tc>
          <w:tcPr>
            <w:tcW w:w="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(5.9)</w:t>
            </w:r>
          </w:p>
        </w:tc>
      </w:tr>
      <w:tr>
        <w:trPr>
          <w:trHeight w:val="25"/>
        </w:trPr>
        <w:tc>
          <w:tcPr>
            <w:tcW w:w="8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4"/>
        </w:trPr>
        <w:tc>
          <w:tcPr>
            <w:tcW w:w="8280" w:type="dxa"/>
            <w:vAlign w:val="bottom"/>
          </w:tcPr>
          <w:p>
            <w:pPr>
              <w:spacing w:after="0"/>
              <w:rPr>
                <w:sz w:val="20"/>
                <w:szCs w:val="20"/>
                <w:color w:val="auto"/>
              </w:rPr>
            </w:pPr>
            <w:r>
              <w:rPr>
                <w:rFonts w:ascii="Arial" w:cs="Arial" w:eastAsia="Arial" w:hAnsi="Arial"/>
                <w:sz w:val="18"/>
                <w:szCs w:val="18"/>
                <w:color w:val="auto"/>
              </w:rPr>
              <w:t>Free Cash Flow Margin</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1" w:lineRule="exact"/>
        <w:rPr>
          <w:sz w:val="20"/>
          <w:szCs w:val="20"/>
          <w:color w:val="auto"/>
        </w:rPr>
      </w:pPr>
    </w:p>
    <w:sectPr>
      <w:pgSz w:w="11900" w:h="16838" w:orient="portrait"/>
      <w:cols w:equalWidth="0" w:num="1">
        <w:col w:w="11240"/>
      </w:cols>
      <w:pgMar w:left="320" w:top="12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2025-09-11T15:17:31Z</dcterms:created>
  <dcterms:modified xsi:type="dcterms:W3CDTF">2025-09-11T15:17:31Z</dcterms:modified>
</cp:coreProperties>
</file>