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3178_8k.htm"/>
      <w:bookmarkStart w:id="1" w:name="ksdp253178_8k"/>
      <w:bookmarkEnd w:id="0"/>
      <w:bookmarkEnd w:id="1"/>
      <w:r>
        <w:rPr/>
        <w:t> </w:t>
      </w:r>
    </w:p>
    <w:p>
      <w:pPr>
        <w:pStyle w:val="TextBody"/>
        <w:pBdr>
          <w:bottom w:val="single" w:sz="24" w:space="1" w:color="000000"/>
        </w:pBdr>
        <w:bidi w:val="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br/>
      </w:r>
      <w:r>
        <w:rPr>
          <w:rFonts w:ascii="Times New Roman;Times;Serif" w:hAnsi="Times New Roman;Times;Serif"/>
          <w:b/>
          <w:i w:val="false"/>
          <w:caps w:val="false"/>
          <w:smallCaps w:val="false"/>
          <w:sz w:val="24"/>
        </w:rPr>
        <w:t>Washington D.C. 20549</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911__20"/>
      <w:bookmarkEnd w:id="2"/>
      <w:r>
        <w:rPr>
          <w:rFonts w:ascii="Times New Roman;Times;Serif" w:hAnsi="Times New Roman;Times;Serif"/>
          <w:b/>
          <w:i w:val="false"/>
          <w:caps w:val="false"/>
          <w:smallCaps w:val="false"/>
          <w:sz w:val="36"/>
        </w:rPr>
        <w:t>8-K</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b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4"/>
        </w:rPr>
        <w:t>September 11, 2026</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40"/>
        </w:rPr>
        <w:t>Rent the Runway, Inc.</w:t>
        <w:br/>
      </w:r>
      <w:r>
        <w:rPr>
          <w:rFonts w:ascii="Times New Roman;Times;Serif" w:hAnsi="Times New Roman;Times;Serif"/>
          <w:b/>
          <w:i w:val="false"/>
          <w:caps w:val="false"/>
          <w:smallCaps w:val="false"/>
          <w:sz w:val="20"/>
        </w:rPr>
        <w:t>(Exact name of registrant as specified in its charter)</w:t>
      </w:r>
    </w:p>
    <w:p>
      <w:pPr>
        <w:pStyle w:val="TextBody"/>
        <w:bidi w:val="0"/>
        <w:jc w:val="center"/>
        <w:rPr>
          <w:sz w:val="20"/>
        </w:rPr>
      </w:pPr>
      <w:r>
        <w:rPr>
          <w:sz w:val="20"/>
        </w:rPr>
        <w:t>____________________________</w:t>
      </w:r>
    </w:p>
    <w:p>
      <w:pPr>
        <w:pStyle w:val="TextBody"/>
        <w:bidi w:val="0"/>
        <w:spacing w:before="0" w:after="283"/>
        <w:jc w:val="left"/>
        <w:rPr/>
      </w:pPr>
      <w:r>
        <w:rPr/>
        <w:t> </w:t>
      </w:r>
    </w:p>
    <w:tbl>
      <w:tblPr>
        <w:tblW w:w="5190" w:type="dxa"/>
        <w:jc w:val="left"/>
        <w:tblInd w:w="0" w:type="dxa"/>
        <w:tblLayout w:type="fixed"/>
        <w:tblCellMar>
          <w:top w:w="0" w:type="dxa"/>
          <w:left w:w="0" w:type="dxa"/>
          <w:bottom w:w="0" w:type="dxa"/>
          <w:right w:w="0" w:type="dxa"/>
        </w:tblCellMar>
      </w:tblPr>
      <w:tblGrid>
        <w:gridCol w:w="2480"/>
        <w:gridCol w:w="1145"/>
        <w:gridCol w:w="1565"/>
      </w:tblGrid>
      <w:tr>
        <w:trPr/>
        <w:tc>
          <w:tcPr>
            <w:tcW w:w="2480" w:type="dxa"/>
            <w:tcBorders/>
            <w:vAlign w:val="center"/>
          </w:tcPr>
          <w:p>
            <w:pPr>
              <w:pStyle w:val="TableContents"/>
              <w:bidi w:val="0"/>
              <w:spacing w:before="0" w:after="283"/>
              <w:jc w:val="center"/>
              <w:rPr>
                <w:b/>
              </w:rPr>
            </w:pPr>
            <w:bookmarkStart w:id="5" w:name="xdx_90F_edei--EntityIncorporationStateCo"/>
            <w:bookmarkEnd w:id="5"/>
            <w:r>
              <w:rPr>
                <w:b/>
              </w:rPr>
              <w:t>Delaware</w:t>
            </w:r>
          </w:p>
        </w:tc>
        <w:tc>
          <w:tcPr>
            <w:tcW w:w="1145" w:type="dxa"/>
            <w:tcBorders/>
            <w:vAlign w:val="center"/>
          </w:tcPr>
          <w:p>
            <w:pPr>
              <w:pStyle w:val="TableContents"/>
              <w:bidi w:val="0"/>
              <w:spacing w:before="0" w:after="283"/>
              <w:jc w:val="center"/>
              <w:rPr>
                <w:b/>
              </w:rPr>
            </w:pPr>
            <w:bookmarkStart w:id="6" w:name="xdx_902_edei--EntityFileNumber_c20260911"/>
            <w:bookmarkEnd w:id="6"/>
            <w:r>
              <w:rPr>
                <w:b/>
              </w:rPr>
              <w:t>001-40958</w:t>
            </w:r>
          </w:p>
        </w:tc>
        <w:tc>
          <w:tcPr>
            <w:tcW w:w="1565" w:type="dxa"/>
            <w:tcBorders/>
            <w:vAlign w:val="center"/>
          </w:tcPr>
          <w:p>
            <w:pPr>
              <w:pStyle w:val="TableContents"/>
              <w:bidi w:val="0"/>
              <w:spacing w:before="0" w:after="283"/>
              <w:jc w:val="center"/>
              <w:rPr>
                <w:b/>
              </w:rPr>
            </w:pPr>
            <w:bookmarkStart w:id="7" w:name="xdx_90E_edei--EntityTaxIdentificationNum"/>
            <w:bookmarkEnd w:id="7"/>
            <w:r>
              <w:rPr>
                <w:b/>
              </w:rPr>
              <w:t>80-0376379</w:t>
            </w:r>
          </w:p>
        </w:tc>
      </w:tr>
      <w:tr>
        <w:trPr/>
        <w:tc>
          <w:tcPr>
            <w:tcW w:w="2480" w:type="dxa"/>
            <w:tcBorders/>
            <w:vAlign w:val="center"/>
          </w:tcPr>
          <w:p>
            <w:pPr>
              <w:pStyle w:val="TableContents"/>
              <w:bidi w:val="0"/>
              <w:spacing w:before="0" w:after="283"/>
              <w:jc w:val="center"/>
              <w:rPr>
                <w:b/>
                <w:sz w:val="20"/>
              </w:rPr>
            </w:pPr>
            <w:r>
              <w:rPr>
                <w:b/>
                <w:sz w:val="20"/>
              </w:rPr>
              <w:t>(State or other jurisdiction of</w:t>
              <w:br/>
              <w:t>incorporation)</w:t>
            </w:r>
          </w:p>
        </w:tc>
        <w:tc>
          <w:tcPr>
            <w:tcW w:w="1145" w:type="dxa"/>
            <w:tcBorders/>
            <w:vAlign w:val="center"/>
          </w:tcPr>
          <w:p>
            <w:pPr>
              <w:pStyle w:val="TableContents"/>
              <w:bidi w:val="0"/>
              <w:spacing w:before="0" w:after="283"/>
              <w:jc w:val="center"/>
              <w:rPr>
                <w:b/>
                <w:sz w:val="20"/>
              </w:rPr>
            </w:pPr>
            <w:r>
              <w:rPr>
                <w:b/>
                <w:sz w:val="20"/>
              </w:rPr>
              <w:t>(Commission</w:t>
              <w:br/>
              <w:t>File Number)</w:t>
            </w:r>
          </w:p>
        </w:tc>
        <w:tc>
          <w:tcPr>
            <w:tcW w:w="1565" w:type="dxa"/>
            <w:tcBorders/>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Rent the Runway,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AddressLine2_"/>
      <w:bookmarkEnd w:id="9"/>
      <w:r>
        <w:rPr>
          <w:rFonts w:ascii="Times New Roman;Times;Serif" w:hAnsi="Times New Roman;Times;Serif"/>
          <w:b/>
          <w:i w:val="false"/>
          <w:caps w:val="false"/>
          <w:smallCaps w:val="false"/>
          <w:sz w:val="20"/>
        </w:rPr>
        <w:t>10 Jay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Brooklyn, </w:t>
      </w:r>
      <w:bookmarkStart w:id="11" w:name="xdx_90E_edei--EntityAddressStateOrProvin"/>
      <w:bookmarkEnd w:id="11"/>
      <w:r>
        <w:rPr>
          <w:rFonts w:ascii="Times New Roman;Times;Serif" w:hAnsi="Times New Roman;Times;Serif"/>
          <w:b/>
          <w:i w:val="false"/>
          <w:caps w:val="false"/>
          <w:smallCaps w:val="false"/>
          <w:sz w:val="20"/>
        </w:rPr>
        <w:t xml:space="preserve">New York </w:t>
      </w:r>
      <w:bookmarkStart w:id="12" w:name="xdx_904_edei--EntityAddressPostalZipCode"/>
      <w:bookmarkEnd w:id="12"/>
      <w:r>
        <w:rPr>
          <w:rFonts w:ascii="Times New Roman;Times;Serif" w:hAnsi="Times New Roman;Times;Serif"/>
          <w:b/>
          <w:i w:val="false"/>
          <w:caps w:val="false"/>
          <w:smallCaps w:val="false"/>
          <w:sz w:val="20"/>
        </w:rPr>
        <w:t>11201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A_edei--CityAreaCode_c20260911__20"/>
      <w:bookmarkEnd w:id="13"/>
      <w:r>
        <w:rPr>
          <w:rFonts w:ascii="Times New Roman;Times;Serif" w:hAnsi="Times New Roman;Times;Serif"/>
          <w:b/>
          <w:i w:val="false"/>
          <w:caps w:val="false"/>
          <w:smallCaps w:val="false"/>
          <w:sz w:val="20"/>
        </w:rPr>
        <w:t xml:space="preserve">212) </w:t>
      </w:r>
      <w:bookmarkStart w:id="14" w:name="xdx_90B_edei--LocalPhoneNumber_c20260911"/>
      <w:bookmarkEnd w:id="14"/>
      <w:r>
        <w:rPr>
          <w:rFonts w:ascii="Times New Roman;Times;Serif" w:hAnsi="Times New Roman;Times;Serif"/>
          <w:b/>
          <w:i w:val="false"/>
          <w:caps w:val="false"/>
          <w:smallCaps w:val="false"/>
          <w:sz w:val="20"/>
        </w:rPr>
        <w:t>524-6860</w:t>
        <w:br/>
        <w:t>(Registrant’s telephone number, including area code)</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F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1_edei--SolicitingMaterial_c202609"/>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F_edei--PreCommencementTenderOffer"/>
            <w:bookmarkEnd w:id="17"/>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C_edei--PreCommencementIssuerTende"/>
            <w:bookmarkEnd w:id="18"/>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6915" w:type="dxa"/>
        <w:jc w:val="left"/>
        <w:tblInd w:w="0" w:type="dxa"/>
        <w:tblLayout w:type="fixed"/>
        <w:tblCellMar>
          <w:top w:w="0" w:type="dxa"/>
          <w:left w:w="0" w:type="dxa"/>
          <w:bottom w:w="0" w:type="dxa"/>
          <w:right w:w="0" w:type="dxa"/>
        </w:tblCellMar>
      </w:tblPr>
      <w:tblGrid>
        <w:gridCol w:w="4175"/>
        <w:gridCol w:w="725"/>
        <w:gridCol w:w="2015"/>
      </w:tblGrid>
      <w:tr>
        <w:trPr/>
        <w:tc>
          <w:tcPr>
            <w:tcW w:w="4175" w:type="dxa"/>
            <w:tcBorders/>
            <w:shd w:fill="FEFEFE" w:val="cle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 </w:t>
            </w:r>
          </w:p>
        </w:tc>
        <w:tc>
          <w:tcPr>
            <w:tcW w:w="725" w:type="dxa"/>
            <w:tcBorders/>
            <w:shd w:fill="FEFEFE" w:val="cle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 </w:t>
            </w:r>
          </w:p>
        </w:tc>
        <w:tc>
          <w:tcPr>
            <w:tcW w:w="2015" w:type="dxa"/>
            <w:tcBorders/>
            <w:shd w:fill="FEFEFE" w:val="cle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 </w:t>
            </w:r>
          </w:p>
        </w:tc>
      </w:tr>
      <w:tr>
        <w:trPr/>
        <w:tc>
          <w:tcPr>
            <w:tcW w:w="4175" w:type="dxa"/>
            <w:tcBorders/>
            <w:shd w:fill="FEFEFE" w:val="clear"/>
            <w:vAlign w:val="center"/>
          </w:tcPr>
          <w:p>
            <w:pPr>
              <w:pStyle w:val="TableContents"/>
              <w:bidi w:val="0"/>
              <w:spacing w:before="0" w:after="283"/>
              <w:jc w:val="center"/>
              <w:rPr>
                <w:sz w:val="20"/>
              </w:rPr>
            </w:pPr>
            <w:bookmarkStart w:id="19" w:name="xdx_90E_edei--Security12bTitle_c20260911"/>
            <w:bookmarkEnd w:id="19"/>
            <w:r>
              <w:rPr>
                <w:sz w:val="20"/>
              </w:rPr>
              <w:t>Class A Common Stock, $0.001 par value per share</w:t>
            </w:r>
          </w:p>
        </w:tc>
        <w:tc>
          <w:tcPr>
            <w:tcW w:w="725" w:type="dxa"/>
            <w:tcBorders/>
            <w:shd w:fill="FEFEFE" w:val="clear"/>
            <w:vAlign w:val="center"/>
          </w:tcPr>
          <w:p>
            <w:pPr>
              <w:pStyle w:val="TableContents"/>
              <w:bidi w:val="0"/>
              <w:spacing w:before="0" w:after="283"/>
              <w:jc w:val="center"/>
              <w:rPr>
                <w:sz w:val="20"/>
              </w:rPr>
            </w:pPr>
            <w:bookmarkStart w:id="20" w:name="xdx_904_edei--TradingSymbol_c20260911__2"/>
            <w:bookmarkEnd w:id="20"/>
            <w:r>
              <w:rPr>
                <w:sz w:val="20"/>
              </w:rPr>
              <w:t>RENT</w:t>
            </w:r>
          </w:p>
        </w:tc>
        <w:tc>
          <w:tcPr>
            <w:tcW w:w="2015" w:type="dxa"/>
            <w:tcBorders/>
            <w:shd w:fill="FEFEFE" w:val="clear"/>
            <w:vAlign w:val="center"/>
          </w:tcPr>
          <w:p>
            <w:pPr>
              <w:pStyle w:val="TableContents"/>
              <w:bidi w:val="0"/>
              <w:spacing w:before="0" w:after="283"/>
              <w:jc w:val="center"/>
              <w:rPr>
                <w:sz w:val="20"/>
              </w:rPr>
            </w:pPr>
            <w:bookmarkStart w:id="21" w:name="xdx_90E_edei--SecurityExchangeName_c2026"/>
            <w:bookmarkEnd w:id="21"/>
            <w:r>
              <w:rPr>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2_edei--EntityExTransitionPeriod_c"/>
      <w:bookmarkEnd w:id="23"/>
      <w:r>
        <w:rPr>
          <w:rFonts w:ascii="Times New Roman;Times;Serif" w:hAnsi="Times New Roman;Times;Serif"/>
          <w:b w:val="false"/>
          <w:i w:val="false"/>
          <w:caps w:val="false"/>
          <w:smallCaps w:val="false"/>
          <w:sz w:val="20"/>
        </w:rPr>
        <w:t>☐</w:t>
      </w:r>
    </w:p>
    <w:p>
      <w:pPr>
        <w:pStyle w:val="TextBody"/>
        <w:pBdr>
          <w:bottom w:val="single" w:sz="8" w:space="1" w:color="000000"/>
        </w:pBdr>
        <w:bidi w:val="0"/>
        <w:jc w:val="left"/>
        <w:rPr/>
      </w:pPr>
      <w:r>
        <w:rPr/>
        <w:t> </w:t>
      </w:r>
    </w:p>
    <w:p>
      <w:pPr>
        <w:pStyle w:val="TextBody"/>
        <w:bidi w:val="0"/>
        <w:ind w:left="0" w:right="0" w:hanging="0"/>
        <w:jc w:val="left"/>
        <w:rPr/>
      </w:pPr>
      <w:r>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92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pPr>
            <w:r>
              <w:rPr/>
              <w:t>Item 1.01</w:t>
            </w:r>
          </w:p>
        </w:tc>
        <w:tc>
          <w:tcPr>
            <w:tcW w:w="4175" w:type="dxa"/>
            <w:tcBorders/>
            <w:vAlign w:val="center"/>
          </w:tcPr>
          <w:p>
            <w:pPr>
              <w:pStyle w:val="TableContents"/>
              <w:bidi w:val="0"/>
              <w:spacing w:before="0" w:after="283"/>
              <w:jc w:val="left"/>
              <w:rPr/>
            </w:pPr>
            <w:r>
              <w:rPr/>
              <w:t>Entry Into a Material Definitive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2026, Rent the Runway, Inc. (the “Company”) entered into a rights offering backstop agreement (the “Rights Offering Backstop Agreement”), by and among the Company, CHS US Investments LLC (“CHS”), Gateway Runway, LLC (“Nexus”) and S3 RR Aggregator, LLC (“STORY3” and, collectively with CHS and Nexus, the “Investor Group”), in connection with a $15,000,000 rights offering by the Company (the “Rights Offering”) to enhance the Company’s financial position and financial flexibility. Pursuant to the Rights Offering, the Company will distribute to all eligible holders of record of its Class A common stock, par value $0.001 per share (the “Class A Common Stock”), as of 5:00 p.m., New York City time on the record date to be determined at a later date by the Board of Directors of the Company (the “Record Date”), at no cost and on a pro rata basis, transferable subscription rights to purchase shares of Class A Common Stock at a subscription price equal to the greater of (i) $3.55, which represents the volume weighted average price of our Class A Common Stock for the 15-day trading period ending on the second trading day preceding the date of the Rights Offering Backstop Agreement and (ii) the volume weighted average price of our Class A Common Stock for the 15-day trading period through and including the Record Date (the “Subscription Price”).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Rights Offering, the Company will prepare and file with the Securities and Exchange Commission (the “SEC”) a registration statement on Form S-1. Under the Rights Offering Backstop Agreement, the Investor Group agreed to purchase from the Company, at the Subscription Price, all unsubscribed shares of the Class A Common Stock (the “Unsubscribed Shares”) to be issued in connection with the Rights Offering, on the terms and subject to the conditions set forth in the Rights Offering Backstop Agreement. The completion of the Rights Offering, as well as the Investor Group’s obligations to complete the purchase of shares pursuant to the Rights Offering Backstop Agreement, are subject to certain customary conditions, including among others, that a registration statement with respect to the Rights Offering has been declared and remains effective.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terms of the Rights Offering Backstop Agreement does not purport to be complete and is qualified in its entirety by the full text of the agreement, a copy of which is attached hereto as Exhibit 10.1 and incorporated herein by reference.</w:t>
      </w:r>
    </w:p>
    <w:p>
      <w:pPr>
        <w:pStyle w:val="TextBody"/>
        <w:bidi w:val="0"/>
        <w:spacing w:before="0" w:after="0"/>
        <w:ind w:left="0" w:right="0" w:firstLine="360"/>
        <w:jc w:val="left"/>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92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pPr>
            <w:r>
              <w:rPr/>
              <w:t>Item 3.02</w:t>
            </w:r>
          </w:p>
        </w:tc>
        <w:tc>
          <w:tcPr>
            <w:tcW w:w="3785" w:type="dxa"/>
            <w:tcBorders/>
            <w:vAlign w:val="center"/>
          </w:tcPr>
          <w:p>
            <w:pPr>
              <w:pStyle w:val="TableContents"/>
              <w:bidi w:val="0"/>
              <w:spacing w:before="0" w:after="283"/>
              <w:jc w:val="left"/>
              <w:rPr/>
            </w:pPr>
            <w:r>
              <w:rPr/>
              <w:t>Unregistered Sales of Equity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with respect to the Rights Offering Backstop Agreement and the issuance of the Unsubscribed Shares, if any, is incorporated by reference into this Item 3.02.</w:t>
      </w:r>
    </w:p>
    <w:p>
      <w:pPr>
        <w:pStyle w:val="TextBody"/>
        <w:bidi w:val="0"/>
        <w:spacing w:before="0" w:after="0"/>
        <w:ind w:left="0" w:right="0" w:firstLine="36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92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pPr>
            <w:r>
              <w:rPr/>
              <w:t>Item 9.01</w:t>
            </w:r>
          </w:p>
        </w:tc>
        <w:tc>
          <w:tcPr>
            <w:tcW w:w="3290" w:type="dxa"/>
            <w:tcBorders/>
            <w:vAlign w:val="center"/>
          </w:tcPr>
          <w:p>
            <w:pPr>
              <w:pStyle w:val="TableContents"/>
              <w:bidi w:val="0"/>
              <w:spacing w:before="0" w:after="283"/>
              <w:jc w:val="left"/>
              <w:rPr/>
            </w:pPr>
            <w:r>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6"/>
        <w:gridCol w:w="116"/>
        <w:gridCol w:w="9143"/>
      </w:tblGrid>
      <w:tr>
        <w:trPr/>
        <w:tc>
          <w:tcPr>
            <w:tcW w:w="946" w:type="dxa"/>
            <w:tcBorders>
              <w:bottom w:val="single" w:sz="8" w:space="0" w:color="000000"/>
            </w:tcBorders>
            <w:shd w:fill="FFFFFF" w:val="clear"/>
            <w:vAlign w:val="center"/>
          </w:tcPr>
          <w:p>
            <w:pPr>
              <w:pStyle w:val="TableContents"/>
              <w:bidi w:val="0"/>
              <w:spacing w:before="0" w:after="283"/>
              <w:jc w:val="center"/>
              <w:rPr>
                <w:b/>
              </w:rPr>
            </w:pPr>
            <w:r>
              <w:rPr>
                <w:b/>
              </w:rPr>
              <w:t>Exhibit</w:t>
              <w:br/>
              <w:t>Number</w:t>
            </w:r>
          </w:p>
        </w:tc>
        <w:tc>
          <w:tcPr>
            <w:tcW w:w="116" w:type="dxa"/>
            <w:tcBorders/>
            <w:shd w:fill="FFFFFF" w:val="clear"/>
            <w:tcMar>
              <w:top w:w="28" w:type="dxa"/>
              <w:left w:w="28" w:type="dxa"/>
              <w:right w:w="28" w:type="dxa"/>
            </w:tcMar>
            <w:vAlign w:val="center"/>
          </w:tcPr>
          <w:p>
            <w:pPr>
              <w:pStyle w:val="TableContents"/>
              <w:bidi w:val="0"/>
              <w:spacing w:before="0" w:after="283"/>
              <w:jc w:val="left"/>
              <w:rPr/>
            </w:pPr>
            <w:r>
              <w:rPr/>
              <w:t> </w:t>
            </w:r>
          </w:p>
        </w:tc>
        <w:tc>
          <w:tcPr>
            <w:tcW w:w="9143" w:type="dxa"/>
            <w:tcBorders>
              <w:bottom w:val="single" w:sz="8" w:space="0" w:color="000000"/>
            </w:tcBorders>
            <w:shd w:fill="FFFFFF" w:val="clear"/>
            <w:vAlign w:val="center"/>
          </w:tcPr>
          <w:p>
            <w:pPr>
              <w:pStyle w:val="TableContents"/>
              <w:bidi w:val="0"/>
              <w:spacing w:before="0" w:after="283"/>
              <w:jc w:val="center"/>
              <w:rPr>
                <w:b/>
              </w:rPr>
            </w:pPr>
            <w:r>
              <w:rPr>
                <w:b/>
              </w:rPr>
              <w:t>Description</w:t>
            </w:r>
          </w:p>
        </w:tc>
      </w:tr>
      <w:tr>
        <w:trPr/>
        <w:tc>
          <w:tcPr>
            <w:tcW w:w="946" w:type="dxa"/>
            <w:tcBorders/>
            <w:shd w:fill="FFFFFF" w:val="clear"/>
            <w:tcMar>
              <w:top w:w="28" w:type="dxa"/>
              <w:left w:w="28" w:type="dxa"/>
              <w:right w:w="28" w:type="dxa"/>
            </w:tcMar>
            <w:vAlign w:val="center"/>
          </w:tcPr>
          <w:p>
            <w:pPr>
              <w:pStyle w:val="TableContents"/>
              <w:bidi w:val="0"/>
              <w:spacing w:before="0" w:after="283"/>
              <w:jc w:val="center"/>
              <w:rPr/>
            </w:pPr>
            <w:r>
              <w:rPr/>
              <w:t> </w:t>
            </w:r>
          </w:p>
        </w:tc>
        <w:tc>
          <w:tcPr>
            <w:tcW w:w="116" w:type="dxa"/>
            <w:tcBorders/>
            <w:shd w:fill="FFFFFF" w:val="clear"/>
            <w:tcMar>
              <w:top w:w="28" w:type="dxa"/>
              <w:left w:w="28" w:type="dxa"/>
              <w:right w:w="28" w:type="dxa"/>
            </w:tcMar>
            <w:vAlign w:val="center"/>
          </w:tcPr>
          <w:p>
            <w:pPr>
              <w:pStyle w:val="TableContents"/>
              <w:bidi w:val="0"/>
              <w:spacing w:before="0" w:after="283"/>
              <w:jc w:val="left"/>
              <w:rPr/>
            </w:pPr>
            <w:r>
              <w:rPr/>
              <w:t> </w:t>
            </w:r>
          </w:p>
        </w:tc>
        <w:tc>
          <w:tcPr>
            <w:tcW w:w="9143" w:type="dxa"/>
            <w:tcBorders/>
            <w:shd w:fill="FFFFFF" w:val="clear"/>
            <w:tcMar>
              <w:top w:w="28" w:type="dxa"/>
              <w:left w:w="28" w:type="dxa"/>
              <w:right w:w="28" w:type="dxa"/>
            </w:tcMar>
            <w:vAlign w:val="center"/>
          </w:tcPr>
          <w:p>
            <w:pPr>
              <w:pStyle w:val="TableContents"/>
              <w:bidi w:val="0"/>
              <w:spacing w:before="0" w:after="283"/>
              <w:jc w:val="left"/>
              <w:rPr/>
            </w:pPr>
            <w:r>
              <w:rPr/>
              <w:t> </w:t>
            </w:r>
          </w:p>
        </w:tc>
      </w:tr>
      <w:tr>
        <w:trPr/>
        <w:tc>
          <w:tcPr>
            <w:tcW w:w="946" w:type="dxa"/>
            <w:tcBorders/>
            <w:shd w:fill="FFFFFF" w:val="clear"/>
            <w:tcMar>
              <w:top w:w="28" w:type="dxa"/>
              <w:left w:w="28" w:type="dxa"/>
              <w:right w:w="28" w:type="dxa"/>
            </w:tcMar>
            <w:vAlign w:val="center"/>
          </w:tcPr>
          <w:p>
            <w:pPr>
              <w:pStyle w:val="TableContents"/>
              <w:bidi w:val="0"/>
              <w:spacing w:before="0" w:after="283"/>
              <w:jc w:val="center"/>
              <w:rPr/>
            </w:pPr>
            <w:hyperlink w:anchor="dp253178_ex1001.htm">
              <w:r>
                <w:rPr>
                  <w:rStyle w:val="InternetLink"/>
                  <w:color w:val="0000EE"/>
                </w:rPr>
                <w:t>10.1</w:t>
              </w:r>
            </w:hyperlink>
          </w:p>
        </w:tc>
        <w:tc>
          <w:tcPr>
            <w:tcW w:w="116" w:type="dxa"/>
            <w:tcBorders/>
            <w:shd w:fill="FFFFFF" w:val="clear"/>
            <w:tcMar>
              <w:top w:w="28" w:type="dxa"/>
              <w:left w:w="28" w:type="dxa"/>
              <w:right w:w="28" w:type="dxa"/>
            </w:tcMar>
            <w:vAlign w:val="center"/>
          </w:tcPr>
          <w:p>
            <w:pPr>
              <w:pStyle w:val="TableContents"/>
              <w:bidi w:val="0"/>
              <w:spacing w:before="0" w:after="283"/>
              <w:jc w:val="left"/>
              <w:rPr/>
            </w:pPr>
            <w:r>
              <w:rPr/>
              <w:t> </w:t>
            </w:r>
          </w:p>
        </w:tc>
        <w:tc>
          <w:tcPr>
            <w:tcW w:w="9143" w:type="dxa"/>
            <w:tcBorders/>
            <w:shd w:fill="FFFFFF" w:val="clear"/>
            <w:tcMar>
              <w:top w:w="28" w:type="dxa"/>
              <w:left w:w="28" w:type="dxa"/>
              <w:right w:w="28" w:type="dxa"/>
            </w:tcMar>
            <w:vAlign w:val="center"/>
          </w:tcPr>
          <w:p>
            <w:pPr>
              <w:pStyle w:val="TableContents"/>
              <w:bidi w:val="0"/>
              <w:spacing w:before="0" w:after="283"/>
              <w:jc w:val="left"/>
              <w:rPr/>
            </w:pPr>
            <w:hyperlink w:anchor="dp253178_ex1001.htm">
              <w:r>
                <w:rPr>
                  <w:rStyle w:val="InternetLink"/>
                  <w:color w:val="0000EE"/>
                  <w:u w:val="single"/>
                </w:rPr>
                <w:t>Rights Offering Backstop Agreement, dated September 11, 2026, by and among the Company and the Investor Group</w:t>
              </w:r>
            </w:hyperlink>
          </w:p>
        </w:tc>
      </w:tr>
      <w:tr>
        <w:trPr/>
        <w:tc>
          <w:tcPr>
            <w:tcW w:w="946" w:type="dxa"/>
            <w:tcBorders/>
            <w:shd w:fill="FFFFFF" w:val="clear"/>
            <w:tcMar>
              <w:top w:w="28" w:type="dxa"/>
              <w:left w:w="28" w:type="dxa"/>
              <w:right w:w="28" w:type="dxa"/>
            </w:tcMar>
            <w:vAlign w:val="center"/>
          </w:tcPr>
          <w:p>
            <w:pPr>
              <w:pStyle w:val="TableContents"/>
              <w:bidi w:val="0"/>
              <w:spacing w:before="0" w:after="283"/>
              <w:jc w:val="center"/>
              <w:rPr/>
            </w:pPr>
            <w:r>
              <w:rPr/>
              <w:t>104</w:t>
            </w:r>
          </w:p>
        </w:tc>
        <w:tc>
          <w:tcPr>
            <w:tcW w:w="116" w:type="dxa"/>
            <w:tcBorders/>
            <w:shd w:fill="FFFFFF" w:val="clear"/>
            <w:tcMar>
              <w:top w:w="28" w:type="dxa"/>
              <w:left w:w="28" w:type="dxa"/>
              <w:right w:w="28" w:type="dxa"/>
            </w:tcMar>
            <w:vAlign w:val="center"/>
          </w:tcPr>
          <w:p>
            <w:pPr>
              <w:pStyle w:val="TableContents"/>
              <w:bidi w:val="0"/>
              <w:spacing w:before="0" w:after="283"/>
              <w:jc w:val="left"/>
              <w:rPr/>
            </w:pPr>
            <w:r>
              <w:rPr/>
              <w:t> </w:t>
            </w:r>
          </w:p>
        </w:tc>
        <w:tc>
          <w:tcPr>
            <w:tcW w:w="9143" w:type="dxa"/>
            <w:tcBorders/>
            <w:shd w:fill="FFFFFF" w:val="clear"/>
            <w:tcMar>
              <w:top w:w="28" w:type="dxa"/>
              <w:left w:w="28" w:type="dxa"/>
              <w:right w:w="28"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75"/>
        <w:gridCol w:w="365"/>
        <w:gridCol w:w="650"/>
        <w:gridCol w:w="4145"/>
      </w:tblGrid>
      <w:tr>
        <w:trPr/>
        <w:tc>
          <w:tcPr>
            <w:tcW w:w="75" w:type="dxa"/>
            <w:tcBorders/>
            <w:vAlign w:val="center"/>
          </w:tcPr>
          <w:p>
            <w:pPr>
              <w:pStyle w:val="TableContents"/>
              <w:bidi w:val="0"/>
              <w:spacing w:before="0" w:after="283"/>
              <w:jc w:val="left"/>
              <w:rPr/>
            </w:pPr>
            <w:r>
              <w:rPr/>
              <w:t> </w:t>
            </w:r>
          </w:p>
        </w:tc>
        <w:tc>
          <w:tcPr>
            <w:tcW w:w="5160" w:type="dxa"/>
            <w:gridSpan w:val="3"/>
            <w:tcBorders/>
            <w:vAlign w:val="center"/>
          </w:tcPr>
          <w:p>
            <w:pPr>
              <w:pStyle w:val="TableContents"/>
              <w:bidi w:val="0"/>
              <w:spacing w:before="0" w:after="283"/>
              <w:jc w:val="left"/>
              <w:rPr>
                <w:b/>
              </w:rPr>
            </w:pPr>
            <w:r>
              <w:rPr>
                <w:b/>
              </w:rPr>
              <w:t>RENT THE RUNWAY, INC.</w:t>
            </w:r>
          </w:p>
        </w:tc>
      </w:tr>
      <w:tr>
        <w:trPr/>
        <w:tc>
          <w:tcPr>
            <w:tcW w:w="75" w:type="dxa"/>
            <w:tcBorders/>
            <w:vAlign w:val="center"/>
          </w:tcPr>
          <w:p>
            <w:pPr>
              <w:pStyle w:val="TableContents"/>
              <w:bidi w:val="0"/>
              <w:spacing w:before="0" w:after="283"/>
              <w:jc w:val="left"/>
              <w:rPr/>
            </w:pPr>
            <w:r>
              <w:rPr/>
              <w:t> </w:t>
            </w:r>
          </w:p>
        </w:tc>
        <w:tc>
          <w:tcPr>
            <w:tcW w:w="51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795" w:type="dxa"/>
            <w:gridSpan w:val="2"/>
            <w:tcBorders>
              <w:bottom w:val="single" w:sz="8" w:space="0" w:color="000000"/>
            </w:tcBorders>
            <w:tcMar>
              <w:bottom w:w="28" w:type="dxa"/>
            </w:tcMar>
            <w:vAlign w:val="center"/>
          </w:tcPr>
          <w:p>
            <w:pPr>
              <w:pStyle w:val="TableContents"/>
              <w:bidi w:val="0"/>
              <w:spacing w:before="0" w:after="283"/>
              <w:jc w:val="left"/>
              <w:rPr/>
            </w:pPr>
            <w:r>
              <w:rPr/>
              <w:t>/s/ Dave Loretta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145" w:type="dxa"/>
            <w:tcBorders/>
            <w:vAlign w:val="center"/>
          </w:tcPr>
          <w:p>
            <w:pPr>
              <w:pStyle w:val="TableContents"/>
              <w:bidi w:val="0"/>
              <w:spacing w:before="0" w:after="283"/>
              <w:jc w:val="left"/>
              <w:rPr/>
            </w:pPr>
            <w:r>
              <w:rPr/>
              <w:t>Dave Loretta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xml:space="preserve">Title: </w:t>
            </w:r>
          </w:p>
        </w:tc>
        <w:tc>
          <w:tcPr>
            <w:tcW w:w="4145" w:type="dxa"/>
            <w:tcBorders/>
            <w:vAlign w:val="center"/>
          </w:tcPr>
          <w:p>
            <w:pPr>
              <w:pStyle w:val="TableContents"/>
              <w:bidi w:val="0"/>
              <w:spacing w:before="0" w:after="283"/>
              <w:jc w:val="left"/>
              <w:rPr/>
            </w:pPr>
            <w:r>
              <w:rPr/>
              <w:t>interim Chief Financial Officer &amp;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4" w:name="dp253178_ex1001.htm"/>
      <w:bookmarkStart w:id="25" w:name="ksdp253178_ex1001"/>
      <w:bookmarkEnd w:id="24"/>
      <w:bookmarkEnd w:id="25"/>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jc w:val="right"/>
        <w:rPr>
          <w:b/>
          <w:u w:val="single"/>
        </w:rPr>
      </w:pPr>
      <w:r>
        <w:rPr>
          <w:b/>
          <w:u w:val="single"/>
        </w:rPr>
        <w:t>CONFIDENTIAL</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RIGHTS OFFERING BACKSTOP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RIGHTS OFFERING BACKSTOP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September 11, 2026, is made and entered into by and among Rent the Runway,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CHS US Investments LLC, a Cayman limited liability company (the “</w:t>
      </w:r>
      <w:r>
        <w:rPr>
          <w:rFonts w:ascii="Times New Roman;Times;Serif" w:hAnsi="Times New Roman;Times;Serif"/>
          <w:b w:val="false"/>
          <w:i w:val="false"/>
          <w:caps w:val="false"/>
          <w:smallCaps w:val="false"/>
          <w:sz w:val="20"/>
          <w:u w:val="single"/>
        </w:rPr>
        <w:t>CHS</w:t>
      </w:r>
      <w:r>
        <w:rPr>
          <w:rFonts w:ascii="Times New Roman;Times;Serif" w:hAnsi="Times New Roman;Times;Serif"/>
          <w:b w:val="false"/>
          <w:i w:val="false"/>
          <w:caps w:val="false"/>
          <w:smallCaps w:val="false"/>
          <w:sz w:val="20"/>
        </w:rPr>
        <w:t>”), Gateway Runway, LLC, a Delaware limited liability company (“</w:t>
      </w:r>
      <w:r>
        <w:rPr>
          <w:rFonts w:ascii="Times New Roman;Times;Serif" w:hAnsi="Times New Roman;Times;Serif"/>
          <w:b w:val="false"/>
          <w:i w:val="false"/>
          <w:caps w:val="false"/>
          <w:smallCaps w:val="false"/>
          <w:sz w:val="20"/>
          <w:u w:val="single"/>
        </w:rPr>
        <w:t>Nexus</w:t>
      </w:r>
      <w:r>
        <w:rPr>
          <w:rFonts w:ascii="Times New Roman;Times;Serif" w:hAnsi="Times New Roman;Times;Serif"/>
          <w:b w:val="false"/>
          <w:i w:val="false"/>
          <w:caps w:val="false"/>
          <w:smallCaps w:val="false"/>
          <w:sz w:val="20"/>
        </w:rPr>
        <w:t>”), and S3 RR Aggregator, LLC, a Delaware limited liability company (“</w:t>
      </w:r>
      <w:r>
        <w:rPr>
          <w:rFonts w:ascii="Times New Roman;Times;Serif" w:hAnsi="Times New Roman;Times;Serif"/>
          <w:b w:val="false"/>
          <w:i w:val="false"/>
          <w:caps w:val="false"/>
          <w:smallCaps w:val="false"/>
          <w:sz w:val="20"/>
          <w:u w:val="single"/>
        </w:rPr>
        <w:t>Story3</w:t>
      </w:r>
      <w:r>
        <w:rPr>
          <w:rFonts w:ascii="Times New Roman;Times;Serif" w:hAnsi="Times New Roman;Times;Serif"/>
          <w:b w:val="false"/>
          <w:i w:val="false"/>
          <w:caps w:val="false"/>
          <w:smallCaps w:val="false"/>
          <w:sz w:val="20"/>
        </w:rPr>
        <w:t>” and, together with the CHS and Nexus, the “</w:t>
      </w:r>
      <w:r>
        <w:rPr>
          <w:rFonts w:ascii="Times New Roman;Times;Serif" w:hAnsi="Times New Roman;Times;Serif"/>
          <w:b w:val="false"/>
          <w:i w:val="false"/>
          <w:caps w:val="false"/>
          <w:smallCaps w:val="false"/>
          <w:sz w:val="20"/>
          <w:u w:val="single"/>
        </w:rPr>
        <w:t>Backstop Purchasers</w:t>
      </w:r>
      <w:r>
        <w:rPr>
          <w:rFonts w:ascii="Times New Roman;Times;Serif" w:hAnsi="Times New Roman;Times;Serif"/>
          <w:b w:val="false"/>
          <w:i w:val="false"/>
          <w:caps w:val="false"/>
          <w:smallCaps w:val="false"/>
          <w:sz w:val="20"/>
        </w:rPr>
        <w:t>”). The Company and the Backstop Purchasers are each sometimes referred to herein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proposed to distribute, at no charge, to holders of record of its Class A Common Stock, par value $0.001 per share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as of the close of business on the record date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to be set by the board of directors of the Company and included in that certain registration statement (the “</w:t>
      </w:r>
      <w:r>
        <w:rPr>
          <w:rFonts w:ascii="Times New Roman;Times;Serif" w:hAnsi="Times New Roman;Times;Serif"/>
          <w:b w:val="false"/>
          <w:i w:val="false"/>
          <w:caps w:val="false"/>
          <w:smallCaps w:val="false"/>
          <w:sz w:val="20"/>
          <w:u w:val="single"/>
        </w:rPr>
        <w:t>Rights Offering Registration Statement</w:t>
      </w:r>
      <w:r>
        <w:rPr>
          <w:rFonts w:ascii="Times New Roman;Times;Serif" w:hAnsi="Times New Roman;Times;Serif"/>
          <w:b w:val="false"/>
          <w:i w:val="false"/>
          <w:caps w:val="false"/>
          <w:smallCaps w:val="false"/>
          <w:sz w:val="20"/>
        </w:rPr>
        <w:t>”) to be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transferable rights (the “</w:t>
      </w:r>
      <w:r>
        <w:rPr>
          <w:rFonts w:ascii="Times New Roman;Times;Serif" w:hAnsi="Times New Roman;Times;Serif"/>
          <w:b w:val="false"/>
          <w:i w:val="false"/>
          <w:caps w:val="false"/>
          <w:smallCaps w:val="false"/>
          <w:sz w:val="20"/>
          <w:u w:val="single"/>
        </w:rPr>
        <w:t>Rights</w:t>
      </w:r>
      <w:r>
        <w:rPr>
          <w:rFonts w:ascii="Times New Roman;Times;Serif" w:hAnsi="Times New Roman;Times;Serif"/>
          <w:b w:val="false"/>
          <w:i w:val="false"/>
          <w:caps w:val="false"/>
          <w:smallCaps w:val="false"/>
          <w:sz w:val="20"/>
        </w:rPr>
        <w:t>”) to subscribe for and purchase additional shares of Class A Common Stock at a subscription price equal to the greater of (i) $3.55, which represents the volume weighted average price of our Class A Common Stock for the 15-day trading period ending on the second trading day preceding the date of the Backstop Agreement (as defined below) and (ii) the volume weighted average price of our Class A Common Stock for the 15-day trading period through and including the Record Date (the “</w:t>
      </w:r>
      <w:r>
        <w:rPr>
          <w:rFonts w:ascii="Times New Roman;Times;Serif" w:hAnsi="Times New Roman;Times;Serif"/>
          <w:b w:val="false"/>
          <w:i w:val="false"/>
          <w:caps w:val="false"/>
          <w:smallCaps w:val="false"/>
          <w:sz w:val="20"/>
          <w:u w:val="single"/>
        </w:rPr>
        <w:t>Subscription Price</w:t>
      </w:r>
      <w:r>
        <w:rPr>
          <w:rFonts w:ascii="Times New Roman;Times;Serif" w:hAnsi="Times New Roman;Times;Serif"/>
          <w:b w:val="false"/>
          <w:i w:val="false"/>
          <w:caps w:val="false"/>
          <w:smallCaps w:val="false"/>
          <w:sz w:val="20"/>
        </w:rPr>
        <w:t>” and the distribution of Rights and ability to subscribe for and purchase additional shares of Class A Common Stock reflected in the Rights, the “</w:t>
      </w:r>
      <w:r>
        <w:rPr>
          <w:rFonts w:ascii="Times New Roman;Times;Serif" w:hAnsi="Times New Roman;Times;Serif"/>
          <w:b w:val="false"/>
          <w:i w:val="false"/>
          <w:caps w:val="false"/>
          <w:smallCaps w:val="false"/>
          <w:sz w:val="20"/>
          <w:u w:val="single"/>
        </w:rPr>
        <w:t>Rights Offering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Rights Offering, each Company Stockholder of record as of the close of business on the Record Date (collectively, the “</w:t>
      </w:r>
      <w:r>
        <w:rPr>
          <w:rFonts w:ascii="Times New Roman;Times;Serif" w:hAnsi="Times New Roman;Times;Serif"/>
          <w:b w:val="false"/>
          <w:i w:val="false"/>
          <w:caps w:val="false"/>
          <w:smallCaps w:val="false"/>
          <w:sz w:val="20"/>
          <w:u w:val="single"/>
        </w:rPr>
        <w:t>Eligible Common Stockholders</w:t>
      </w:r>
      <w:r>
        <w:rPr>
          <w:rFonts w:ascii="Times New Roman;Times;Serif" w:hAnsi="Times New Roman;Times;Serif"/>
          <w:b w:val="false"/>
          <w:i w:val="false"/>
          <w:caps w:val="false"/>
          <w:smallCaps w:val="false"/>
          <w:sz w:val="20"/>
        </w:rPr>
        <w:t>”) will receive one (1) Right for each share of Class A Common Stock held by such Company Stockholder as of the close of business on the Record Date, and each Right will entitle the holder to purchase one (1) share of Class A Common Stock at the Subscription Price (the “</w:t>
      </w:r>
      <w:r>
        <w:rPr>
          <w:rFonts w:ascii="Times New Roman;Times;Serif" w:hAnsi="Times New Roman;Times;Serif"/>
          <w:b w:val="false"/>
          <w:i w:val="false"/>
          <w:caps w:val="false"/>
          <w:smallCaps w:val="false"/>
          <w:sz w:val="20"/>
          <w:u w:val="single"/>
        </w:rPr>
        <w:t>Basic Subscription Right</w:t>
      </w:r>
      <w:r>
        <w:rPr>
          <w:rFonts w:ascii="Times New Roman;Times;Serif" w:hAnsi="Times New Roman;Times;Serif"/>
          <w:b w:val="false"/>
          <w:i w:val="false"/>
          <w:caps w:val="false"/>
          <w:smallCaps w:val="false"/>
          <w:sz w:val="20"/>
        </w:rPr>
        <w:t>”), subject to adjustment in accordance with the Rights Offering Registration Statement and any amendments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and in accordance with the Rights Offering Registration Statement and any amendments thereto, each Company Stockholder who exercises his, her or its Basic Subscription Rights may subscribe for additional shares of Class A Common Stock to the extent they are available, at the Subscription Price (the “</w:t>
      </w:r>
      <w:r>
        <w:rPr>
          <w:rFonts w:ascii="Times New Roman;Times;Serif" w:hAnsi="Times New Roman;Times;Serif"/>
          <w:b w:val="false"/>
          <w:i w:val="false"/>
          <w:caps w:val="false"/>
          <w:smallCaps w:val="false"/>
          <w:sz w:val="20"/>
          <w:u w:val="single"/>
        </w:rPr>
        <w:t>Over-Subscription Right</w:t>
      </w:r>
      <w:r>
        <w:rPr>
          <w:rFonts w:ascii="Times New Roman;Times;Serif" w:hAnsi="Times New Roman;Times;Serif"/>
          <w:b w:val="false"/>
          <w:i w:val="false"/>
          <w:caps w:val="false"/>
          <w:smallCaps w:val="false"/>
          <w:sz w:val="20"/>
        </w:rPr>
        <w:t>” and, together with the Basic Subscription Right, the “</w:t>
      </w:r>
      <w:r>
        <w:rPr>
          <w:rFonts w:ascii="Times New Roman;Times;Serif" w:hAnsi="Times New Roman;Times;Serif"/>
          <w:b w:val="false"/>
          <w:i w:val="false"/>
          <w:caps w:val="false"/>
          <w:smallCaps w:val="false"/>
          <w:sz w:val="20"/>
          <w:u w:val="single"/>
        </w:rPr>
        <w:t>Subscription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receive aggregate consideration of $15,000,000 in connection with the Rights Offering;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order to provide assurance that the Company receives aggregate consideration of $15,000,000 in connection with the Rights Offering, each Backstop Purchaser has agreed and committed to purchase from the Company upon expiration of the period during which the Rights may be exercised (the date such period expires, the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at the Subscription Price, shares of Class A Common Stock not otherwise sold in connection with the Rights Offering, subject to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herein, and for other good and valuable consideration, the receipt and sufficiency of which are hereby acknowledged, the Parties,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action, suit, claim, arbitration, litigation, mediation, audit, investigation, examination or other proceeding, in each case, by or before any Governmental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person means another person that directly or indirectly, through one or more intermediaries, controls, is controlled by, or is under common control with, such first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Average VWAP</w:t>
      </w:r>
      <w:r>
        <w:rPr>
          <w:rFonts w:ascii="Times New Roman;Times;Serif" w:hAnsi="Times New Roman;Times;Serif"/>
          <w:b w:val="false"/>
          <w:i w:val="false"/>
          <w:caps w:val="false"/>
          <w:smallCaps w:val="false"/>
          <w:sz w:val="20"/>
        </w:rPr>
        <w:t>” per share of Class A Common Stock over a certain period means the arithmetic average of the VWAP per such share for each trading day in the relevant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Sunday or day on which banks are required or authorized by Law to close in New York, New York.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means any change, effect, event, occurrence, state of facts or development that, taken alone or together with any other related or unrelated changes, effects, events, occurrences, states of facts or developments has had or would reasonably be expected to have a material adverse effect on (i) the business, financial condition or results of operations of the Company and its Subsidiaries, taken as a whole, or (ii) the ability of the Company to distribute, and issue shares of Class A Common Stock pursuant to, the Rights, except that, for purposes of clause (i) of this definition, in no event shall any of the following, or any change, effect, event, occurrence, state of facts or development arising from or related to the following be deemed to be or constitute a Company Material Adverse Effect or be taken into account when determining whether a Company Material Adverse Effect has occurred or would reasonably be expected to occur:  (A) changes in economic, business or regulatory conditions, including inflation, trade wars, international trade related matters, trade agreements, anti-dumping actions and other trade actions, tariffs, executive orders and similar occurrences, any changes affecting financial, credit, foreign exchange, interest rates or capital market conditions and changes in the conditions generally of the industries, businesses, geographies or segments in which the Company and its Subsidiaries operate; (B) conditions affecting the United States economy or the global economy generally or political conditions (including results of elections) in the United States or any other jurisdiction in the world, including supply chain disruptions; (C) war (whether or not declared), acts of war, the commencement, continuation or escalation of a war, and in each case, any escalations, new participants or other changes therein, military conflicts, terrorism, insurrection, cyber attacks, cyber crimes, sabotage, earthquakes, hurricanes, tsunamis, tornadoes, nuclear disasters, wildfires, floods, mudslides, or other natural disasters or weather conditions, or any escalation or worsening of the foregoing threatened or underway as of the date of this Agreement; (D) disease outbreaks, epidemics or pandemics, and any material worsening thereof after the date hereof; (E) changes in the financial, banking, capital or securities markets in the United States or any other country in the world; (F) changes in GAAP or the binding interpretation thereof after the date hereof; (G) changes in any Laws or the binding interpretation thereof after the date hereof; (H) any failure in and of itself by the Company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 any internal or published projections, forecasts, estimates or predictions in respect of revenues, earnings or other financial or operating metrics for any period after the date hereof, or any change in and of itself in the market price or trading volume of the Class A Common Stock (it being understood that the facts or causes underlying or contributing to any such failure or change may be considered in determining whether a Company Material Adverse Effect exists or has occurred or would reasonably be expected to exist or occur, except to the extent excluded by another clause of this definition); (I) changes in the Company’s credit rating (it being understood that the facts or causes underlying or contributing to any such change may be considered in determining whether a Company Material Adverse Effect exists or has occurred or would reasonably be expected to exist or occur, except to the extent excluded by another clause of this definition); (J) the execution, delivery or consummation of this Agreement; (K) any action taken or omitted to be taken, at the written request of, or with the written consent of, the Backstop Purchasers, or (L) the taking of any specific action required by, or the failure to take any specific action expressly prohibited by, this Agreement; provided that in the case of clauses (A), (B), (C), (D), (E), (F) or (G) above, to the extent disproportionately affecting the Company and its Subsidiaries relative to other comparable companies in the industries in which the Company and its Subsidiaries operate, the incremental (and only the incremental) disproportionate adverse impact may be taken into account in determining whether a Company Material Adverse Effect has occurred or would reasonably be expected to occur, except to the extent excluded by another clause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Stockholders</w:t>
      </w:r>
      <w:r>
        <w:rPr>
          <w:rFonts w:ascii="Times New Roman;Times;Serif" w:hAnsi="Times New Roman;Times;Serif"/>
          <w:b w:val="false"/>
          <w:i w:val="false"/>
          <w:caps w:val="false"/>
          <w:smallCaps w:val="false"/>
          <w:sz w:val="20"/>
        </w:rPr>
        <w:t>” means the stockholders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xml:space="preserve">” means any contract, lease, license, indenture, note, bond, agreement, permit, concession, franchise or other instrument, whether written or oral;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ERISA Document shall be deemed a Contract.</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w:t>
      </w:r>
      <w:r>
        <w:rPr>
          <w:rFonts w:ascii="Times New Roman;Times;Serif" w:hAnsi="Times New Roman;Times;Serif"/>
          <w:b w:val="false"/>
          <w:i w:val="false"/>
          <w:caps w:val="false"/>
          <w:smallCaps w:val="false"/>
          <w:sz w:val="20"/>
          <w:u w:val="single"/>
        </w:rPr>
        <w:t>ERISA Documents</w:t>
      </w:r>
      <w:r>
        <w:rPr>
          <w:rFonts w:ascii="Times New Roman;Times;Serif" w:hAnsi="Times New Roman;Times;Serif"/>
          <w:b w:val="false"/>
          <w:i w:val="false"/>
          <w:caps w:val="false"/>
          <w:smallCaps w:val="false"/>
          <w:sz w:val="20"/>
        </w:rPr>
        <w:t xml:space="preserve">” means any material “employee benefit plan” as defined in Section 3(3) of ERISA (whether or not subject to ERISA) and any other employee benefit plans, programs, policies, agreements, or arrangements (whether qualified or nonqualified, registered or non-registered, funded or unfunded, insured or self-insured, or written or unwritten), any employment, consulting, independent contractor, severance pay, termination pay, notice of termination, salary continuation, bonus, incentive, supplemental unemployment benefit, stock appreciation, stock option, stock purchase, restricted stock unit, phantom stock, profits interest, profit participation, or other equity or equity-linked compensation, retention, stay bonus, change of control, transaction bonus, tax gross-up, employee loan, fringe benefit, vacation, paid time off, sick leave or other leave of absence, short- or long-term disability, accident, health, dental, prescription drug, retirement or retirement savings, savings, pension or supplemental pension, post-retirement medical or life insurance, health or welfare, profit sharing or deferred compensation plans, programs, policies, agreements or arrangements of any kind that are maintained or sponsored by the Company or its Subsidiaries for the benefit of their respective current or former employees and with respect to which the Company or its Subsidiaries have any current or contingent liability;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ERISA Documents shall exclude each such plan to which the Company or any of its Subsidiaries contributes pursuant to applicable Law or which is maintained by a Governmental Authority.</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the United States Generally Accepted Accounting Principles.</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domestic or foreign, national, supranational, federal, state, municipal, county, city, local or other administrative, legislative, regulatory or other governmental authority, commission, agency, court of competent jurisdiction or other judicial entity, tribunal, office, principality, registry, legislative, regulatory or self-regulatory body, instrumentality, or quasi-governmental agency, commission or authority or any arbitrator or arbitral tribunal.</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w:t>
      </w:r>
      <w:r>
        <w:rPr>
          <w:rFonts w:ascii="Times New Roman;Times;Serif" w:hAnsi="Times New Roman;Times;Serif"/>
          <w:b w:val="false"/>
          <w:i w:val="false"/>
          <w:caps w:val="false"/>
          <w:smallCaps w:val="false"/>
          <w:sz w:val="20"/>
          <w:u w:val="single"/>
        </w:rPr>
        <w:t>Investor Rights Agreement</w:t>
      </w:r>
      <w:r>
        <w:rPr>
          <w:rFonts w:ascii="Times New Roman;Times;Serif" w:hAnsi="Times New Roman;Times;Serif"/>
          <w:b w:val="false"/>
          <w:i w:val="false"/>
          <w:caps w:val="false"/>
          <w:smallCaps w:val="false"/>
          <w:sz w:val="20"/>
        </w:rPr>
        <w:t>” means that certain Investor Rights Agreement, dated  August 20, 2025, by and among the Company, the Backstop Purchasers and the other parties thereto.</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Judgment</w:t>
      </w:r>
      <w:r>
        <w:rPr>
          <w:rFonts w:ascii="Times New Roman;Times;Serif" w:hAnsi="Times New Roman;Times;Serif"/>
          <w:b w:val="false"/>
          <w:i w:val="false"/>
          <w:caps w:val="false"/>
          <w:smallCaps w:val="false"/>
          <w:sz w:val="20"/>
        </w:rPr>
        <w:t>” means any order, writ, injunction, decree, consent decree, judgment, award or settlement issued, promulgated, made, rendered or entered into by or with any Governmental Authority (in each case, whether temporary, preliminary or permanent).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statute, code, directive, law (including common law), ordinance, rule, constitution, treaty, convention, Judgment, regulation or other enforceability requirements imposed by a Governmental Authority.</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pledge, security interest, lien (statutory or otherwise), charge, license, option, right of first refusal, right of first offer, attachment, easement or other encumbrance.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(i) mechanics’, materialmen’s, carriers’, suppliers’, repairers’ and other Liens arising or incurred in the ordinary course of business for amounts that are not yet delinquent or are being contested in good faith Actions and for which adequate reserves under GAAP have been reserved on the balance sheet of the Company or an applicable Subsidiary of the Company, (ii) Liens for taxes not yet due and payable or which are being contested in good faith Actions and for which adequate reserves under GAAP have been reserved on the balance sheet of the Company or an applicable Subsidiary of the Company, (iii) nonexclusive licenses to intellectual property granted in the ordinary course of business, (iv) Liens arising through or under any landlords of leased real property in the ordinary course of business, (v) Liens arising in connection with or permitted by the amended and restated credit agreement, dated as of October 28, 2025, by and among the Company and the Backstop Purchasers (as may be further amended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and (vi) Liens incurred in the ordinary course of business since the date of the most recent consolidated balance sheet of the Company and not material to the Company and its Subsidiaries, taken as a whole.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firm, corporation, partnership, company, limited liability company, trust, joint venture, association, Governmental Authority or other entity.</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any person means another person, an amount of the voting securities, other voting ownership or voting partnership interests of which is sufficient to elect at least a majority of its board of directors or other governing body (or, if there are no such voting interests, 50% or more of the equity interests of which) is owned directly or indirectly by such first person.</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Unsubscribed Shares</w:t>
      </w:r>
      <w:r>
        <w:rPr>
          <w:rFonts w:ascii="Times New Roman;Times;Serif" w:hAnsi="Times New Roman;Times;Serif"/>
          <w:b w:val="false"/>
          <w:i w:val="false"/>
          <w:caps w:val="false"/>
          <w:smallCaps w:val="false"/>
          <w:sz w:val="20"/>
        </w:rPr>
        <w:t>” means a number of shares of Class A Common Stock equal to the excess, if any, of (i) the aggregate number of shares of Class A Common Stock that may be purchased pursuant to all Rights issued by the Company in connection with the Rights Offering, less (ii) the aggregate number of shares of Class A Common Stock that are purchased in the Rights Offering pursuant to the exercise of the Subscription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the per share volume-weighted average price as displayed under the heading “Bloomberg VWAP” on Bloomberg page “RENT &lt;equity&gt; AQR” (or its equivalent successor if such page is not available) in respect of the period from the scheduled open of trading until the scheduled close of trading of the primary trading session on such trading day (or, if such volume-weighted average price is not available, the market value per share of Class A Common Stock on such trading day determined in good faith, using a volume-weighted average method,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Backstop Commitment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consummation of the Rights Offering, the terms and conditions of which shall be subject to the prior written approval of the Backstop Purchasers (not to be unreasonably withheld, conditioned or delayed) and shall be customary for offerings of this type, and the terms and conditions set forth herein, in order to provide assurance that the Rights Offering will be fully subscribed, each Backstop Purchaser hereby commits to purchase from the Company, and the Company hereby agrees to sell to such Backstop Purchaser, at the Subscription Price, any and all Unsubscribed Shares, in accordance with such Backstop Purchaser’s Backstop percentage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Backstop Percentage</w:t>
      </w:r>
      <w:r>
        <w:rPr>
          <w:rFonts w:ascii="Times New Roman;Times;Serif" w:hAnsi="Times New Roman;Times;Serif"/>
          <w:b w:val="false"/>
          <w:i w:val="false"/>
          <w:caps w:val="false"/>
          <w:smallCaps w:val="false"/>
          <w:sz w:val="20"/>
        </w:rPr>
        <w:t>”) attached hereto (the “</w:t>
      </w:r>
      <w:r>
        <w:rPr>
          <w:rFonts w:ascii="Times New Roman;Times;Serif" w:hAnsi="Times New Roman;Times;Serif"/>
          <w:b w:val="false"/>
          <w:i w:val="false"/>
          <w:caps w:val="false"/>
          <w:smallCaps w:val="false"/>
          <w:sz w:val="20"/>
          <w:u w:val="single"/>
        </w:rPr>
        <w:t>Backstop Commitment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Backstop Commitment of such Backstop Purchaser shall not exceed the amount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It is understood that the Unsubscribed Shares shall be allocated for the purposes of the Backstop Commitment among the Backstop Purchasers proportionally in accordance with their respective Backstop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two (2) Business Days after the closing of the Rights Offering, the Company shall issue to each Backstop Purchaser a notice (the “</w:t>
      </w:r>
      <w:r>
        <w:rPr>
          <w:rFonts w:ascii="Times New Roman;Times;Serif" w:hAnsi="Times New Roman;Times;Serif"/>
          <w:b w:val="false"/>
          <w:i w:val="false"/>
          <w:caps w:val="false"/>
          <w:smallCaps w:val="false"/>
          <w:sz w:val="20"/>
          <w:u w:val="single"/>
        </w:rPr>
        <w:t>Subscription Notice</w:t>
      </w:r>
      <w:r>
        <w:rPr>
          <w:rFonts w:ascii="Times New Roman;Times;Serif" w:hAnsi="Times New Roman;Times;Serif"/>
          <w:b w:val="false"/>
          <w:i w:val="false"/>
          <w:caps w:val="false"/>
          <w:smallCaps w:val="false"/>
          <w:sz w:val="20"/>
        </w:rPr>
        <w:t>”) setting forth the number of shares of Class A Common Stock subscribed for in the Rights Offering pursuant to the exercise of the Subscription Rights and the aggregate gross proceeds of the Rights Offering and, accordingly, the number of Unsubscribed Shares to be acquired by such Backstop Purchaser pursuant to the Backstop Commitment at the Subscription Price. Shares of Class A Common Stock acquired by the Backstop Purchasers pursuant to the Backstop Commitment are collectively referred to as the “</w:t>
      </w:r>
      <w:r>
        <w:rPr>
          <w:rFonts w:ascii="Times New Roman;Times;Serif" w:hAnsi="Times New Roman;Times;Serif"/>
          <w:b w:val="false"/>
          <w:i w:val="false"/>
          <w:caps w:val="false"/>
          <w:smallCaps w:val="false"/>
          <w:sz w:val="20"/>
          <w:u w:val="single"/>
        </w:rPr>
        <w:t>Backstop Acquired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this Agreement shall have been terminated pursuant to ‎Section 6, the closing of the Backstop Commitment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by means of a virtual closing through electronic exchange of signatures on the second (2nd) Business Day following the satisfaction or waiver (to the extent permitted herein and by applicable Law) of the conditions set forth in ‎Section 5 (other than those conditions that by their nature are to be satisfied at the Closing, but subject to the satisfaction or waiver of those conditions at such time) or on such other date, time or at such place as agreed to in writing by the Company and the Backstop Purchasers (the date on which the Closing occurs,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Closing, the Company shall automatically (without a need for any further action on the part of, or notice to, the Company or any other Person) issue to the Backstop Purchasers the Backstop Acquired Shares via the facilities of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in book entry form, free and clear of all Liens (other than any restrictions on transfer arising under applicable securities Laws), against payment by or on behalf of the Backstop Purchasers of the aggregate Subscription Price for all such shares by wire transfer in immediately available funds to the account designated by the Company in writing at least two (2) Business Days prior to the Closing. In furtherance of the foregoing, the Company shall cooperate with each Backstop Purchaser and take such actions as may be necessary to (i) instruct the Company’s transfer agent to issue the Backstop Acquired Shares to each Backstop Purchaser effective as of the Closing, and (ii) deliver to each Backstop Purchaser evidence thereof in a form customarily delivered by the Company’s 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Representations and Warranties by the Backstop Purchasers</w:t>
      </w:r>
      <w:r>
        <w:rPr>
          <w:rFonts w:ascii="Times New Roman;Times;Serif" w:hAnsi="Times New Roman;Times;Serif"/>
          <w:b w:val="false"/>
          <w:i w:val="false"/>
          <w:caps w:val="false"/>
          <w:smallCaps w:val="false"/>
          <w:sz w:val="20"/>
        </w:rPr>
        <w:t>. Each Backstop Purchaser represents and warrants, severally and not jointly, to the Company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Standing and Power</w:t>
      </w:r>
      <w:r>
        <w:rPr>
          <w:rFonts w:ascii="Times New Roman;Times;Serif" w:hAnsi="Times New Roman;Times;Serif"/>
          <w:b w:val="false"/>
          <w:i w:val="false"/>
          <w:caps w:val="false"/>
          <w:smallCaps w:val="false"/>
          <w:sz w:val="20"/>
        </w:rPr>
        <w:t>. Such Backstop Purchaser is a corporation, partnership or limited liability company duly organized, validly existing and in good standing under the Laws of its state or country of organization and has all requisite corporate, partnership or limited liability company power and authority necessary to own, lease and operate its properties and to carry on its business as presently conducted, except as has not had, and would not reasonably be expected to have, individually or in the aggregate, a material adverse effect on the ability of such Backstop Purchaser to consummate the transactions contemplated by this Agreement. Such Backstop Purchaser is duly licensed or qualified to do business as a foreign corporation, partnership or limited liability company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material adverse effect on the ability of such Backstop Purchaser to consummate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Authority; Execution and Delivery; Enforceability</w:t>
      </w:r>
      <w:r>
        <w:rPr>
          <w:rFonts w:ascii="Times New Roman;Times;Serif" w:hAnsi="Times New Roman;Times;Serif"/>
          <w:b w:val="false"/>
          <w:i w:val="false"/>
          <w:caps w:val="false"/>
          <w:smallCaps w:val="false"/>
          <w:sz w:val="20"/>
        </w:rPr>
        <w:t>. Such Backstop Purchaser has all requisite corporate, partnership or limited liability company (as the case may be) power and authority to execute and deliver this Agreement and to consummate the transactions contemplated hereby. The execution, delivery and performance by such Backstop Purchaser of this Agreement and the consummation by such Backstop Purchaser of the transactions contemplated hereby have been duly authorized by all necessary corporate, partnership or limited liability company (as the case may be) action on the part of such Backstop Purchaser and no other corporate, partnership or limited liability company (as the case may be) proceedings on the part of such Backstop Purchaser are necessary to approve this Agreement and to consummate the transactions contemplated hereby. Such Backstop Purchaser has duly executed and delivered this Agreement, and, assuming the due authorization, execution and delivery of this Agreement on behalf of the other Parties, this Agreement constitutes its legal, valid and binding obligation, enforceable against it in accordance with its terms, subject to such enforceability potentially being limited by (i) applicable bankruptcy, insolvency, reorganization, moratorium or other laws affecting the enforcement of creditors’ rights generally and (ii) general equitable principles (whether considered in a proceeding in equity or at law) (the “</w:t>
      </w:r>
      <w:r>
        <w:rPr>
          <w:rFonts w:ascii="Times New Roman;Times;Serif" w:hAnsi="Times New Roman;Times;Serif"/>
          <w:b w:val="false"/>
          <w:i w:val="false"/>
          <w:caps w:val="false"/>
          <w:smallCaps w:val="false"/>
          <w:sz w:val="20"/>
          <w:u w:val="single"/>
        </w:rPr>
        <w:t>Bankruptcy and Equity Exception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Such Backstop Purchaser is an “accredited investor” as defined in Rule 501(a)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Conflicts;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execution, delivery and performance by such Backstop Purchaser of this Agreement does not, and the consummation of the transactions contemplated hereby and compliance with the provisions hereof will not (A) conflict with, or result in any breach or violation of or default or change of control (with or without notice or lapse of time, or both) under, or give rise to a right of, or result in, termination, modification, cancellation, first offer, first refusal or acceleration of any obligation under any Contract binding upon such Backstop Purchaser or any of its Subsidiaries or to which any of them are a party or by or to which any of their respective properties, rights or assets are bound or subject or result in the creation of any Lien upon any of the properties, rights or assets of such Backstop Purchaser or any of its Subsidiaries, other than Permitted Liens, (B) conflict with or result in any violation of any provision of such Backstop Purchaser’s organizational documents, or (C) conflict with or violate any Laws applicable to such Backstop Purchaser or any of its Subsidiaries or any of their respective properties, rights or assets, other than, in the case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any such violation, conflict, default, termination, cancellation, acceleration, right, loss or Lien that has not had and would not reasonably be expected to have, individually or in the aggregate, a material adverse effect on the ability of such Backstop Purchaser to consummate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consent, approval, license, clearance, order or authorization (each, a “</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of, or registration, declaration or filing with any Governmental Authority is required to be obtained or made by such Backstop Purchaser in connection with the execution, delivery and performance of this Agreement or the consummation of the transactions contemplated hereby, other than (A) the filing with the SEC of such reports under Sections 13 and 16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as may be required in connection with this Agreement and the transactions contemplated hereby, (B) any Consents, registrations, declarations or filings required to be obtained or made as a result of the identity, nature, business or operations of Company or any of its Subsidiaries or Affiliates, and (C) such other items that, individually or in the aggregate, have not had and would not reasonably be expected to have, individually or in the aggregate, a material adverse effect on the ability of such Backstop Purchaser to consummate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pending or, to the knowledge of such Backstop Purchaser, threatened in writing against such Backstop Purchaser or any of its Subsidiaries or any of the directors or officers of such Backstop Purchaser or any of its Subsidiaries in their capacity as such, which, in any such case, has had or would reasonably be expected to have, individually or in the aggregate, a material adverse effect on the ability of such Backstop Purchaser to consummate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Independent Investigation</w:t>
      </w:r>
      <w:r>
        <w:rPr>
          <w:rFonts w:ascii="Times New Roman;Times;Serif" w:hAnsi="Times New Roman;Times;Serif"/>
          <w:b w:val="false"/>
          <w:i w:val="false"/>
          <w:caps w:val="false"/>
          <w:smallCaps w:val="false"/>
          <w:sz w:val="20"/>
        </w:rPr>
        <w:t>. Such Backstop Purchaser acknowledges that (i) it has been afforded (A) the opportunity to ask such questions as it has deemed necessary of, and to receive answers from, any officer, director, employee, investment banker, attorney, accountant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advisor or representative (collectively, with respect to any Person, such Person’s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xml:space="preserve">”) of the Company concerning the terms and conditions of the Backstop Commitment and the merits and risks of acquiring the Backstop Acquired Shares; (B) access to information about the Company and its financial condition, results of operations, business, properties, management and prospects sufficient to enable it to evaluate its investment; and (C) the opportunity to obtain such additional information that the Company possesses or can acquire without unreasonable effort or expense that is necessary to make an informed investment decision with respect to the investment, and (ii) it has, independently and without reliance upon any statement, representation or warranty made, or information provided, by any Person (including any of the Company’s financial advisors or other Representatives and including as to the accuracy and completeness thereof), other than such statements, representations and warranties of the Company expressly contained in this Agreement, and based on such information described in the foregoing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made its own analysis and decision to enter into this Agreement and the transactions contemplated hereby and that it has not relied on the analysis and decision or due diligence investigation of any other Person (including any of the Company’s financial advisors or other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Financial Sophistication</w:t>
      </w:r>
      <w:r>
        <w:rPr>
          <w:rFonts w:ascii="Times New Roman;Times;Serif" w:hAnsi="Times New Roman;Times;Serif"/>
          <w:b w:val="false"/>
          <w:i w:val="false"/>
          <w:caps w:val="false"/>
          <w:smallCaps w:val="false"/>
          <w:sz w:val="20"/>
        </w:rPr>
        <w:t>. Such Backstop Purchaser, either alone or together with its Representatives, has such knowledge, sophistication and experience in business and financial matters so as to be capable of evaluating the merits and risks of the transactions contemplated by this Agreement, and has so evaluated the merits and risks of such transactions, including the Backstop Commitment. Such Backstop Purchaser is able to bear the economic risk of the acquisition of the Backstop Acquired Shares and, at the present time, is able to afford a complete loss of such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 Such Backstop Purchaser is acquiring the Backstop Acquired Shares for its own account, with the intention of holding such shares for investment and with no present intention of participating, directly or indirectly, in a distribution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Manipulation or Stabilization of Price</w:t>
      </w:r>
      <w:r>
        <w:rPr>
          <w:rFonts w:ascii="Times New Roman;Times;Serif" w:hAnsi="Times New Roman;Times;Serif"/>
          <w:b w:val="false"/>
          <w:i w:val="false"/>
          <w:caps w:val="false"/>
          <w:smallCaps w:val="false"/>
          <w:sz w:val="20"/>
        </w:rPr>
        <w:t>. In connection with the Rights Offering, such Backstop Purchaser has not taken and will not take, directly or indirectly, any action designed to or that would constitute or that might reasonably be expected to cause or result in, under the Exchange Act or otherwise, stabilization or manipulation of the price of any security of the Company in order to facilitate the sale or resale of any securities of the Company, and it is not aware of any such action taken or to be taken by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 Registration</w:t>
      </w:r>
      <w:r>
        <w:rPr>
          <w:rFonts w:ascii="Times New Roman;Times;Serif" w:hAnsi="Times New Roman;Times;Serif"/>
          <w:b w:val="false"/>
          <w:i w:val="false"/>
          <w:caps w:val="false"/>
          <w:smallCaps w:val="false"/>
          <w:sz w:val="20"/>
        </w:rPr>
        <w:t>. Such Backstop Purchaser understands (i) that the offer and sale of the Backstop Acquired Shares to be purchased by it pursuant to the terms of this Agreement have not been registered under the Securities Act or any state securities Laws, (ii) except as otherwise provided in the Investor Rights Agreement, the Company shall not be required to effect any registration or qualification of the Backstop Acquired Shares under the Securities Act or any state securities Laws, (iii) that the Backstop Acquired Shares will be issued in reliance upon exemptions contained in the Securities Act or interpretations thereof and in the applicable state securities Laws, and (iv) that the Backstop Acquired Shares may not be offered for sale, sold or otherwise transferred except pursuant to a registration statement under the Securities Act or in a transaction exempt from or not subject to registration under the Securities Act. Further, the following legends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similar language) shall be placed on such certificate(s), if any, representing the Backstop Acquired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BY THIS CERTIFICATE HAVE NOT BEEN REGISTERED UNDER THE SECURITIES ACT OF 1933, AS AMENDED (THE “SECURITIES ACT”), OR REGISTERED AND/OR QUALIFIED UNDER ANY STATE SECURITIES LAWS. THE SECURITIES REPRESENTED BY THIS CERTIFICATE MAY NOT BE TRANSFERRED EXCEPT (A) PURSUANT TO AN EFFECTIVE REGISTRATION STATEMENT UNDER THE SECURITIES ACT, AND REGISTRATION AND/OR QUALIFICATION UNDER APPLICABLE STATE SECURITIES LAWS, (B) IN A TRANSACTION WHICH IS EXEMPT FROM REGISTRATION UNDER THE SECURITIES ACT, AND REGISTRATION AND/OR QUALIFICATION UNDER APPLICABLE STATE SECURITIES LAWS PROVIDED THAT AT THE ISSUER’S REQUEST, THE TRANSFEROR THEREOF SHALL HAVE DELIVERED TO THE ISSUER AN OPINION OF COUNSEL (WHICH OPINION SHALL BE IN FORM, SUBSTANCE AND SCOPE REASONABLY SATISFACTORY TO THE ISSUER) TO THE EFFECT THAT SUCH SECURITIES MAY BE SOLD OR TRANSFERRED PURSUANT TO AN EXEMPTION FROM SUCH REGISTRATION, OR (C) PURSUANT TO RULE 144 PROMULGATED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Removal of Legends</w:t>
      </w:r>
      <w:r>
        <w:rPr>
          <w:rFonts w:ascii="Times New Roman;Times;Serif" w:hAnsi="Times New Roman;Times;Serif"/>
          <w:b w:val="false"/>
          <w:i w:val="false"/>
          <w:caps w:val="false"/>
          <w:smallCaps w:val="false"/>
          <w:sz w:val="20"/>
        </w:rPr>
        <w:t>. The legend set forth in ‎Section 3(j) above shall be removed and the Company shall issue a certificate (or book entry notation, as applicable) without such legend or any other legend to the holder of the applicable Backstop Acquired Shares upon which it is stamped or issue to such holder by electronic delivery at the applicable balance account at the DTC, if (i) such shares are registered for resale under the Securities Act and sold pursuant to an effective registration statement registering the shares for resale, (ii) such shares are sold or transferred pursuant to and in compliance with Rule 144 under the Securities Act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or another similar exemption from registration, or (iii) an opinion of counsel is provided to the Company, in form, substance and scope customary for opinions of counsel in comparable transactions, to the effect that such shares are eligible for sale under Rule 144, without the requirement for the Company to be in compliance with the current public information required under Rule 144 as to such securities and without volume or manner-of-sale restrictions. Certificates (or book entry notations) for Backstop Acquired Shares subject to legend removal hereunder will be transmitted by the Company to such Backstop Purchaser or may be transmitted by the Company’s transfer agent to such Backstop Purchaser by crediting the DTC account of such Backstop Purchaser’s broker or other DTC participant as directed by such Backstop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Sufficiency of Funds</w:t>
      </w:r>
      <w:r>
        <w:rPr>
          <w:rFonts w:ascii="Times New Roman;Times;Serif" w:hAnsi="Times New Roman;Times;Serif"/>
          <w:b w:val="false"/>
          <w:i w:val="false"/>
          <w:caps w:val="false"/>
          <w:smallCaps w:val="false"/>
          <w:sz w:val="20"/>
        </w:rPr>
        <w:t>. Such Backstop Purchaser has and will have available funds sufficient to pay the aggregate Subscription Price for all Class A Common Stock to be purchased by such Backstop Purchaser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each Backstop Purchaser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Existence and Good Standing</w:t>
      </w:r>
      <w:r>
        <w:rPr>
          <w:rFonts w:ascii="Times New Roman;Times;Serif" w:hAnsi="Times New Roman;Times;Serif"/>
          <w:b w:val="false"/>
          <w:i w:val="false"/>
          <w:caps w:val="false"/>
          <w:smallCaps w:val="false"/>
          <w:sz w:val="20"/>
        </w:rPr>
        <w:t>. The Company is a corporation duly incorporated, validly existing and in good standing under the Laws of the State of Delaware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all requisite corporate power and authority necessary to own, lease and operate its properties and to carry on its business as presently conducted, except (other than with respect to the Company’s due incorporation, valid existence and good standing) as has not had, and would not reasonably be expected to have, individually or in the aggregate, a Company Material Adverse Effect. The Company is duly licensed or qualified to do business as a foreign corporation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Company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The Company has all requisite corporate power and authority to execute and deliver this Agreement and to consummate the transactions contemplated hereby. The execution, delivery and performance by the Company of this Agreement and the consummation by the Company of the transactions contemplated hereby have been duly authorized by all necessary corporate action on the part of the Company and no other corporate proceedings on the part of the Company are necessary to approve this Agreement and to consummate the transactions contemplated hereby.  The Company has duly executed and delivered this Agreement, and, assuming the due authorization, execution and delivery of this Agreement on behalf of the other Parties, this Agreement constitutes its legal, valid and binding obligation, enforceable against it in accordance with its terms, subject to the Bankruptcy and Equity Exception.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Valid Issuance of Shares</w:t>
      </w:r>
      <w:r>
        <w:rPr>
          <w:rFonts w:ascii="Times New Roman;Times;Serif" w:hAnsi="Times New Roman;Times;Serif"/>
          <w:b w:val="false"/>
          <w:i w:val="false"/>
          <w:caps w:val="false"/>
          <w:smallCaps w:val="false"/>
          <w:sz w:val="20"/>
        </w:rPr>
        <w:t>. All of the shares of Backstop Acquired Shares to be issued pursuant to this Agreement will be, as of the date of their issuance, duly authorized by all necessary corporate action on the part of the Company and, when issued and delivered by the Company against payment therefor as provided in this Agreement, (i) will be validly issued, fully paid and nonassessable, (ii) will be free and clear of all Liens (other than any restrictions on transfer arising under applicable securities Laws), and (iii) will not be subject to any statutory or contractual preemptive rights or other similar rights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The Company is not required to register as an “investment company” within the meaning of the Investment Company Act of 1940,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Conflicts;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execution, delivery and performance by the Company of this Agreement does not, and the consummation of the transactions contemplated hereby and compliance with the provisions hereof will not, (A) conflict with, or result in any breach or violation of or default or change of control (with or without notice or lapse of time, or both) under, or give rise to a right of, or result in, termination, modification, cancellation, first offer, first refusal or acceleration of any obligation under any Contract binding upon the Company or any of its Subsidiaries or to which any of them are a party or by or to which any of their respective properties, rights or assets are bound or subject or result in the creation of any Lien upon any of the properties, rights or assets of the Company or any of its Subsidiaries, other than Permitted Liens, (B) conflict with or result in any violation of any provision of the Company’s certificate of incorporation or by-laws or the organizational documents of the Company’s Subsidiaries, or (C) conflict with or violate any Laws applicable to the Company or any of its Subsidiaries or any of their respective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properties, rights or assets, other than, in the case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any such violation, conflict, default, termination, cancellation, acceleration, right, loss or Lien that has not been or would not reasonably be expected to be, individually or in the aggregate, material to the Company and its Subsidiaries,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in connection with or in compliance with (A) the Delaware General Corporation Law of the State of Delaware, (B) the Securities Act, (C) the Exchange Act, (D) other applicable state or federal securities Laws, and (E) any applicable requirements of the Nasdaq Stock Market, no Consent of, or registration, declaration or filing with any Governmental Authority is necessary or required, under applicable Law, to be obtained or made by or with respect to the Company or any of its Subsidiaries in connection with the execution, delivery and performance of this Agreement or the consummation of the transactions contemplated by this Agreement, except for such Consents or filings that, if not obtained or made, would not reasonably be expected to be material to the Company and its Subsidiaries,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pending or, to the knowledge of the Company, threatened in writing against the Company or any of its Subsidiaries, any of the directors or officers of the Company or any of its Subsidiaries in their capacity as such or affecting any of the business, operations, properties or assets of the Company or any of its Subsidiaries which, in any such case, has had or would reasonably be expected to have, individually or in the aggregate, a Company Material Adverse Effect. Neither the Company nor any of its Subsidiaries is in default with respect to any Judgment that is applicable to the Company or any of its Subsidiaries which, in any such case, has had or would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Backstop Purchaser’s obligation to purchase shares of Class A Common Stock pursuant to its Backstop Commitment is subject to the following conditions: (i) the Company shall be in compliance with its obligations under this Agreement in all material respects; and (ii) the representations and warranties of the Company set forth in this Agreement shall be true and correct as of the date of this Agreement and the Closing, except to the extent the failure of any such representations and warranties to be so true and correct has not resulted in, and would not reasonably be expected to result in,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Company’s obligations hereunder are subject to the following conditions: (i) the Backstop Purchasers shall be in compliance with their respective obligations under this Agreement in all material respects; and (ii) the representations and warranties of the Backstop Purchasers hereunder shall be true and correct as of the date of this Agreement and the Closing, except to the extent the failure of any such representations and warranties to be so true and correct has not resulted in, and would not reasonably be expected to result in, individually or in the aggregate, a material adverse effect on the ability of the Backstop Purchasers to consummate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Closing is further subject to the satisfaction or waiver of the consummation of the Rights Offering and delivery of the Subscription Notice to the Backstop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terminate upon the Parties’ mutual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The Company and the Backstop Purchasers hereby agree that any termination of this Agreement pursuant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(other than termination by one Party in the event of a willful and material breach of a Party of, or fraud with respect to, any of such Party’s representations, warranties, covenants or agreements set forth in this Agreement occurring prior to such termination), shall be without liability to the Company or any Backstop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Rule 144 Availability; Public Information</w:t>
      </w:r>
      <w:r>
        <w:rPr>
          <w:rFonts w:ascii="Times New Roman;Times;Serif" w:hAnsi="Times New Roman;Times;Serif"/>
          <w:b w:val="false"/>
          <w:i w:val="false"/>
          <w:caps w:val="false"/>
          <w:smallCaps w:val="false"/>
          <w:sz w:val="20"/>
        </w:rPr>
        <w:t>. At all times during the period commencing on the Closing Date and ending at such time that all of the Backstop Acquired Shares can be sold without the requirement to be in compliance with Rule 144(c)(1) under the Securities Act and otherwise without restriction or limitation pursuant to Rule 144 under the Securities Act, the Company shall use its reasonable best efforts to ensure the availability of Rule 144 under the Securities Act to each Backstop Purchaser with regard to the Backstop Acquired Shares, including compliance with Rule 144(c)(1)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all claims and causes of action hereunder shall be governed by, and construed in accordance with, the laws of the State of Delaware, regardless of the laws that might otherwise govern under applicable principles of conflicts of laws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claims, demands and other communications hereunder shall be in writing and shall be deemed given when delivered, if delivered personally, emailed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email states that it is a notice sent pursuant to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or sent by overnight courier (providing proof of delivery) to the Parties at the following addresses (or at such other address for a Party as shall be specified by like notice):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989"/>
        <w:gridCol w:w="9053"/>
      </w:tblGrid>
      <w:tr>
        <w:trPr/>
        <w:tc>
          <w:tcPr>
            <w:tcW w:w="16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pPr>
            <w:r>
              <w:rPr/>
              <w:t>(i)</w:t>
            </w:r>
          </w:p>
        </w:tc>
        <w:tc>
          <w:tcPr>
            <w:tcW w:w="9053" w:type="dxa"/>
            <w:tcBorders/>
            <w:vAlign w:val="center"/>
          </w:tcPr>
          <w:p>
            <w:pPr>
              <w:pStyle w:val="TableContents"/>
              <w:bidi w:val="0"/>
              <w:spacing w:before="0" w:after="283"/>
              <w:jc w:val="left"/>
              <w:rPr/>
            </w:pPr>
            <w:r>
              <w:rPr/>
              <w:t>if to the Company, to:</w:t>
            </w:r>
          </w:p>
        </w:tc>
      </w:tr>
    </w:tbl>
    <w:p>
      <w:pPr>
        <w:pStyle w:val="TextBody"/>
        <w:bidi w:val="0"/>
        <w:spacing w:before="0" w:after="0"/>
        <w:jc w:val="left"/>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before="0" w:after="283"/>
              <w:jc w:val="left"/>
              <w:rPr>
                <w:sz w:val="20"/>
              </w:rPr>
            </w:pPr>
            <w:r>
              <w:rPr>
                <w:sz w:val="20"/>
              </w:rPr>
              <w:t>Rent the Runway, Inc.</w:t>
            </w:r>
          </w:p>
        </w:tc>
      </w:tr>
      <w:tr>
        <w:trPr/>
        <w:tc>
          <w:tcPr>
            <w:tcW w:w="2780" w:type="dxa"/>
            <w:tcBorders/>
            <w:vAlign w:val="center"/>
          </w:tcPr>
          <w:p>
            <w:pPr>
              <w:pStyle w:val="TableContents"/>
              <w:bidi w:val="0"/>
              <w:spacing w:before="0" w:after="283"/>
              <w:jc w:val="left"/>
              <w:rPr>
                <w:sz w:val="20"/>
              </w:rPr>
            </w:pPr>
            <w:r>
              <w:rPr>
                <w:sz w:val="20"/>
              </w:rPr>
              <w:t>10 Jay Street</w:t>
            </w:r>
          </w:p>
        </w:tc>
      </w:tr>
      <w:tr>
        <w:trPr/>
        <w:tc>
          <w:tcPr>
            <w:tcW w:w="2780" w:type="dxa"/>
            <w:tcBorders/>
            <w:vAlign w:val="center"/>
          </w:tcPr>
          <w:p>
            <w:pPr>
              <w:pStyle w:val="TableContents"/>
              <w:bidi w:val="0"/>
              <w:spacing w:before="0" w:after="283"/>
              <w:jc w:val="left"/>
              <w:rPr>
                <w:sz w:val="20"/>
              </w:rPr>
            </w:pPr>
            <w:r>
              <w:rPr>
                <w:sz w:val="20"/>
              </w:rPr>
              <w:t>Brooklyn, New York 11201</w:t>
            </w:r>
          </w:p>
        </w:tc>
      </w:tr>
      <w:tr>
        <w:trPr/>
        <w:tc>
          <w:tcPr>
            <w:tcW w:w="2780" w:type="dxa"/>
            <w:tcBorders/>
            <w:vAlign w:val="center"/>
          </w:tcPr>
          <w:p>
            <w:pPr>
              <w:pStyle w:val="TableContents"/>
              <w:bidi w:val="0"/>
              <w:spacing w:before="0" w:after="283"/>
              <w:jc w:val="left"/>
              <w:rPr>
                <w:sz w:val="20"/>
              </w:rPr>
            </w:pPr>
            <w:r>
              <w:rPr>
                <w:sz w:val="20"/>
              </w:rPr>
              <w:t>Attention: Chief Legal Officer</w:t>
            </w:r>
          </w:p>
        </w:tc>
      </w:tr>
      <w:tr>
        <w:trPr/>
        <w:tc>
          <w:tcPr>
            <w:tcW w:w="2780" w:type="dxa"/>
            <w:tcBorders/>
            <w:vAlign w:val="center"/>
          </w:tcPr>
          <w:p>
            <w:pPr>
              <w:pStyle w:val="TableContents"/>
              <w:bidi w:val="0"/>
              <w:spacing w:before="0" w:after="283"/>
              <w:jc w:val="left"/>
              <w:rPr>
                <w:sz w:val="20"/>
              </w:rPr>
            </w:pPr>
            <w:r>
              <w:rPr>
                <w:sz w:val="20"/>
              </w:rPr>
              <w:t>Email: legal@renttherunway.com</w:t>
            </w:r>
          </w:p>
        </w:tc>
      </w:tr>
    </w:tbl>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72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920"/>
        <w:gridCol w:w="3275"/>
      </w:tblGrid>
      <w:tr>
        <w:trPr/>
        <w:tc>
          <w:tcPr>
            <w:tcW w:w="4195" w:type="dxa"/>
            <w:gridSpan w:val="2"/>
            <w:tcBorders/>
            <w:vAlign w:val="center"/>
          </w:tcPr>
          <w:p>
            <w:pPr>
              <w:pStyle w:val="TableContents"/>
              <w:bidi w:val="0"/>
              <w:spacing w:before="0" w:after="283"/>
              <w:jc w:val="left"/>
              <w:rPr>
                <w:sz w:val="20"/>
              </w:rPr>
            </w:pPr>
            <w:r>
              <w:rPr>
                <w:sz w:val="20"/>
              </w:rPr>
              <w:t>Davis Polk &amp; Wardwell LLP</w:t>
            </w:r>
          </w:p>
        </w:tc>
      </w:tr>
      <w:tr>
        <w:trPr/>
        <w:tc>
          <w:tcPr>
            <w:tcW w:w="4195" w:type="dxa"/>
            <w:gridSpan w:val="2"/>
            <w:tcBorders/>
            <w:vAlign w:val="center"/>
          </w:tcPr>
          <w:p>
            <w:pPr>
              <w:pStyle w:val="TableContents"/>
              <w:bidi w:val="0"/>
              <w:spacing w:before="0" w:after="283"/>
              <w:jc w:val="left"/>
              <w:rPr>
                <w:sz w:val="20"/>
              </w:rPr>
            </w:pPr>
            <w:r>
              <w:rPr>
                <w:sz w:val="20"/>
              </w:rPr>
              <w:t>450 Lexington Avenue</w:t>
            </w:r>
          </w:p>
        </w:tc>
      </w:tr>
      <w:tr>
        <w:trPr/>
        <w:tc>
          <w:tcPr>
            <w:tcW w:w="4195" w:type="dxa"/>
            <w:gridSpan w:val="2"/>
            <w:tcBorders/>
            <w:vAlign w:val="center"/>
          </w:tcPr>
          <w:p>
            <w:pPr>
              <w:pStyle w:val="TableContents"/>
              <w:bidi w:val="0"/>
              <w:spacing w:before="0" w:after="283"/>
              <w:jc w:val="left"/>
              <w:rPr>
                <w:sz w:val="20"/>
              </w:rPr>
            </w:pPr>
            <w:r>
              <w:rPr>
                <w:sz w:val="20"/>
              </w:rPr>
              <w:t>New York, New York 10017</w:t>
            </w:r>
          </w:p>
        </w:tc>
      </w:tr>
      <w:tr>
        <w:trPr/>
        <w:tc>
          <w:tcPr>
            <w:tcW w:w="920" w:type="dxa"/>
            <w:tcBorders/>
            <w:vAlign w:val="center"/>
          </w:tcPr>
          <w:p>
            <w:pPr>
              <w:pStyle w:val="TableContents"/>
              <w:bidi w:val="0"/>
              <w:spacing w:before="0" w:after="283"/>
              <w:jc w:val="left"/>
              <w:rPr>
                <w:sz w:val="20"/>
              </w:rPr>
            </w:pPr>
            <w:r>
              <w:rPr>
                <w:sz w:val="20"/>
              </w:rPr>
              <w:t xml:space="preserve">Attention: </w:t>
            </w:r>
          </w:p>
        </w:tc>
        <w:tc>
          <w:tcPr>
            <w:tcW w:w="3275" w:type="dxa"/>
            <w:tcBorders/>
            <w:vAlign w:val="center"/>
          </w:tcPr>
          <w:p>
            <w:pPr>
              <w:pStyle w:val="TableContents"/>
              <w:bidi w:val="0"/>
              <w:spacing w:before="0" w:after="283"/>
              <w:jc w:val="left"/>
              <w:rPr>
                <w:sz w:val="20"/>
              </w:rPr>
            </w:pPr>
            <w:r>
              <w:rPr>
                <w:sz w:val="20"/>
              </w:rPr>
              <w:t>Nicole Brookshire</w:t>
            </w:r>
          </w:p>
        </w:tc>
      </w:tr>
      <w:tr>
        <w:trPr/>
        <w:tc>
          <w:tcPr>
            <w:tcW w:w="9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sz w:val="20"/>
              </w:rPr>
            </w:pPr>
            <w:r>
              <w:rPr>
                <w:sz w:val="20"/>
              </w:rPr>
              <w:t>Paul S. Scrivano</w:t>
            </w:r>
          </w:p>
        </w:tc>
      </w:tr>
      <w:tr>
        <w:trPr/>
        <w:tc>
          <w:tcPr>
            <w:tcW w:w="9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sz w:val="20"/>
              </w:rPr>
            </w:pPr>
            <w:r>
              <w:rPr>
                <w:sz w:val="20"/>
              </w:rPr>
              <w:t>Pedro J. Bermeo</w:t>
            </w:r>
          </w:p>
        </w:tc>
      </w:tr>
      <w:tr>
        <w:trPr/>
        <w:tc>
          <w:tcPr>
            <w:tcW w:w="920" w:type="dxa"/>
            <w:tcBorders/>
            <w:vAlign w:val="center"/>
          </w:tcPr>
          <w:p>
            <w:pPr>
              <w:pStyle w:val="TableContents"/>
              <w:bidi w:val="0"/>
              <w:spacing w:before="0" w:after="283"/>
              <w:jc w:val="left"/>
              <w:rPr/>
            </w:pPr>
            <w:r>
              <w:rPr/>
              <w:t xml:space="preserve">Email: </w:t>
            </w:r>
          </w:p>
        </w:tc>
        <w:tc>
          <w:tcPr>
            <w:tcW w:w="3275" w:type="dxa"/>
            <w:tcBorders/>
            <w:vAlign w:val="center"/>
          </w:tcPr>
          <w:p>
            <w:pPr>
              <w:pStyle w:val="TableContents"/>
              <w:bidi w:val="0"/>
              <w:spacing w:before="0" w:after="283"/>
              <w:jc w:val="left"/>
              <w:rPr/>
            </w:pPr>
            <w:r>
              <w:rPr/>
              <w:t>nicole.brookshire@davispolk.com</w:t>
            </w:r>
          </w:p>
        </w:tc>
      </w:tr>
      <w:tr>
        <w:trPr/>
        <w:tc>
          <w:tcPr>
            <w:tcW w:w="9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paul.scrivano@davispolk.com</w:t>
            </w:r>
          </w:p>
        </w:tc>
      </w:tr>
      <w:tr>
        <w:trPr/>
        <w:tc>
          <w:tcPr>
            <w:tcW w:w="92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left"/>
              <w:rPr/>
            </w:pPr>
            <w:r>
              <w:rPr/>
              <w:t>pedro.bermeo@davispolk.com</w:t>
            </w:r>
          </w:p>
        </w:tc>
      </w:tr>
    </w:tbl>
    <w:p>
      <w:pPr>
        <w:pStyle w:val="TextBody"/>
        <w:bidi w:val="0"/>
        <w:spacing w:before="0" w:after="0"/>
        <w:ind w:left="2160" w:right="0" w:hanging="0"/>
        <w:jc w:val="left"/>
        <w:rPr/>
      </w:pPr>
      <w:r>
        <w:rPr/>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to any Backstop Purchaser, to the address set forth next to such Backstop Purchaser’s name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Specific Performance; Exclusive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 the Court of Chancery of the State of Delaware or, if under applicable Law exclusive jurisdiction over such matter is vested in the federal courts, any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 In the event a claim or action should be brought in equity to enforce any of the provisions of this Agreement, no Party will allege, and each Party waives the defense, that there is an adequate remedy under applicable Law or that an award of specific performance is not an appropriate remedy for any reason at law or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contemplated hereby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Notwithstanding the foregoing, each Party agrees that a final Judgment in any proceeding properly brought in accordance with the terms of this Agreement shall be conclusive and may be enforced by suit on the judgment in any jurisdiction or in any other manner provided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PARTIES HEREBY KNOWINGLY, INTENTIONALLY AND VOLUNTARILY IRREVOCABLY WAIVES ANY AND ALL RIGHTS TO TRIAL BY JURY IN ANY LEGAL PROCEEDING ARISING OUT OF OR RELATED TO THIS AGREEMENT OR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Amendment; Waiver; Counterparts. This Agreement may not be modified, amended or supplemented, except by written instrument executed by the Parties. Any of the terms or provisions hereof may be waived in writing at any time by the Party that is entitled to the benefits of such waived terms or provisions. No failure to exercise, and no delay in exercising, any right, power or privilege under this Agreement will operate as a waiver, nor will any single or partial exercise of any right, power or privilege hereunder preclude the exercise of any other right, power or privilege. No waiver of any breach of any provision will be deemed to be a waiver of any preceding or succeeding breach of the same or any other provision, nor will any waiver be implied from any course of dealing between the Parties. No extension of time for performance of any obligations or other acts hereunder or under any other agreement will be deemed to be an extension of the time for performance of any other obligations or any other 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Entire Agreement; No Third-Party Beneficiaries</w:t>
      </w:r>
      <w:r>
        <w:rPr>
          <w:rFonts w:ascii="Times New Roman;Times;Serif" w:hAnsi="Times New Roman;Times;Serif"/>
          <w:b w:val="false"/>
          <w:i w:val="false"/>
          <w:caps w:val="false"/>
          <w:smallCaps w:val="false"/>
          <w:sz w:val="20"/>
        </w:rPr>
        <w:t>. This Agreement constitutes the entire agreement, and supersedes all prior agreements and understandings, both written and oral, between the Parties with respect to the subject matter hereof and is not intended to confer upon any Person other than the Parties any rights or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Each Party shall pay its own fees and expenses in connection with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invalid, illegal or incapable of being enforced by any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all of which shall be considered one and the same agreement and shall become effective when one or more counterparts have been signed by each of the Parties and delivered to each other Party. Delivery of an executed counterpart of a signature page to this Agreement by “.pdf” format, scanned pages or electronic signature shall be effective as delivery of a manually executed counterpart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Neither this Agreement nor any of the rights, interests or obligations under this Agreement shall be assigned, in whole or in part, by operation of law or otherwise by any of the Parties without the prior written consent of each other Party, except that each Backstop Purchaser may, upon prior written notice to the Company, assign, in its sole discretion, any or all of its rights, interests and obligations under this Agreement to any Affiliate of such Backstop Purchaser, so long as such Backstop Purchaser continues to remain liable for all of such obligations as if no such assignment had occurred. Any purported assignment without such consent shall be void. This Agreement will be binding upon, inure to the benefit of, and be enforceable by, the Parties and their respective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Nonsurvival of Representations and Warranties</w:t>
      </w:r>
      <w:r>
        <w:rPr>
          <w:rFonts w:ascii="Times New Roman;Times;Serif" w:hAnsi="Times New Roman;Times;Serif"/>
          <w:b w:val="false"/>
          <w:i w:val="false"/>
          <w:caps w:val="false"/>
          <w:smallCaps w:val="false"/>
          <w:sz w:val="20"/>
        </w:rPr>
        <w:t xml:space="preserve">. None of the representations, warranties, covenants and other agreements in this Agreement or in any instrument delivered pursuant to this Agreement, shall survive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shall not limit any covenant or agreement of the Parties which by its terms contemplates performance at or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duly executed and delivered this Agreement, all as of the date first set forth above.</w:t>
      </w:r>
    </w:p>
    <w:p>
      <w:pPr>
        <w:pStyle w:val="TextBody"/>
        <w:bidi w:val="0"/>
        <w:spacing w:before="0" w:after="0"/>
        <w:ind w:left="0" w:right="0" w:firstLine="72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650"/>
        <w:gridCol w:w="3755"/>
      </w:tblGrid>
      <w:tr>
        <w:trPr/>
        <w:tc>
          <w:tcPr>
            <w:tcW w:w="75" w:type="dxa"/>
            <w:tcBorders/>
            <w:vAlign w:val="center"/>
          </w:tcPr>
          <w:p>
            <w:pPr>
              <w:pStyle w:val="TableContents"/>
              <w:bidi w:val="0"/>
              <w:spacing w:before="0" w:after="283"/>
              <w:jc w:val="left"/>
              <w:rPr/>
            </w:pPr>
            <w:r>
              <w:rPr/>
              <w:t> </w:t>
            </w:r>
          </w:p>
        </w:tc>
        <w:tc>
          <w:tcPr>
            <w:tcW w:w="4405" w:type="dxa"/>
            <w:gridSpan w:val="2"/>
            <w:tcBorders/>
            <w:vAlign w:val="center"/>
          </w:tcPr>
          <w:p>
            <w:pPr>
              <w:pStyle w:val="TableContents"/>
              <w:bidi w:val="0"/>
              <w:spacing w:before="0" w:after="283"/>
              <w:jc w:val="left"/>
              <w:rPr>
                <w:b/>
              </w:rPr>
            </w:pPr>
            <w:r>
              <w:rPr>
                <w:b/>
              </w:rPr>
              <w:t>COMPANY</w:t>
            </w:r>
          </w:p>
        </w:tc>
      </w:tr>
      <w:tr>
        <w:trPr/>
        <w:tc>
          <w:tcPr>
            <w:tcW w:w="75" w:type="dxa"/>
            <w:tcBorders/>
            <w:vAlign w:val="center"/>
          </w:tcPr>
          <w:p>
            <w:pPr>
              <w:pStyle w:val="TableContents"/>
              <w:bidi w:val="0"/>
              <w:spacing w:before="0" w:after="283"/>
              <w:jc w:val="left"/>
              <w:rPr/>
            </w:pPr>
            <w:r>
              <w:rPr/>
              <w:t> </w:t>
            </w:r>
          </w:p>
        </w:tc>
        <w:tc>
          <w:tcPr>
            <w:tcW w:w="44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5" w:type="dxa"/>
            <w:gridSpan w:val="2"/>
            <w:tcBorders/>
            <w:vAlign w:val="center"/>
          </w:tcPr>
          <w:p>
            <w:pPr>
              <w:pStyle w:val="TableContents"/>
              <w:bidi w:val="0"/>
              <w:spacing w:before="0" w:after="283"/>
              <w:jc w:val="left"/>
              <w:rPr/>
            </w:pPr>
            <w:r>
              <w:rPr/>
              <w:t>RENT THE RUNWAY, INC.</w:t>
            </w:r>
          </w:p>
        </w:tc>
      </w:tr>
      <w:tr>
        <w:trPr/>
        <w:tc>
          <w:tcPr>
            <w:tcW w:w="75" w:type="dxa"/>
            <w:tcBorders/>
            <w:vAlign w:val="center"/>
          </w:tcPr>
          <w:p>
            <w:pPr>
              <w:pStyle w:val="TableContents"/>
              <w:bidi w:val="0"/>
              <w:spacing w:before="0" w:after="283"/>
              <w:jc w:val="left"/>
              <w:rPr/>
            </w:pPr>
            <w:r>
              <w:rPr/>
              <w:t> </w:t>
            </w:r>
          </w:p>
        </w:tc>
        <w:tc>
          <w:tcPr>
            <w:tcW w:w="44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755" w:type="dxa"/>
            <w:tcBorders>
              <w:bottom w:val="single" w:sz="8" w:space="0" w:color="000000"/>
            </w:tcBorders>
            <w:tcMar>
              <w:bottom w:w="28" w:type="dxa"/>
            </w:tcMar>
            <w:vAlign w:val="center"/>
          </w:tcPr>
          <w:p>
            <w:pPr>
              <w:pStyle w:val="TableContents"/>
              <w:bidi w:val="0"/>
              <w:spacing w:before="0" w:after="283"/>
              <w:jc w:val="left"/>
              <w:rPr/>
            </w:pPr>
            <w:r>
              <w:rPr/>
              <w:t>/s/ Cara Schembri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755" w:type="dxa"/>
            <w:tcBorders/>
            <w:vAlign w:val="center"/>
          </w:tcPr>
          <w:p>
            <w:pPr>
              <w:pStyle w:val="TableContents"/>
              <w:bidi w:val="0"/>
              <w:spacing w:before="0" w:after="283"/>
              <w:jc w:val="left"/>
              <w:rPr/>
            </w:pPr>
            <w:r>
              <w:rPr/>
              <w:t>Cara Schembri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755" w:type="dxa"/>
            <w:tcBorders/>
            <w:vAlign w:val="center"/>
          </w:tcPr>
          <w:p>
            <w:pPr>
              <w:pStyle w:val="TableContents"/>
              <w:bidi w:val="0"/>
              <w:spacing w:before="0" w:after="283"/>
              <w:jc w:val="left"/>
              <w:rPr/>
            </w:pPr>
            <w:r>
              <w:rPr/>
              <w:t>Chief Legal and Administrative Officer</w:t>
            </w:r>
          </w:p>
        </w:tc>
      </w:tr>
    </w:tbl>
    <w:p>
      <w:pPr>
        <w:pStyle w:val="TextBody"/>
        <w:bidi w:val="0"/>
        <w:spacing w:before="0" w:after="0"/>
        <w:ind w:left="0" w:right="0" w:hanging="0"/>
        <w:jc w:val="both"/>
        <w:rPr>
          <w:caps w:val="false"/>
          <w:smallCaps w:val="false"/>
        </w:rPr>
      </w:pPr>
      <w:r>
        <w:rPr>
          <w:caps w:val="false"/>
          <w:smallCaps w:val="false"/>
        </w:rPr>
        <w:t> </w:t>
      </w:r>
    </w:p>
    <w:tbl>
      <w:tblPr>
        <w:tblW w:w="3859" w:type="dxa"/>
        <w:jc w:val="left"/>
        <w:tblInd w:w="0" w:type="dxa"/>
        <w:tblLayout w:type="fixed"/>
        <w:tblCellMar>
          <w:top w:w="0" w:type="dxa"/>
          <w:left w:w="0" w:type="dxa"/>
          <w:bottom w:w="0" w:type="dxa"/>
          <w:right w:w="0" w:type="dxa"/>
        </w:tblCellMar>
      </w:tblPr>
      <w:tblGrid>
        <w:gridCol w:w="75"/>
        <w:gridCol w:w="902"/>
        <w:gridCol w:w="2882"/>
      </w:tblGrid>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b/>
              </w:rPr>
            </w:pPr>
            <w:r>
              <w:rPr>
                <w:b/>
              </w:rPr>
              <w:t>BACKSTOP PURCHASERS</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CHS US INVESTMENTS LLC</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By: CHS GP LP, as manager</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By: CHS UGP LLC, as general partner</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left"/>
              <w:rPr/>
            </w:pPr>
            <w:r>
              <w:rPr/>
              <w:t>By:</w:t>
            </w:r>
          </w:p>
        </w:tc>
        <w:tc>
          <w:tcPr>
            <w:tcW w:w="2882" w:type="dxa"/>
            <w:tcBorders>
              <w:bottom w:val="single" w:sz="8" w:space="0" w:color="000000"/>
            </w:tcBorders>
            <w:tcMar>
              <w:bottom w:w="28" w:type="dxa"/>
            </w:tcMar>
            <w:vAlign w:val="center"/>
          </w:tcPr>
          <w:p>
            <w:pPr>
              <w:pStyle w:val="TableContents"/>
              <w:bidi w:val="0"/>
              <w:spacing w:before="0" w:after="283"/>
              <w:jc w:val="left"/>
              <w:rPr/>
            </w:pPr>
            <w:r>
              <w:rPr/>
              <w:t>/s/ Brady Schuck</w:t>
            </w:r>
          </w:p>
        </w:tc>
      </w:tr>
      <w:tr>
        <w:trPr/>
        <w:tc>
          <w:tcPr>
            <w:tcW w:w="75"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left"/>
              <w:rPr/>
            </w:pPr>
            <w:r>
              <w:rPr/>
              <w:t>Name:</w:t>
            </w:r>
          </w:p>
        </w:tc>
        <w:tc>
          <w:tcPr>
            <w:tcW w:w="2882" w:type="dxa"/>
            <w:tcBorders/>
            <w:vAlign w:val="center"/>
          </w:tcPr>
          <w:p>
            <w:pPr>
              <w:pStyle w:val="TableContents"/>
              <w:bidi w:val="0"/>
              <w:spacing w:before="0" w:after="283"/>
              <w:jc w:val="left"/>
              <w:rPr/>
            </w:pPr>
            <w:r>
              <w:rPr/>
              <w:t>Brady Schuck</w:t>
            </w:r>
          </w:p>
        </w:tc>
      </w:tr>
      <w:tr>
        <w:trPr/>
        <w:tc>
          <w:tcPr>
            <w:tcW w:w="75" w:type="dxa"/>
            <w:tcBorders/>
            <w:vAlign w:val="center"/>
          </w:tcPr>
          <w:p>
            <w:pPr>
              <w:pStyle w:val="TableContents"/>
              <w:bidi w:val="0"/>
              <w:spacing w:before="0" w:after="283"/>
              <w:jc w:val="left"/>
              <w:rPr/>
            </w:pPr>
            <w:r>
              <w:rPr/>
              <w:t> </w:t>
            </w:r>
          </w:p>
        </w:tc>
        <w:tc>
          <w:tcPr>
            <w:tcW w:w="902" w:type="dxa"/>
            <w:tcBorders/>
            <w:vAlign w:val="center"/>
          </w:tcPr>
          <w:p>
            <w:pPr>
              <w:pStyle w:val="TableContents"/>
              <w:bidi w:val="0"/>
              <w:spacing w:before="0" w:after="283"/>
              <w:jc w:val="left"/>
              <w:rPr/>
            </w:pPr>
            <w:r>
              <w:rPr/>
              <w:t>Title:</w:t>
            </w:r>
          </w:p>
        </w:tc>
        <w:tc>
          <w:tcPr>
            <w:tcW w:w="2882"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hanging="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650"/>
        <w:gridCol w:w="2390"/>
      </w:tblGrid>
      <w:tr>
        <w:trPr/>
        <w:tc>
          <w:tcPr>
            <w:tcW w:w="75" w:type="dxa"/>
            <w:tcBorders/>
            <w:vAlign w:val="center"/>
          </w:tcPr>
          <w:p>
            <w:pPr>
              <w:pStyle w:val="TableContents"/>
              <w:bidi w:val="0"/>
              <w:spacing w:before="0" w:after="283"/>
              <w:jc w:val="left"/>
              <w:rPr/>
            </w:pPr>
            <w:r>
              <w:rPr/>
              <w:t> </w:t>
            </w:r>
          </w:p>
        </w:tc>
        <w:tc>
          <w:tcPr>
            <w:tcW w:w="3040" w:type="dxa"/>
            <w:gridSpan w:val="2"/>
            <w:tcBorders/>
            <w:vAlign w:val="center"/>
          </w:tcPr>
          <w:p>
            <w:pPr>
              <w:pStyle w:val="TableContents"/>
              <w:bidi w:val="0"/>
              <w:spacing w:before="0" w:after="283"/>
              <w:jc w:val="left"/>
              <w:rPr/>
            </w:pPr>
            <w:r>
              <w:rPr/>
              <w:t>GATEWAY RUNWAY, LLC</w:t>
            </w:r>
          </w:p>
        </w:tc>
      </w:tr>
      <w:tr>
        <w:trPr/>
        <w:tc>
          <w:tcPr>
            <w:tcW w:w="75" w:type="dxa"/>
            <w:tcBorders/>
            <w:vAlign w:val="center"/>
          </w:tcPr>
          <w:p>
            <w:pPr>
              <w:pStyle w:val="TableContents"/>
              <w:bidi w:val="0"/>
              <w:spacing w:before="0" w:after="283"/>
              <w:jc w:val="left"/>
              <w:rPr/>
            </w:pPr>
            <w:r>
              <w:rPr/>
              <w:t> </w:t>
            </w:r>
          </w:p>
        </w:tc>
        <w:tc>
          <w:tcPr>
            <w:tcW w:w="30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90" w:type="dxa"/>
            <w:tcBorders>
              <w:bottom w:val="single" w:sz="8" w:space="0" w:color="000000"/>
            </w:tcBorders>
            <w:tcMar>
              <w:bottom w:w="28" w:type="dxa"/>
            </w:tcMar>
            <w:vAlign w:val="center"/>
          </w:tcPr>
          <w:p>
            <w:pPr>
              <w:pStyle w:val="TableContents"/>
              <w:bidi w:val="0"/>
              <w:spacing w:before="0" w:after="283"/>
              <w:jc w:val="left"/>
              <w:rPr/>
            </w:pPr>
            <w:r>
              <w:rPr/>
              <w:t>/s/ Damian Giangiacomo</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90" w:type="dxa"/>
            <w:tcBorders/>
            <w:vAlign w:val="center"/>
          </w:tcPr>
          <w:p>
            <w:pPr>
              <w:pStyle w:val="TableContents"/>
              <w:bidi w:val="0"/>
              <w:spacing w:before="0" w:after="283"/>
              <w:jc w:val="left"/>
              <w:rPr/>
            </w:pPr>
            <w:r>
              <w:rPr/>
              <w:t>Damian Giangiacomo</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90" w:type="dxa"/>
            <w:tcBorders/>
            <w:vAlign w:val="center"/>
          </w:tcPr>
          <w:p>
            <w:pPr>
              <w:pStyle w:val="TableContents"/>
              <w:bidi w:val="0"/>
              <w:spacing w:before="0" w:after="283"/>
              <w:jc w:val="left"/>
              <w:rPr/>
            </w:pPr>
            <w:r>
              <w:rPr/>
              <w:t>President</w:t>
            </w:r>
          </w:p>
        </w:tc>
      </w:tr>
    </w:tbl>
    <w:p>
      <w:pPr>
        <w:pStyle w:val="TextBody"/>
        <w:bidi w:val="0"/>
        <w:spacing w:before="0" w:after="0"/>
        <w:ind w:left="0" w:right="0" w:hanging="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650"/>
        <w:gridCol w:w="2555"/>
      </w:tblGrid>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pPr>
            <w:r>
              <w:rPr/>
              <w:t>S3 RR AGGREGATOR, LLC</w:t>
            </w:r>
          </w:p>
        </w:tc>
      </w:tr>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555" w:type="dxa"/>
            <w:tcBorders>
              <w:bottom w:val="single" w:sz="8" w:space="0" w:color="000000"/>
            </w:tcBorders>
            <w:tcMar>
              <w:bottom w:w="28" w:type="dxa"/>
            </w:tcMar>
            <w:vAlign w:val="center"/>
          </w:tcPr>
          <w:p>
            <w:pPr>
              <w:pStyle w:val="TableContents"/>
              <w:bidi w:val="0"/>
              <w:spacing w:before="0" w:after="283"/>
              <w:jc w:val="left"/>
              <w:rPr/>
            </w:pPr>
            <w:r>
              <w:rPr/>
              <w:t>/s/ Peter Comisar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555" w:type="dxa"/>
            <w:tcBorders/>
            <w:vAlign w:val="center"/>
          </w:tcPr>
          <w:p>
            <w:pPr>
              <w:pStyle w:val="TableContents"/>
              <w:bidi w:val="0"/>
              <w:spacing w:before="0" w:after="283"/>
              <w:jc w:val="left"/>
              <w:rPr/>
            </w:pPr>
            <w:r>
              <w:rPr/>
              <w:t>Peter Comisar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555" w:type="dxa"/>
            <w:tcBorders/>
            <w:vAlign w:val="center"/>
          </w:tcPr>
          <w:p>
            <w:pPr>
              <w:pStyle w:val="TableContents"/>
              <w:bidi w:val="0"/>
              <w:spacing w:before="0" w:after="283"/>
              <w:jc w:val="left"/>
              <w:rPr/>
            </w:pPr>
            <w:r>
              <w:rPr/>
              <w:t>Authorized Representative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Rights Offering Backstop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Address of Backstop Purchasers</w:t>
      </w:r>
    </w:p>
    <w:p>
      <w:pPr>
        <w:pStyle w:val="TextBody"/>
        <w:bidi w:val="0"/>
        <w:spacing w:before="0" w:after="0"/>
        <w:ind w:left="0" w:right="0" w:hanging="0"/>
        <w:jc w:val="center"/>
        <w:rPr>
          <w:caps w:val="false"/>
          <w:smallCaps w:val="false"/>
        </w:rPr>
      </w:pPr>
      <w:r>
        <w:rPr>
          <w:caps w:val="false"/>
          <w:smallCaps w:val="false"/>
        </w:rPr>
        <w:t> </w:t>
      </w:r>
    </w:p>
    <w:tbl>
      <w:tblPr>
        <w:tblW w:w="6895" w:type="dxa"/>
        <w:jc w:val="left"/>
        <w:tblInd w:w="-10" w:type="dxa"/>
        <w:tblLayout w:type="fixed"/>
        <w:tblCellMar>
          <w:top w:w="28" w:type="dxa"/>
          <w:left w:w="100" w:type="dxa"/>
          <w:bottom w:w="28" w:type="dxa"/>
          <w:right w:w="28" w:type="dxa"/>
        </w:tblCellMar>
      </w:tblPr>
      <w:tblGrid>
        <w:gridCol w:w="2255"/>
        <w:gridCol w:w="4640"/>
      </w:tblGrid>
      <w:tr>
        <w:trPr/>
        <w:tc>
          <w:tcPr>
            <w:tcW w:w="2255"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ind w:left="0" w:right="0" w:firstLine="10"/>
              <w:jc w:val="center"/>
              <w:rPr>
                <w:b/>
                <w:sz w:val="20"/>
              </w:rPr>
            </w:pPr>
            <w:r>
              <w:rPr>
                <w:b/>
                <w:sz w:val="20"/>
              </w:rPr>
              <w:t>Backstop Purchaser</w:t>
            </w:r>
          </w:p>
        </w:tc>
        <w:tc>
          <w:tcPr>
            <w:tcW w:w="464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Notice Address</w:t>
            </w:r>
          </w:p>
        </w:tc>
      </w:tr>
      <w:tr>
        <w:trPr/>
        <w:tc>
          <w:tcPr>
            <w:tcW w:w="225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both"/>
              <w:rPr>
                <w:sz w:val="20"/>
              </w:rPr>
            </w:pPr>
            <w:r>
              <w:rPr>
                <w:sz w:val="20"/>
              </w:rPr>
              <w:t>CHS US Investments LLC</w:t>
            </w:r>
          </w:p>
        </w:tc>
        <w:tc>
          <w:tcPr>
            <w:tcW w:w="464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CHS US Investments LLC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 Madison Avenue, 22nd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Legal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operations@apstrategies.com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Proskauer Rose LLP</w:t>
              <w:br/>
              <w:t>Eleven Times Square</w:t>
              <w:br/>
              <w:t>New York, New York 10036</w:t>
              <w:br/>
              <w:t>Attention: Michael Ellis; Anya Hodes</w:t>
              <w:br/>
              <w:t xml:space="preserve">Email: </w:t>
              <w:tab/>
              <w:t>mellis@proskauer.com; ahodes@proskauer.com</w:t>
            </w:r>
          </w:p>
          <w:p>
            <w:pPr>
              <w:pStyle w:val="TableContents"/>
              <w:bidi w:val="0"/>
              <w:spacing w:before="0" w:after="0"/>
              <w:ind w:left="0" w:right="0" w:hanging="0"/>
              <w:jc w:val="left"/>
              <w:rPr>
                <w:caps w:val="false"/>
                <w:smallCaps w:val="false"/>
              </w:rPr>
            </w:pPr>
            <w:r>
              <w:rPr>
                <w:caps w:val="false"/>
                <w:smallCaps w:val="false"/>
              </w:rPr>
              <w:t> </w:t>
            </w:r>
          </w:p>
        </w:tc>
      </w:tr>
      <w:tr>
        <w:trPr/>
        <w:tc>
          <w:tcPr>
            <w:tcW w:w="225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both"/>
              <w:rPr>
                <w:sz w:val="20"/>
              </w:rPr>
            </w:pPr>
            <w:r>
              <w:rPr>
                <w:sz w:val="20"/>
              </w:rPr>
              <w:t>Gateway Runway, LLC</w:t>
            </w:r>
          </w:p>
        </w:tc>
        <w:tc>
          <w:tcPr>
            <w:tcW w:w="464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Nexus Capital Management LP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11111 Santa Monica Boulevard, Suite 350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 90025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Bjorn Sperber; Damian Giangiacomo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bsperber@nexuslp.com; damian@nexuslp.com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10250 Constellation Blvd., Suite 100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 90067</w:t>
              <w:br/>
              <w:t>Attention: Jason R. Bosworth</w:t>
              <w:br/>
              <w:t>Email: Jason.Bosworth@lw.com</w:t>
            </w:r>
          </w:p>
          <w:p>
            <w:pPr>
              <w:pStyle w:val="TableContents"/>
              <w:bidi w:val="0"/>
              <w:spacing w:before="0" w:after="0"/>
              <w:ind w:left="0" w:right="0" w:hanging="0"/>
              <w:jc w:val="left"/>
              <w:rPr>
                <w:caps w:val="false"/>
                <w:smallCaps w:val="false"/>
              </w:rPr>
            </w:pPr>
            <w:r>
              <w:rPr>
                <w:caps w:val="false"/>
                <w:smallCaps w:val="false"/>
              </w:rPr>
              <w:t> </w:t>
            </w:r>
          </w:p>
        </w:tc>
      </w:tr>
      <w:tr>
        <w:trPr/>
        <w:tc>
          <w:tcPr>
            <w:tcW w:w="225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both"/>
              <w:rPr>
                <w:sz w:val="20"/>
              </w:rPr>
            </w:pPr>
            <w:r>
              <w:rPr>
                <w:sz w:val="20"/>
              </w:rPr>
              <w:t>S3 RR Aggregator, LLC</w:t>
            </w:r>
          </w:p>
        </w:tc>
        <w:tc>
          <w:tcPr>
            <w:tcW w:w="464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Story3 Capital Partners LLC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 N Logan St, Ste 660, PMB 43072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Colorado 80203-1942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Clay Krebs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clay@story3capital.com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10250 Constellation Blvd., Suite 100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 90067</w:t>
              <w:br/>
              <w:t>Attention: Jason R. Bosworth</w:t>
              <w:br/>
              <w:t>Email: Jason.Bosworth@lw.com</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Backstop Purchaser Backstop Commitment Allocation Schedule</w:t>
      </w:r>
    </w:p>
    <w:p>
      <w:pPr>
        <w:pStyle w:val="TextBody"/>
        <w:bidi w:val="0"/>
        <w:spacing w:before="0" w:after="0"/>
        <w:ind w:left="0" w:right="0" w:hanging="0"/>
        <w:jc w:val="center"/>
        <w:rPr>
          <w:caps w:val="false"/>
          <w:smallCaps w:val="false"/>
        </w:rPr>
      </w:pPr>
      <w:r>
        <w:rPr>
          <w:caps w:val="false"/>
          <w:smallCaps w:val="false"/>
        </w:rPr>
        <w:t> </w:t>
      </w:r>
    </w:p>
    <w:tbl>
      <w:tblPr>
        <w:tblW w:w="6975" w:type="dxa"/>
        <w:jc w:val="left"/>
        <w:tblInd w:w="-10" w:type="dxa"/>
        <w:tblLayout w:type="fixed"/>
        <w:tblCellMar>
          <w:top w:w="28" w:type="dxa"/>
          <w:left w:w="28" w:type="dxa"/>
          <w:bottom w:w="28" w:type="dxa"/>
          <w:right w:w="28" w:type="dxa"/>
        </w:tblCellMar>
      </w:tblPr>
      <w:tblGrid>
        <w:gridCol w:w="2255"/>
        <w:gridCol w:w="1910"/>
        <w:gridCol w:w="2810"/>
      </w:tblGrid>
      <w:tr>
        <w:trPr/>
        <w:tc>
          <w:tcPr>
            <w:tcW w:w="2255"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center"/>
              <w:rPr>
                <w:b/>
                <w:sz w:val="20"/>
              </w:rPr>
            </w:pPr>
            <w:r>
              <w:rPr>
                <w:b/>
                <w:sz w:val="20"/>
              </w:rPr>
              <w:t>Backstop Purchaser</w:t>
            </w:r>
          </w:p>
        </w:tc>
        <w:tc>
          <w:tcPr>
            <w:tcW w:w="191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Backstop Percentage</w:t>
            </w:r>
          </w:p>
        </w:tc>
        <w:tc>
          <w:tcPr>
            <w:tcW w:w="2810"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center"/>
              <w:rPr>
                <w:b/>
                <w:sz w:val="20"/>
              </w:rPr>
            </w:pPr>
            <w:r>
              <w:rPr>
                <w:b/>
                <w:sz w:val="20"/>
              </w:rPr>
              <w:t>Backstop Commitment Amount</w:t>
            </w:r>
          </w:p>
        </w:tc>
      </w:tr>
      <w:tr>
        <w:trPr/>
        <w:tc>
          <w:tcPr>
            <w:tcW w:w="22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CHS US Investments LLC</w:t>
            </w:r>
          </w:p>
        </w:tc>
        <w:tc>
          <w:tcPr>
            <w:tcW w:w="19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70%</w:t>
            </w:r>
          </w:p>
        </w:tc>
        <w:tc>
          <w:tcPr>
            <w:tcW w:w="28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$10,500,000</w:t>
            </w:r>
          </w:p>
        </w:tc>
      </w:tr>
      <w:tr>
        <w:trPr/>
        <w:tc>
          <w:tcPr>
            <w:tcW w:w="22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Gateway Runway, LLC</w:t>
            </w:r>
          </w:p>
        </w:tc>
        <w:tc>
          <w:tcPr>
            <w:tcW w:w="19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15%</w:t>
            </w:r>
          </w:p>
        </w:tc>
        <w:tc>
          <w:tcPr>
            <w:tcW w:w="28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$2,250,000</w:t>
            </w:r>
          </w:p>
        </w:tc>
      </w:tr>
      <w:tr>
        <w:trPr/>
        <w:tc>
          <w:tcPr>
            <w:tcW w:w="22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S3 RR Aggregator, LLC</w:t>
            </w:r>
          </w:p>
        </w:tc>
        <w:tc>
          <w:tcPr>
            <w:tcW w:w="19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15%</w:t>
            </w:r>
          </w:p>
        </w:tc>
        <w:tc>
          <w:tcPr>
            <w:tcW w:w="28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$2,250,000</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8888</Words>
  <Characters>48089</Characters>
  <CharactersWithSpaces>57131</CharactersWithSpaces>
  <Paragraphs>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