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695242312.xml.htm"/>
      <w:bookmarkStart w:id="1" w:name="kswkform4_169524231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Tam Sarah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RENT THE RUNWAY,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JAY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BROOKLYN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Rent the Runway, Inc.</w:t>
              </w:r>
            </w:hyperlink>
            <w:r>
              <w:rPr/>
              <w:t xml:space="preserve"> [ </w:t>
            </w:r>
            <w:r>
              <w:rPr>
                <w:rFonts w:ascii="Times;serif" w:hAnsi="Times;serif"/>
                <w:color w:val="0000FF"/>
                <w:sz w:val="24"/>
                <w:shd w:fill="FFFFFF" w:val="clear"/>
              </w:rPr>
              <w:t>RENT</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Merchant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09/18/2023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9"/>
        <w:gridCol w:w="902"/>
        <w:gridCol w:w="772"/>
        <w:gridCol w:w="599"/>
        <w:gridCol w:w="344"/>
        <w:gridCol w:w="963"/>
        <w:gridCol w:w="443"/>
        <w:gridCol w:w="880"/>
        <w:gridCol w:w="1143"/>
        <w:gridCol w:w="983"/>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09/18/2023</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10,613</w:t>
            </w:r>
            <w:r>
              <w:rPr>
                <w:rFonts w:ascii="Times;serif" w:hAnsi="Times;serif"/>
                <w:color w:val="008000"/>
                <w:position w:val="7"/>
                <w:sz w:val="16"/>
                <w:sz w:val="20"/>
                <w:shd w:fill="FFFFFF" w:val="clear"/>
              </w:rPr>
              <w:t>(2)</w:t>
            </w:r>
            <w:r>
              <w:rPr/>
              <w:t xml:space="preserve"> </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0.8238</w:t>
            </w:r>
            <w:r>
              <w:rPr>
                <w:rFonts w:ascii="Times;serif" w:hAnsi="Times;serif"/>
                <w:color w:val="008000"/>
                <w:position w:val="7"/>
                <w:sz w:val="16"/>
                <w:sz w:val="20"/>
                <w:shd w:fill="FFFFFF" w:val="clear"/>
              </w:rPr>
              <w:t>(3)</w:t>
            </w:r>
            <w:r>
              <w:rPr/>
              <w:t xml:space="preserve"> </w:t>
            </w:r>
          </w:p>
        </w:tc>
        <w:tc>
          <w:tcPr>
            <w:tcW w:w="11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470,449</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sold solely to cover taxes upon the vesting of restricted stock units pursuant to a standing Rule 10b5-1 instruction dated December 22, 2021.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Reporting Person's pro rata portion of the total shares sold on the transaction date to cover taxes upon vesting of restricted stock units for certain employees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$0.78 to $0.87,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Schembri as Attorney-in-fact for Sarah K. Tam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09/20/2023</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88484" TargetMode="External"/><Relationship Id="rId4" Type="http://schemas.openxmlformats.org/officeDocument/2006/relationships/hyperlink" Target="http://www.sec.gov/cgi-bin/browse-edgar?action=getcompany&amp;CIK=000146832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727</Words>
  <Characters>3882</Characters>
  <CharactersWithSpaces>4546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