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Harris Melanie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07/12/2023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07/12/2023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29,516</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rPr>
              <w:t>99,315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restricted stock units ("RSUs"), each of which represents a contingent right to receive one share of the Issuers Class A Common Stock. This award was granted as the Reporting Persons annual equity award pursuant to the Companys Non-Employee Director Compensation Program. The RSUs will vest on the earlier of 1) the one year anniversary of the grant date or 2) the date of the Companys next Annual Meeting of Stockholders, subject to the Reporting Persons continuous service as a member of the Board of Directors on such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2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Melanie</w:t>
      </w:r>
      <w:r>
        <w:rPr>
          <w:sz w:val="20"/>
          <w:szCs w:val="20"/>
          <w:color w:val="auto"/>
        </w:rPr>
        <w:tab/>
      </w:r>
      <w:r>
        <w:rPr>
          <w:rFonts w:ascii="Arial" w:cs="Arial" w:eastAsia="Arial" w:hAnsi="Arial"/>
          <w:sz w:val="15"/>
          <w:szCs w:val="15"/>
          <w:color w:val="0000FF"/>
        </w:rPr>
        <w:t>07/14/2023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Harris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278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876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96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2023-07-14T18:03:53Z</dcterms:created>
  <dcterms:modified xsi:type="dcterms:W3CDTF">2023-07-14T18:03:53Z</dcterms:modified>
</cp:coreProperties>
</file>