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40"/>
        <w:spacing w:after="0"/>
        <w:rPr>
          <w:sz w:val="20"/>
          <w:szCs w:val="20"/>
          <w:color w:val="auto"/>
        </w:rPr>
      </w:pPr>
      <w:r>
        <w:rPr>
          <w:rFonts w:ascii="Arial" w:cs="Arial" w:eastAsia="Arial" w:hAnsi="Arial"/>
          <w:sz w:val="18"/>
          <w:szCs w:val="18"/>
          <w:b w:val="1"/>
          <w:bCs w:val="1"/>
          <w:color w:val="auto"/>
        </w:rPr>
        <w:t>As filed with the Securities and Exchange Commission on February 27, 2026</w:t>
      </w:r>
    </w:p>
    <w:p>
      <w:pPr>
        <w:spacing w:after="0" w:line="2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Registration </w:t>
      </w:r>
      <w:r>
        <w:rPr>
          <w:rFonts w:ascii="Times New Roman" w:cs="Times New Roman" w:eastAsia="Times New Roman" w:hAnsi="Times New Roman"/>
          <w:sz w:val="21"/>
          <w:szCs w:val="21"/>
          <w:b w:val="1"/>
          <w:bCs w:val="1"/>
          <w:color w:val="auto"/>
        </w:rPr>
        <w:t>No. 333-</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328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S-8</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REGISTRATION STATEMENT</w:t>
      </w:r>
    </w:p>
    <w:p>
      <w:pPr>
        <w:jc w:val="center"/>
        <w:ind w:right="11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0" w:lineRule="exact"/>
        <w:rPr>
          <w:sz w:val="24"/>
          <w:szCs w:val="24"/>
          <w:color w:val="auto"/>
        </w:rPr>
      </w:pP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Rent the Runway, Inc.</w:t>
      </w:r>
    </w:p>
    <w:p>
      <w:pPr>
        <w:spacing w:after="0" w:line="42" w:lineRule="exact"/>
        <w:rPr>
          <w:sz w:val="24"/>
          <w:szCs w:val="24"/>
          <w:color w:val="auto"/>
        </w:rPr>
      </w:pPr>
    </w:p>
    <w:p>
      <w:pPr>
        <w:ind w:left="1800"/>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0120"/>
          </w:cols>
          <w:pgMar w:left="1440" w:top="458" w:right="339" w:bottom="1440" w:gutter="0" w:footer="0" w:header="0"/>
        </w:sectPr>
      </w:pPr>
    </w:p>
    <w:p>
      <w:pPr>
        <w:spacing w:after="0" w:line="319"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80-0376379</w:t>
      </w:r>
    </w:p>
    <w:p>
      <w:pPr>
        <w:spacing w:after="0" w:line="61" w:lineRule="exact"/>
        <w:rPr>
          <w:sz w:val="24"/>
          <w:szCs w:val="24"/>
          <w:color w:val="auto"/>
        </w:rPr>
      </w:pPr>
    </w:p>
    <w:p>
      <w:pPr>
        <w:sectPr>
          <w:pgSz w:w="11900" w:h="16838" w:orient="portrait"/>
          <w:cols w:equalWidth="0" w:num="2">
            <w:col w:w="5400" w:space="720"/>
            <w:col w:w="4000"/>
          </w:cols>
          <w:pgMar w:left="1440" w:top="458" w:right="339" w:bottom="1440" w:gutter="0" w:footer="0" w:header="0"/>
          <w:type w:val="continuous"/>
        </w:sectPr>
      </w:pPr>
    </w:p>
    <w:p>
      <w:pPr>
        <w:ind w:left="440"/>
        <w:spacing w:after="0"/>
        <w:rPr>
          <w:sz w:val="20"/>
          <w:szCs w:val="20"/>
          <w:color w:val="auto"/>
        </w:rPr>
      </w:pPr>
      <w:r>
        <w:rPr>
          <w:rFonts w:ascii="Arial" w:cs="Arial" w:eastAsia="Arial" w:hAnsi="Arial"/>
          <w:sz w:val="14"/>
          <w:szCs w:val="14"/>
          <w:b w:val="1"/>
          <w:bCs w:val="1"/>
          <w:color w:val="auto"/>
        </w:rPr>
        <w:t>(State or other jurisdiction of</w:t>
      </w:r>
    </w:p>
    <w:p>
      <w:pPr>
        <w:spacing w:after="0" w:line="15" w:lineRule="exact"/>
        <w:rPr>
          <w:sz w:val="24"/>
          <w:szCs w:val="24"/>
          <w:color w:val="auto"/>
        </w:rPr>
      </w:pPr>
    </w:p>
    <w:p>
      <w:pPr>
        <w:ind w:left="4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820"/>
        <w:spacing w:after="0"/>
        <w:rPr>
          <w:sz w:val="20"/>
          <w:szCs w:val="20"/>
          <w:color w:val="auto"/>
        </w:rPr>
      </w:pPr>
      <w:r>
        <w:rPr>
          <w:rFonts w:ascii="Arial" w:cs="Arial" w:eastAsia="Arial" w:hAnsi="Arial"/>
          <w:sz w:val="14"/>
          <w:szCs w:val="14"/>
          <w:b w:val="1"/>
          <w:bCs w:val="1"/>
          <w:color w:val="auto"/>
        </w:rPr>
        <w:t>(I.R.S. Employer</w:t>
      </w:r>
    </w:p>
    <w:p>
      <w:pPr>
        <w:spacing w:after="0" w:line="15" w:lineRule="exact"/>
        <w:rPr>
          <w:sz w:val="24"/>
          <w:szCs w:val="24"/>
          <w:color w:val="auto"/>
        </w:rPr>
      </w:pPr>
    </w:p>
    <w:p>
      <w:pPr>
        <w:jc w:val="center"/>
        <w:ind w:right="2820"/>
        <w:spacing w:after="0"/>
        <w:rPr>
          <w:sz w:val="20"/>
          <w:szCs w:val="20"/>
          <w:color w:val="auto"/>
        </w:rPr>
      </w:pPr>
      <w:r>
        <w:rPr>
          <w:rFonts w:ascii="Arial" w:cs="Arial" w:eastAsia="Arial" w:hAnsi="Arial"/>
          <w:sz w:val="14"/>
          <w:szCs w:val="14"/>
          <w:b w:val="1"/>
          <w:bCs w:val="1"/>
          <w:color w:val="auto"/>
        </w:rPr>
        <w:t>Identification No.)</w:t>
      </w:r>
    </w:p>
    <w:p>
      <w:pPr>
        <w:spacing w:after="0" w:line="85" w:lineRule="exact"/>
        <w:rPr>
          <w:sz w:val="24"/>
          <w:szCs w:val="24"/>
          <w:color w:val="auto"/>
        </w:rPr>
      </w:pPr>
    </w:p>
    <w:p>
      <w:pPr>
        <w:sectPr>
          <w:pgSz w:w="11900" w:h="16838" w:orient="portrait"/>
          <w:cols w:equalWidth="0" w:num="2">
            <w:col w:w="5360" w:space="720"/>
            <w:col w:w="4040"/>
          </w:cols>
          <w:pgMar w:left="1440" w:top="458" w:right="339" w:bottom="1440" w:gutter="0" w:footer="0" w:header="0"/>
          <w:type w:val="continuous"/>
        </w:sectPr>
      </w:pPr>
    </w:p>
    <w:p>
      <w:pPr>
        <w:jc w:val="center"/>
        <w:ind w:right="1100"/>
        <w:spacing w:after="0"/>
        <w:rPr>
          <w:sz w:val="20"/>
          <w:szCs w:val="20"/>
          <w:color w:val="auto"/>
        </w:rPr>
      </w:pPr>
      <w:r>
        <w:rPr>
          <w:rFonts w:ascii="Arial" w:cs="Arial" w:eastAsia="Arial" w:hAnsi="Arial"/>
          <w:sz w:val="18"/>
          <w:szCs w:val="18"/>
          <w:b w:val="1"/>
          <w:bCs w:val="1"/>
          <w:color w:val="auto"/>
        </w:rPr>
        <w:t>10 Jay Street</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Brooklyn, New York 11201</w:t>
      </w:r>
    </w:p>
    <w:p>
      <w:pPr>
        <w:jc w:val="center"/>
        <w:ind w:right="1100"/>
        <w:spacing w:after="0"/>
        <w:rPr>
          <w:sz w:val="20"/>
          <w:szCs w:val="20"/>
          <w:color w:val="auto"/>
        </w:rPr>
      </w:pPr>
      <w:r>
        <w:rPr>
          <w:rFonts w:ascii="Arial" w:cs="Arial" w:eastAsia="Arial" w:hAnsi="Arial"/>
          <w:sz w:val="18"/>
          <w:szCs w:val="18"/>
          <w:b w:val="1"/>
          <w:bCs w:val="1"/>
          <w:color w:val="auto"/>
        </w:rPr>
        <w:t>Telephone: (212) 524-6860</w:t>
      </w:r>
    </w:p>
    <w:p>
      <w:pPr>
        <w:spacing w:after="0" w:line="1" w:lineRule="exact"/>
        <w:rPr>
          <w:sz w:val="24"/>
          <w:szCs w:val="24"/>
          <w:color w:val="auto"/>
        </w:rPr>
      </w:pPr>
    </w:p>
    <w:p>
      <w:pPr>
        <w:ind w:left="2800"/>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0120"/>
          </w:cols>
          <w:pgMar w:left="1440" w:top="458" w:right="339" w:bottom="1440" w:gutter="0" w:footer="0" w:header="0"/>
          <w:type w:val="continuous"/>
        </w:sectPr>
      </w:pP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Restricted Stock Unit Inducement Award Agreement</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(Full title of the plans)</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Jennifer Y. Hyman, Co-Founder, Chief Executive Officer and President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Rent the Runway, Inc.</w:t>
      </w:r>
    </w:p>
    <w:p>
      <w:pPr>
        <w:jc w:val="center"/>
        <w:ind w:right="1120"/>
        <w:spacing w:after="0" w:line="234" w:lineRule="auto"/>
        <w:rPr>
          <w:sz w:val="20"/>
          <w:szCs w:val="20"/>
          <w:color w:val="auto"/>
        </w:rPr>
      </w:pPr>
      <w:r>
        <w:rPr>
          <w:rFonts w:ascii="Arial" w:cs="Arial" w:eastAsia="Arial" w:hAnsi="Arial"/>
          <w:sz w:val="18"/>
          <w:szCs w:val="18"/>
          <w:b w:val="1"/>
          <w:bCs w:val="1"/>
          <w:color w:val="auto"/>
        </w:rPr>
        <w:t>10 Jay Street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Brooklyn, New York 11201</w:t>
      </w:r>
    </w:p>
    <w:p>
      <w:pPr>
        <w:spacing w:after="0" w:line="1"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Telephone: (212) 524-6860</w:t>
      </w:r>
    </w:p>
    <w:p>
      <w:pPr>
        <w:spacing w:after="0" w:line="1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22" w:lineRule="exact"/>
        <w:rPr>
          <w:sz w:val="24"/>
          <w:szCs w:val="24"/>
          <w:color w:val="auto"/>
        </w:rPr>
      </w:pPr>
    </w:p>
    <w:tbl>
      <w:tblPr>
        <w:tblLayout w:type="fixed"/>
        <w:tblInd w:w="56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516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03"/>
        </w:trPr>
        <w:tc>
          <w:tcPr>
            <w:tcW w:w="2800" w:type="dxa"/>
            <w:vAlign w:val="bottom"/>
          </w:tcPr>
          <w:p>
            <w:pPr>
              <w:jc w:val="center"/>
              <w:ind w:right="450"/>
              <w:spacing w:after="0" w:line="202" w:lineRule="exact"/>
              <w:rPr>
                <w:sz w:val="20"/>
                <w:szCs w:val="20"/>
                <w:color w:val="auto"/>
              </w:rPr>
            </w:pPr>
            <w:r>
              <w:rPr>
                <w:rFonts w:ascii="Arial" w:cs="Arial" w:eastAsia="Arial" w:hAnsi="Arial"/>
                <w:sz w:val="18"/>
                <w:szCs w:val="18"/>
                <w:b w:val="1"/>
                <w:bCs w:val="1"/>
                <w:color w:val="auto"/>
                <w:w w:val="99"/>
              </w:rPr>
              <w:t>Jennifer S. Conway</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9"/>
              </w:rPr>
              <w:t>Cara Schembri</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b w:val="1"/>
                <w:bCs w:val="1"/>
                <w:color w:val="auto"/>
              </w:rPr>
              <w:t>Davis Polk &amp; Wardwell LLP</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9"/>
              </w:rPr>
              <w:t>Rent the Runway, Inc.</w:t>
            </w:r>
          </w:p>
        </w:tc>
      </w:tr>
      <w:tr>
        <w:trPr>
          <w:trHeight w:val="203"/>
        </w:trPr>
        <w:tc>
          <w:tcPr>
            <w:tcW w:w="280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99"/>
              </w:rPr>
              <w:t>450 Lexington Avenue</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9"/>
              </w:rPr>
              <w:t>10 Jay Street</w:t>
            </w:r>
          </w:p>
        </w:tc>
      </w:tr>
      <w:tr>
        <w:trPr>
          <w:trHeight w:val="203"/>
        </w:trPr>
        <w:tc>
          <w:tcPr>
            <w:tcW w:w="280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98"/>
              </w:rPr>
              <w:t>New York, New York 10017</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8"/>
              </w:rPr>
              <w:t>Brooklyn, New York 11201</w:t>
            </w:r>
          </w:p>
        </w:tc>
      </w:tr>
      <w:tr>
        <w:trPr>
          <w:trHeight w:val="247"/>
        </w:trPr>
        <w:tc>
          <w:tcPr>
            <w:tcW w:w="280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(212) 450-4000</w:t>
            </w:r>
          </w:p>
        </w:tc>
        <w:tc>
          <w:tcPr>
            <w:tcW w:w="516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(212) 524-6860</w:t>
            </w:r>
          </w:p>
        </w:tc>
      </w:tr>
    </w:tbl>
    <w:p>
      <w:pPr>
        <w:sectPr>
          <w:pgSz w:w="11900" w:h="16838" w:orient="portrait"/>
          <w:cols w:equalWidth="0" w:num="1">
            <w:col w:w="10120"/>
          </w:cols>
          <w:pgMar w:left="1440" w:top="458" w:right="339" w:bottom="1440" w:gutter="0" w:footer="0" w:header="0"/>
          <w:type w:val="continuous"/>
        </w:sectPr>
      </w:pPr>
    </w:p>
    <w:bookmarkStart w:id="1" w:name="page2"/>
    <w:bookmarkEnd w:id="1"/>
    <w:p>
      <w:pPr>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403" w:right="359" w:bottom="1440" w:gutter="0" w:footer="0" w:header="0"/>
        </w:sectPr>
      </w:pPr>
    </w:p>
    <w:p>
      <w:pPr>
        <w:spacing w:after="0" w:line="210" w:lineRule="exact"/>
        <w:rPr>
          <w:sz w:val="20"/>
          <w:szCs w:val="20"/>
          <w:color w:val="auto"/>
        </w:rPr>
      </w:pPr>
    </w:p>
    <w:p>
      <w:pPr>
        <w:ind w:left="2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0"/>
          <w:szCs w:val="20"/>
          <w:color w:val="auto"/>
        </w:rPr>
      </w:pPr>
    </w:p>
    <w:p>
      <w:pPr>
        <w:sectPr>
          <w:pgSz w:w="11900" w:h="16838" w:orient="portrait"/>
          <w:cols w:equalWidth="0" w:num="2">
            <w:col w:w="4120" w:space="720"/>
            <w:col w:w="6380"/>
          </w:cols>
          <w:pgMar w:left="320" w:top="1403" w:right="359" w:bottom="1440" w:gutter="0" w:footer="0" w:header="0"/>
          <w:type w:val="continuous"/>
        </w:sect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6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120" w:space="720"/>
            <w:col w:w="6380"/>
          </w:cols>
          <w:pgMar w:left="320" w:top="1403" w:right="359" w:bottom="1440" w:gutter="0" w:footer="0" w:header="0"/>
          <w:type w:val="continuous"/>
        </w:sectPr>
      </w:pPr>
    </w:p>
    <w:p>
      <w:pPr>
        <w:spacing w:after="0" w:line="152" w:lineRule="exact"/>
        <w:rPr>
          <w:sz w:val="20"/>
          <w:szCs w:val="20"/>
          <w:color w:val="auto"/>
        </w:rPr>
      </w:pPr>
    </w:p>
    <w:p>
      <w:pPr>
        <w:ind w:right="18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ectPr>
          <w:pgSz w:w="11900" w:h="16838" w:orient="portrait"/>
          <w:cols w:equalWidth="0" w:num="1">
            <w:col w:w="11220"/>
          </w:cols>
          <w:pgMar w:left="320" w:top="1403" w:right="35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39" w:lineRule="exact"/>
        <w:rPr>
          <w:sz w:val="20"/>
          <w:szCs w:val="20"/>
          <w:color w:val="auto"/>
        </w:rPr>
      </w:pPr>
    </w:p>
    <w:p>
      <w:pPr>
        <w:ind w:right="2340"/>
        <w:spacing w:after="0" w:line="255" w:lineRule="auto"/>
        <w:rPr>
          <w:sz w:val="20"/>
          <w:szCs w:val="20"/>
          <w:color w:val="auto"/>
        </w:rPr>
      </w:pPr>
      <w:r>
        <w:rPr>
          <w:rFonts w:ascii="Arial" w:cs="Arial" w:eastAsia="Arial" w:hAnsi="Arial"/>
          <w:sz w:val="18"/>
          <w:szCs w:val="18"/>
          <w:color w:val="auto"/>
        </w:rPr>
        <w:t>This Registration Statement on Form S-8 (“Registration Statement”) is being filed by Rent the Runway, Inc. (“Registrant”) for the purpose of registering 802,395 shares of the Registrant’s Class A common stock, par value $0.001, that may become issuable upon the vesting and settlement of the restricted stock units pursuant to the restricted stock unit inducement award agreement anticipated to be entered into by and between the Registrant and Mr. Fonseca and which has been approved by a majority of the independent directors (within the meaning of 5605(a)(2) of the Nasdaq Stock Market Listing Rules) of the Registrant’s Board of Directors in reliance on the employment inducement exemption to the shareholder approval requirements provided under 5635(c)(4) of the Nasdaq Stock Market Listing Rules.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information required by Part I of Form S-8 is omitted from this filing in accordance with Rule 428 of the Securities Act of 1933, as amended (the “Securities Act”), and the instructions to Form S-8. The documents containing the information specified in Part I will be sent or given to the participant in the plan covered by this Registration Statement as specified by Rule 428(b)(1)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of the Securities Act.</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previously filed with the Commission are hereby incorporated herein by reference:</w:t>
      </w:r>
    </w:p>
    <w:p>
      <w:pPr>
        <w:spacing w:after="0" w:line="252" w:lineRule="exact"/>
        <w:rPr>
          <w:sz w:val="20"/>
          <w:szCs w:val="20"/>
          <w:color w:val="auto"/>
        </w:rPr>
      </w:pPr>
    </w:p>
    <w:p>
      <w:pPr>
        <w:ind w:left="660" w:right="260" w:hanging="4"/>
        <w:spacing w:after="0" w:line="287" w:lineRule="auto"/>
        <w:tabs>
          <w:tab w:leader="none" w:pos="87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January 31, 2025, filed with the Commission on April 15, 2025 (File No. 001-40958) (the “Annual Report”);</w:t>
      </w:r>
    </w:p>
    <w:p>
      <w:pPr>
        <w:spacing w:after="0" w:line="179" w:lineRule="exact"/>
        <w:rPr>
          <w:rFonts w:ascii="Arial" w:cs="Arial" w:eastAsia="Arial" w:hAnsi="Arial"/>
          <w:sz w:val="18"/>
          <w:szCs w:val="18"/>
          <w:color w:val="auto"/>
        </w:rPr>
      </w:pPr>
    </w:p>
    <w:p>
      <w:pPr>
        <w:ind w:left="660" w:right="120" w:hanging="4"/>
        <w:spacing w:after="0" w:line="287" w:lineRule="auto"/>
        <w:tabs>
          <w:tab w:leader="none" w:pos="91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quarterly period ended April 30, 2025, filed with the Commission on June 6, 2025 (File No. 001-40958);</w:t>
      </w:r>
    </w:p>
    <w:p>
      <w:pPr>
        <w:spacing w:after="0" w:line="179" w:lineRule="exact"/>
        <w:rPr>
          <w:rFonts w:ascii="Arial" w:cs="Arial" w:eastAsia="Arial" w:hAnsi="Arial"/>
          <w:sz w:val="18"/>
          <w:szCs w:val="18"/>
          <w:color w:val="auto"/>
        </w:rPr>
      </w:pPr>
    </w:p>
    <w:p>
      <w:pPr>
        <w:ind w:left="660" w:right="560" w:hanging="4"/>
        <w:spacing w:after="0" w:line="287" w:lineRule="auto"/>
        <w:tabs>
          <w:tab w:leader="none" w:pos="95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quarterly period ended July 31, 2025, filed with the Commission on September 12, 2025 (File No. 001-40958);</w:t>
      </w:r>
    </w:p>
    <w:p>
      <w:pPr>
        <w:spacing w:after="0" w:line="179" w:lineRule="exact"/>
        <w:rPr>
          <w:rFonts w:ascii="Arial" w:cs="Arial" w:eastAsia="Arial" w:hAnsi="Arial"/>
          <w:sz w:val="18"/>
          <w:szCs w:val="18"/>
          <w:color w:val="auto"/>
        </w:rPr>
      </w:pPr>
    </w:p>
    <w:p>
      <w:pPr>
        <w:ind w:left="660" w:right="220" w:hanging="4"/>
        <w:spacing w:after="0" w:line="28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quarterly period ended October 31, 2025, filed with the Commission on December 12, 2025 (File No. 001-40958);</w:t>
      </w:r>
    </w:p>
    <w:p>
      <w:pPr>
        <w:spacing w:after="0" w:line="179" w:lineRule="exact"/>
        <w:rPr>
          <w:rFonts w:ascii="Arial" w:cs="Arial" w:eastAsia="Arial" w:hAnsi="Arial"/>
          <w:sz w:val="18"/>
          <w:szCs w:val="18"/>
          <w:color w:val="auto"/>
        </w:rPr>
      </w:pPr>
    </w:p>
    <w:p>
      <w:pPr>
        <w:ind w:left="660" w:right="120" w:hanging="4"/>
        <w:spacing w:after="0" w:line="268"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by the Registrant pursuant to Section 13(a) or Section 15(d) of the Securities Exchange Act of 1934, as amended (the “Exchange Act”), since January 31, 2025 (other than Current Reports furnished under Item 2.02 or Item 7.01 of Form 8-K and exhibits furnished on that form that relate to such items); and</w:t>
      </w:r>
    </w:p>
    <w:p>
      <w:pPr>
        <w:spacing w:after="0" w:line="197" w:lineRule="exact"/>
        <w:rPr>
          <w:rFonts w:ascii="Arial" w:cs="Arial" w:eastAsia="Arial" w:hAnsi="Arial"/>
          <w:sz w:val="18"/>
          <w:szCs w:val="18"/>
          <w:color w:val="auto"/>
        </w:rPr>
      </w:pPr>
    </w:p>
    <w:p>
      <w:pPr>
        <w:ind w:left="660" w:right="60" w:hanging="4"/>
        <w:spacing w:after="0" w:line="268"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Exhibit 4.2 to the Registrant’s Annual Report on Form 10-K for the fiscal year ended January 31, 2025, filed with the Commission on April 15, 2025, including any amendments or reports filed for the purpose of updating such description.</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addition, all of the above-referenced descriptions included in any prospectus relating to the Registration Statement filed with the Commission pursuant to Rule 424(b) under the Securities Act of 1933, as amended, shall be deemed to be incorporated by reference herein.</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All other reports and documents filed with the Commission by the Registrant pursuant to Section 13(a), 13(c), 14 or 15(d) of the Exchange Act after the date of this Registration Statement and prior to the filing of a post-effective amendment which indicates that all securities offered have been sold or which de-registers all securities then remaining unsold shall be deemed incorporated by reference into this Registration Statement</w:t>
      </w:r>
    </w:p>
    <w:p>
      <w:pPr>
        <w:sectPr>
          <w:pgSz w:w="11900" w:h="16838" w:orient="portrait"/>
          <w:cols w:equalWidth="0" w:num="1">
            <w:col w:w="11220"/>
          </w:cols>
          <w:pgMar w:left="320" w:top="917" w:right="359" w:bottom="1440" w:gutter="0" w:footer="0" w:header="0"/>
        </w:sectPr>
      </w:pPr>
    </w:p>
    <w:bookmarkStart w:id="3" w:name="page4"/>
    <w:bookmarkEnd w:id="3"/>
    <w:p>
      <w:pPr>
        <w:ind w:right="180"/>
        <w:spacing w:after="0" w:line="287" w:lineRule="auto"/>
        <w:rPr>
          <w:sz w:val="20"/>
          <w:szCs w:val="20"/>
          <w:color w:val="auto"/>
        </w:rPr>
      </w:pPr>
      <w:r>
        <w:rPr>
          <w:rFonts w:ascii="Arial" w:cs="Arial" w:eastAsia="Arial" w:hAnsi="Arial"/>
          <w:sz w:val="18"/>
          <w:szCs w:val="18"/>
          <w:color w:val="auto"/>
        </w:rPr>
        <w:t>and a part of this Registration Statement from the date of filing of these documents, except for documents or information deemed furnished and not filed in accordance with the rules of the Commission.</w:t>
      </w:r>
    </w:p>
    <w:p>
      <w:pPr>
        <w:spacing w:after="0" w:line="18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Section 7.01 of the Registrant’s amended and restated bylaws provides for indemnification by the Registrant of its directors and officers to the fullest extent permitted by the Delaware General Corporation Law. The Registrant has entered into indemnification agreements with each of its current directors and executive officers to provide these directors and executive officers additional contractual assurances regarding the scope of the indemnification set forth in the Registrant’s twelfth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2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The Registrant’s twelfth amended and restated certificate of incorporation provides for such limitation of liability with respect to its directors.</w:t>
      </w:r>
    </w:p>
    <w:p>
      <w:pPr>
        <w:spacing w:after="0" w:line="21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Registrant maintains standard policies of insurance under which coverage is provided (i) to its directors and officers against loss rising from claims made by reason of breach of duty or other wrongful act and (ii) to the Registrant with respect to payments which may be made by the Registrant to such officers and directors pursuant to the above indemnification provision or otherwise as a matter of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20"/>
          </w:cols>
          <w:pgMar w:left="320" w:top="93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8. Exhibits.</w:t>
      </w:r>
    </w:p>
    <w:p>
      <w:pPr>
        <w:sectPr>
          <w:pgSz w:w="11900" w:h="16838" w:orient="portrait"/>
          <w:cols w:equalWidth="0" w:num="1">
            <w:col w:w="11220"/>
          </w:cols>
          <w:pgMar w:left="320" w:top="1174" w:right="359" w:bottom="1440" w:gutter="0" w:footer="0" w:header="0"/>
        </w:sectPr>
      </w:pP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6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5.1*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 w:lineRule="exact"/>
        <w:rPr>
          <w:sz w:val="20"/>
          <w:szCs w:val="20"/>
          <w:color w:val="auto"/>
        </w:rPr>
      </w:pPr>
    </w:p>
    <w:p>
      <w:pPr>
        <w:ind w:right="260"/>
        <w:spacing w:after="0" w:line="263" w:lineRule="auto"/>
        <w:rPr>
          <w:rFonts w:ascii="Arial" w:cs="Arial" w:eastAsia="Arial" w:hAnsi="Arial"/>
          <w:sz w:val="18"/>
          <w:szCs w:val="18"/>
          <w:u w:val="single" w:color="auto"/>
          <w:color w:val="3051F2"/>
        </w:rPr>
      </w:pPr>
      <w:hyperlink r:id="rId10">
        <w:r>
          <w:rPr>
            <w:rFonts w:ascii="Arial" w:cs="Arial" w:eastAsia="Arial" w:hAnsi="Arial"/>
            <w:sz w:val="18"/>
            <w:szCs w:val="18"/>
            <w:u w:val="single" w:color="auto"/>
            <w:color w:val="3051F2"/>
          </w:rPr>
          <w:t>Amended and Restated Certificate of Incorporation of the Registrant, dated October 29, 2021 (incorporated by reference to</w:t>
        </w:r>
      </w:hyperlink>
      <w:r>
        <w:rPr>
          <w:rFonts w:ascii="Arial" w:cs="Arial" w:eastAsia="Arial" w:hAnsi="Arial"/>
          <w:sz w:val="18"/>
          <w:szCs w:val="18"/>
          <w:u w:val="single" w:color="auto"/>
          <w:color w:val="3051F2"/>
        </w:rPr>
        <w:t xml:space="preserve"> </w:t>
      </w:r>
      <w:hyperlink r:id="rId10">
        <w:r>
          <w:rPr>
            <w:rFonts w:ascii="Arial" w:cs="Arial" w:eastAsia="Arial" w:hAnsi="Arial"/>
            <w:sz w:val="18"/>
            <w:szCs w:val="18"/>
            <w:u w:val="single" w:color="auto"/>
            <w:color w:val="3051F2"/>
          </w:rPr>
          <w:t>Exhibit 3.1 to the Registrant’s Current Report on Form 8-K (File No. 001-40958) filed on October 29, 2021)</w:t>
        </w:r>
      </w:hyperlink>
    </w:p>
    <w:p>
      <w:pPr>
        <w:spacing w:after="0" w:line="2" w:lineRule="exact"/>
        <w:rPr>
          <w:sz w:val="20"/>
          <w:szCs w:val="20"/>
          <w:color w:val="auto"/>
        </w:rPr>
      </w:pPr>
    </w:p>
    <w:p>
      <w:pPr>
        <w:ind w:right="100"/>
        <w:spacing w:after="0" w:line="253" w:lineRule="auto"/>
        <w:rPr>
          <w:rFonts w:ascii="Arial" w:cs="Arial" w:eastAsia="Arial" w:hAnsi="Arial"/>
          <w:sz w:val="18"/>
          <w:szCs w:val="18"/>
          <w:u w:val="single" w:color="auto"/>
          <w:color w:val="3051F2"/>
        </w:rPr>
      </w:pPr>
      <w:hyperlink r:id="rId11">
        <w:r>
          <w:rPr>
            <w:rFonts w:ascii="Arial" w:cs="Arial" w:eastAsia="Arial" w:hAnsi="Arial"/>
            <w:sz w:val="18"/>
            <w:szCs w:val="18"/>
            <w:u w:val="single" w:color="auto"/>
            <w:color w:val="3051F2"/>
          </w:rPr>
          <w:t>Certificate of Amendment to the Amended and Restated Certificate of Incorporation of the Registrant, dated April 2, 2024</w:t>
        </w:r>
      </w:hyperlink>
      <w:r>
        <w:rPr>
          <w:rFonts w:ascii="Arial" w:cs="Arial" w:eastAsia="Arial" w:hAnsi="Arial"/>
          <w:sz w:val="18"/>
          <w:szCs w:val="18"/>
          <w:u w:val="single" w:color="auto"/>
          <w:color w:val="3051F2"/>
        </w:rPr>
        <w:t xml:space="preserve"> </w:t>
      </w:r>
      <w:hyperlink r:id="rId11">
        <w:r>
          <w:rPr>
            <w:rFonts w:ascii="Arial" w:cs="Arial" w:eastAsia="Arial" w:hAnsi="Arial"/>
            <w:sz w:val="18"/>
            <w:szCs w:val="18"/>
            <w:u w:val="single" w:color="auto"/>
            <w:color w:val="3051F2"/>
          </w:rPr>
          <w:t>(incorporated by reference to Exhibit 3.1 to the Registrant’s Current Report on Form 8-K (File No. 001-40958) filed on April 2,</w:t>
        </w:r>
      </w:hyperlink>
      <w:r>
        <w:rPr>
          <w:rFonts w:ascii="Arial" w:cs="Arial" w:eastAsia="Arial" w:hAnsi="Arial"/>
          <w:sz w:val="18"/>
          <w:szCs w:val="18"/>
          <w:u w:val="single" w:color="auto"/>
          <w:color w:val="3051F2"/>
        </w:rPr>
        <w:t xml:space="preserve"> </w:t>
      </w:r>
      <w:hyperlink r:id="rId11">
        <w:r>
          <w:rPr>
            <w:rFonts w:ascii="Arial" w:cs="Arial" w:eastAsia="Arial" w:hAnsi="Arial"/>
            <w:sz w:val="18"/>
            <w:szCs w:val="18"/>
            <w:u w:val="single" w:color="auto"/>
            <w:color w:val="3051F2"/>
          </w:rPr>
          <w:t>2024)</w:t>
        </w:r>
      </w:hyperlink>
    </w:p>
    <w:p>
      <w:pPr>
        <w:spacing w:after="0" w:line="7" w:lineRule="exact"/>
        <w:rPr>
          <w:rFonts w:ascii="Arial" w:cs="Arial" w:eastAsia="Arial" w:hAnsi="Arial"/>
          <w:sz w:val="18"/>
          <w:szCs w:val="18"/>
          <w:u w:val="single" w:color="auto"/>
          <w:color w:val="3051F2"/>
        </w:rPr>
      </w:pPr>
    </w:p>
    <w:p>
      <w:pPr>
        <w:spacing w:after="0" w:line="266" w:lineRule="auto"/>
        <w:rPr>
          <w:rFonts w:ascii="Arial" w:cs="Arial" w:eastAsia="Arial" w:hAnsi="Arial"/>
          <w:sz w:val="18"/>
          <w:szCs w:val="18"/>
          <w:u w:val="single" w:color="auto"/>
          <w:color w:val="3051F2"/>
        </w:rPr>
      </w:pPr>
      <w:hyperlink r:id="rId12">
        <w:r>
          <w:rPr>
            <w:rFonts w:ascii="Arial" w:cs="Arial" w:eastAsia="Arial" w:hAnsi="Arial"/>
            <w:sz w:val="18"/>
            <w:szCs w:val="18"/>
            <w:u w:val="single" w:color="auto"/>
            <w:color w:val="3051F2"/>
          </w:rPr>
          <w:t>Second Amended and Restated By-Laws, dated October 28, 2025 (incorporated by reference to Exhibit 3.1 to the Registrant’s</w:t>
        </w:r>
      </w:hyperlink>
      <w:r>
        <w:rPr>
          <w:rFonts w:ascii="Arial" w:cs="Arial" w:eastAsia="Arial" w:hAnsi="Arial"/>
          <w:sz w:val="18"/>
          <w:szCs w:val="18"/>
          <w:u w:val="single" w:color="auto"/>
          <w:color w:val="3051F2"/>
        </w:rPr>
        <w:t xml:space="preserve"> </w:t>
      </w:r>
      <w:hyperlink r:id="rId12">
        <w:r>
          <w:rPr>
            <w:rFonts w:ascii="Arial" w:cs="Arial" w:eastAsia="Arial" w:hAnsi="Arial"/>
            <w:sz w:val="18"/>
            <w:szCs w:val="18"/>
            <w:u w:val="single" w:color="auto"/>
            <w:color w:val="3051F2"/>
          </w:rPr>
          <w:t>Current Report on Form 8-K (File No. 001-40958) filed on October 28, 2025)</w:t>
        </w:r>
      </w:hyperlink>
    </w:p>
    <w:p>
      <w:pPr>
        <w:spacing w:after="0"/>
        <w:rPr>
          <w:sz w:val="20"/>
          <w:szCs w:val="20"/>
          <w:color w:val="auto"/>
        </w:rPr>
      </w:pPr>
      <w:r>
        <w:rPr>
          <w:rFonts w:ascii="Arial" w:cs="Arial" w:eastAsia="Arial" w:hAnsi="Arial"/>
          <w:sz w:val="18"/>
          <w:szCs w:val="18"/>
          <w:u w:val="single" w:color="auto"/>
          <w:color w:val="3051F2"/>
        </w:rPr>
        <w:t>Opinion of Davis Polk &amp; Wardwell LLP</w:t>
      </w:r>
    </w:p>
    <w:p>
      <w:pPr>
        <w:spacing w:after="0" w:line="50" w:lineRule="exact"/>
        <w:rPr>
          <w:sz w:val="20"/>
          <w:szCs w:val="20"/>
          <w:color w:val="auto"/>
        </w:rPr>
      </w:pPr>
    </w:p>
    <w:p>
      <w:pPr>
        <w:ind w:right="2840"/>
        <w:spacing w:after="0" w:line="297" w:lineRule="auto"/>
        <w:rPr>
          <w:sz w:val="20"/>
          <w:szCs w:val="20"/>
          <w:color w:val="auto"/>
        </w:rPr>
      </w:pPr>
      <w:r>
        <w:rPr>
          <w:rFonts w:ascii="Arial" w:cs="Arial" w:eastAsia="Arial" w:hAnsi="Arial"/>
          <w:sz w:val="18"/>
          <w:szCs w:val="18"/>
          <w:u w:val="single" w:color="auto"/>
          <w:color w:val="3051F2"/>
        </w:rPr>
        <w:t>Consent of PricewaterhouseCoopers LLP, Independent Registered Public Accounting Firm Consent of Davis Polk &amp; Wardwell LLP (included in Exhibit 5.1) Power of Attorney (included on 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Form of Restricted Stock Inducement Award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51F2"/>
        </w:rPr>
        <w:t>Filing Fee Table</w:t>
      </w:r>
    </w:p>
    <w:p>
      <w:pPr>
        <w:spacing w:after="0" w:line="209" w:lineRule="exact"/>
        <w:rPr>
          <w:sz w:val="20"/>
          <w:szCs w:val="20"/>
          <w:color w:val="auto"/>
        </w:rPr>
      </w:pPr>
    </w:p>
    <w:p>
      <w:pPr>
        <w:sectPr>
          <w:pgSz w:w="11900" w:h="16838" w:orient="portrait"/>
          <w:cols w:equalWidth="0" w:num="2">
            <w:col w:w="880" w:space="300"/>
            <w:col w:w="10040"/>
          </w:cols>
          <w:pgMar w:left="320" w:top="1174" w:right="35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52" w:lineRule="exact"/>
        <w:rPr>
          <w:sz w:val="20"/>
          <w:szCs w:val="20"/>
          <w:color w:val="auto"/>
        </w:rPr>
      </w:pPr>
    </w:p>
    <w:p>
      <w:pPr>
        <w:ind w:left="860" w:hanging="20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580" w:hanging="276"/>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300" w:right="20" w:firstLine="4"/>
        <w:spacing w:after="0" w:line="255" w:lineRule="auto"/>
        <w:tabs>
          <w:tab w:leader="none" w:pos="157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spacing w:after="0" w:line="211" w:lineRule="exact"/>
        <w:rPr>
          <w:rFonts w:ascii="Arial" w:cs="Arial" w:eastAsia="Arial" w:hAnsi="Arial"/>
          <w:sz w:val="18"/>
          <w:szCs w:val="18"/>
          <w:color w:val="auto"/>
        </w:rPr>
      </w:pPr>
    </w:p>
    <w:p>
      <w:pPr>
        <w:ind w:left="1300" w:right="500" w:firstLine="4"/>
        <w:spacing w:after="0" w:line="287" w:lineRule="auto"/>
        <w:tabs>
          <w:tab w:leader="none" w:pos="15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0" w:lineRule="exact"/>
        <w:rPr>
          <w:sz w:val="20"/>
          <w:szCs w:val="20"/>
          <w:color w:val="auto"/>
        </w:rPr>
      </w:pPr>
    </w:p>
    <w:p>
      <w:pPr>
        <w:ind w:left="660" w:right="2400"/>
        <w:spacing w:after="0" w:line="262" w:lineRule="auto"/>
        <w:rPr>
          <w:sz w:val="20"/>
          <w:szCs w:val="20"/>
          <w:color w:val="auto"/>
        </w:rPr>
      </w:pPr>
      <w:r>
        <w:rPr>
          <w:rFonts w:ascii="Arial" w:cs="Arial" w:eastAsia="Arial" w:hAnsi="Arial"/>
          <w:sz w:val="18"/>
          <w:szCs w:val="18"/>
          <w:b w:val="1"/>
          <w:bCs w:val="1"/>
          <w:color w:val="auto"/>
        </w:rPr>
        <w:t>Provided, however</w:t>
      </w:r>
      <w:r>
        <w:rPr>
          <w:rFonts w:ascii="Arial" w:cs="Arial" w:eastAsia="Arial" w:hAnsi="Arial"/>
          <w:sz w:val="18"/>
          <w:szCs w:val="18"/>
          <w:color w:val="auto"/>
        </w:rPr>
        <w:t>, that paragraphs (a) and (b) do not apply if the information required to be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in a post-effective amendment by those paragraphs is contained in reports filed with or furnished to the Commission by the registrant pursuant to section 13 or section 15(d) of the Exchange Act, that are incorporated by reference in the registration statement.</w:t>
      </w:r>
    </w:p>
    <w:p>
      <w:pPr>
        <w:sectPr>
          <w:pgSz w:w="11900" w:h="16838" w:orient="portrait"/>
          <w:cols w:equalWidth="0" w:num="1">
            <w:col w:w="11220"/>
          </w:cols>
          <w:pgMar w:left="320" w:top="1174" w:right="359" w:bottom="1440" w:gutter="0" w:footer="0" w:header="0"/>
          <w:type w:val="continuous"/>
        </w:sectPr>
      </w:pPr>
    </w:p>
    <w:bookmarkStart w:id="5" w:name="page6"/>
    <w:bookmarkEnd w:id="5"/>
    <w:p>
      <w:pPr>
        <w:ind w:left="660" w:right="140" w:hanging="4"/>
        <w:spacing w:after="0" w:line="268" w:lineRule="auto"/>
        <w:tabs>
          <w:tab w:leader="none" w:pos="91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8"/>
          <w:szCs w:val="18"/>
          <w:color w:val="auto"/>
        </w:rPr>
      </w:pPr>
    </w:p>
    <w:p>
      <w:pPr>
        <w:ind w:left="660" w:right="80" w:hanging="4"/>
        <w:spacing w:after="0" w:line="287" w:lineRule="auto"/>
        <w:tabs>
          <w:tab w:leader="none" w:pos="9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9" w:lineRule="exact"/>
        <w:rPr>
          <w:rFonts w:ascii="Arial" w:cs="Arial" w:eastAsia="Arial" w:hAnsi="Arial"/>
          <w:sz w:val="18"/>
          <w:szCs w:val="18"/>
          <w:color w:val="auto"/>
        </w:rPr>
      </w:pPr>
    </w:p>
    <w:p>
      <w:pPr>
        <w:ind w:left="660" w:hanging="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6" w:lineRule="exact"/>
        <w:rPr>
          <w:rFonts w:ascii="Arial" w:cs="Arial" w:eastAsia="Arial" w:hAnsi="Arial"/>
          <w:sz w:val="18"/>
          <w:szCs w:val="18"/>
          <w:color w:val="auto"/>
        </w:rPr>
      </w:pPr>
    </w:p>
    <w:p>
      <w:pPr>
        <w:ind w:left="1300" w:right="600" w:firstLine="4"/>
        <w:spacing w:after="0" w:line="260" w:lineRule="auto"/>
        <w:tabs>
          <w:tab w:leader="none" w:pos="157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 w:lineRule="exact"/>
        <w:rPr>
          <w:rFonts w:ascii="Arial" w:cs="Arial" w:eastAsia="Arial" w:hAnsi="Arial"/>
          <w:sz w:val="18"/>
          <w:szCs w:val="18"/>
          <w:color w:val="auto"/>
        </w:rPr>
      </w:pPr>
    </w:p>
    <w:p>
      <w:pPr>
        <w:ind w:left="1300" w:right="400" w:firstLine="4"/>
        <w:spacing w:after="0" w:line="266" w:lineRule="auto"/>
        <w:tabs>
          <w:tab w:leader="none" w:pos="157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8" w:lineRule="exact"/>
        <w:rPr>
          <w:rFonts w:ascii="Arial" w:cs="Arial" w:eastAsia="Arial" w:hAnsi="Arial"/>
          <w:sz w:val="18"/>
          <w:szCs w:val="18"/>
          <w:color w:val="auto"/>
        </w:rPr>
      </w:pPr>
    </w:p>
    <w:p>
      <w:pPr>
        <w:ind w:left="1300" w:right="840" w:firstLine="4"/>
        <w:spacing w:after="0" w:line="287" w:lineRule="auto"/>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9" w:lineRule="exact"/>
        <w:rPr>
          <w:rFonts w:ascii="Arial" w:cs="Arial" w:eastAsia="Arial" w:hAnsi="Arial"/>
          <w:sz w:val="18"/>
          <w:szCs w:val="18"/>
          <w:color w:val="auto"/>
        </w:rPr>
      </w:pPr>
    </w:p>
    <w:p>
      <w:pPr>
        <w:ind w:left="1580" w:hanging="27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00"/>
          </w:cols>
          <w:pgMar w:left="320" w:top="931" w:right="37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February 27, 2026.</w:t>
      </w:r>
    </w:p>
    <w:p>
      <w:pPr>
        <w:spacing w:after="0" w:line="25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RENT THE RUNWAY, INC.</w:t>
      </w:r>
    </w:p>
    <w:p>
      <w:pPr>
        <w:spacing w:after="0" w:line="266" w:lineRule="exact"/>
        <w:rPr>
          <w:sz w:val="20"/>
          <w:szCs w:val="20"/>
          <w:color w:val="auto"/>
        </w:rPr>
      </w:pPr>
    </w:p>
    <w:p>
      <w:pPr>
        <w:ind w:left="20"/>
        <w:spacing w:after="0"/>
        <w:tabs>
          <w:tab w:leader="none" w:pos="4880" w:val="left"/>
          <w:tab w:leader="none" w:pos="5340" w:val="left"/>
        </w:tabs>
        <w:rPr>
          <w:sz w:val="20"/>
          <w:szCs w:val="20"/>
          <w:color w:val="auto"/>
        </w:rPr>
      </w:pPr>
      <w:r>
        <w:rPr>
          <w:rFonts w:ascii="Arial" w:cs="Arial" w:eastAsia="Arial" w:hAnsi="Arial"/>
          <w:sz w:val="18"/>
          <w:szCs w:val="18"/>
          <w:color w:val="auto"/>
        </w:rPr>
        <w:t>Date: February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34925</wp:posOffset>
            </wp:positionV>
            <wp:extent cx="3463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Jennifer Y. Hyman</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Co-Founder, Chief Executive Officer and President</w:t>
      </w:r>
    </w:p>
    <w:p>
      <w:pPr>
        <w:sectPr>
          <w:pgSz w:w="11900" w:h="16838" w:orient="portrait"/>
          <w:cols w:equalWidth="0" w:num="1">
            <w:col w:w="11060"/>
          </w:cols>
          <w:pgMar w:left="320" w:top="917" w:right="51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3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Each person whose signature appears below hereby constitutes and appoints Jennifer Y. Hyman and Siddharth Thacker, or each of them singly, with full power to act without the other, such person’s true and lawful attorneys-in-fact and agents, with full power of substitution and re-substitution, for him or her and in his or her name, place and stead, in any and all capacities, to sign this registration statement and any and all amendments, including post-effective amendments to this registration statement, and to file the same, with exhibits and schedules thereto, and other documents in connection therewith, with the Securities and Exchange Commission, granting unto said attorneys-in-fact</w:t>
      </w:r>
    </w:p>
    <w:p>
      <w:pPr>
        <w:spacing w:after="0" w:line="226" w:lineRule="auto"/>
        <w:rPr>
          <w:sz w:val="20"/>
          <w:szCs w:val="20"/>
          <w:color w:val="auto"/>
        </w:rPr>
      </w:pPr>
      <w:r>
        <w:rPr>
          <w:rFonts w:ascii="Arial" w:cs="Arial" w:eastAsia="Arial" w:hAnsi="Arial"/>
          <w:sz w:val="18"/>
          <w:szCs w:val="18"/>
          <w:color w:val="auto"/>
        </w:rPr>
        <w:t>and agents, and each of them, full power and authority to do and perform each and every act and thing requisite and necessary or desirable to be done in connection therewith as fully to all intents and purposes as he might or could do in person, hereby ratifying and confirming all</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that said attorneys-in-fact and agents, or any of them, or their or his or her substitute or substitutes may lawfully do or cause to be done by virtue hereof.</w:t>
      </w:r>
    </w:p>
    <w:p>
      <w:pPr>
        <w:spacing w:after="0" w:line="21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20"/>
          </w:cols>
          <w:pgMar w:left="320" w:top="1403" w:right="459" w:bottom="1440" w:gutter="0" w:footer="0" w:header="0"/>
        </w:sectPr>
      </w:pPr>
    </w:p>
    <w:p>
      <w:pPr>
        <w:spacing w:after="0" w:line="220"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Jennifer Y. Hyman</w:t>
      </w:r>
    </w:p>
    <w:p>
      <w:pPr>
        <w:spacing w:after="0" w:line="104"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Siddharth Thacker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Dhiren Fonseca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Dhiren Fonseca</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Teri Bariquit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Teri Bariquit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Peter Comisar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Peter Comisar</w:t>
      </w:r>
    </w:p>
    <w:p>
      <w:pPr>
        <w:spacing w:after="0" w:line="117"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091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5" w:lineRule="exact"/>
        <w:rPr>
          <w:sz w:val="20"/>
          <w:szCs w:val="20"/>
          <w:color w:val="auto"/>
        </w:rPr>
      </w:pPr>
    </w:p>
    <w:p>
      <w:pPr>
        <w:ind w:left="760" w:right="260" w:firstLine="25"/>
        <w:spacing w:after="0" w:line="364" w:lineRule="auto"/>
        <w:rPr>
          <w:sz w:val="20"/>
          <w:szCs w:val="20"/>
          <w:color w:val="auto"/>
        </w:rPr>
      </w:pPr>
      <w:r>
        <w:rPr>
          <w:rFonts w:ascii="Arial" w:cs="Arial" w:eastAsia="Arial" w:hAnsi="Arial"/>
          <w:sz w:val="17"/>
          <w:szCs w:val="17"/>
          <w:color w:val="auto"/>
        </w:rPr>
        <w:t>Damian Giangiacomo /s/ Daniel Rosensweig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091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Daniel Rosensweig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17780</wp:posOffset>
            </wp:positionV>
            <wp:extent cx="3180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Co-Founder, Chief Executive Officer, President and Director</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(Principal Executive Officer)</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p>
      <w:pPr>
        <w:ind w:left="1240"/>
        <w:spacing w:after="0"/>
        <w:rPr>
          <w:sz w:val="20"/>
          <w:szCs w:val="20"/>
          <w:color w:val="auto"/>
        </w:rPr>
      </w:pPr>
      <w:r>
        <w:rPr>
          <w:rFonts w:ascii="Arial" w:cs="Arial" w:eastAsia="Arial" w:hAnsi="Arial"/>
          <w:sz w:val="18"/>
          <w:szCs w:val="18"/>
          <w:i w:val="1"/>
          <w:iCs w:val="1"/>
          <w:color w:val="auto"/>
        </w:rPr>
        <w:t>Principal Accounting Officer)</w:t>
      </w:r>
    </w:p>
    <w:p>
      <w:pPr>
        <w:spacing w:after="0" w:line="27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Executive Chair and Director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17780</wp:posOffset>
            </wp:positionV>
            <wp:extent cx="1414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5"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153670</wp:posOffset>
            </wp:positionV>
            <wp:extent cx="1414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153670</wp:posOffset>
            </wp:positionV>
            <wp:extent cx="14141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153670</wp:posOffset>
            </wp:positionV>
            <wp:extent cx="14141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153670</wp:posOffset>
            </wp:positionV>
            <wp:extent cx="141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153670</wp:posOffset>
            </wp:positionV>
            <wp:extent cx="1414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153670</wp:posOffset>
            </wp:positionV>
            <wp:extent cx="141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153670</wp:posOffset>
            </wp:positionV>
            <wp:extent cx="14141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3">
            <w:col w:w="2800" w:space="720"/>
            <w:col w:w="4760" w:space="600"/>
            <w:col w:w="2240"/>
          </w:cols>
          <w:pgMar w:left="320" w:top="1403" w:right="45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107.1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 the Runway,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Registered Securities</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Security</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Security Class</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Fee</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Proposed</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Maximum</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Fee Rate</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 of</w:t>
            </w:r>
          </w:p>
        </w:tc>
      </w:tr>
      <w:tr>
        <w:trPr>
          <w:trHeight w:val="208"/>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Type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Calculation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to be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Maximum</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Aggregate</w:t>
            </w:r>
          </w:p>
        </w:tc>
        <w:tc>
          <w:tcPr>
            <w:tcW w:w="14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Registration Fee</w:t>
            </w:r>
          </w:p>
        </w:tc>
      </w:tr>
      <w:tr>
        <w:trPr>
          <w:trHeight w:val="215"/>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Rule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Registered (1)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Offering Price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Offering Price</w:t>
            </w:r>
          </w:p>
        </w:tc>
        <w:tc>
          <w:tcPr>
            <w:tcW w:w="14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44"/>
        </w:trPr>
        <w:tc>
          <w:tcPr>
            <w:tcW w:w="1140" w:type="dxa"/>
            <w:vAlign w:val="bottom"/>
            <w:tcBorders>
              <w:left w:val="single" w:sz="8" w:color="auto"/>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Per Unit</w:t>
            </w:r>
          </w:p>
        </w:tc>
        <w:tc>
          <w:tcPr>
            <w:tcW w:w="16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14"/>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Equity</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Class A</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Rule 457(c) and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802,395 (2)</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$6.20 (3)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$4,970,837.03</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$138.10 per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$686.47</w:t>
            </w:r>
          </w:p>
        </w:tc>
      </w:tr>
      <w:tr>
        <w:trPr>
          <w:trHeight w:val="203"/>
        </w:trPr>
        <w:tc>
          <w:tcPr>
            <w:tcW w:w="114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common stock,</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Rule 457(h)</w:t>
            </w:r>
          </w:p>
        </w:tc>
        <w:tc>
          <w:tcPr>
            <w:tcW w:w="13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$1,000,000</w:t>
            </w:r>
          </w:p>
        </w:tc>
        <w:tc>
          <w:tcPr>
            <w:tcW w:w="1660" w:type="dxa"/>
            <w:vAlign w:val="bottom"/>
            <w:tcBorders>
              <w:right w:val="single" w:sz="8" w:color="auto"/>
            </w:tcBorders>
          </w:tcPr>
          <w:p>
            <w:pPr>
              <w:spacing w:after="0"/>
              <w:rPr>
                <w:sz w:val="17"/>
                <w:szCs w:val="17"/>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$0.001 par</w:t>
            </w:r>
          </w:p>
        </w:tc>
        <w:tc>
          <w:tcPr>
            <w:tcW w:w="1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25"/>
        </w:trPr>
        <w:tc>
          <w:tcPr>
            <w:tcW w:w="1140" w:type="dxa"/>
            <w:vAlign w:val="bottom"/>
            <w:tcBorders>
              <w:left w:val="single" w:sz="8" w:color="auto"/>
              <w:right w:val="single" w:sz="8" w:color="auto"/>
            </w:tcBorders>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value per share</w:t>
            </w:r>
          </w:p>
        </w:tc>
        <w:tc>
          <w:tcPr>
            <w:tcW w:w="13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r>
      <w:tr>
        <w:trPr>
          <w:trHeight w:val="41"/>
        </w:trPr>
        <w:tc>
          <w:tcPr>
            <w:tcW w:w="11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3"/>
        </w:trPr>
        <w:tc>
          <w:tcPr>
            <w:tcW w:w="1140" w:type="dxa"/>
            <w:vAlign w:val="bottom"/>
            <w:tcBorders>
              <w:left w:val="single" w:sz="8" w:color="auto"/>
            </w:tcBorders>
          </w:tcPr>
          <w:p>
            <w:pPr>
              <w:spacing w:after="0"/>
              <w:rPr>
                <w:sz w:val="20"/>
                <w:szCs w:val="20"/>
                <w:color w:val="auto"/>
              </w:rPr>
            </w:pPr>
          </w:p>
        </w:tc>
        <w:tc>
          <w:tcPr>
            <w:tcW w:w="2660" w:type="dxa"/>
            <w:vAlign w:val="bottom"/>
            <w:gridSpan w:val="2"/>
          </w:tcPr>
          <w:p>
            <w:pPr>
              <w:jc w:val="center"/>
              <w:ind w:left="194"/>
              <w:spacing w:after="0"/>
              <w:rPr>
                <w:sz w:val="20"/>
                <w:szCs w:val="20"/>
                <w:color w:val="auto"/>
              </w:rPr>
            </w:pPr>
            <w:r>
              <w:rPr>
                <w:rFonts w:ascii="Arial" w:cs="Arial" w:eastAsia="Arial" w:hAnsi="Arial"/>
                <w:sz w:val="17"/>
                <w:szCs w:val="17"/>
                <w:b w:val="1"/>
                <w:bCs w:val="1"/>
                <w:color w:val="auto"/>
              </w:rPr>
              <w:t>Total Offering Amounts</w:t>
            </w:r>
          </w:p>
        </w:tc>
        <w:tc>
          <w:tcPr>
            <w:tcW w:w="13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$4,970,837.03</w:t>
            </w: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$686.47</w:t>
            </w:r>
          </w:p>
        </w:tc>
      </w:tr>
      <w:tr>
        <w:trPr>
          <w:trHeight w:val="31"/>
        </w:trPr>
        <w:tc>
          <w:tcPr>
            <w:tcW w:w="114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3"/>
        </w:trPr>
        <w:tc>
          <w:tcPr>
            <w:tcW w:w="1140" w:type="dxa"/>
            <w:vAlign w:val="bottom"/>
            <w:tcBorders>
              <w:left w:val="single" w:sz="8" w:color="auto"/>
            </w:tcBorders>
          </w:tcPr>
          <w:p>
            <w:pPr>
              <w:spacing w:after="0"/>
              <w:rPr>
                <w:sz w:val="20"/>
                <w:szCs w:val="20"/>
                <w:color w:val="auto"/>
              </w:rPr>
            </w:pPr>
          </w:p>
        </w:tc>
        <w:tc>
          <w:tcPr>
            <w:tcW w:w="2660" w:type="dxa"/>
            <w:vAlign w:val="bottom"/>
            <w:gridSpan w:val="2"/>
          </w:tcPr>
          <w:p>
            <w:pPr>
              <w:jc w:val="center"/>
              <w:ind w:left="194"/>
              <w:spacing w:after="0"/>
              <w:rPr>
                <w:sz w:val="20"/>
                <w:szCs w:val="20"/>
                <w:color w:val="auto"/>
              </w:rPr>
            </w:pPr>
            <w:r>
              <w:rPr>
                <w:rFonts w:ascii="Arial" w:cs="Arial" w:eastAsia="Arial" w:hAnsi="Arial"/>
                <w:sz w:val="17"/>
                <w:szCs w:val="17"/>
                <w:b w:val="1"/>
                <w:bCs w:val="1"/>
                <w:color w:val="auto"/>
                <w:w w:val="99"/>
              </w:rPr>
              <w:t xml:space="preserve">Total Fee Offsets </w:t>
            </w:r>
            <w:r>
              <w:rPr>
                <w:rFonts w:ascii="Arial" w:cs="Arial" w:eastAsia="Arial" w:hAnsi="Arial"/>
                <w:sz w:val="17"/>
                <w:szCs w:val="17"/>
                <w:color w:val="auto"/>
                <w:w w:val="99"/>
              </w:rPr>
              <w:t>(4)</w:t>
            </w:r>
          </w:p>
        </w:tc>
        <w:tc>
          <w:tcPr>
            <w:tcW w:w="13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r>
      <w:tr>
        <w:trPr>
          <w:trHeight w:val="30"/>
        </w:trPr>
        <w:tc>
          <w:tcPr>
            <w:tcW w:w="114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3"/>
        </w:trPr>
        <w:tc>
          <w:tcPr>
            <w:tcW w:w="1140" w:type="dxa"/>
            <w:vAlign w:val="bottom"/>
            <w:tcBorders>
              <w:left w:val="single" w:sz="8" w:color="auto"/>
            </w:tcBorders>
          </w:tcPr>
          <w:p>
            <w:pPr>
              <w:spacing w:after="0"/>
              <w:rPr>
                <w:sz w:val="20"/>
                <w:szCs w:val="20"/>
                <w:color w:val="auto"/>
              </w:rPr>
            </w:pPr>
          </w:p>
        </w:tc>
        <w:tc>
          <w:tcPr>
            <w:tcW w:w="2660" w:type="dxa"/>
            <w:vAlign w:val="bottom"/>
            <w:gridSpan w:val="2"/>
          </w:tcPr>
          <w:p>
            <w:pPr>
              <w:jc w:val="center"/>
              <w:ind w:left="194"/>
              <w:spacing w:after="0"/>
              <w:rPr>
                <w:sz w:val="20"/>
                <w:szCs w:val="20"/>
                <w:color w:val="auto"/>
              </w:rPr>
            </w:pPr>
            <w:r>
              <w:rPr>
                <w:rFonts w:ascii="Arial" w:cs="Arial" w:eastAsia="Arial" w:hAnsi="Arial"/>
                <w:sz w:val="17"/>
                <w:szCs w:val="17"/>
                <w:b w:val="1"/>
                <w:bCs w:val="1"/>
                <w:color w:val="auto"/>
                <w:w w:val="99"/>
              </w:rPr>
              <w:t>Net Fee Due</w:t>
            </w:r>
          </w:p>
        </w:tc>
        <w:tc>
          <w:tcPr>
            <w:tcW w:w="13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$686.47</w:t>
            </w:r>
          </w:p>
        </w:tc>
      </w:tr>
      <w:tr>
        <w:trPr>
          <w:trHeight w:val="30"/>
        </w:trPr>
        <w:tc>
          <w:tcPr>
            <w:tcW w:w="114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89" w:lineRule="exact"/>
        <w:rPr>
          <w:sz w:val="20"/>
          <w:szCs w:val="20"/>
          <w:color w:val="auto"/>
        </w:rPr>
      </w:pPr>
    </w:p>
    <w:p>
      <w:pPr>
        <w:ind w:left="560" w:right="180" w:hanging="366"/>
        <w:spacing w:after="0" w:line="189" w:lineRule="auto"/>
        <w:tabs>
          <w:tab w:leader="none" w:pos="560" w:val="left"/>
        </w:tabs>
        <w:numPr>
          <w:ilvl w:val="0"/>
          <w:numId w:val="4"/>
        </w:numPr>
        <w:rPr>
          <w:rFonts w:ascii="Arial" w:cs="Arial" w:eastAsia="Arial" w:hAnsi="Arial"/>
          <w:sz w:val="37"/>
          <w:szCs w:val="37"/>
          <w:color w:val="auto"/>
          <w:vertAlign w:val="subscript"/>
        </w:rPr>
      </w:pPr>
      <w:r>
        <w:rPr>
          <w:rFonts w:ascii="Arial" w:cs="Arial" w:eastAsia="Arial" w:hAnsi="Arial"/>
          <w:sz w:val="17"/>
          <w:szCs w:val="17"/>
          <w:color w:val="auto"/>
        </w:rPr>
        <w:t>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w:t>
      </w:r>
    </w:p>
    <w:p>
      <w:pPr>
        <w:spacing w:after="0" w:line="86" w:lineRule="exact"/>
        <w:rPr>
          <w:rFonts w:ascii="Arial" w:cs="Arial" w:eastAsia="Arial" w:hAnsi="Arial"/>
          <w:sz w:val="37"/>
          <w:szCs w:val="37"/>
          <w:color w:val="auto"/>
          <w:vertAlign w:val="subscript"/>
        </w:rPr>
      </w:pPr>
    </w:p>
    <w:p>
      <w:pPr>
        <w:ind w:left="560" w:right="40" w:hanging="366"/>
        <w:spacing w:after="0" w:line="269" w:lineRule="auto"/>
        <w:tabs>
          <w:tab w:leader="none" w:pos="560" w:val="left"/>
        </w:tabs>
        <w:numPr>
          <w:ilvl w:val="0"/>
          <w:numId w:val="4"/>
        </w:numPr>
        <w:rPr>
          <w:rFonts w:ascii="Arial" w:cs="Arial" w:eastAsia="Arial" w:hAnsi="Arial"/>
          <w:sz w:val="20"/>
          <w:szCs w:val="20"/>
          <w:color w:val="auto"/>
        </w:rPr>
      </w:pPr>
      <w:r>
        <w:rPr>
          <w:rFonts w:ascii="Arial" w:cs="Arial" w:eastAsia="Arial" w:hAnsi="Arial"/>
          <w:sz w:val="18"/>
          <w:szCs w:val="18"/>
          <w:color w:val="auto"/>
        </w:rPr>
        <w:t>Consists of 802,395 shares of the Registrant’s Class A common stock, par value $0.001 per share, that may become issuable pursuant to the terms of the restricted stock unit inducement award agreement to be granted to Mr. Fonseca on February 27, 2026, as a material inducement for his entering into employment with the Registrant.</w:t>
      </w:r>
    </w:p>
    <w:p>
      <w:pPr>
        <w:spacing w:after="0" w:line="61" w:lineRule="exact"/>
        <w:rPr>
          <w:rFonts w:ascii="Arial" w:cs="Arial" w:eastAsia="Arial" w:hAnsi="Arial"/>
          <w:sz w:val="20"/>
          <w:szCs w:val="20"/>
          <w:color w:val="auto"/>
        </w:rPr>
      </w:pPr>
    </w:p>
    <w:p>
      <w:pPr>
        <w:jc w:val="both"/>
        <w:ind w:left="560" w:right="480" w:hanging="366"/>
        <w:spacing w:after="0" w:line="260" w:lineRule="auto"/>
        <w:tabs>
          <w:tab w:leader="none" w:pos="560" w:val="left"/>
        </w:tabs>
        <w:numPr>
          <w:ilvl w:val="0"/>
          <w:numId w:val="4"/>
        </w:numPr>
        <w:rPr>
          <w:rFonts w:ascii="Arial" w:cs="Arial" w:eastAsia="Arial" w:hAnsi="Arial"/>
          <w:sz w:val="20"/>
          <w:szCs w:val="20"/>
          <w:color w:val="auto"/>
        </w:rPr>
      </w:pPr>
      <w:r>
        <w:rPr>
          <w:rFonts w:ascii="Arial" w:cs="Arial" w:eastAsia="Arial" w:hAnsi="Arial"/>
          <w:sz w:val="18"/>
          <w:szCs w:val="18"/>
          <w:color w:val="auto"/>
        </w:rPr>
        <w:t>Estimated solely for the purpose of calculating the registration fee pursuant to Rules 457(c) and 457(h) of the Securities Act, and based upon the average of the high and low prices of the Registrant's Class A common stock as reported on The Nasdaq Stock Market LLC on February 26, 2026.</w:t>
      </w:r>
    </w:p>
    <w:p>
      <w:pPr>
        <w:ind w:left="560" w:hanging="366"/>
        <w:spacing w:after="0" w:line="180" w:lineRule="auto"/>
        <w:tabs>
          <w:tab w:leader="none" w:pos="560" w:val="left"/>
        </w:tabs>
        <w:numPr>
          <w:ilvl w:val="0"/>
          <w:numId w:val="4"/>
        </w:numPr>
        <w:rPr>
          <w:rFonts w:ascii="Arial" w:cs="Arial" w:eastAsia="Arial" w:hAnsi="Arial"/>
          <w:sz w:val="36"/>
          <w:szCs w:val="36"/>
          <w:color w:val="auto"/>
          <w:vertAlign w:val="subscript"/>
        </w:rPr>
      </w:pPr>
      <w:r>
        <w:rPr>
          <w:rFonts w:ascii="Arial" w:cs="Arial" w:eastAsia="Arial" w:hAnsi="Arial"/>
          <w:sz w:val="17"/>
          <w:szCs w:val="17"/>
          <w:color w:val="auto"/>
        </w:rPr>
        <w:t>The Registrant does not have any fee offsets.</w:t>
      </w:r>
    </w:p>
    <w:p>
      <w:pPr>
        <w:sectPr>
          <w:pgSz w:w="11900" w:h="16838" w:orient="portrait"/>
          <w:cols w:equalWidth="0" w:num="1">
            <w:col w:w="11240"/>
          </w:cols>
          <w:pgMar w:left="320" w:top="917" w:right="339" w:bottom="1440" w:gutter="0" w:footer="0" w:header="0"/>
        </w:sectPr>
      </w:pPr>
    </w:p>
    <w:bookmarkStart w:id="9" w:name="page10"/>
    <w:bookmarkEnd w:id="9"/>
    <w:p>
      <w:pPr>
        <w:ind w:left="2360"/>
        <w:spacing w:after="0"/>
        <w:rPr>
          <w:sz w:val="20"/>
          <w:szCs w:val="20"/>
          <w:color w:val="auto"/>
        </w:rPr>
      </w:pPr>
      <w:r>
        <w:rPr>
          <w:rFonts w:ascii="Arial" w:cs="Arial" w:eastAsia="Arial" w:hAnsi="Arial"/>
          <w:sz w:val="13"/>
          <w:szCs w:val="13"/>
          <w:color w:val="140BE3"/>
        </w:rPr>
        <w:drawing>
          <wp:anchor simplePos="0" relativeHeight="251657728" behindDoc="1" locked="0" layoutInCell="0" allowOverlap="1">
            <wp:simplePos x="0" y="0"/>
            <wp:positionH relativeFrom="page">
              <wp:posOffset>216535</wp:posOffset>
            </wp:positionH>
            <wp:positionV relativeFrom="page">
              <wp:posOffset>405765</wp:posOffset>
            </wp:positionV>
            <wp:extent cx="89154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891540" cy="154305"/>
                    </a:xfrm>
                    <a:prstGeom prst="rect">
                      <a:avLst/>
                    </a:prstGeom>
                    <a:noFill/>
                  </pic:spPr>
                </pic:pic>
              </a:graphicData>
            </a:graphic>
          </wp:anchor>
        </w:drawing>
        <w:t>Davis Polk &amp; Wardwell llp</w:t>
      </w:r>
    </w:p>
    <w:p>
      <w:pPr>
        <w:spacing w:after="0" w:line="10" w:lineRule="exact"/>
        <w:rPr>
          <w:sz w:val="20"/>
          <w:szCs w:val="20"/>
          <w:color w:val="auto"/>
        </w:rPr>
      </w:pPr>
    </w:p>
    <w:p>
      <w:pPr>
        <w:ind w:left="2360"/>
        <w:spacing w:after="0"/>
        <w:rPr>
          <w:sz w:val="20"/>
          <w:szCs w:val="20"/>
          <w:color w:val="auto"/>
        </w:rPr>
      </w:pPr>
      <w:r>
        <w:rPr>
          <w:rFonts w:ascii="Arial" w:cs="Arial" w:eastAsia="Arial" w:hAnsi="Arial"/>
          <w:sz w:val="13"/>
          <w:szCs w:val="13"/>
          <w:color w:val="140BE3"/>
        </w:rPr>
        <w:t>450 Lexington Avenue</w:t>
      </w:r>
    </w:p>
    <w:p>
      <w:pPr>
        <w:ind w:left="2360"/>
        <w:spacing w:after="0"/>
        <w:rPr>
          <w:sz w:val="20"/>
          <w:szCs w:val="20"/>
          <w:color w:val="auto"/>
        </w:rPr>
      </w:pPr>
      <w:r>
        <w:rPr>
          <w:rFonts w:ascii="Arial" w:cs="Arial" w:eastAsia="Arial" w:hAnsi="Arial"/>
          <w:sz w:val="13"/>
          <w:szCs w:val="13"/>
          <w:color w:val="140BE3"/>
        </w:rPr>
        <w:t>New York, NY 10017</w:t>
      </w:r>
    </w:p>
    <w:p>
      <w:pPr>
        <w:ind w:left="2360"/>
        <w:spacing w:after="0"/>
        <w:rPr>
          <w:sz w:val="20"/>
          <w:szCs w:val="20"/>
          <w:color w:val="auto"/>
        </w:rPr>
      </w:pPr>
      <w:r>
        <w:rPr>
          <w:rFonts w:ascii="Arial" w:cs="Arial" w:eastAsia="Arial" w:hAnsi="Arial"/>
          <w:sz w:val="13"/>
          <w:szCs w:val="13"/>
          <w:color w:val="140BE3"/>
        </w:rPr>
        <w:t>davispolk.com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2026</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 and 23.2</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Rent the Runway,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Brooklyn, New York 11201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We have acted as counsel for Rent the Runway,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preparation and filing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of a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the Securities and Exchange Commission under the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for the purpose of registering under the Securities Act 802,395 shares of the Company’s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par value $0.001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that may become issuable in respect of the restricted stock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inducement award granted to Dhiren Fonseca as a material inducement for his commencing employment with the Company in accordance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with the terms of the restricted stock unit inducement award agreement to be granted to Mr. Fonseca on February 27, 2026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Inducement Award</w:t>
      </w:r>
      <w:r>
        <w:rPr>
          <w:rFonts w:ascii="Arial" w:cs="Arial" w:eastAsia="Arial" w:hAnsi="Arial"/>
          <w:sz w:val="18"/>
          <w:szCs w:val="18"/>
          <w:color w:val="auto"/>
        </w:rPr>
        <w:t>”). The Inducement Award will be granted pursuant to Nasdaq Listing Rule 5635(c)(4) and was approved by a majority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of the independent members of the Company’s board of directors. As such counsel, we have made such legal and factual examination 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inquiries as we have deemed necessary or appropriate for purposes of this opinion and have made such additional assumptions as are set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forth below. This opinion is furnished pursuant to the requirements of Item 601(b)(5) of Regulation S-K.</w:t>
      </w:r>
    </w:p>
    <w:p>
      <w:pPr>
        <w:spacing w:after="0" w:line="266" w:lineRule="exact"/>
        <w:rPr>
          <w:sz w:val="20"/>
          <w:szCs w:val="20"/>
          <w:color w:val="auto"/>
        </w:rPr>
      </w:pPr>
    </w:p>
    <w:p>
      <w:pPr>
        <w:ind w:right="300"/>
        <w:spacing w:after="0" w:line="350" w:lineRule="auto"/>
        <w:rPr>
          <w:sz w:val="20"/>
          <w:szCs w:val="20"/>
          <w:color w:val="auto"/>
        </w:rPr>
      </w:pPr>
      <w:r>
        <w:rPr>
          <w:rFonts w:ascii="Arial" w:cs="Arial" w:eastAsia="Arial" w:hAnsi="Arial"/>
          <w:sz w:val="18"/>
          <w:szCs w:val="18"/>
          <w:color w:val="auto"/>
        </w:rPr>
        <w:t>We, as the Company’s counsel, have examined originals or copies of such documents, corporate records and other instruments and such matters of fact and law as we have deemed necessary or advisable for the purposes of rendering the opinion expressed herein.</w:t>
      </w:r>
    </w:p>
    <w:p>
      <w:pPr>
        <w:spacing w:after="0" w:line="152"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68" w:lineRule="exact"/>
        <w:rPr>
          <w:sz w:val="20"/>
          <w:szCs w:val="20"/>
          <w:color w:val="auto"/>
        </w:rPr>
      </w:pPr>
    </w:p>
    <w:p>
      <w:pPr>
        <w:jc w:val="both"/>
        <w:ind w:right="260"/>
        <w:spacing w:after="0" w:line="331" w:lineRule="auto"/>
        <w:rPr>
          <w:sz w:val="20"/>
          <w:szCs w:val="20"/>
          <w:color w:val="auto"/>
        </w:rPr>
      </w:pPr>
      <w:r>
        <w:rPr>
          <w:rFonts w:ascii="Arial" w:cs="Arial" w:eastAsia="Arial" w:hAnsi="Arial"/>
          <w:sz w:val="18"/>
          <w:szCs w:val="18"/>
          <w:color w:val="auto"/>
        </w:rPr>
        <w:t>Upon the basis of the foregoing, we are of the opinion that the Shares that may become issuable pursuant to the Inducement Award, have been duly authorized and, when and to the extent issued in accordance with the terms of the Inducement Award, will be legally and validly issued, fully paid and non-assessable.</w:t>
      </w:r>
    </w:p>
    <w:p>
      <w:pPr>
        <w:sectPr>
          <w:pgSz w:w="11900" w:h="16838" w:orient="portrait"/>
          <w:cols w:equalWidth="0" w:num="1">
            <w:col w:w="11240"/>
          </w:cols>
          <w:pgMar w:left="320" w:top="648"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89154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080"/>
        <w:spacing w:after="0" w:line="350" w:lineRule="auto"/>
        <w:rPr>
          <w:sz w:val="20"/>
          <w:szCs w:val="20"/>
          <w:color w:val="auto"/>
        </w:rPr>
      </w:pPr>
      <w:r>
        <w:rPr>
          <w:rFonts w:ascii="Arial" w:cs="Arial" w:eastAsia="Arial" w:hAnsi="Arial"/>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39" w:lineRule="exact"/>
        <w:rPr>
          <w:sz w:val="20"/>
          <w:szCs w:val="20"/>
          <w:color w:val="auto"/>
        </w:rPr>
      </w:pPr>
    </w:p>
    <w:p>
      <w:pPr>
        <w:spacing w:after="0" w:line="331" w:lineRule="auto"/>
        <w:rPr>
          <w:sz w:val="20"/>
          <w:szCs w:val="20"/>
          <w:color w:val="auto"/>
        </w:rPr>
      </w:pPr>
      <w:r>
        <w:rPr>
          <w:rFonts w:ascii="Arial" w:cs="Arial" w:eastAsia="Arial" w:hAnsi="Arial"/>
          <w:sz w:val="18"/>
          <w:szCs w:val="18"/>
          <w:color w:val="auto"/>
        </w:rPr>
        <w:t>This opinion letter is provided to the Securities and Exchange Commission for use solely in connection with the transactions contemplated by the Registration Statement and may not be used, circulated, quoted or otherwise relied upon by any other person or for any other purpose without express written consent.</w:t>
      </w:r>
    </w:p>
    <w:p>
      <w:pPr>
        <w:spacing w:after="0" w:line="156" w:lineRule="exact"/>
        <w:rPr>
          <w:sz w:val="20"/>
          <w:szCs w:val="20"/>
          <w:color w:val="auto"/>
        </w:rPr>
      </w:pPr>
    </w:p>
    <w:p>
      <w:pPr>
        <w:ind w:right="580"/>
        <w:spacing w:after="0" w:line="350"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52" w:lineRule="exact"/>
        <w:rPr>
          <w:sz w:val="20"/>
          <w:szCs w:val="20"/>
          <w:color w:val="auto"/>
        </w:rPr>
      </w:pPr>
    </w:p>
    <w:p>
      <w:pPr>
        <w:ind w:right="40"/>
        <w:spacing w:after="0" w:line="350"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admit that we are in the category of persons whose consent is required under Section 7 of the Securities 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tabs>
          <w:tab w:leader="none" w:pos="1220" w:val="left"/>
        </w:tabs>
        <w:rPr>
          <w:sz w:val="20"/>
          <w:szCs w:val="20"/>
          <w:color w:val="auto"/>
        </w:rPr>
      </w:pPr>
      <w:r>
        <w:rPr>
          <w:rFonts w:ascii="Arial" w:cs="Arial" w:eastAsia="Arial" w:hAnsi="Arial"/>
          <w:sz w:val="13"/>
          <w:szCs w:val="13"/>
          <w:color w:val="auto"/>
        </w:rPr>
        <w:t>February 27, 2026</w:t>
        <w:tab/>
        <w:t>2</w:t>
      </w:r>
    </w:p>
    <w:p>
      <w:pPr>
        <w:sectPr>
          <w:pgSz w:w="11900" w:h="16838" w:orient="portrait"/>
          <w:cols w:equalWidth="0" w:num="1">
            <w:col w:w="11200"/>
          </w:cols>
          <w:pgMar w:left="320" w:top="1440" w:right="379" w:bottom="1440" w:gutter="0" w:footer="0" w:header="0"/>
        </w:sectPr>
      </w:pPr>
    </w:p>
    <w:bookmarkStart w:id="11" w:name="page12"/>
    <w:bookmarkEnd w:id="11"/>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Rent the Runway, Inc.</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of our report dated April 15, 2025 relating to the financial statements, which appears in Rent the Runway, Inc. Annual Report on Form 10-K for the year ended January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rPr>
          <w:sz w:val="20"/>
          <w:szCs w:val="20"/>
          <w:color w:val="auto"/>
        </w:rPr>
      </w:pPr>
      <w:r>
        <w:rPr>
          <w:rFonts w:ascii="Times New Roman" w:cs="Times New Roman" w:eastAsia="Times New Roman" w:hAnsi="Times New Roman"/>
          <w:sz w:val="18"/>
          <w:szCs w:val="18"/>
          <w:color w:val="auto"/>
        </w:rPr>
        <w:t>February 27, 2026</w:t>
      </w:r>
    </w:p>
    <w:p>
      <w:pPr>
        <w:sectPr>
          <w:pgSz w:w="11900" w:h="16838" w:orient="portrait"/>
          <w:cols w:equalWidth="0" w:num="1">
            <w:col w:w="10980"/>
          </w:cols>
          <w:pgMar w:left="320" w:top="914" w:right="59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RENT THE RUNWAY,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UNIT INDUCEMENT AWARD</w:t>
      </w:r>
    </w:p>
    <w:p>
      <w:pPr>
        <w:spacing w:after="0" w:line="192"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As a material inducement for you to enter into employment with Rent the Runway,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you have been granted restricted stock units representing shares of the Company on the following terms. This award is intended to comply with Rule 5635(c)(4) of the Nasdaq Stock Market Listing Rules, which provide an exception to the Nasdaq Stock Market Listing Rules’ stockholder approval requirement for the issuance of securities regarding grants to certain employees of the Company as an inducement material to such individuals entering into employment with the Company, and shall be administered and interpreted consistent with such intent.</w:t>
      </w:r>
    </w:p>
    <w:p>
      <w:pPr>
        <w:sectPr>
          <w:pgSz w:w="11900" w:h="16838" w:orient="portrait"/>
          <w:cols w:equalWidth="0" w:num="1">
            <w:col w:w="11240"/>
          </w:cols>
          <w:pgMar w:left="320" w:top="125" w:right="339" w:bottom="1440" w:gutter="0" w:footer="0" w:header="0"/>
        </w:sectPr>
      </w:pPr>
    </w:p>
    <w:p>
      <w:pPr>
        <w:spacing w:after="0" w:line="21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Name of Participant: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Dhiren Fonseca</w:t>
      </w:r>
    </w:p>
    <w:p>
      <w:pPr>
        <w:spacing w:after="0" w:line="200" w:lineRule="exact"/>
        <w:rPr>
          <w:sz w:val="20"/>
          <w:szCs w:val="20"/>
          <w:color w:val="auto"/>
        </w:rPr>
      </w:pPr>
    </w:p>
    <w:p>
      <w:pPr>
        <w:sectPr>
          <w:pgSz w:w="11900" w:h="16838" w:orient="portrait"/>
          <w:cols w:equalWidth="0" w:num="2">
            <w:col w:w="5080" w:space="720"/>
            <w:col w:w="5440"/>
          </w:cols>
          <w:pgMar w:left="320" w:top="125" w:right="339" w:bottom="1440" w:gutter="0" w:footer="0" w:header="0"/>
          <w:type w:val="continuous"/>
        </w:sectPr>
      </w:pPr>
    </w:p>
    <w:p>
      <w:pPr>
        <w:spacing w:after="0" w:line="4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Total Number of Restricted Stock Units Granted: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802,395</w:t>
      </w:r>
    </w:p>
    <w:p>
      <w:pPr>
        <w:spacing w:after="0" w:line="200" w:lineRule="exact"/>
        <w:rPr>
          <w:sz w:val="20"/>
          <w:szCs w:val="20"/>
          <w:color w:val="auto"/>
        </w:rPr>
      </w:pPr>
    </w:p>
    <w:p>
      <w:pPr>
        <w:sectPr>
          <w:pgSz w:w="11900" w:h="16838" w:orient="portrait"/>
          <w:cols w:equalWidth="0" w:num="2">
            <w:col w:w="5040" w:space="660"/>
            <w:col w:w="5540"/>
          </w:cols>
          <w:pgMar w:left="320" w:top="125" w:right="339" w:bottom="1440" w:gutter="0" w:footer="0" w:header="0"/>
          <w:type w:val="continuous"/>
        </w:sectPr>
      </w:pPr>
    </w:p>
    <w:p>
      <w:pPr>
        <w:spacing w:after="0" w:line="4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Date of Grant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21"/>
          <w:szCs w:val="21"/>
          <w:color w:val="auto"/>
        </w:rPr>
        <w:t>February 27, 2026</w:t>
      </w:r>
    </w:p>
    <w:p>
      <w:pPr>
        <w:spacing w:after="0" w:line="200" w:lineRule="exact"/>
        <w:rPr>
          <w:sz w:val="20"/>
          <w:szCs w:val="20"/>
          <w:color w:val="auto"/>
        </w:rPr>
      </w:pPr>
    </w:p>
    <w:p>
      <w:pPr>
        <w:sectPr>
          <w:pgSz w:w="11900" w:h="16838" w:orient="portrait"/>
          <w:cols w:equalWidth="0" w:num="2">
            <w:col w:w="5080" w:space="720"/>
            <w:col w:w="5440"/>
          </w:cols>
          <w:pgMar w:left="320" w:top="125" w:right="339" w:bottom="1440" w:gutter="0" w:footer="0" w:header="0"/>
          <w:type w:val="continuous"/>
        </w:sectPr>
      </w:pPr>
    </w:p>
    <w:p>
      <w:pPr>
        <w:spacing w:after="0" w:line="4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October 28, 2025</w:t>
      </w:r>
    </w:p>
    <w:p>
      <w:pPr>
        <w:spacing w:after="0" w:line="200" w:lineRule="exact"/>
        <w:rPr>
          <w:sz w:val="20"/>
          <w:szCs w:val="20"/>
          <w:color w:val="auto"/>
        </w:rPr>
      </w:pPr>
    </w:p>
    <w:p>
      <w:pPr>
        <w:sectPr>
          <w:pgSz w:w="11900" w:h="16838" w:orient="portrait"/>
          <w:cols w:equalWidth="0" w:num="2">
            <w:col w:w="5080" w:space="720"/>
            <w:col w:w="5440"/>
          </w:cols>
          <w:pgMar w:left="320" w:top="125" w:right="339" w:bottom="1440" w:gutter="0" w:footer="0" w:header="0"/>
          <w:type w:val="continuous"/>
        </w:sectPr>
      </w:pPr>
    </w:p>
    <w:p>
      <w:pPr>
        <w:spacing w:after="0" w:line="4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Vesting Schedule: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580"/>
        <w:spacing w:after="0" w:line="210" w:lineRule="auto"/>
        <w:rPr>
          <w:sz w:val="20"/>
          <w:szCs w:val="20"/>
          <w:color w:val="auto"/>
        </w:rPr>
      </w:pPr>
      <w:r>
        <w:rPr>
          <w:rFonts w:ascii="Times New Roman" w:cs="Times New Roman" w:eastAsia="Times New Roman" w:hAnsi="Times New Roman"/>
          <w:sz w:val="22"/>
          <w:szCs w:val="22"/>
          <w:color w:val="auto"/>
        </w:rPr>
        <w:t>25% of the Total Number of Restricted Stock Units Granted will vest on the first anniversary of the Vesting Commencement Date, with the remaining 75% of the Total Number of Restricted Stock Units Granted vesting in equal installments on a quarterly basis following the first anniversary of the Vesting Commencement Date through the fourth anniversary of the Vesting Commencement Date, in each case, subject to your continued employment through each applicable vesting date (except as otherwise set forth in the Restricted Stock Unit Agreement).</w:t>
      </w:r>
    </w:p>
    <w:p>
      <w:pPr>
        <w:spacing w:after="0" w:line="200" w:lineRule="exact"/>
        <w:rPr>
          <w:sz w:val="20"/>
          <w:szCs w:val="20"/>
          <w:color w:val="auto"/>
        </w:rPr>
      </w:pPr>
    </w:p>
    <w:p>
      <w:pPr>
        <w:sectPr>
          <w:pgSz w:w="11900" w:h="16838" w:orient="portrait"/>
          <w:cols w:equalWidth="0" w:num="2">
            <w:col w:w="5080" w:space="720"/>
            <w:col w:w="5440"/>
          </w:cols>
          <w:pgMar w:left="320" w:top="125" w:right="339" w:bottom="1440" w:gutter="0" w:footer="0" w:header="0"/>
          <w:type w:val="continuous"/>
        </w:sectPr>
      </w:pPr>
    </w:p>
    <w:p>
      <w:pPr>
        <w:spacing w:after="0" w:line="92"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The Restricted Stock Units are granted under and governed by the terms and conditions of the Restricted Stock Unit Inducement Award Agreement and are not granted pursuant to the Company’s Second Amended and Restated 2021 Incentive Award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Notwithstanding the foregoing, subject to the terms and conditions herein and in the Restricted Stock Unit Inducement Award Agreement, this award will be governed by the terms and conditions set forth in the Plan as if it had been granted under the Plan. The provisions of the Restricted Stock Unit Inducement Award Agreement and Plan are hereby incorporated herein by reference. Capitalized terms not defined herein shall have the meanings ascribed to them in the</w:t>
      </w:r>
    </w:p>
    <w:p>
      <w:pPr>
        <w:sectPr>
          <w:pgSz w:w="11900" w:h="16838" w:orient="portrait"/>
          <w:cols w:equalWidth="0" w:num="1">
            <w:col w:w="11240"/>
          </w:cols>
          <w:pgMar w:left="320" w:top="125" w:right="339" w:bottom="1440" w:gutter="0" w:footer="0" w:header="0"/>
          <w:type w:val="continuous"/>
        </w:sectPr>
      </w:pPr>
    </w:p>
    <w:bookmarkStart w:id="13" w:name="page14"/>
    <w:bookmarkEnd w:id="13"/>
    <w:p>
      <w:pPr>
        <w:ind w:right="20"/>
        <w:spacing w:after="0" w:line="256" w:lineRule="auto"/>
        <w:rPr>
          <w:sz w:val="20"/>
          <w:szCs w:val="20"/>
          <w:color w:val="auto"/>
        </w:rPr>
      </w:pPr>
      <w:r>
        <w:rPr>
          <w:rFonts w:ascii="Times New Roman" w:cs="Times New Roman" w:eastAsia="Times New Roman" w:hAnsi="Times New Roman"/>
          <w:sz w:val="22"/>
          <w:szCs w:val="22"/>
          <w:color w:val="auto"/>
        </w:rPr>
        <w:t>Plan. You agree that you have reviewed the Plan, this Notice of Restricted Stock Unit Inducement Award and the Restricted Stock Unit Inducement Award Agreement, you have had an opportunity to obtain the advice of counsel prior to executing this Notice of Restricted Stock Unit Inducement Award, and that you understand the terms of the Plan, this Notice of Restricted Stock Unit Inducement Award, and the Restricted Stock Unit Inducement Award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agree to accept electronically all documents relating to the Plan or this restricted stock unit award.</w:t>
      </w:r>
    </w:p>
    <w:p>
      <w:pPr>
        <w:spacing w:after="0" w:line="220"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You further agree to comply with the Company’s insider trading policy in effect from time to time when selling shares of the Company’s common stock.</w:t>
      </w:r>
    </w:p>
    <w:p>
      <w:pPr>
        <w:spacing w:after="0" w:line="154" w:lineRule="exact"/>
        <w:rPr>
          <w:sz w:val="20"/>
          <w:szCs w:val="20"/>
          <w:color w:val="auto"/>
        </w:rPr>
      </w:pPr>
    </w:p>
    <w:p>
      <w:pPr>
        <w:jc w:val="center"/>
        <w:ind w:left="360"/>
        <w:spacing w:after="0" w:line="265" w:lineRule="auto"/>
        <w:rPr>
          <w:sz w:val="20"/>
          <w:szCs w:val="20"/>
          <w:color w:val="auto"/>
        </w:rPr>
      </w:pPr>
      <w:r>
        <w:rPr>
          <w:rFonts w:ascii="Times New Roman" w:cs="Times New Roman" w:eastAsia="Times New Roman" w:hAnsi="Times New Roman"/>
          <w:sz w:val="22"/>
          <w:szCs w:val="22"/>
          <w:b w:val="1"/>
          <w:bCs w:val="1"/>
          <w:color w:val="auto"/>
        </w:rPr>
        <w:t>BY ACKNOWLEDGING AND ACCEPTING THIS NOTICE AND THE RESTRICTED STOCK UNIT INDUCEMENT AWARD AGREEMENT, YOU AGREE TO THE TERMS AND CONDITIONS DESCRIBED IN THESE DOCUMENTS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22" w:right="35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RENT THE RUNWAY,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RESTRICTED STOCK UNIT INDUCEMENT AWARD AGREEMENT</w:t>
      </w:r>
    </w:p>
    <w:p>
      <w:pPr>
        <w:sectPr>
          <w:pgSz w:w="11900" w:h="16838" w:orient="portrait"/>
          <w:cols w:equalWidth="0" w:num="1">
            <w:col w:w="11100"/>
          </w:cols>
          <w:pgMar w:left="400" w:top="1418" w:right="399" w:bottom="133"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of Restricted Stock Units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2"/>
          <w:szCs w:val="22"/>
          <w:color w:val="auto"/>
        </w:rPr>
        <w:t>Subject to all of the terms and conditions set forth in the Notice of Restricted Stock Unit Inducement Award and this Restricted Stock Unit Inducement Award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the Company has granted to you the number of restricted stock units set forth in the Notice of Restricted Stock Unit Inducement Award.</w:t>
      </w:r>
    </w:p>
    <w:p>
      <w:pPr>
        <w:spacing w:after="0" w:line="179" w:lineRule="exact"/>
        <w:rPr>
          <w:sz w:val="20"/>
          <w:szCs w:val="20"/>
          <w:color w:val="auto"/>
        </w:rPr>
      </w:pPr>
    </w:p>
    <w:p>
      <w:pPr>
        <w:sectPr>
          <w:pgSz w:w="11900" w:h="16838" w:orient="portrait"/>
          <w:cols w:equalWidth="0" w:num="2">
            <w:col w:w="3020" w:space="720"/>
            <w:col w:w="7360"/>
          </w:cols>
          <w:pgMar w:left="400" w:top="1418" w:right="399" w:bottom="133" w:gutter="0" w:footer="0" w:header="0"/>
          <w:type w:val="continuous"/>
        </w:sectPr>
      </w:pPr>
    </w:p>
    <w:p>
      <w:pPr>
        <w:ind w:left="3740" w:right="20"/>
        <w:spacing w:after="0" w:line="250" w:lineRule="auto"/>
        <w:rPr>
          <w:sz w:val="20"/>
          <w:szCs w:val="20"/>
          <w:color w:val="auto"/>
        </w:rPr>
      </w:pPr>
      <w:r>
        <w:rPr>
          <w:rFonts w:ascii="Times New Roman" w:cs="Times New Roman" w:eastAsia="Times New Roman" w:hAnsi="Times New Roman"/>
          <w:sz w:val="22"/>
          <w:szCs w:val="22"/>
          <w:color w:val="auto"/>
        </w:rPr>
        <w:t>This Award is intended to comply with Rule 5635(c)(4) of the Nasdaq Stock Market Listing Rules, which provide an exception to the Nasdaq Stock Market Listing Rules’ stockholder approval requirement for the issuance of securities regarding grants to certain employees of the Company as an inducement material to such individuals entering into employment with the Company, and shall be administered and interpreted consistent with such intent. For the avoidance of doubt, this Award is not made pursuant to the Company’s Second Amended and Restated 2021 Incentive Award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 shall not reduce the number of Shares subject to the Overall Share Limit.</w:t>
      </w:r>
    </w:p>
    <w:p>
      <w:pPr>
        <w:spacing w:after="0" w:line="180" w:lineRule="exact"/>
        <w:rPr>
          <w:sz w:val="20"/>
          <w:szCs w:val="20"/>
          <w:color w:val="auto"/>
        </w:rPr>
      </w:pPr>
    </w:p>
    <w:p>
      <w:pPr>
        <w:ind w:left="3740"/>
        <w:spacing w:after="0" w:line="256" w:lineRule="auto"/>
        <w:rPr>
          <w:sz w:val="20"/>
          <w:szCs w:val="20"/>
          <w:color w:val="auto"/>
        </w:rPr>
      </w:pPr>
      <w:r>
        <w:rPr>
          <w:rFonts w:ascii="Times New Roman" w:cs="Times New Roman" w:eastAsia="Times New Roman" w:hAnsi="Times New Roman"/>
          <w:sz w:val="22"/>
          <w:szCs w:val="22"/>
          <w:color w:val="auto"/>
        </w:rPr>
        <w:t>Notwithstanding the foregoing, subject to the terms and conditions herein and in the Notice of Restricted Stock Unit Inducement Award, this Award will be governed by the terms and conditions set forth in the Plan as if it had been granted under the Plan. The provisions of Plan are hereby incorporated herein by reference.</w:t>
      </w:r>
    </w:p>
    <w:p>
      <w:pPr>
        <w:spacing w:after="0" w:line="190" w:lineRule="exact"/>
        <w:rPr>
          <w:sz w:val="20"/>
          <w:szCs w:val="20"/>
          <w:color w:val="auto"/>
        </w:rPr>
      </w:pPr>
    </w:p>
    <w:p>
      <w:pPr>
        <w:ind w:left="3800" w:right="180"/>
        <w:spacing w:after="0" w:line="225" w:lineRule="auto"/>
        <w:rPr>
          <w:sz w:val="20"/>
          <w:szCs w:val="20"/>
          <w:color w:val="auto"/>
        </w:rPr>
      </w:pPr>
      <w:r>
        <w:rPr>
          <w:rFonts w:ascii="Times New Roman" w:cs="Times New Roman" w:eastAsia="Times New Roman" w:hAnsi="Times New Roman"/>
          <w:sz w:val="22"/>
          <w:szCs w:val="22"/>
          <w:color w:val="auto"/>
        </w:rPr>
        <w:t>All capitalized terms used in this Agreement shall have the meanings assigned to them in this Agreement, the Notice of Restricted Stock Unit Inducement Award or the Plan.</w:t>
      </w:r>
    </w:p>
    <w:p>
      <w:pPr>
        <w:sectPr>
          <w:pgSz w:w="11900" w:h="16838" w:orient="portrait"/>
          <w:cols w:equalWidth="0" w:num="1">
            <w:col w:w="11100"/>
          </w:cols>
          <w:pgMar w:left="400" w:top="1418" w:right="399" w:bottom="133" w:gutter="0" w:footer="0" w:header="0"/>
          <w:type w:val="continuous"/>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 for Restricted Stock Units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payment is required for the restricted stock units that you are receiving.</w:t>
      </w:r>
    </w:p>
    <w:p>
      <w:pPr>
        <w:spacing w:after="0" w:line="223" w:lineRule="exact"/>
        <w:rPr>
          <w:sz w:val="20"/>
          <w:szCs w:val="20"/>
          <w:color w:val="auto"/>
        </w:rPr>
      </w:pPr>
    </w:p>
    <w:p>
      <w:pPr>
        <w:sectPr>
          <w:pgSz w:w="11900" w:h="16838" w:orient="portrait"/>
          <w:cols w:equalWidth="0" w:num="2">
            <w:col w:w="3260" w:space="540"/>
            <w:col w:w="7300"/>
          </w:cols>
          <w:pgMar w:left="400" w:top="1418" w:right="399" w:bottom="133"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Vesting</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2"/>
          <w:szCs w:val="22"/>
          <w:color w:val="auto"/>
        </w:rPr>
        <w:t>The restricted stock units will vest in accordance with the vesting schedule set forth in the Notice of Restricted Stock Unit Inducement Award. Except as set forth in the following paragraph, the restricted stock units granted pursuant to this Agreement will cease to vest upon your Termination of Service for any reason (unless the Administrator determines otherwise).</w:t>
      </w:r>
    </w:p>
    <w:p>
      <w:pPr>
        <w:spacing w:after="0" w:line="179" w:lineRule="exact"/>
        <w:rPr>
          <w:sz w:val="20"/>
          <w:szCs w:val="20"/>
          <w:color w:val="auto"/>
        </w:rPr>
      </w:pPr>
    </w:p>
    <w:p>
      <w:pPr>
        <w:sectPr>
          <w:pgSz w:w="11900" w:h="16838" w:orient="portrait"/>
          <w:cols w:equalWidth="0" w:num="2">
            <w:col w:w="3020" w:space="720"/>
            <w:col w:w="7360"/>
          </w:cols>
          <w:pgMar w:left="400" w:top="1418" w:right="399" w:bottom="133" w:gutter="0" w:footer="0" w:header="0"/>
          <w:type w:val="continuous"/>
        </w:sectPr>
      </w:pPr>
    </w:p>
    <w:p>
      <w:pPr>
        <w:ind w:left="3740" w:right="40"/>
        <w:spacing w:after="0" w:line="256" w:lineRule="auto"/>
        <w:rPr>
          <w:sz w:val="20"/>
          <w:szCs w:val="20"/>
          <w:color w:val="auto"/>
        </w:rPr>
      </w:pPr>
      <w:r>
        <w:rPr>
          <w:rFonts w:ascii="Times New Roman" w:cs="Times New Roman" w:eastAsia="Times New Roman" w:hAnsi="Times New Roman"/>
          <w:sz w:val="22"/>
          <w:szCs w:val="22"/>
          <w:color w:val="auto"/>
        </w:rPr>
        <w:t>Notwithstanding the foregoing, 100% of the Total Number of Restricted Stock Units Granted will vest on the date on which an Investor Group Sale (as defined below) is consummated, subject to your continued employment through the date of such Investor Group Sale.</w:t>
      </w:r>
    </w:p>
    <w:p>
      <w:pPr>
        <w:spacing w:after="0" w:line="176" w:lineRule="exact"/>
        <w:rPr>
          <w:sz w:val="20"/>
          <w:szCs w:val="20"/>
          <w:color w:val="auto"/>
        </w:rPr>
      </w:pPr>
    </w:p>
    <w:p>
      <w:pPr>
        <w:ind w:left="3740" w:right="60"/>
        <w:spacing w:after="0" w:line="250" w:lineRule="auto"/>
        <w:rPr>
          <w:sz w:val="20"/>
          <w:szCs w:val="20"/>
          <w:color w:val="auto"/>
        </w:rPr>
      </w:pPr>
      <w:r>
        <w:rPr>
          <w:rFonts w:ascii="Times New Roman" w:cs="Times New Roman" w:eastAsia="Times New Roman" w:hAnsi="Times New Roman"/>
          <w:sz w:val="22"/>
          <w:szCs w:val="22"/>
          <w:color w:val="auto"/>
        </w:rPr>
        <w:t>Notwithstanding anything to the contrary set forth in the immediately preceding paragraph, in the event of your Termination of Service as a result of a termination of employment (i) by the Company without Cause (as defined below) or due to your resignation for Good Reason (as defined below), in either case, following the 12-month anniversary of the Vesting Commencement Date, or (ii) due to your death or Disability, then the number of restricted stock units that would have otherwise vested during the 9-month period that immediately follows the date of your Termination of Service had you remained employed by the Company shall vest on the date of your Termination of Service.</w:t>
      </w:r>
    </w:p>
    <w:p>
      <w:pPr>
        <w:spacing w:after="0" w:line="176" w:lineRule="exact"/>
        <w:rPr>
          <w:sz w:val="20"/>
          <w:szCs w:val="20"/>
          <w:color w:val="auto"/>
        </w:rPr>
      </w:pPr>
    </w:p>
    <w:p>
      <w:pPr>
        <w:ind w:left="3740" w:right="80"/>
        <w:spacing w:after="0" w:line="253"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Investor Group Sale</w:t>
      </w:r>
      <w:r>
        <w:rPr>
          <w:rFonts w:ascii="Times New Roman" w:cs="Times New Roman" w:eastAsia="Times New Roman" w:hAnsi="Times New Roman"/>
          <w:sz w:val="22"/>
          <w:szCs w:val="22"/>
          <w:color w:val="auto"/>
        </w:rPr>
        <w:t>” means a transaction or series of related transactions resulting in the sale of at least 50% of the Shares held by the Investor Group (as defined below) as of the Closing to a bona fide third party or group of third parties.</w:t>
      </w:r>
    </w:p>
    <w:p>
      <w:pPr>
        <w:spacing w:after="0" w:line="189" w:lineRule="exact"/>
        <w:rPr>
          <w:sz w:val="20"/>
          <w:szCs w:val="20"/>
          <w:color w:val="auto"/>
        </w:rPr>
      </w:pPr>
    </w:p>
    <w:p>
      <w:pPr>
        <w:ind w:left="3740" w:right="280"/>
        <w:spacing w:after="0" w:line="299" w:lineRule="auto"/>
        <w:rPr>
          <w:sz w:val="20"/>
          <w:szCs w:val="20"/>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b w:val="1"/>
          <w:bCs w:val="1"/>
          <w:color w:val="auto"/>
        </w:rPr>
        <w:t>Investor Group</w:t>
      </w:r>
      <w:r>
        <w:rPr>
          <w:rFonts w:ascii="Times New Roman" w:cs="Times New Roman" w:eastAsia="Times New Roman" w:hAnsi="Times New Roman"/>
          <w:sz w:val="21"/>
          <w:szCs w:val="21"/>
          <w:color w:val="auto"/>
        </w:rPr>
        <w:t>” shall mean, collectively, CHS US Investments, LLC, Gateway Runway LLC, and S3 RR Aggregator, LLC.</w:t>
      </w:r>
    </w:p>
    <w:p>
      <w:pPr>
        <w:sectPr>
          <w:pgSz w:w="11900" w:h="16838" w:orient="portrait"/>
          <w:cols w:equalWidth="0" w:num="1">
            <w:col w:w="11100"/>
          </w:cols>
          <w:pgMar w:left="400" w:top="1418" w:right="399" w:bottom="133"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9019"/>
          </w:cols>
          <w:pgMar w:left="1440" w:top="382" w:right="1440" w:bottom="1440" w:gutter="0" w:footer="0" w:header="0"/>
        </w:sectPr>
      </w:pPr>
    </w:p>
    <w:bookmarkStart w:id="16" w:name="page17"/>
    <w:bookmarkEnd w:id="16"/>
    <w:p>
      <w:pPr>
        <w:spacing w:after="0" w:line="32" w:lineRule="exact"/>
        <w:rPr>
          <w:sz w:val="20"/>
          <w:szCs w:val="20"/>
          <w:color w:val="auto"/>
        </w:rPr>
      </w:pPr>
    </w:p>
    <w:p>
      <w:pPr>
        <w:ind w:left="3740" w:right="220"/>
        <w:spacing w:after="0" w:line="275"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have the meaning set forth in your employment agreement with the Company.</w:t>
      </w:r>
    </w:p>
    <w:p>
      <w:pPr>
        <w:spacing w:after="0" w:line="149" w:lineRule="exact"/>
        <w:rPr>
          <w:sz w:val="20"/>
          <w:szCs w:val="20"/>
          <w:color w:val="auto"/>
        </w:rPr>
      </w:pPr>
    </w:p>
    <w:p>
      <w:pPr>
        <w:ind w:left="3740"/>
        <w:spacing w:after="0" w:line="287"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have the meaning set forth in your employment agreement with the Company.</w:t>
      </w:r>
    </w:p>
    <w:p>
      <w:pPr>
        <w:sectPr>
          <w:pgSz w:w="11900" w:h="16838" w:orient="portrait"/>
          <w:cols w:equalWidth="0" w:num="1">
            <w:col w:w="11040"/>
          </w:cols>
          <w:pgMar w:left="400" w:top="1440" w:right="45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Forfeiture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Subject to the second and third paragraphs of the section of this Agreement entitled “</w:t>
      </w: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(i) in the event of your Termination of Service for any reason, your restricted stock units granted hereunder will be forfeited to the extent that they have not vested before the date of your Termination of Service (meaning that any restricted stock units that have not vested as of the date of your Termination of Service under this Agreement will be cancelled immediately) and (ii) you will receive no payment for any restricted stock units that are forfeited in accordance with this Agreement. The Company determines when your Termination of Service occurs for all purposes of your restricted stock units.</w:t>
      </w:r>
    </w:p>
    <w:p>
      <w:pPr>
        <w:spacing w:after="0" w:line="200" w:lineRule="exact"/>
        <w:rPr>
          <w:sz w:val="20"/>
          <w:szCs w:val="20"/>
          <w:color w:val="auto"/>
        </w:rPr>
      </w:pPr>
    </w:p>
    <w:p>
      <w:pPr>
        <w:sectPr>
          <w:pgSz w:w="11900" w:h="16838" w:orient="portrait"/>
          <w:cols w:equalWidth="0" w:num="2">
            <w:col w:w="3020" w:space="720"/>
            <w:col w:w="7300"/>
          </w:cols>
          <w:pgMar w:left="400" w:top="144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040"/>
          </w:cols>
          <w:pgMar w:left="400" w:top="1440" w:right="459" w:bottom="1440" w:gutter="0" w:footer="0" w:header="0"/>
          <w:type w:val="continuous"/>
        </w:sectPr>
      </w:pPr>
    </w:p>
    <w:bookmarkStart w:id="17" w:name="page18"/>
    <w:bookmarkEnd w:id="17"/>
    <w:p>
      <w:pPr>
        <w:spacing w:after="0" w:line="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Dividend Equivalents; Stockholder Rights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auto"/>
        </w:rPr>
        <w:t>You, or your estate heirs, have no rights as a stockholder of the Company unless and until your restricted stock units are settled in accordance with the terms of this Agreement by issuing you Shares.</w:t>
      </w:r>
    </w:p>
    <w:p>
      <w:pPr>
        <w:spacing w:after="0" w:line="186" w:lineRule="exact"/>
        <w:rPr>
          <w:sz w:val="20"/>
          <w:szCs w:val="20"/>
          <w:color w:val="auto"/>
        </w:rPr>
      </w:pPr>
    </w:p>
    <w:p>
      <w:pPr>
        <w:sectPr>
          <w:pgSz w:w="11900" w:h="16838" w:orient="portrait"/>
          <w:cols w:equalWidth="0" w:num="2">
            <w:col w:w="3220" w:space="520"/>
            <w:col w:w="7340"/>
          </w:cols>
          <w:pgMar w:left="400" w:top="1440" w:right="419" w:bottom="1440" w:gutter="0" w:footer="0" w:header="0"/>
        </w:sectPr>
      </w:pPr>
    </w:p>
    <w:p>
      <w:pPr>
        <w:ind w:left="3740" w:right="20"/>
        <w:spacing w:after="0" w:line="249" w:lineRule="auto"/>
        <w:rPr>
          <w:sz w:val="20"/>
          <w:szCs w:val="20"/>
          <w:color w:val="auto"/>
        </w:rPr>
      </w:pPr>
      <w:r>
        <w:rPr>
          <w:rFonts w:ascii="Times New Roman" w:cs="Times New Roman" w:eastAsia="Times New Roman" w:hAnsi="Times New Roman"/>
          <w:sz w:val="22"/>
          <w:szCs w:val="22"/>
          <w:color w:val="auto"/>
        </w:rPr>
        <w:t>Notwithstanding the foregoing, if the Company declares and pays a cash dividend or other cash distribution with respect to shares of the Company, you shall be entitled to receive a corresponding dividend equivalent with respect to each restricted stock unit that is outstanding as of the applicable record date (each, a “</w:t>
      </w:r>
      <w:r>
        <w:rPr>
          <w:rFonts w:ascii="Times New Roman" w:cs="Times New Roman" w:eastAsia="Times New Roman" w:hAnsi="Times New Roman"/>
          <w:sz w:val="22"/>
          <w:szCs w:val="22"/>
          <w:b w:val="1"/>
          <w:bCs w:val="1"/>
          <w:color w:val="auto"/>
        </w:rPr>
        <w:t>Dividend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Equivalent</w:t>
      </w:r>
      <w:r>
        <w:rPr>
          <w:rFonts w:ascii="Times New Roman" w:cs="Times New Roman" w:eastAsia="Times New Roman" w:hAnsi="Times New Roman"/>
          <w:sz w:val="22"/>
          <w:szCs w:val="22"/>
          <w:color w:val="auto"/>
        </w:rPr>
        <w:t>”). Any such Dividend Equivalent shall be credited in cash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bookkeeping account maintained by the Company, shall not bear interest, and shall be subject to the same vesting, forfeiture, and settlement terms and conditions as the restricted stock unit to which it relates.</w:t>
      </w:r>
    </w:p>
    <w:p>
      <w:pPr>
        <w:spacing w:after="0" w:line="182" w:lineRule="exact"/>
        <w:rPr>
          <w:sz w:val="20"/>
          <w:szCs w:val="20"/>
          <w:color w:val="auto"/>
        </w:rPr>
      </w:pPr>
    </w:p>
    <w:p>
      <w:pPr>
        <w:ind w:left="3740" w:right="60"/>
        <w:spacing w:after="0" w:line="257" w:lineRule="auto"/>
        <w:rPr>
          <w:sz w:val="20"/>
          <w:szCs w:val="20"/>
          <w:color w:val="auto"/>
        </w:rPr>
      </w:pPr>
      <w:r>
        <w:rPr>
          <w:rFonts w:ascii="Times New Roman" w:cs="Times New Roman" w:eastAsia="Times New Roman" w:hAnsi="Times New Roman"/>
          <w:sz w:val="22"/>
          <w:szCs w:val="22"/>
          <w:color w:val="auto"/>
        </w:rPr>
        <w:t>Dividend Equivalents shall be paid to you, if at all, at the same time and in the same form as the shares of the Company underlying the applicable restricted stock units are delivered, and only to the extent such restricted stock units vest.</w:t>
      </w:r>
    </w:p>
    <w:p>
      <w:pPr>
        <w:spacing w:after="0" w:line="186" w:lineRule="exact"/>
        <w:rPr>
          <w:sz w:val="20"/>
          <w:szCs w:val="20"/>
          <w:color w:val="auto"/>
        </w:rPr>
      </w:pPr>
    </w:p>
    <w:p>
      <w:pPr>
        <w:ind w:left="3740"/>
        <w:spacing w:after="0" w:line="250" w:lineRule="auto"/>
        <w:rPr>
          <w:sz w:val="20"/>
          <w:szCs w:val="20"/>
          <w:color w:val="auto"/>
        </w:rPr>
      </w:pPr>
      <w:r>
        <w:rPr>
          <w:rFonts w:ascii="Times New Roman" w:cs="Times New Roman" w:eastAsia="Times New Roman" w:hAnsi="Times New Roman"/>
          <w:sz w:val="22"/>
          <w:szCs w:val="22"/>
          <w:color w:val="auto"/>
        </w:rPr>
        <w:t>In the event of any non-cash dividend, stock split, stock dividend, or other distribution or adjustment with respect to shares of the Company, the restricted stock units shall be equitably adjusted by the Administrator in accordance with the terms of the Plan, and no separate dividend equivalent shall be payable with respect thereto.</w:t>
      </w:r>
    </w:p>
    <w:p>
      <w:pPr>
        <w:spacing w:after="0" w:line="194" w:lineRule="exact"/>
        <w:rPr>
          <w:sz w:val="20"/>
          <w:szCs w:val="20"/>
          <w:color w:val="auto"/>
        </w:rPr>
      </w:pPr>
    </w:p>
    <w:p>
      <w:pPr>
        <w:ind w:left="3740" w:right="200"/>
        <w:spacing w:after="0" w:line="257" w:lineRule="auto"/>
        <w:rPr>
          <w:sz w:val="20"/>
          <w:szCs w:val="20"/>
          <w:color w:val="auto"/>
        </w:rPr>
      </w:pPr>
      <w:r>
        <w:rPr>
          <w:rFonts w:ascii="Times New Roman" w:cs="Times New Roman" w:eastAsia="Times New Roman" w:hAnsi="Times New Roman"/>
          <w:sz w:val="22"/>
          <w:szCs w:val="22"/>
          <w:color w:val="auto"/>
        </w:rPr>
        <w:t>Any Dividend Equivalents that become nonforfeitable shall be paid no later than March 15 of the calendar year following the calendar year in which such Dividend Equivalents vest.</w:t>
      </w:r>
    </w:p>
    <w:p>
      <w:pPr>
        <w:sectPr>
          <w:pgSz w:w="11900" w:h="16838" w:orient="portrait"/>
          <w:cols w:equalWidth="0" w:num="1">
            <w:col w:w="11080"/>
          </w:cols>
          <w:pgMar w:left="400" w:top="1440" w:right="41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Settlement of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2"/>
          <w:szCs w:val="22"/>
          <w:color w:val="auto"/>
        </w:rPr>
        <w:t>Each restricted stock unit will be settled in Shares as soon as administratively practicable after the vesting of the applicable restricted stock unit, but no later than more than sixty (60) days after the restricted stock unit’s vesting date. However, the Company may delay any payment if such payment would violate applicable laws and, in such case, payment will be delayed until the earliest date on which the payment would not cause a violation of laws, provided that the delay will not result in an imposition of taxes under Section 409A of the Internal Revenue Code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3020" w:space="720"/>
            <w:col w:w="7340"/>
          </w:cols>
          <w:pgMar w:left="400" w:top="1440" w:right="419" w:bottom="1440" w:gutter="0" w:footer="0" w:header="0"/>
          <w:type w:val="continuous"/>
        </w:sectPr>
      </w:pPr>
    </w:p>
    <w:p>
      <w:pPr>
        <w:spacing w:after="0" w:line="49" w:lineRule="exact"/>
        <w:rPr>
          <w:sz w:val="20"/>
          <w:szCs w:val="20"/>
          <w:color w:val="auto"/>
        </w:rPr>
      </w:pPr>
    </w:p>
    <w:p>
      <w:pPr>
        <w:ind w:left="3740" w:right="240"/>
        <w:spacing w:after="0" w:line="271" w:lineRule="auto"/>
        <w:rPr>
          <w:sz w:val="20"/>
          <w:szCs w:val="20"/>
          <w:color w:val="auto"/>
        </w:rPr>
      </w:pPr>
      <w:r>
        <w:rPr>
          <w:rFonts w:ascii="Times New Roman" w:cs="Times New Roman" w:eastAsia="Times New Roman" w:hAnsi="Times New Roman"/>
          <w:sz w:val="22"/>
          <w:szCs w:val="22"/>
          <w:color w:val="auto"/>
        </w:rPr>
        <w:t>At the time of settlement, you will receive one (1) Share for each vested restricted stock unit.</w:t>
      </w:r>
    </w:p>
    <w:p>
      <w:pPr>
        <w:spacing w:after="0" w:line="1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No fractional Shares will be issued upon settlement.</w:t>
      </w:r>
    </w:p>
    <w:p>
      <w:pPr>
        <w:sectPr>
          <w:pgSz w:w="11900" w:h="16838" w:orient="portrait"/>
          <w:cols w:equalWidth="0" w:num="1">
            <w:col w:w="11080"/>
          </w:cols>
          <w:pgMar w:left="40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080"/>
          </w:cols>
          <w:pgMar w:left="400" w:top="1440" w:right="419" w:bottom="1440" w:gutter="0" w:footer="0" w:header="0"/>
          <w:type w:val="continuous"/>
        </w:sectPr>
      </w:pPr>
    </w:p>
    <w:bookmarkStart w:id="18" w:name="page19"/>
    <w:bookmarkEnd w:id="18"/>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Nature of Units / Limitation on Your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of Restricted Stock Units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2"/>
          <w:szCs w:val="22"/>
          <w:color w:val="auto"/>
        </w:rPr>
        <w:t>The restricted stock units and any related Dividend Equivalents are not intended to constitute “nonqualified deferred compensation” within the meaning of Section 409A.</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1"/>
          <w:szCs w:val="21"/>
          <w:color w:val="auto"/>
        </w:rPr>
        <w:t>Further, if the Company determines that you are a “specified employee,” as defined in the regulations under Section 409A at the time of your “separation from service,” as defined in Treasury Regulation Section 1.409A-1(h) and it is determined that settlement of these restricted stock units is not exempt from Section 409A, then any restricted stock units that otherwise would have been settled during the first six (6) months following your “separation from service” will instead be settled on the first business day following the earlier of (i) the six (6)-month anniversary of your separation from service or (ii) your death. Each installment of restricted stock units is hereby designated as a separate payment for purposes of Section 409A.</w:t>
      </w:r>
    </w:p>
    <w:p>
      <w:pPr>
        <w:spacing w:after="0" w:line="202" w:lineRule="exact"/>
        <w:rPr>
          <w:sz w:val="20"/>
          <w:szCs w:val="20"/>
          <w:color w:val="auto"/>
        </w:rPr>
      </w:pPr>
    </w:p>
    <w:p>
      <w:pPr>
        <w:ind w:left="60" w:right="60"/>
        <w:spacing w:after="0" w:line="215" w:lineRule="auto"/>
        <w:rPr>
          <w:sz w:val="20"/>
          <w:szCs w:val="20"/>
          <w:color w:val="auto"/>
        </w:rPr>
      </w:pPr>
      <w:r>
        <w:rPr>
          <w:rFonts w:ascii="Times New Roman" w:cs="Times New Roman" w:eastAsia="Times New Roman" w:hAnsi="Times New Roman"/>
          <w:sz w:val="22"/>
          <w:szCs w:val="22"/>
          <w:color w:val="auto"/>
        </w:rPr>
        <w:t>Your restricted stock units are mere bookkeeping entries. They represent only the Company’s unfunded and unsecured promise to issue Shares with respect to your restricted stock units on a future date, and this Agreement may not be construed as creating a trust. As a holder of restricted stock units, you have no rights other than the rights of a general unsecured creditor of the Company. Neither the Plan nor any underlying program, in and of itself, has any assets.</w:t>
      </w:r>
    </w:p>
    <w:p>
      <w:pPr>
        <w:spacing w:after="0" w:line="200" w:lineRule="exact"/>
        <w:rPr>
          <w:sz w:val="20"/>
          <w:szCs w:val="20"/>
          <w:color w:val="auto"/>
        </w:rPr>
      </w:pPr>
    </w:p>
    <w:p>
      <w:pPr>
        <w:spacing w:after="0" w:line="30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 xml:space="preserve">You cannot transfer or assign the restricted stock units. For instance, you may not sell the restricted stock units or use it as security for a loan. If you attempt to do any of these things, the restricted stock units will immediately become invalid. You may, however, dispose of the restricted stock units in your will or by means of a written beneficiary designation;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your beneficiary or a representative of your estate acknowledges and agrees in writing in a form reasonably acceptable to the Company, to be bound by the provisions of this Agreement and the Plan as if the beneficiary of the estate were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2">
            <w:col w:w="3360" w:space="380"/>
            <w:col w:w="7300"/>
          </w:cols>
          <w:pgMar w:left="400" w:top="1440" w:right="459" w:bottom="1440" w:gutter="0" w:footer="0" w:header="0"/>
        </w:sectPr>
      </w:pPr>
    </w:p>
    <w:bookmarkStart w:id="19" w:name="page20"/>
    <w:bookmarkEnd w:id="19"/>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Restrictions on Resale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Retention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Adjustments</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Times New Roman" w:cs="Times New Roman" w:eastAsia="Times New Roman" w:hAnsi="Times New Roman"/>
          <w:sz w:val="21"/>
          <w:szCs w:val="21"/>
          <w:color w:val="auto"/>
        </w:rPr>
        <w:t>No stock certificates (or their electronic equivalent) will be distributed to you unless you have paid any withholding taxes that are due as a result of the vesting or settlement of the restricted stock units. These arrangements include payment in cash, your personal check or arranging for a wire transfer. With the Administrator’s consent, these arrangements may also include (a) payment from the proceeds of the sale of Shares through a Company-approved broker, (b) withholding Shares that otherwise would be issued to you when the restricted stock units are settled with a Fair Market Value no greater than the maximum amount required to be withheld by law, (c) surrendering Shares that you previously acquired with a Fair Market Value no greater than the maximum amount required to be withheld by law, or (d) any combination of the foregoing. The Fair Market Value of withheld or surrendered Shares, determined as of the date when taxes otherwise would have been withheld in cash, will be applied to the withholding taxes.</w:t>
      </w:r>
    </w:p>
    <w:p>
      <w:pPr>
        <w:spacing w:after="0" w:line="213"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22"/>
          <w:szCs w:val="22"/>
          <w:color w:val="auto"/>
        </w:rPr>
        <w:t>If you fail to make timely payment of withholding taxes in connection with the settlement of the restricted stock units, the Company has the right to satisfy all or any portion of the withholding taxes by withholding Shares otherwise issuable upon settlement of the restricted stock units.</w:t>
      </w:r>
    </w:p>
    <w:p>
      <w:pPr>
        <w:spacing w:after="0" w:line="206"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21"/>
          <w:szCs w:val="21"/>
          <w:color w:val="auto"/>
        </w:rPr>
        <w:t>You agree not to sell any Shares issued upon settlement of the restricted stock units at a time when applicable laws, Company policies or an agreement between the Company and its underwriters prohibit a sale. This restriction will apply as long as your service with the Company or a Subsidiary continues and for a period of time after your Termination of Service as may be specified by the Company.</w:t>
      </w:r>
    </w:p>
    <w:p>
      <w:pPr>
        <w:spacing w:after="0" w:line="208"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22"/>
          <w:szCs w:val="22"/>
          <w:color w:val="auto"/>
        </w:rPr>
        <w:t>Your award of restricted stock units or this Agreement does not give you the right to be retained by the Company, or any parent or Subsidiary of the Company, in any capacity. The Company and its parents and Subsidiaries reserve the right to terminate your service at any time, with or without cause.</w:t>
      </w:r>
    </w:p>
    <w:p>
      <w:pPr>
        <w:spacing w:after="0" w:line="206"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2"/>
          <w:szCs w:val="22"/>
          <w:color w:val="auto"/>
        </w:rPr>
        <w:t>Upon the occurrence of certain events as provided in Article VIII of the Plan, the number of restricted stock units covered by this award will be adjusted, modified or terminated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2">
            <w:col w:w="3080" w:space="720"/>
            <w:col w:w="7320"/>
          </w:cols>
          <w:pgMar w:left="400" w:top="1440" w:right="379" w:bottom="1440" w:gutter="0" w:footer="0" w:header="0"/>
        </w:sectPr>
      </w:pPr>
    </w:p>
    <w:bookmarkStart w:id="20" w:name="page21"/>
    <w:bookmarkEnd w:id="20"/>
    <w:p>
      <w:pPr>
        <w:spacing w:after="0" w:line="3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2"/>
          <w:szCs w:val="22"/>
          <w:b w:val="1"/>
          <w:bCs w:val="1"/>
          <w:color w:val="auto"/>
        </w:rPr>
        <w:t>Effect of Significant Corporate Transactions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Recoupment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Applicable Law</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Plan and Other Agreements</w:t>
      </w:r>
    </w:p>
    <w:p>
      <w:pPr>
        <w:spacing w:after="0" w:line="20" w:lineRule="exact"/>
        <w:rPr>
          <w:sz w:val="20"/>
          <w:szCs w:val="20"/>
          <w:color w:val="auto"/>
        </w:rPr>
      </w:pPr>
      <w:r>
        <w:rPr>
          <w:sz w:val="20"/>
          <w:szCs w:val="20"/>
          <w:color w:val="auto"/>
        </w:rPr>
        <w:br w:type="column"/>
      </w:r>
    </w:p>
    <w:p>
      <w:pPr>
        <w:ind w:left="60" w:right="280"/>
        <w:spacing w:after="0" w:line="231" w:lineRule="auto"/>
        <w:rPr>
          <w:sz w:val="20"/>
          <w:szCs w:val="20"/>
          <w:color w:val="auto"/>
        </w:rPr>
      </w:pPr>
      <w:r>
        <w:rPr>
          <w:rFonts w:ascii="Times New Roman" w:cs="Times New Roman" w:eastAsia="Times New Roman" w:hAnsi="Times New Roman"/>
          <w:sz w:val="21"/>
          <w:szCs w:val="21"/>
          <w:color w:val="auto"/>
        </w:rPr>
        <w:t>If the Company is a party to a merger, consolidation, or certain change in control transactions, then your restricted stock units will be subject to the applicable provisions of Article VIII of the Plan; provided that Section 8.2(f) of the Plan (or any similar provision) will not be applied to the restricted stock units.</w:t>
      </w:r>
    </w:p>
    <w:p>
      <w:pPr>
        <w:spacing w:after="0" w:line="204" w:lineRule="exact"/>
        <w:rPr>
          <w:sz w:val="20"/>
          <w:szCs w:val="20"/>
          <w:color w:val="auto"/>
        </w:rPr>
      </w:pPr>
    </w:p>
    <w:p>
      <w:pPr>
        <w:ind w:left="60" w:right="100"/>
        <w:spacing w:after="0" w:line="220" w:lineRule="auto"/>
        <w:rPr>
          <w:sz w:val="20"/>
          <w:szCs w:val="20"/>
          <w:color w:val="auto"/>
        </w:rPr>
      </w:pPr>
      <w:r>
        <w:rPr>
          <w:rFonts w:ascii="Times New Roman" w:cs="Times New Roman" w:eastAsia="Times New Roman" w:hAnsi="Times New Roman"/>
          <w:sz w:val="22"/>
          <w:szCs w:val="22"/>
          <w:color w:val="auto"/>
        </w:rPr>
        <w:t>This award, and the Shares acquired upon settlement of this award, shall be subject to any Company recoupment or clawback policy in effect on the date hereof or that is required by law to be adopted after the date hereof, including the Company’s Policy Relating to Recovery of Erroneously Awarded Compensation.</w:t>
      </w:r>
    </w:p>
    <w:p>
      <w:pPr>
        <w:spacing w:after="0" w:line="206" w:lineRule="exact"/>
        <w:rPr>
          <w:sz w:val="20"/>
          <w:szCs w:val="20"/>
          <w:color w:val="auto"/>
        </w:rPr>
      </w:pPr>
    </w:p>
    <w:p>
      <w:pPr>
        <w:ind w:left="60" w:right="480"/>
        <w:spacing w:after="0" w:line="236" w:lineRule="auto"/>
        <w:rPr>
          <w:sz w:val="20"/>
          <w:szCs w:val="20"/>
          <w:color w:val="auto"/>
        </w:rPr>
      </w:pPr>
      <w:r>
        <w:rPr>
          <w:rFonts w:ascii="Times New Roman" w:cs="Times New Roman" w:eastAsia="Times New Roman" w:hAnsi="Times New Roman"/>
          <w:sz w:val="22"/>
          <w:szCs w:val="22"/>
          <w:color w:val="auto"/>
        </w:rPr>
        <w:t>This Agreement will be interpreted and enforced under the laws of the State of Delaware (without regard to its choice-of-law provisions).</w:t>
      </w:r>
    </w:p>
    <w:p>
      <w:pPr>
        <w:spacing w:after="0" w:line="204" w:lineRule="exact"/>
        <w:rPr>
          <w:sz w:val="20"/>
          <w:szCs w:val="20"/>
          <w:color w:val="auto"/>
        </w:rPr>
      </w:pPr>
    </w:p>
    <w:p>
      <w:pPr>
        <w:jc w:val="both"/>
        <w:ind w:left="60"/>
        <w:spacing w:after="0" w:line="225" w:lineRule="auto"/>
        <w:rPr>
          <w:sz w:val="20"/>
          <w:szCs w:val="20"/>
          <w:color w:val="auto"/>
        </w:rPr>
      </w:pPr>
      <w:r>
        <w:rPr>
          <w:rFonts w:ascii="Times New Roman" w:cs="Times New Roman" w:eastAsia="Times New Roman" w:hAnsi="Times New Roman"/>
          <w:sz w:val="22"/>
          <w:szCs w:val="22"/>
          <w:color w:val="auto"/>
        </w:rPr>
        <w:t>The text of the Plan is incorporated in this Agreement by reference. In the event the terms of this Agreement limit, modify or address an area of discretion with the Plan, the terms of this Agreement will control.</w:t>
      </w:r>
    </w:p>
    <w:p>
      <w:pPr>
        <w:spacing w:after="0" w:line="23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color w:val="auto"/>
        </w:rPr>
        <w:t xml:space="preserve">This Plan, this Agreement and the Notice of Restricted Stock Unit Inducement Award constitute the entire understanding between you and the Company regarding the restricted stock units. Any prior agreements, commitments or negotiations concerning the restricted stock units are superseded. To the extent permitted by the Plan, this Agreement may be amended or otherwise suspended or terminated at any time by the Administrator or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amendment, suspension or modification may adversely affect the restricted stock units in any material respect without the prior written consent of the Participant. In the event that any provision of the Notice of Restricted Stock Unit Inducement Award or this Agreement is held invalid or unenforceable, then the applicable provision will be severable from, and any invalidity or unenforceability will not be construed to have any effect on, the remaining provisions of the Notice of Restricted Stock Unit Inducement Award or this Agreement.</w:t>
      </w:r>
    </w:p>
    <w:p>
      <w:pPr>
        <w:spacing w:after="0" w:line="200" w:lineRule="exact"/>
        <w:rPr>
          <w:sz w:val="20"/>
          <w:szCs w:val="20"/>
          <w:color w:val="auto"/>
        </w:rPr>
      </w:pPr>
    </w:p>
    <w:p>
      <w:pPr>
        <w:sectPr>
          <w:pgSz w:w="11900" w:h="16838" w:orient="portrait"/>
          <w:cols w:equalWidth="0" w:num="2">
            <w:col w:w="3020" w:space="720"/>
            <w:col w:w="7340"/>
          </w:cols>
          <w:pgMar w:left="400" w:top="1440" w:right="419" w:bottom="1440" w:gutter="0" w:footer="0" w:header="0"/>
        </w:sectPr>
      </w:pPr>
    </w:p>
    <w:p>
      <w:pPr>
        <w:spacing w:after="0" w:line="3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By Acknowledging and Accepting this Agreement, you agree to all of the</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sectPr>
      <w:pgSz w:w="11900" w:h="16838" w:orient="portrait"/>
      <w:cols w:equalWidth="0" w:num="1">
        <w:col w:w="11080"/>
      </w:cols>
      <w:pgMar w:left="400" w:top="1440"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1)"/>
      <w:numFmt w:val="lowerLetter"/>
      <w:start w:val="9"/>
    </w:lvl>
    <w:lvl w:ilvl="1">
      <w:lvlJc w:val="left"/>
      <w:lvlText w:val="(%2)"/>
      <w:numFmt w:val="lowerLetter"/>
      <w:start w:val="1"/>
    </w:lvl>
  </w:abstractNum>
  <w:abstractNum w:abstractNumId="2">
    <w:nsid w:val="2AE8944A"/>
    <w:multiLevelType w:val="hybridMultilevel"/>
    <w:lvl w:ilvl="0">
      <w:lvlJc w:val="left"/>
      <w:lvlText w:val="(%1)"/>
      <w:numFmt w:val="lowerRoman"/>
      <w:start w:val="2"/>
    </w:lvl>
    <w:lvl w:ilvl="1">
      <w:lvlJc w:val="left"/>
      <w:lvlText w:val="(%2)"/>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image" Target="media/image23.png"/><Relationship Id="rId10" Type="http://schemas.openxmlformats.org/officeDocument/2006/relationships/hyperlink" Target="https://www.sec.gov/Archives/edgar/data/1468327/000119312521313321/d211519dex31.htm" TargetMode="External"/><Relationship Id="rId11" Type="http://schemas.openxmlformats.org/officeDocument/2006/relationships/hyperlink" Target="https://www.sec.gov/Archives/edgar/data/1468327/000146832724000100/exhibit31certificateofam.htm" TargetMode="External"/><Relationship Id="rId12" Type="http://schemas.openxmlformats.org/officeDocument/2006/relationships/hyperlink" Target="https://www.sec.gov/Archives/edgar/data/1468327/000095010325013776/dp236389_ex03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2026-02-27T07:31:26Z</dcterms:created>
  <dcterms:modified xsi:type="dcterms:W3CDTF">2026-02-27T07:31:26Z</dcterms:modified>
</cp:coreProperties>
</file>