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46990</wp:posOffset>
            </wp:positionV>
            <wp:extent cx="2434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75565</wp:posOffset>
            </wp:positionV>
            <wp:extent cx="2434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74"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62230</wp:posOffset>
            </wp:positionV>
            <wp:extent cx="2434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 the Runway,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47625</wp:posOffset>
            </wp:positionV>
            <wp:extent cx="2434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80"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1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90"/>
              </w:rPr>
              <w:t>001-40958</w:t>
            </w:r>
          </w:p>
        </w:tc>
        <w:tc>
          <w:tcPr>
            <w:tcW w:w="920" w:type="dxa"/>
            <w:vAlign w:val="bottom"/>
          </w:tcPr>
          <w:p>
            <w:pPr>
              <w:spacing w:after="0"/>
              <w:rPr>
                <w:sz w:val="20"/>
                <w:szCs w:val="20"/>
                <w:color w:val="auto"/>
              </w:rPr>
            </w:pPr>
          </w:p>
        </w:tc>
        <w:tc>
          <w:tcPr>
            <w:tcW w:w="1660" w:type="dxa"/>
            <w:vAlign w:val="bottom"/>
          </w:tcPr>
          <w:p>
            <w:pPr>
              <w:jc w:val="center"/>
              <w:ind w:left="142"/>
              <w:spacing w:after="0"/>
              <w:rPr>
                <w:sz w:val="20"/>
                <w:szCs w:val="20"/>
                <w:color w:val="auto"/>
              </w:rPr>
            </w:pPr>
            <w:r>
              <w:rPr>
                <w:rFonts w:ascii="Arial" w:cs="Arial" w:eastAsia="Arial" w:hAnsi="Arial"/>
                <w:sz w:val="18"/>
                <w:szCs w:val="18"/>
                <w:b w:val="1"/>
                <w:bCs w:val="1"/>
                <w:color w:val="auto"/>
                <w:w w:val="91"/>
              </w:rPr>
              <w:t>80-0376379</w:t>
            </w:r>
          </w:p>
        </w:tc>
      </w:tr>
      <w:tr>
        <w:trPr>
          <w:trHeight w:val="180"/>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(State or other jurisdiction</w:t>
            </w:r>
          </w:p>
        </w:tc>
        <w:tc>
          <w:tcPr>
            <w:tcW w:w="860" w:type="dxa"/>
            <w:vAlign w:val="bottom"/>
          </w:tcPr>
          <w:p>
            <w:pPr>
              <w:spacing w:after="0"/>
              <w:rPr>
                <w:sz w:val="15"/>
                <w:szCs w:val="15"/>
                <w:color w:val="auto"/>
              </w:rPr>
            </w:pPr>
          </w:p>
        </w:tc>
        <w:tc>
          <w:tcPr>
            <w:tcW w:w="4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(Commission</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of incorporation)</w:t>
            </w:r>
          </w:p>
        </w:tc>
        <w:tc>
          <w:tcPr>
            <w:tcW w:w="860" w:type="dxa"/>
            <w:vAlign w:val="bottom"/>
          </w:tcPr>
          <w:p>
            <w:pPr>
              <w:spacing w:after="0"/>
              <w:rPr>
                <w:sz w:val="16"/>
                <w:szCs w:val="16"/>
                <w:color w:val="auto"/>
              </w:rPr>
            </w:pPr>
          </w:p>
        </w:tc>
        <w:tc>
          <w:tcPr>
            <w:tcW w:w="47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5"/>
              </w:rPr>
              <w:t>File Number)</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5"/>
              </w:rPr>
              <w:t>Identification Number)</w:t>
            </w:r>
          </w:p>
        </w:tc>
      </w:tr>
      <w:tr>
        <w:trPr>
          <w:trHeight w:val="439"/>
        </w:trPr>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Rent the Runway, Inc.</w:t>
            </w:r>
          </w:p>
        </w:tc>
        <w:tc>
          <w:tcPr>
            <w:tcW w:w="1660" w:type="dxa"/>
            <w:vAlign w:val="bottom"/>
          </w:tcPr>
          <w:p>
            <w:pPr>
              <w:spacing w:after="0"/>
              <w:rPr>
                <w:sz w:val="24"/>
                <w:szCs w:val="24"/>
                <w:color w:val="auto"/>
              </w:rPr>
            </w:pPr>
          </w:p>
        </w:tc>
      </w:tr>
      <w:tr>
        <w:trPr>
          <w:trHeight w:val="202"/>
        </w:trPr>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760" w:type="dxa"/>
            <w:vAlign w:val="bottom"/>
            <w:gridSpan w:val="2"/>
          </w:tcPr>
          <w:p>
            <w:pPr>
              <w:jc w:val="center"/>
              <w:ind w:right="920"/>
              <w:spacing w:after="0" w:line="202" w:lineRule="exact"/>
              <w:rPr>
                <w:sz w:val="20"/>
                <w:szCs w:val="20"/>
                <w:color w:val="auto"/>
              </w:rPr>
            </w:pPr>
            <w:r>
              <w:rPr>
                <w:rFonts w:ascii="Arial" w:cs="Arial" w:eastAsia="Arial" w:hAnsi="Arial"/>
                <w:sz w:val="18"/>
                <w:szCs w:val="18"/>
                <w:b w:val="1"/>
                <w:bCs w:val="1"/>
                <w:color w:val="auto"/>
                <w:w w:val="89"/>
              </w:rPr>
              <w:t>10 Jay Street</w:t>
            </w:r>
          </w:p>
        </w:tc>
        <w:tc>
          <w:tcPr>
            <w:tcW w:w="1660" w:type="dxa"/>
            <w:vAlign w:val="bottom"/>
          </w:tcPr>
          <w:p>
            <w:pPr>
              <w:spacing w:after="0"/>
              <w:rPr>
                <w:sz w:val="17"/>
                <w:szCs w:val="17"/>
                <w:color w:val="auto"/>
              </w:rPr>
            </w:pPr>
          </w:p>
        </w:tc>
      </w:tr>
      <w:tr>
        <w:trPr>
          <w:trHeight w:val="198"/>
        </w:trPr>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760" w:type="dxa"/>
            <w:vAlign w:val="bottom"/>
            <w:gridSpan w:val="2"/>
          </w:tcPr>
          <w:p>
            <w:pPr>
              <w:jc w:val="center"/>
              <w:ind w:right="920"/>
              <w:spacing w:after="0" w:line="198" w:lineRule="exact"/>
              <w:rPr>
                <w:sz w:val="20"/>
                <w:szCs w:val="20"/>
                <w:color w:val="auto"/>
              </w:rPr>
            </w:pPr>
            <w:r>
              <w:rPr>
                <w:rFonts w:ascii="Arial" w:cs="Arial" w:eastAsia="Arial" w:hAnsi="Arial"/>
                <w:sz w:val="18"/>
                <w:szCs w:val="18"/>
                <w:b w:val="1"/>
                <w:bCs w:val="1"/>
                <w:color w:val="auto"/>
                <w:w w:val="90"/>
              </w:rPr>
              <w:t>Brooklyn, New York 11201</w:t>
            </w:r>
          </w:p>
        </w:tc>
        <w:tc>
          <w:tcPr>
            <w:tcW w:w="1660" w:type="dxa"/>
            <w:vAlign w:val="bottom"/>
          </w:tcPr>
          <w:p>
            <w:pPr>
              <w:spacing w:after="0"/>
              <w:rPr>
                <w:sz w:val="17"/>
                <w:szCs w:val="17"/>
                <w:color w:val="auto"/>
              </w:rPr>
            </w:pPr>
          </w:p>
        </w:tc>
      </w:tr>
      <w:tr>
        <w:trPr>
          <w:trHeight w:val="186"/>
        </w:trPr>
        <w:tc>
          <w:tcPr>
            <w:tcW w:w="1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60" w:type="dxa"/>
            <w:vAlign w:val="bottom"/>
          </w:tcPr>
          <w:p>
            <w:pPr>
              <w:spacing w:after="0"/>
              <w:rPr>
                <w:sz w:val="16"/>
                <w:szCs w:val="16"/>
                <w:color w:val="auto"/>
              </w:rPr>
            </w:pPr>
          </w:p>
        </w:tc>
      </w:tr>
      <w:tr>
        <w:trPr>
          <w:trHeight w:val="336"/>
        </w:trPr>
        <w:tc>
          <w:tcPr>
            <w:tcW w:w="1840" w:type="dxa"/>
            <w:vAlign w:val="bottom"/>
          </w:tcPr>
          <w:p>
            <w:pPr>
              <w:spacing w:after="0"/>
              <w:rPr>
                <w:sz w:val="24"/>
                <w:szCs w:val="24"/>
                <w:color w:val="auto"/>
              </w:rPr>
            </w:pPr>
          </w:p>
        </w:tc>
        <w:tc>
          <w:tcPr>
            <w:tcW w:w="56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Registrant’s telephone number, including area code: (212) 524-6860</w:t>
            </w:r>
          </w:p>
        </w:tc>
        <w:tc>
          <w:tcPr>
            <w:tcW w:w="1660" w:type="dxa"/>
            <w:vAlign w:val="bottom"/>
          </w:tcPr>
          <w:p>
            <w:pPr>
              <w:spacing w:after="0"/>
              <w:rPr>
                <w:sz w:val="24"/>
                <w:szCs w:val="24"/>
                <w:color w:val="auto"/>
              </w:rPr>
            </w:pPr>
          </w:p>
        </w:tc>
      </w:tr>
      <w:tr>
        <w:trPr>
          <w:trHeight w:val="54"/>
        </w:trPr>
        <w:tc>
          <w:tcPr>
            <w:tcW w:w="1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660" w:type="dxa"/>
            <w:vAlign w:val="bottom"/>
          </w:tcPr>
          <w:p>
            <w:pPr>
              <w:spacing w:after="0"/>
              <w:rPr>
                <w:sz w:val="4"/>
                <w:szCs w:val="4"/>
                <w:color w:val="auto"/>
              </w:rPr>
            </w:pPr>
          </w:p>
        </w:tc>
      </w:tr>
    </w:tbl>
    <w:p>
      <w:pPr>
        <w:spacing w:after="0" w:line="18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1080" w:hanging="395"/>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80" w:hanging="39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80" w:hanging="395"/>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1080" w:hanging="395"/>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6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219"/>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9"/>
                <w:szCs w:val="19"/>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60" w:type="dxa"/>
            <w:vAlign w:val="bottom"/>
          </w:tcPr>
          <w:p>
            <w:pPr>
              <w:spacing w:after="0"/>
              <w:rPr>
                <w:sz w:val="19"/>
                <w:szCs w:val="19"/>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4"/>
        </w:trPr>
        <w:tc>
          <w:tcPr>
            <w:tcW w:w="380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88"/>
              </w:rPr>
              <w:t>Class A common stock, $0.001 par value per</w:t>
            </w:r>
          </w:p>
        </w:tc>
        <w:tc>
          <w:tcPr>
            <w:tcW w:w="160" w:type="dxa"/>
            <w:vAlign w:val="bottom"/>
          </w:tcPr>
          <w:p>
            <w:pPr>
              <w:spacing w:after="0"/>
              <w:rPr>
                <w:sz w:val="15"/>
                <w:szCs w:val="15"/>
                <w:color w:val="auto"/>
              </w:rPr>
            </w:pPr>
          </w:p>
        </w:tc>
        <w:tc>
          <w:tcPr>
            <w:tcW w:w="35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RENT</w:t>
            </w:r>
          </w:p>
        </w:tc>
        <w:tc>
          <w:tcPr>
            <w:tcW w:w="160" w:type="dxa"/>
            <w:vAlign w:val="bottom"/>
          </w:tcPr>
          <w:p>
            <w:pPr>
              <w:spacing w:after="0"/>
              <w:rPr>
                <w:sz w:val="15"/>
                <w:szCs w:val="15"/>
                <w:color w:val="auto"/>
              </w:rPr>
            </w:pPr>
          </w:p>
        </w:tc>
        <w:tc>
          <w:tcPr>
            <w:tcW w:w="35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1"/>
              </w:rPr>
              <w:t>The Nasdaq Global Select Market</w:t>
            </w:r>
          </w:p>
        </w:tc>
      </w:tr>
      <w:tr>
        <w:trPr>
          <w:trHeight w:val="234"/>
        </w:trPr>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p>
        </w:tc>
      </w:tr>
    </w:tbl>
    <w:p>
      <w:pPr>
        <w:spacing w:after="0" w:line="188"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tabs>
          <w:tab w:leader="none" w:pos="2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62" w:lineRule="exact"/>
        <w:rPr>
          <w:sz w:val="24"/>
          <w:szCs w:val="24"/>
          <w:color w:val="auto"/>
        </w:rPr>
      </w:pPr>
    </w:p>
    <w:p>
      <w:pPr>
        <w:ind w:right="16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 w:name="page2"/>
    <w:bookmarkEnd w:id="1"/>
    <w:p>
      <w:pPr>
        <w:ind w:left="20"/>
        <w:spacing w:after="0"/>
        <w:tabs>
          <w:tab w:leader="none" w:pos="11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1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On June 7, 2023, Rent the Runway, Inc. (the “Company”) issued a press release announcing its financial results for the quarter ended April 30, 2023. A copy of the press release is furnished as Exhibit 99.1 to this Form 8-K and is incorporated by reference.</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4"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ind w:left="30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3"/>
          </w:tcPr>
          <w:p>
            <w:pPr>
              <w:ind w:left="442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63"/>
        </w:trPr>
        <w:tc>
          <w:tcPr>
            <w:tcW w:w="1300" w:type="dxa"/>
            <w:vAlign w:val="bottom"/>
          </w:tcPr>
          <w:p>
            <w:pPr>
              <w:ind w:left="2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Press Release issued by Rent the Runway, Inc. on June 7, 2023</w:t>
            </w:r>
          </w:p>
        </w:tc>
        <w:tc>
          <w:tcPr>
            <w:tcW w:w="5260" w:type="dxa"/>
            <w:vAlign w:val="bottom"/>
            <w:gridSpan w:val="2"/>
          </w:tcPr>
          <w:p>
            <w:pPr>
              <w:spacing w:after="0"/>
              <w:rPr>
                <w:sz w:val="22"/>
                <w:szCs w:val="22"/>
                <w:color w:val="auto"/>
              </w:rPr>
            </w:pPr>
          </w:p>
        </w:tc>
      </w:tr>
      <w:tr>
        <w:trPr>
          <w:trHeight w:val="331"/>
        </w:trPr>
        <w:tc>
          <w:tcPr>
            <w:tcW w:w="130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2464"/>
        </w:trPr>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0"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RENT THE RUNWAY, INC.</w:t>
      </w:r>
    </w:p>
    <w:p>
      <w:pPr>
        <w:spacing w:after="0" w:line="148" w:lineRule="exact"/>
        <w:rPr>
          <w:sz w:val="20"/>
          <w:szCs w:val="20"/>
          <w:color w:val="auto"/>
        </w:rPr>
      </w:pPr>
    </w:p>
    <w:p>
      <w:pPr>
        <w:ind w:left="440"/>
        <w:spacing w:after="0"/>
        <w:tabs>
          <w:tab w:leader="none" w:pos="5580" w:val="left"/>
          <w:tab w:leader="none" w:pos="6220" w:val="left"/>
        </w:tabs>
        <w:rPr>
          <w:sz w:val="20"/>
          <w:szCs w:val="20"/>
          <w:color w:val="auto"/>
        </w:rPr>
      </w:pPr>
      <w:r>
        <w:rPr>
          <w:rFonts w:ascii="Arial" w:cs="Arial" w:eastAsia="Arial" w:hAnsi="Arial"/>
          <w:sz w:val="18"/>
          <w:szCs w:val="18"/>
          <w:color w:val="auto"/>
        </w:rPr>
        <w:t>Date: June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3180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Siddharth Thacker</w:t>
      </w:r>
    </w:p>
    <w:p>
      <w:pPr>
        <w:spacing w:after="0" w:line="1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60"/>
          </w:cols>
          <w:pgMar w:left="320" w:top="769" w:right="41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First Quarter 2023 Results</w:t>
      </w:r>
    </w:p>
    <w:p>
      <w:pPr>
        <w:spacing w:after="0" w:line="285" w:lineRule="exact"/>
        <w:rPr>
          <w:sz w:val="20"/>
          <w:szCs w:val="20"/>
          <w:color w:val="auto"/>
        </w:rPr>
      </w:pPr>
    </w:p>
    <w:p>
      <w:pPr>
        <w:jc w:val="center"/>
        <w:spacing w:after="0" w:line="299" w:lineRule="auto"/>
        <w:rPr>
          <w:sz w:val="20"/>
          <w:szCs w:val="20"/>
          <w:color w:val="auto"/>
        </w:rPr>
      </w:pPr>
      <w:r>
        <w:rPr>
          <w:rFonts w:ascii="Arial" w:cs="Arial" w:eastAsia="Arial" w:hAnsi="Arial"/>
          <w:sz w:val="20"/>
          <w:szCs w:val="20"/>
          <w:b w:val="1"/>
          <w:bCs w:val="1"/>
          <w:color w:val="auto"/>
        </w:rPr>
        <w:t>Record High Active Subscriber Count of 145,220 as of April 30, 2023, Growing 15% Quarter Over Quarter Rapid Progress on Improving the Customer Experience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Significant Momentum on Path to Free Cash Flow Profitability:</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Q1 2023 Net Loss of $(30.1)M and Net Margin of (40.6)% vs. $(42.5)M and (63.3)% in Q1 2022</w:t>
      </w:r>
    </w:p>
    <w:p>
      <w:pPr>
        <w:spacing w:after="0" w:line="47" w:lineRule="exact"/>
        <w:rPr>
          <w:sz w:val="20"/>
          <w:szCs w:val="20"/>
          <w:color w:val="auto"/>
        </w:rPr>
      </w:pPr>
    </w:p>
    <w:p>
      <w:pPr>
        <w:ind w:left="4760" w:right="380" w:hanging="3711"/>
        <w:spacing w:after="0" w:line="309" w:lineRule="auto"/>
        <w:rPr>
          <w:sz w:val="20"/>
          <w:szCs w:val="20"/>
          <w:color w:val="auto"/>
        </w:rPr>
      </w:pPr>
      <w:r>
        <w:rPr>
          <w:rFonts w:ascii="Arial" w:cs="Arial" w:eastAsia="Arial" w:hAnsi="Arial"/>
          <w:sz w:val="20"/>
          <w:szCs w:val="20"/>
          <w:b w:val="1"/>
          <w:bCs w:val="1"/>
          <w:color w:val="auto"/>
        </w:rPr>
        <w:t>Strong Adjusted EBITDA of $4.5M and Adjusted EBITDA Margin of 6.1% in Q1 2023, Up From $(8.8)M and (13.1)% in Q1 2022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Revenue of $74.2M in Q1 2023, up 10.6% YoY</w:t>
      </w:r>
    </w:p>
    <w:p>
      <w:pPr>
        <w:spacing w:after="0" w:line="283" w:lineRule="exact"/>
        <w:rPr>
          <w:sz w:val="20"/>
          <w:szCs w:val="20"/>
          <w:color w:val="auto"/>
        </w:rPr>
      </w:pPr>
    </w:p>
    <w:p>
      <w:pPr>
        <w:spacing w:after="0" w:line="300" w:lineRule="auto"/>
        <w:rPr>
          <w:sz w:val="20"/>
          <w:szCs w:val="20"/>
          <w:color w:val="auto"/>
        </w:rPr>
      </w:pPr>
      <w:r>
        <w:rPr>
          <w:rFonts w:ascii="Arial" w:cs="Arial" w:eastAsia="Arial" w:hAnsi="Arial"/>
          <w:sz w:val="20"/>
          <w:szCs w:val="20"/>
          <w:b w:val="1"/>
          <w:bCs w:val="1"/>
          <w:color w:val="auto"/>
        </w:rPr>
        <w:t xml:space="preserve">New York (June 7, 2023) </w:t>
      </w:r>
      <w:r>
        <w:rPr>
          <w:rFonts w:ascii="Arial" w:cs="Arial" w:eastAsia="Arial" w:hAnsi="Arial"/>
          <w:sz w:val="20"/>
          <w:szCs w:val="20"/>
          <w:color w:val="auto"/>
        </w:rPr>
        <w:t>- Rent the Runway, Inc. (“Rent the Runway” or "RTR") (NASDAQ: RENT), the world’s first and largest</w:t>
      </w:r>
      <w:r>
        <w:rPr>
          <w:rFonts w:ascii="Arial" w:cs="Arial" w:eastAsia="Arial" w:hAnsi="Arial"/>
          <w:sz w:val="20"/>
          <w:szCs w:val="20"/>
          <w:b w:val="1"/>
          <w:bCs w:val="1"/>
          <w:color w:val="auto"/>
        </w:rPr>
        <w:t xml:space="preserve"> </w:t>
      </w:r>
      <w:r>
        <w:rPr>
          <w:rFonts w:ascii="Arial" w:cs="Arial" w:eastAsia="Arial" w:hAnsi="Arial"/>
          <w:sz w:val="20"/>
          <w:szCs w:val="20"/>
          <w:color w:val="auto"/>
        </w:rPr>
        <w:t>shared designer closet platform, today reported financial results for the fiscal quarter ended April 30, 2023.</w:t>
      </w:r>
    </w:p>
    <w:p>
      <w:pPr>
        <w:spacing w:after="0" w:line="205"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"I’m proud of the momentum we’re continuing to drive across the business, and of our Q1 2023 financial results, where we beat on the top and bottom line,” said Jennifer Hyman, CEO and Co-Founder of Rent the Runway. “Given our financial transformation over the past several years, we believe we are in a strong position to invest the majority of resources into our strategy of improving the customer experience. Rent the Runway has always been great at three things: agility, innovation and continuous improvement, and we’ve leveraged these guiding principles to make great progress on our strategy in Q1. We look forward to delivering for our customers in the quarters to come while working towards our subscriber growth and profitability goals.”</w:t>
      </w:r>
    </w:p>
    <w:p>
      <w:pPr>
        <w:spacing w:after="0" w:line="217"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“We're pleased with the strong start to fiscal 2023. Quarter over quarter subscriber growth was strong and we exceeded both our revenue and Adjusted EBITDA guidance. Our commitment to being disciplined on cost control is reflected in our strong improvement in Adjusted EBITDA, while we invest in important customer experience improvements,” said CFO Sid Thacker. “Based on this solid foundation for progress, we’re reiterating our fiscal 2023 goals of 25%+ ending active subscriber growth and almost 50% reduction in cash consumption on our path to free cash flow breakeven.”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2023 Key Metrics and Financial Highlights</w:t>
      </w:r>
    </w:p>
    <w:p>
      <w:pPr>
        <w:spacing w:after="0" w:line="50" w:lineRule="exact"/>
        <w:rPr>
          <w:sz w:val="20"/>
          <w:szCs w:val="20"/>
          <w:color w:val="auto"/>
        </w:rPr>
      </w:pPr>
    </w:p>
    <w:p>
      <w:pPr>
        <w:ind w:left="500" w:hanging="330"/>
        <w:spacing w:after="0"/>
        <w:tabs>
          <w:tab w:leader="none" w:pos="50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Revenue was $74.2 million, a 10.6% increase year-over-year from $67.1 million in the first quarter of fiscal year 2022.</w:t>
      </w:r>
    </w:p>
    <w:p>
      <w:pPr>
        <w:spacing w:after="0" w:line="37" w:lineRule="exact"/>
        <w:rPr>
          <w:rFonts w:ascii="Arial" w:cs="Arial" w:eastAsia="Arial" w:hAnsi="Arial"/>
          <w:sz w:val="20"/>
          <w:szCs w:val="20"/>
          <w:b w:val="1"/>
          <w:bCs w:val="1"/>
          <w:color w:val="auto"/>
        </w:rPr>
      </w:pPr>
    </w:p>
    <w:p>
      <w:pPr>
        <w:ind w:left="500" w:right="260" w:hanging="330"/>
        <w:spacing w:after="0" w:line="269" w:lineRule="auto"/>
        <w:tabs>
          <w:tab w:leader="none" w:pos="50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145,220 ending Active Subscribers, representing an increase of 7.6% year-over-year from 134,998 at the end of the first quarter of fiscal year 2022.</w:t>
      </w:r>
    </w:p>
    <w:p>
      <w:pPr>
        <w:ind w:left="500" w:right="200" w:hanging="249"/>
        <w:spacing w:after="0" w:line="271" w:lineRule="auto"/>
        <w:tabs>
          <w:tab w:leader="none" w:pos="500" w:val="left"/>
        </w:tabs>
        <w:numPr>
          <w:ilvl w:val="1"/>
          <w:numId w:val="2"/>
        </w:numPr>
        <w:rPr>
          <w:rFonts w:ascii="Arial" w:cs="Arial" w:eastAsia="Arial" w:hAnsi="Arial"/>
          <w:sz w:val="20"/>
          <w:szCs w:val="20"/>
          <w:color w:val="auto"/>
        </w:rPr>
      </w:pPr>
      <w:r>
        <w:rPr>
          <w:rFonts w:ascii="Arial" w:cs="Arial" w:eastAsia="Arial" w:hAnsi="Arial"/>
          <w:sz w:val="20"/>
          <w:szCs w:val="20"/>
          <w:color w:val="auto"/>
        </w:rPr>
        <w:t>135,966 Average Active Subscribers representing an increase of 8.7% year-over-year from 125,119 at the end of the first quarter of fiscal year 2022.</w:t>
      </w:r>
    </w:p>
    <w:p>
      <w:pPr>
        <w:spacing w:after="0" w:line="7" w:lineRule="exact"/>
        <w:rPr>
          <w:rFonts w:ascii="Arial" w:cs="Arial" w:eastAsia="Arial" w:hAnsi="Arial"/>
          <w:sz w:val="20"/>
          <w:szCs w:val="20"/>
          <w:color w:val="auto"/>
        </w:rPr>
      </w:pPr>
    </w:p>
    <w:p>
      <w:pPr>
        <w:ind w:left="500" w:right="380" w:hanging="330"/>
        <w:spacing w:after="0" w:line="303" w:lineRule="auto"/>
        <w:tabs>
          <w:tab w:leader="none" w:pos="50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185,720 ending Total Subscribers, representing an increase of 4.8% year-over-year from 177,213 at the end of the first quarter of fiscal year 2022.</w:t>
      </w:r>
    </w:p>
    <w:p>
      <w:pPr>
        <w:sectPr>
          <w:pgSz w:w="11900" w:h="16838" w:orient="portrait"/>
          <w:cols w:equalWidth="0" w:num="1">
            <w:col w:w="11240"/>
          </w:cols>
          <w:pgMar w:left="320" w:top="1097" w:right="339" w:bottom="1440" w:gutter="0" w:footer="0" w:header="0"/>
        </w:sectPr>
      </w:pPr>
    </w:p>
    <w:bookmarkStart w:id="4" w:name="page5"/>
    <w:bookmarkEnd w:id="4"/>
    <w:p>
      <w:pPr>
        <w:ind w:left="500" w:right="60" w:hanging="330"/>
        <w:spacing w:after="0" w:line="271" w:lineRule="auto"/>
        <w:tabs>
          <w:tab w:leader="none" w:pos="50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Gross Profit was $31.4 million, representing an increase of 39.6% from $22.5 million in the first quarter of fiscal year 2022. Gross Margin was 42.3%, as compared to 33.5% in the first quarter of fiscal year 2022.</w:t>
      </w:r>
    </w:p>
    <w:p>
      <w:pPr>
        <w:spacing w:after="0" w:line="7" w:lineRule="exact"/>
        <w:rPr>
          <w:rFonts w:ascii="Arial" w:cs="Arial" w:eastAsia="Arial" w:hAnsi="Arial"/>
          <w:sz w:val="20"/>
          <w:szCs w:val="20"/>
          <w:b w:val="1"/>
          <w:bCs w:val="1"/>
          <w:color w:val="auto"/>
        </w:rPr>
      </w:pPr>
    </w:p>
    <w:p>
      <w:pPr>
        <w:ind w:left="500" w:right="900" w:hanging="330"/>
        <w:spacing w:after="0" w:line="271" w:lineRule="auto"/>
        <w:tabs>
          <w:tab w:leader="none" w:pos="50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Net Loss was $(30.1) million, as compared to $(42.5) million in the first quarter of fiscal year 2022. Net Loss as a percentage of revenue was (40.6)%, as compared to (63.3)% in the first quarter of fiscal year 2022.</w:t>
      </w:r>
    </w:p>
    <w:p>
      <w:pPr>
        <w:spacing w:after="0" w:line="7" w:lineRule="exact"/>
        <w:rPr>
          <w:rFonts w:ascii="Arial" w:cs="Arial" w:eastAsia="Arial" w:hAnsi="Arial"/>
          <w:sz w:val="20"/>
          <w:szCs w:val="20"/>
          <w:b w:val="1"/>
          <w:bCs w:val="1"/>
          <w:color w:val="auto"/>
        </w:rPr>
      </w:pPr>
    </w:p>
    <w:p>
      <w:pPr>
        <w:ind w:left="500" w:right="180" w:hanging="330"/>
        <w:spacing w:after="0" w:line="303" w:lineRule="auto"/>
        <w:tabs>
          <w:tab w:leader="none" w:pos="50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Adjusted EBITDA was $4.5 million, as compared to $(8.8) million in the first quarter of fiscal year 2022. Adjusted EBITDA margin was 6.1%, as compared to (13.1)% in the first quarter of fiscal year 2022.</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First Quarter and Recent Business Highlights</w:t>
      </w:r>
    </w:p>
    <w:p>
      <w:pPr>
        <w:spacing w:after="0" w:line="270" w:lineRule="exact"/>
        <w:rPr>
          <w:sz w:val="20"/>
          <w:szCs w:val="20"/>
          <w:color w:val="auto"/>
        </w:rPr>
      </w:pPr>
    </w:p>
    <w:p>
      <w:pPr>
        <w:ind w:left="500" w:right="240" w:hanging="330"/>
        <w:spacing w:after="0" w:line="273" w:lineRule="auto"/>
        <w:tabs>
          <w:tab w:leader="none" w:pos="500" w:val="left"/>
        </w:tabs>
        <w:numPr>
          <w:ilvl w:val="1"/>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Introduced text-based concierge service: </w:t>
      </w:r>
      <w:r>
        <w:rPr>
          <w:rFonts w:ascii="Arial" w:cs="Arial" w:eastAsia="Arial" w:hAnsi="Arial"/>
          <w:sz w:val="20"/>
          <w:szCs w:val="20"/>
          <w:color w:val="auto"/>
        </w:rPr>
        <w:t>In early May, launched RTR CONCIERGE, a luxury-style service that offers</w:t>
      </w:r>
      <w:r>
        <w:rPr>
          <w:rFonts w:ascii="Arial" w:cs="Arial" w:eastAsia="Arial" w:hAnsi="Arial"/>
          <w:sz w:val="20"/>
          <w:szCs w:val="20"/>
          <w:b w:val="1"/>
          <w:bCs w:val="1"/>
          <w:color w:val="auto"/>
        </w:rPr>
        <w:t xml:space="preserve"> </w:t>
      </w:r>
      <w:r>
        <w:rPr>
          <w:rFonts w:ascii="Arial" w:cs="Arial" w:eastAsia="Arial" w:hAnsi="Arial"/>
          <w:sz w:val="20"/>
          <w:szCs w:val="20"/>
          <w:color w:val="auto"/>
        </w:rPr>
        <w:t>complimentary 1:1 communication via text with our customer service team to help subscribers early in their tenure. Concierge is focused on onboarding new subscribers to ensure they get the most out of their membership.</w:t>
      </w:r>
    </w:p>
    <w:p>
      <w:pPr>
        <w:spacing w:after="0" w:line="2" w:lineRule="exact"/>
        <w:rPr>
          <w:rFonts w:ascii="Arial" w:cs="Arial" w:eastAsia="Arial" w:hAnsi="Arial"/>
          <w:sz w:val="20"/>
          <w:szCs w:val="20"/>
          <w:b w:val="1"/>
          <w:bCs w:val="1"/>
          <w:i w:val="1"/>
          <w:iCs w:val="1"/>
          <w:color w:val="auto"/>
        </w:rPr>
      </w:pPr>
    </w:p>
    <w:p>
      <w:pPr>
        <w:ind w:left="500" w:right="360" w:hanging="492"/>
        <w:spacing w:after="0" w:line="275" w:lineRule="auto"/>
        <w:tabs>
          <w:tab w:leader="none" w:pos="5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Improved product discovery features: </w:t>
      </w:r>
      <w:r>
        <w:rPr>
          <w:rFonts w:ascii="Arial" w:cs="Arial" w:eastAsia="Arial" w:hAnsi="Arial"/>
          <w:sz w:val="20"/>
          <w:szCs w:val="20"/>
          <w:color w:val="auto"/>
        </w:rPr>
        <w:t>In early April, launched Rent the Look to enable customers to rent a complete</w:t>
      </w:r>
      <w:r>
        <w:rPr>
          <w:rFonts w:ascii="Arial" w:cs="Arial" w:eastAsia="Arial" w:hAnsi="Arial"/>
          <w:sz w:val="20"/>
          <w:szCs w:val="20"/>
          <w:b w:val="1"/>
          <w:bCs w:val="1"/>
          <w:color w:val="auto"/>
        </w:rPr>
        <w:t xml:space="preserve"> </w:t>
      </w:r>
      <w:r>
        <w:rPr>
          <w:rFonts w:ascii="Arial" w:cs="Arial" w:eastAsia="Arial" w:hAnsi="Arial"/>
          <w:sz w:val="20"/>
          <w:szCs w:val="20"/>
          <w:color w:val="auto"/>
        </w:rPr>
        <w:t>outfit or a similar option based on our recommendations. This feature has led to a 34% increase in engagement with substitute items.</w:t>
      </w:r>
    </w:p>
    <w:p>
      <w:pPr>
        <w:spacing w:after="0" w:line="1" w:lineRule="exact"/>
        <w:rPr>
          <w:rFonts w:ascii="Arial" w:cs="Arial" w:eastAsia="Arial" w:hAnsi="Arial"/>
          <w:sz w:val="20"/>
          <w:szCs w:val="20"/>
          <w:b w:val="1"/>
          <w:bCs w:val="1"/>
          <w:color w:val="auto"/>
        </w:rPr>
      </w:pPr>
    </w:p>
    <w:p>
      <w:pPr>
        <w:jc w:val="both"/>
        <w:ind w:left="500" w:right="100" w:hanging="492"/>
        <w:spacing w:after="0" w:line="273" w:lineRule="auto"/>
        <w:tabs>
          <w:tab w:leader="none" w:pos="5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Further elevated delivery and returns experience: </w:t>
      </w:r>
      <w:r>
        <w:rPr>
          <w:rFonts w:ascii="Arial" w:cs="Arial" w:eastAsia="Arial" w:hAnsi="Arial"/>
          <w:sz w:val="20"/>
          <w:szCs w:val="20"/>
          <w:color w:val="auto"/>
        </w:rPr>
        <w:t>Launched a new convenience feature in At-Home Pickup, leading to</w:t>
      </w:r>
      <w:r>
        <w:rPr>
          <w:rFonts w:ascii="Arial" w:cs="Arial" w:eastAsia="Arial" w:hAnsi="Arial"/>
          <w:sz w:val="20"/>
          <w:szCs w:val="20"/>
          <w:b w:val="1"/>
          <w:bCs w:val="1"/>
          <w:color w:val="auto"/>
        </w:rPr>
        <w:t xml:space="preserve"> </w:t>
      </w:r>
      <w:r>
        <w:rPr>
          <w:rFonts w:ascii="Arial" w:cs="Arial" w:eastAsia="Arial" w:hAnsi="Arial"/>
          <w:sz w:val="20"/>
          <w:szCs w:val="20"/>
          <w:color w:val="auto"/>
        </w:rPr>
        <w:t>an increase in in-market adoption of the service by nearly four percentage points from the end of Q4 of 2022 to the end of Q1 of 2023, and launched Saturday delivery to more than half of our subscribers.</w:t>
      </w:r>
    </w:p>
    <w:p>
      <w:pPr>
        <w:spacing w:after="0" w:line="2" w:lineRule="exact"/>
        <w:rPr>
          <w:rFonts w:ascii="Arial" w:cs="Arial" w:eastAsia="Arial" w:hAnsi="Arial"/>
          <w:sz w:val="20"/>
          <w:szCs w:val="20"/>
          <w:b w:val="1"/>
          <w:bCs w:val="1"/>
          <w:color w:val="auto"/>
        </w:rPr>
      </w:pPr>
    </w:p>
    <w:p>
      <w:pPr>
        <w:ind w:left="500" w:right="60" w:hanging="492"/>
        <w:spacing w:after="0" w:line="275" w:lineRule="auto"/>
        <w:tabs>
          <w:tab w:leader="none" w:pos="5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Achieved faster site speed: </w:t>
      </w:r>
      <w:r>
        <w:rPr>
          <w:rFonts w:ascii="Arial" w:cs="Arial" w:eastAsia="Arial" w:hAnsi="Arial"/>
          <w:sz w:val="20"/>
          <w:szCs w:val="20"/>
          <w:color w:val="auto"/>
        </w:rPr>
        <w:t>Made improvements to load times across the site experience, driving a 48% improvement in</w:t>
      </w:r>
      <w:r>
        <w:rPr>
          <w:rFonts w:ascii="Arial" w:cs="Arial" w:eastAsia="Arial" w:hAnsi="Arial"/>
          <w:sz w:val="20"/>
          <w:szCs w:val="20"/>
          <w:b w:val="1"/>
          <w:bCs w:val="1"/>
          <w:color w:val="auto"/>
        </w:rPr>
        <w:t xml:space="preserve"> </w:t>
      </w:r>
      <w:r>
        <w:rPr>
          <w:rFonts w:ascii="Arial" w:cs="Arial" w:eastAsia="Arial" w:hAnsi="Arial"/>
          <w:sz w:val="20"/>
          <w:szCs w:val="20"/>
          <w:color w:val="auto"/>
        </w:rPr>
        <w:t>average load times on a key entry point into our conversion funnel, which resulted in an 89% lift in conversion on that page.</w:t>
      </w:r>
    </w:p>
    <w:p>
      <w:pPr>
        <w:spacing w:after="0" w:line="1" w:lineRule="exact"/>
        <w:rPr>
          <w:rFonts w:ascii="Arial" w:cs="Arial" w:eastAsia="Arial" w:hAnsi="Arial"/>
          <w:sz w:val="20"/>
          <w:szCs w:val="20"/>
          <w:b w:val="1"/>
          <w:bCs w:val="1"/>
          <w:color w:val="auto"/>
        </w:rPr>
      </w:pPr>
    </w:p>
    <w:p>
      <w:pPr>
        <w:ind w:left="500" w:hanging="492"/>
        <w:spacing w:after="0" w:line="294" w:lineRule="auto"/>
        <w:tabs>
          <w:tab w:leader="none" w:pos="5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Made foundational investments in AI: </w:t>
      </w:r>
      <w:r>
        <w:rPr>
          <w:rFonts w:ascii="Arial" w:cs="Arial" w:eastAsia="Arial" w:hAnsi="Arial"/>
          <w:sz w:val="19"/>
          <w:szCs w:val="19"/>
          <w:color w:val="auto"/>
        </w:rPr>
        <w:t>Took a first and important step in leveraging AI models to improve the RTR search</w:t>
      </w:r>
      <w:r>
        <w:rPr>
          <w:rFonts w:ascii="Arial" w:cs="Arial" w:eastAsia="Arial" w:hAnsi="Arial"/>
          <w:sz w:val="19"/>
          <w:szCs w:val="19"/>
          <w:b w:val="1"/>
          <w:bCs w:val="1"/>
          <w:color w:val="auto"/>
        </w:rPr>
        <w:t xml:space="preserve"> </w:t>
      </w:r>
      <w:r>
        <w:rPr>
          <w:rFonts w:ascii="Arial" w:cs="Arial" w:eastAsia="Arial" w:hAnsi="Arial"/>
          <w:sz w:val="19"/>
          <w:szCs w:val="19"/>
          <w:color w:val="auto"/>
        </w:rPr>
        <w:t>&amp; discovery experience by developing an AI-driven search beta. Expected to launch in the coming weeks, the feature will</w:t>
      </w:r>
    </w:p>
    <w:p>
      <w:pPr>
        <w:spacing w:after="0" w:line="1" w:lineRule="exact"/>
        <w:rPr>
          <w:rFonts w:ascii="Arial" w:cs="Arial" w:eastAsia="Arial" w:hAnsi="Arial"/>
          <w:sz w:val="19"/>
          <w:szCs w:val="19"/>
          <w:b w:val="1"/>
          <w:bCs w:val="1"/>
          <w:color w:val="auto"/>
        </w:rPr>
      </w:pPr>
    </w:p>
    <w:p>
      <w:pPr>
        <w:ind w:left="500" w:right="400"/>
        <w:spacing w:after="0" w:line="289" w:lineRule="auto"/>
        <w:rPr>
          <w:rFonts w:ascii="Arial" w:cs="Arial" w:eastAsia="Arial" w:hAnsi="Arial"/>
          <w:sz w:val="19"/>
          <w:szCs w:val="19"/>
          <w:b w:val="1"/>
          <w:bCs w:val="1"/>
          <w:color w:val="auto"/>
        </w:rPr>
      </w:pPr>
      <w:r>
        <w:rPr>
          <w:rFonts w:ascii="Arial" w:cs="Arial" w:eastAsia="Arial" w:hAnsi="Arial"/>
          <w:sz w:val="20"/>
          <w:szCs w:val="20"/>
          <w:color w:val="auto"/>
        </w:rPr>
        <w:t>allow customers to leverage RTR’s existing search tools and product catalog using common phrases or fashion terms, which is intended to make the process of discovering products more intuitive and natural.</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For the second quarter of fiscal year 2023, Rent the Runway expects:</w:t>
      </w:r>
    </w:p>
    <w:p>
      <w:pPr>
        <w:spacing w:after="0" w:line="40" w:lineRule="exact"/>
        <w:rPr>
          <w:sz w:val="20"/>
          <w:szCs w:val="20"/>
          <w:color w:val="auto"/>
        </w:rPr>
      </w:pPr>
    </w:p>
    <w:p>
      <w:pPr>
        <w:ind w:left="500" w:hanging="330"/>
        <w:spacing w:after="0"/>
        <w:tabs>
          <w:tab w:leader="none" w:pos="50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in the range of $77.0 million to $79.0 million</w:t>
      </w:r>
    </w:p>
    <w:p>
      <w:pPr>
        <w:spacing w:after="0" w:line="26" w:lineRule="exact"/>
        <w:rPr>
          <w:rFonts w:ascii="Arial" w:cs="Arial" w:eastAsia="Arial" w:hAnsi="Arial"/>
          <w:sz w:val="20"/>
          <w:szCs w:val="20"/>
          <w:color w:val="auto"/>
        </w:rPr>
      </w:pPr>
    </w:p>
    <w:p>
      <w:pPr>
        <w:ind w:left="500" w:hanging="330"/>
        <w:spacing w:after="0"/>
        <w:tabs>
          <w:tab w:leader="none" w:pos="50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Margin of 7% to 8%</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2023, Rent the Runway continues to expect:</w:t>
      </w:r>
    </w:p>
    <w:p>
      <w:pPr>
        <w:spacing w:after="0" w:line="27" w:lineRule="exact"/>
        <w:rPr>
          <w:sz w:val="20"/>
          <w:szCs w:val="20"/>
          <w:color w:val="auto"/>
        </w:rPr>
      </w:pPr>
    </w:p>
    <w:p>
      <w:pPr>
        <w:ind w:left="500" w:hanging="330"/>
        <w:spacing w:after="0"/>
        <w:tabs>
          <w:tab w:leader="none" w:pos="500" w:val="left"/>
        </w:tabs>
        <w:numPr>
          <w:ilvl w:val="0"/>
          <w:numId w:val="6"/>
        </w:numPr>
        <w:rPr>
          <w:rFonts w:ascii="Arial" w:cs="Arial" w:eastAsia="Arial" w:hAnsi="Arial"/>
          <w:sz w:val="20"/>
          <w:szCs w:val="20"/>
          <w:color w:val="auto"/>
        </w:rPr>
      </w:pPr>
      <w:r>
        <w:rPr>
          <w:rFonts w:ascii="Arial" w:cs="Arial" w:eastAsia="Arial" w:hAnsi="Arial"/>
          <w:sz w:val="20"/>
          <w:szCs w:val="20"/>
          <w:color w:val="auto"/>
        </w:rPr>
        <w:t>Ending Active Subscriber growth of more than 25%</w:t>
      </w:r>
    </w:p>
    <w:p>
      <w:pPr>
        <w:spacing w:after="0" w:line="40" w:lineRule="exact"/>
        <w:rPr>
          <w:rFonts w:ascii="Arial" w:cs="Arial" w:eastAsia="Arial" w:hAnsi="Arial"/>
          <w:sz w:val="20"/>
          <w:szCs w:val="20"/>
          <w:color w:val="auto"/>
        </w:rPr>
      </w:pPr>
    </w:p>
    <w:p>
      <w:pPr>
        <w:ind w:left="500" w:hanging="330"/>
        <w:spacing w:after="0"/>
        <w:tabs>
          <w:tab w:leader="none" w:pos="50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Revenue in the range of $320 million to $330 million</w:t>
      </w:r>
    </w:p>
    <w:p>
      <w:pPr>
        <w:spacing w:after="0" w:line="26" w:lineRule="exact"/>
        <w:rPr>
          <w:rFonts w:ascii="Arial" w:cs="Arial" w:eastAsia="Arial" w:hAnsi="Arial"/>
          <w:sz w:val="20"/>
          <w:szCs w:val="20"/>
          <w:color w:val="auto"/>
        </w:rPr>
      </w:pPr>
    </w:p>
    <w:p>
      <w:pPr>
        <w:ind w:left="500" w:hanging="330"/>
        <w:spacing w:after="0"/>
        <w:tabs>
          <w:tab w:leader="none" w:pos="50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Margin of 7% to 8%</w:t>
      </w:r>
    </w:p>
    <w:p>
      <w:pPr>
        <w:spacing w:after="0" w:line="40" w:lineRule="exact"/>
        <w:rPr>
          <w:rFonts w:ascii="Arial" w:cs="Arial" w:eastAsia="Arial" w:hAnsi="Arial"/>
          <w:sz w:val="20"/>
          <w:szCs w:val="20"/>
          <w:color w:val="auto"/>
        </w:rPr>
      </w:pPr>
    </w:p>
    <w:p>
      <w:pPr>
        <w:ind w:left="500" w:hanging="330"/>
        <w:spacing w:after="0"/>
        <w:tabs>
          <w:tab w:leader="none" w:pos="500" w:val="left"/>
        </w:tabs>
        <w:numPr>
          <w:ilvl w:val="0"/>
          <w:numId w:val="6"/>
        </w:numPr>
        <w:rPr>
          <w:rFonts w:ascii="Arial" w:cs="Arial" w:eastAsia="Arial" w:hAnsi="Arial"/>
          <w:sz w:val="20"/>
          <w:szCs w:val="20"/>
          <w:color w:val="auto"/>
        </w:rPr>
      </w:pPr>
      <w:r>
        <w:rPr>
          <w:rFonts w:ascii="Arial" w:cs="Arial" w:eastAsia="Arial" w:hAnsi="Arial"/>
          <w:sz w:val="20"/>
          <w:szCs w:val="20"/>
          <w:color w:val="auto"/>
        </w:rPr>
        <w:t>YoY reduction in cash consumption by almost 50%</w:t>
      </w:r>
    </w:p>
    <w:p>
      <w:pPr>
        <w:spacing w:after="0" w:line="270" w:lineRule="exact"/>
        <w:rPr>
          <w:sz w:val="20"/>
          <w:szCs w:val="20"/>
          <w:color w:val="auto"/>
        </w:rPr>
      </w:pPr>
    </w:p>
    <w:p>
      <w:pPr>
        <w:ind w:right="660"/>
        <w:spacing w:after="0" w:line="303" w:lineRule="auto"/>
        <w:rPr>
          <w:sz w:val="20"/>
          <w:szCs w:val="20"/>
          <w:color w:val="auto"/>
        </w:rPr>
      </w:pPr>
      <w:r>
        <w:rPr>
          <w:rFonts w:ascii="Arial" w:cs="Arial" w:eastAsia="Arial" w:hAnsi="Arial"/>
          <w:sz w:val="20"/>
          <w:szCs w:val="20"/>
          <w:color w:val="auto"/>
        </w:rPr>
        <w:t>Please see our first quarter 2023 earnings presentation at https://investors.renttherunway.com/ under the “Presentations” section for supplemental guidance.</w:t>
      </w:r>
    </w:p>
    <w:p>
      <w:pPr>
        <w:sectPr>
          <w:pgSz w:w="11900" w:h="16838" w:orient="portrait"/>
          <w:cols w:equalWidth="0" w:num="1">
            <w:col w:w="11220"/>
          </w:cols>
          <w:pgMar w:left="320" w:top="1107"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80"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The first quarter 2023 Earnings Presentation is now accessible through the Investor Relations section of Rent the Runway’s website at https://investors.renttherunway.com/ under the “Presentations” section.</w:t>
      </w:r>
    </w:p>
    <w:p>
      <w:pPr>
        <w:spacing w:after="0" w:line="202" w:lineRule="exact"/>
        <w:rPr>
          <w:sz w:val="20"/>
          <w:szCs w:val="20"/>
          <w:color w:val="auto"/>
        </w:rPr>
      </w:pPr>
    </w:p>
    <w:p>
      <w:pPr>
        <w:ind w:right="820"/>
        <w:spacing w:after="0" w:line="289" w:lineRule="auto"/>
        <w:rPr>
          <w:sz w:val="20"/>
          <w:szCs w:val="20"/>
          <w:color w:val="auto"/>
        </w:rPr>
      </w:pPr>
      <w:r>
        <w:rPr>
          <w:rFonts w:ascii="Arial" w:cs="Arial" w:eastAsia="Arial" w:hAnsi="Arial"/>
          <w:sz w:val="20"/>
          <w:szCs w:val="20"/>
          <w:color w:val="auto"/>
        </w:rPr>
        <w:t>Rent the Runway will host a conference call and webcast to discuss its first quarter 2023 financial results and provide a business update today, June 7, 2023, at 4:30 pm EDT.</w:t>
      </w:r>
    </w:p>
    <w:p>
      <w:pPr>
        <w:spacing w:after="0" w:line="216" w:lineRule="exact"/>
        <w:rPr>
          <w:sz w:val="20"/>
          <w:szCs w:val="20"/>
          <w:color w:val="auto"/>
        </w:rPr>
      </w:pPr>
    </w:p>
    <w:p>
      <w:pPr>
        <w:ind w:right="120"/>
        <w:spacing w:after="0" w:line="285" w:lineRule="auto"/>
        <w:rPr>
          <w:sz w:val="20"/>
          <w:szCs w:val="20"/>
          <w:color w:val="auto"/>
        </w:rPr>
      </w:pPr>
      <w:r>
        <w:rPr>
          <w:rFonts w:ascii="Arial" w:cs="Arial" w:eastAsia="Arial" w:hAnsi="Arial"/>
          <w:sz w:val="20"/>
          <w:szCs w:val="20"/>
          <w:color w:val="auto"/>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spacing w:after="0" w:line="207" w:lineRule="exact"/>
        <w:rPr>
          <w:sz w:val="20"/>
          <w:szCs w:val="20"/>
          <w:color w:val="auto"/>
        </w:rPr>
      </w:pPr>
    </w:p>
    <w:p>
      <w:pPr>
        <w:jc w:val="both"/>
        <w:ind w:right="140"/>
        <w:spacing w:after="0" w:line="332" w:lineRule="auto"/>
        <w:rPr>
          <w:sz w:val="20"/>
          <w:szCs w:val="20"/>
          <w:color w:val="auto"/>
        </w:rPr>
      </w:pPr>
      <w:r>
        <w:rPr>
          <w:rFonts w:ascii="Arial" w:cs="Arial" w:eastAsia="Arial" w:hAnsi="Arial"/>
          <w:sz w:val="19"/>
          <w:szCs w:val="19"/>
          <w:color w:val="auto"/>
        </w:rPr>
        <w:t>A replay of the conference call will be posted shortly after the call and will be available for at least fourteen days. To access the replay, dial 1-844-512-2921 (in the U.S.) or 1-412-317-6671 (international callers). The access code for the replay is 13737124.</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the world’s first and largest shared designer closet.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ectPr>
          <w:pgSz w:w="11900" w:h="16838" w:orient="portrait"/>
          <w:cols w:equalWidth="0" w:num="1">
            <w:col w:w="11240"/>
          </w:cols>
          <w:pgMar w:left="320" w:top="109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Forward-Looking Statements</w:t>
      </w:r>
    </w:p>
    <w:p>
      <w:pPr>
        <w:spacing w:after="0" w:line="280"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 but are not limited to, statements regarding our future results of operations, financial position, and revenue, future product launches, strategic initiatives, business objectives, anticipated macroeconomic environment, benefits of our customer-focused strategy and other strategic initiatives, including use of artificial intelligence and the expected timing of the launch of an AI-driven search beta, and expectations regarding customer loyalty and other subscriber trends.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manage our growth effectively; risks related to the macroeconomic environment; the highly competitive and rapidly changing nature of the global fashion industry; our ability to cost-effectively grow our customer base; any failure to retain customers; risk related to the COVID-19 pandemic and other future pandemics or public health crises; risks related to shipping, logistics and our supply chain; our ability to accurately forecast customer demand, manage our offerings effectively and plan for future expenses; our ability to improve website and mobile app performance and keep pace with technological changes; risks arising from the restructuring of our operations;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by us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for elements of the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and risks related to our Class A capital stock and ownership structure. Additional information regarding these and other risks and uncertainties that could cause actual results to differ materially from the Company’s expectations is included in our Annual Report on Form 10-K for the year ended January 31, 2023, as will be updated in our Quarterly Report on Form 10-Q for the quarter ended April 30, 2023.</w:t>
      </w:r>
    </w:p>
    <w:p>
      <w:pPr>
        <w:sectPr>
          <w:pgSz w:w="11900" w:h="16838" w:orient="portrait"/>
          <w:cols w:equalWidth="0" w:num="1">
            <w:col w:w="11220"/>
          </w:cols>
          <w:pgMar w:left="320" w:top="1097" w:right="359" w:bottom="1440" w:gutter="0" w:footer="0" w:header="0"/>
        </w:sectPr>
      </w:pPr>
    </w:p>
    <w:bookmarkStart w:id="7" w:name="page8"/>
    <w:bookmarkEnd w:id="7"/>
    <w:p>
      <w:pPr>
        <w:ind w:right="620"/>
        <w:spacing w:after="0" w:line="303" w:lineRule="auto"/>
        <w:rPr>
          <w:sz w:val="20"/>
          <w:szCs w:val="20"/>
          <w:color w:val="auto"/>
        </w:rPr>
      </w:pPr>
      <w:r>
        <w:rPr>
          <w:rFonts w:ascii="Arial" w:cs="Arial" w:eastAsia="Arial" w:hAnsi="Arial"/>
          <w:sz w:val="20"/>
          <w:szCs w:val="20"/>
          <w:color w:val="auto"/>
        </w:rPr>
        <w:t>Except as required by law, we do not undertake any obligation to publicly update or revise any forward-looking statement, whether as a result of new information, future developments,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93"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w:t>
      </w:r>
    </w:p>
    <w:p>
      <w:pPr>
        <w:spacing w:after="0" w:line="216" w:lineRule="exact"/>
        <w:rPr>
          <w:sz w:val="20"/>
          <w:szCs w:val="20"/>
          <w:color w:val="auto"/>
        </w:rPr>
      </w:pPr>
    </w:p>
    <w:p>
      <w:pPr>
        <w:jc w:val="both"/>
        <w:ind w:right="600"/>
        <w:spacing w:after="0" w:line="285" w:lineRule="auto"/>
        <w:rPr>
          <w:sz w:val="20"/>
          <w:szCs w:val="20"/>
          <w:color w:val="auto"/>
        </w:rPr>
      </w:pPr>
      <w:r>
        <w:rPr>
          <w:rFonts w:ascii="Arial" w:cs="Arial" w:eastAsia="Arial" w:hAnsi="Arial"/>
          <w:sz w:val="20"/>
          <w:szCs w:val="20"/>
          <w:color w:val="auto"/>
        </w:rPr>
        <w:t>Average Active Subscribers is defined as the mean of the beginning of quarter and end of quarter Active Subscribers for a quarterly period; and for other periods, represents the mean of the Average Active Subscribers of every quarter within that period.</w:t>
      </w:r>
    </w:p>
    <w:p>
      <w:pPr>
        <w:spacing w:after="0" w:line="207" w:lineRule="exact"/>
        <w:rPr>
          <w:sz w:val="20"/>
          <w:szCs w:val="20"/>
          <w:color w:val="auto"/>
        </w:rPr>
      </w:pPr>
    </w:p>
    <w:p>
      <w:pPr>
        <w:ind w:right="180"/>
        <w:spacing w:after="0" w:line="280" w:lineRule="auto"/>
        <w:rPr>
          <w:sz w:val="20"/>
          <w:szCs w:val="20"/>
          <w:color w:val="auto"/>
        </w:rPr>
      </w:pPr>
      <w:r>
        <w:rPr>
          <w:rFonts w:ascii="Arial" w:cs="Arial" w:eastAsia="Arial" w:hAnsi="Arial"/>
          <w:sz w:val="20"/>
          <w:szCs w:val="20"/>
          <w:color w:val="auto"/>
        </w:rPr>
        <w:t>Gross Profit is defined as total revenue less fulfillment expense, revenue share and rental product depreciation. We 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cost of our products and fulfillment costs are included.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and Adjusted EBITDA margin. In addition to our results determined in accordance with GAAP, we believe that Adjusted EBITDA and Adjusted EBITDA margin are useful in evaluating our performance.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31" w:lineRule="exact"/>
        <w:rPr>
          <w:sz w:val="20"/>
          <w:szCs w:val="20"/>
          <w:color w:val="auto"/>
        </w:rPr>
      </w:pPr>
    </w:p>
    <w:p>
      <w:pPr>
        <w:ind w:right="220"/>
        <w:spacing w:after="0" w:line="279" w:lineRule="auto"/>
        <w:rPr>
          <w:sz w:val="20"/>
          <w:szCs w:val="20"/>
          <w:color w:val="auto"/>
        </w:rPr>
      </w:pPr>
      <w:r>
        <w:rPr>
          <w:rFonts w:ascii="Arial" w:cs="Arial" w:eastAsia="Arial" w:hAnsi="Arial"/>
          <w:sz w:val="20"/>
          <w:szCs w:val="20"/>
          <w:color w:val="auto"/>
        </w:rPr>
        <w:t>We define Adjusted EBITDA as net loss, adjusted to exclude interest expense, rental product depreciation, other depreciation and amortization, share-based compensation expense, write-off of liquidated assets, non-recurring adjustments (see below footnotes to reconciliation table), other income and expense, net, and other gains / losses. Adjusted EBITDA margin is defined as Adjusted EBITDA calculated as a percentage of revenue.</w:t>
      </w:r>
    </w:p>
    <w:p>
      <w:pPr>
        <w:sectPr>
          <w:pgSz w:w="11900" w:h="16838" w:orient="portrait"/>
          <w:cols w:equalWidth="0" w:num="1">
            <w:col w:w="11240"/>
          </w:cols>
          <w:pgMar w:left="320" w:top="1107" w:right="339" w:bottom="1440" w:gutter="0" w:footer="0" w:header="0"/>
        </w:sectPr>
      </w:pPr>
    </w:p>
    <w:bookmarkStart w:id="8" w:name="page9"/>
    <w:bookmarkEnd w:id="8"/>
    <w:p>
      <w:pPr>
        <w:spacing w:after="0" w:line="278" w:lineRule="auto"/>
        <w:rPr>
          <w:sz w:val="20"/>
          <w:szCs w:val="20"/>
          <w:color w:val="auto"/>
        </w:rPr>
      </w:pPr>
      <w:r>
        <w:rPr>
          <w:rFonts w:ascii="Arial" w:cs="Arial" w:eastAsia="Arial" w:hAnsi="Arial"/>
          <w:sz w:val="20"/>
          <w:szCs w:val="20"/>
          <w:color w:val="auto"/>
        </w:rPr>
        <w:t>The reconciliation of the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 of Adjusted EBITDA and Adjusted EBITDA margin guidance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Alison Rappaport</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180"/>
          </w:cols>
          <w:pgMar w:left="320" w:top="1107" w:right="399" w:bottom="1440" w:gutter="0" w:footer="0" w:header="0"/>
        </w:sectPr>
      </w:pPr>
    </w:p>
    <w:bookmarkStart w:id="9" w:name="page10"/>
    <w:bookmarkEnd w:id="9"/>
    <w:p>
      <w:pPr>
        <w:ind w:left="4220"/>
        <w:spacing w:after="0"/>
        <w:rPr>
          <w:sz w:val="20"/>
          <w:szCs w:val="20"/>
          <w:color w:val="auto"/>
        </w:rPr>
      </w:pPr>
      <w:r>
        <w:rPr>
          <w:rFonts w:ascii="Arial" w:cs="Arial" w:eastAsia="Arial" w:hAnsi="Arial"/>
          <w:sz w:val="20"/>
          <w:szCs w:val="20"/>
          <w:b w:val="1"/>
          <w:bCs w:val="1"/>
          <w:color w:val="auto"/>
        </w:rPr>
        <w:t>Rent the Runway, Inc.</w:t>
      </w:r>
    </w:p>
    <w:p>
      <w:pPr>
        <w:ind w:left="3300"/>
        <w:spacing w:after="0" w:line="197" w:lineRule="auto"/>
        <w:rPr>
          <w:sz w:val="20"/>
          <w:szCs w:val="20"/>
          <w:color w:val="auto"/>
        </w:rPr>
      </w:pPr>
      <w:r>
        <w:rPr>
          <w:rFonts w:ascii="Arial" w:cs="Arial" w:eastAsia="Arial" w:hAnsi="Arial"/>
          <w:sz w:val="20"/>
          <w:szCs w:val="20"/>
          <w:b w:val="1"/>
          <w:bCs w:val="1"/>
          <w:color w:val="auto"/>
        </w:rPr>
        <w:t>Condensed Consolidated Balance Sheets</w:t>
      </w:r>
    </w:p>
    <w:p>
      <w:pPr>
        <w:ind w:left="4680"/>
        <w:spacing w:after="0"/>
        <w:rPr>
          <w:sz w:val="20"/>
          <w:szCs w:val="20"/>
          <w:color w:val="auto"/>
        </w:rPr>
      </w:pPr>
      <w:r>
        <w:rPr>
          <w:rFonts w:ascii="Arial" w:cs="Arial" w:eastAsia="Arial" w:hAnsi="Arial"/>
          <w:sz w:val="20"/>
          <w:szCs w:val="20"/>
          <w:b w:val="1"/>
          <w:bCs w:val="1"/>
          <w:color w:val="auto"/>
        </w:rPr>
        <w:t>(in millions)</w:t>
      </w:r>
    </w:p>
    <w:p>
      <w:pPr>
        <w:ind w:left="474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36"/>
        </w:trPr>
        <w:tc>
          <w:tcPr>
            <w:tcW w:w="7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40"/>
        </w:trPr>
        <w:tc>
          <w:tcPr>
            <w:tcW w:w="74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80" w:type="dxa"/>
            <w:vAlign w:val="bottom"/>
          </w:tcPr>
          <w:p>
            <w:pPr>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48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76"/>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141.4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58"/>
        </w:trPr>
        <w:tc>
          <w:tcPr>
            <w:tcW w:w="748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68"/>
        </w:trPr>
        <w:tc>
          <w:tcPr>
            <w:tcW w:w="748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51"/>
        </w:trPr>
        <w:tc>
          <w:tcPr>
            <w:tcW w:w="7480" w:type="dxa"/>
            <w:vAlign w:val="bottom"/>
          </w:tcPr>
          <w:p>
            <w:pPr>
              <w:ind w:left="660"/>
              <w:spacing w:after="0"/>
              <w:rPr>
                <w:sz w:val="20"/>
                <w:szCs w:val="20"/>
                <w:color w:val="auto"/>
              </w:rPr>
            </w:pPr>
            <w:r>
              <w:rPr>
                <w:rFonts w:ascii="Arial" w:cs="Arial" w:eastAsia="Arial" w:hAnsi="Arial"/>
                <w:sz w:val="17"/>
                <w:szCs w:val="17"/>
                <w:color w:val="auto"/>
              </w:rPr>
              <w:t>Total current assets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172.1</w:t>
            </w:r>
          </w:p>
        </w:tc>
        <w:tc>
          <w:tcPr>
            <w:tcW w:w="0" w:type="dxa"/>
            <w:vAlign w:val="bottom"/>
          </w:tcPr>
          <w:p>
            <w:pPr>
              <w:spacing w:after="0"/>
              <w:rPr>
                <w:sz w:val="1"/>
                <w:szCs w:val="1"/>
                <w:color w:val="auto"/>
              </w:rPr>
            </w:pPr>
          </w:p>
        </w:tc>
      </w:tr>
      <w:tr>
        <w:trPr>
          <w:trHeight w:val="272"/>
        </w:trPr>
        <w:tc>
          <w:tcPr>
            <w:tcW w:w="7480" w:type="dxa"/>
            <w:vAlign w:val="bottom"/>
          </w:tcPr>
          <w:p>
            <w:pPr>
              <w:spacing w:after="0"/>
              <w:rPr>
                <w:sz w:val="20"/>
                <w:szCs w:val="20"/>
                <w:color w:val="auto"/>
              </w:rPr>
            </w:pPr>
            <w:r>
              <w:rPr>
                <w:rFonts w:ascii="Arial" w:cs="Arial" w:eastAsia="Arial" w:hAnsi="Arial"/>
                <w:sz w:val="17"/>
                <w:szCs w:val="17"/>
                <w:color w:val="auto"/>
              </w:rPr>
              <w:t>Restricted cash</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84"/>
        </w:trPr>
        <w:tc>
          <w:tcPr>
            <w:tcW w:w="7480" w:type="dxa"/>
            <w:vAlign w:val="bottom"/>
          </w:tcPr>
          <w:p>
            <w:pPr>
              <w:spacing w:after="0"/>
              <w:rPr>
                <w:sz w:val="20"/>
                <w:szCs w:val="20"/>
                <w:color w:val="auto"/>
              </w:rPr>
            </w:pPr>
            <w:r>
              <w:rPr>
                <w:rFonts w:ascii="Arial" w:cs="Arial" w:eastAsia="Arial" w:hAnsi="Arial"/>
                <w:sz w:val="17"/>
                <w:szCs w:val="17"/>
                <w:color w:val="auto"/>
              </w:rPr>
              <w:t>Rental product, net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87.8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78.7</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Arial" w:cs="Arial" w:eastAsia="Arial" w:hAnsi="Arial"/>
                <w:sz w:val="17"/>
                <w:szCs w:val="17"/>
                <w:color w:val="auto"/>
              </w:rPr>
              <w:t>Fixed assets, net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83"/>
        </w:trPr>
        <w:tc>
          <w:tcPr>
            <w:tcW w:w="7480" w:type="dxa"/>
            <w:vAlign w:val="bottom"/>
          </w:tcPr>
          <w:p>
            <w:pPr>
              <w:spacing w:after="0"/>
              <w:rPr>
                <w:sz w:val="20"/>
                <w:szCs w:val="20"/>
                <w:color w:val="auto"/>
              </w:rPr>
            </w:pPr>
            <w:r>
              <w:rPr>
                <w:rFonts w:ascii="Arial" w:cs="Arial" w:eastAsia="Arial" w:hAnsi="Arial"/>
                <w:sz w:val="17"/>
                <w:szCs w:val="17"/>
                <w:color w:val="auto"/>
              </w:rPr>
              <w:t>Intangible assets, net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83"/>
        </w:trPr>
        <w:tc>
          <w:tcPr>
            <w:tcW w:w="748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83"/>
        </w:trPr>
        <w:tc>
          <w:tcPr>
            <w:tcW w:w="7480" w:type="dxa"/>
            <w:vAlign w:val="bottom"/>
          </w:tcPr>
          <w:p>
            <w:pPr>
              <w:spacing w:after="0"/>
              <w:rPr>
                <w:sz w:val="20"/>
                <w:szCs w:val="20"/>
                <w:color w:val="auto"/>
              </w:rPr>
            </w:pPr>
            <w:r>
              <w:rPr>
                <w:rFonts w:ascii="Arial" w:cs="Arial" w:eastAsia="Arial" w:hAnsi="Arial"/>
                <w:sz w:val="17"/>
                <w:szCs w:val="17"/>
                <w:color w:val="auto"/>
              </w:rPr>
              <w:t>Other assets</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31"/>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7480" w:type="dxa"/>
            <w:vAlign w:val="bottom"/>
          </w:tcPr>
          <w:p>
            <w:pPr>
              <w:ind w:left="660"/>
              <w:spacing w:after="0"/>
              <w:rPr>
                <w:sz w:val="20"/>
                <w:szCs w:val="20"/>
                <w:color w:val="auto"/>
              </w:rPr>
            </w:pPr>
            <w:r>
              <w:rPr>
                <w:rFonts w:ascii="Arial" w:cs="Arial" w:eastAsia="Arial" w:hAnsi="Arial"/>
                <w:sz w:val="17"/>
                <w:szCs w:val="17"/>
                <w:color w:val="auto"/>
              </w:rPr>
              <w:t>Total assets</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327.4</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336.2</w:t>
            </w:r>
          </w:p>
        </w:tc>
        <w:tc>
          <w:tcPr>
            <w:tcW w:w="0" w:type="dxa"/>
            <w:vAlign w:val="bottom"/>
          </w:tcPr>
          <w:p>
            <w:pPr>
              <w:spacing w:after="0"/>
              <w:rPr>
                <w:sz w:val="1"/>
                <w:szCs w:val="1"/>
                <w:color w:val="auto"/>
              </w:rPr>
            </w:pPr>
          </w:p>
        </w:tc>
      </w:tr>
      <w:tr>
        <w:trPr>
          <w:trHeight w:val="24"/>
        </w:trPr>
        <w:tc>
          <w:tcPr>
            <w:tcW w:w="74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480" w:type="dxa"/>
            <w:vAlign w:val="bottom"/>
          </w:tcPr>
          <w:p>
            <w:pPr>
              <w:spacing w:after="0"/>
              <w:rPr>
                <w:sz w:val="20"/>
                <w:szCs w:val="20"/>
                <w:color w:val="auto"/>
              </w:rPr>
            </w:pPr>
            <w:r>
              <w:rPr>
                <w:rFonts w:ascii="Arial" w:cs="Arial" w:eastAsia="Arial" w:hAnsi="Arial"/>
                <w:sz w:val="17"/>
                <w:szCs w:val="17"/>
                <w:color w:val="auto"/>
              </w:rPr>
              <w:t>Current liabilities: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48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18.8</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57"/>
        </w:trPr>
        <w:tc>
          <w:tcPr>
            <w:tcW w:w="748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56"/>
        </w:trPr>
        <w:tc>
          <w:tcPr>
            <w:tcW w:w="748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70"/>
        </w:trPr>
        <w:tc>
          <w:tcPr>
            <w:tcW w:w="7480" w:type="dxa"/>
            <w:vAlign w:val="bottom"/>
          </w:tcPr>
          <w:p>
            <w:pPr>
              <w:ind w:left="160"/>
              <w:spacing w:after="0"/>
              <w:rPr>
                <w:sz w:val="20"/>
                <w:szCs w:val="20"/>
                <w:color w:val="auto"/>
              </w:rPr>
            </w:pPr>
            <w:r>
              <w:rPr>
                <w:rFonts w:ascii="Arial" w:cs="Arial" w:eastAsia="Arial" w:hAnsi="Arial"/>
                <w:sz w:val="17"/>
                <w:szCs w:val="17"/>
                <w:color w:val="auto"/>
              </w:rPr>
              <w:t>Customer credit liabilities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57"/>
        </w:trPr>
        <w:tc>
          <w:tcPr>
            <w:tcW w:w="748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31"/>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480" w:type="dxa"/>
            <w:vAlign w:val="bottom"/>
          </w:tcPr>
          <w:p>
            <w:pPr>
              <w:ind w:left="660"/>
              <w:spacing w:after="0"/>
              <w:rPr>
                <w:sz w:val="20"/>
                <w:szCs w:val="20"/>
                <w:color w:val="auto"/>
              </w:rPr>
            </w:pPr>
            <w:r>
              <w:rPr>
                <w:rFonts w:ascii="Arial" w:cs="Arial" w:eastAsia="Arial" w:hAnsi="Arial"/>
                <w:sz w:val="17"/>
                <w:szCs w:val="17"/>
                <w:color w:val="auto"/>
              </w:rPr>
              <w:t>Total current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56"/>
        </w:trPr>
        <w:tc>
          <w:tcPr>
            <w:tcW w:w="7480" w:type="dxa"/>
            <w:vAlign w:val="bottom"/>
          </w:tcPr>
          <w:p>
            <w:pPr>
              <w:spacing w:after="0"/>
              <w:rPr>
                <w:sz w:val="20"/>
                <w:szCs w:val="20"/>
                <w:color w:val="auto"/>
              </w:rPr>
            </w:pPr>
            <w:r>
              <w:rPr>
                <w:rFonts w:ascii="Arial" w:cs="Arial" w:eastAsia="Arial" w:hAnsi="Arial"/>
                <w:sz w:val="17"/>
                <w:szCs w:val="17"/>
                <w:color w:val="auto"/>
              </w:rPr>
              <w:t>Long-term debt, net</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272.5</w:t>
            </w:r>
          </w:p>
        </w:tc>
        <w:tc>
          <w:tcPr>
            <w:tcW w:w="0" w:type="dxa"/>
            <w:vAlign w:val="bottom"/>
          </w:tcPr>
          <w:p>
            <w:pPr>
              <w:spacing w:after="0"/>
              <w:rPr>
                <w:sz w:val="1"/>
                <w:szCs w:val="1"/>
                <w:color w:val="auto"/>
              </w:rPr>
            </w:pPr>
          </w:p>
        </w:tc>
      </w:tr>
      <w:tr>
        <w:trPr>
          <w:trHeight w:val="257"/>
        </w:trPr>
        <w:tc>
          <w:tcPr>
            <w:tcW w:w="748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70"/>
        </w:trPr>
        <w:tc>
          <w:tcPr>
            <w:tcW w:w="7480" w:type="dxa"/>
            <w:vAlign w:val="bottom"/>
          </w:tcPr>
          <w:p>
            <w:pPr>
              <w:spacing w:after="0"/>
              <w:rPr>
                <w:sz w:val="20"/>
                <w:szCs w:val="20"/>
                <w:color w:val="auto"/>
              </w:rPr>
            </w:pPr>
            <w:r>
              <w:rPr>
                <w:rFonts w:ascii="Arial" w:cs="Arial" w:eastAsia="Arial" w:hAnsi="Arial"/>
                <w:sz w:val="17"/>
                <w:szCs w:val="17"/>
                <w:color w:val="auto"/>
              </w:rPr>
              <w:t>Other liabilities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31"/>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480" w:type="dxa"/>
            <w:vAlign w:val="bottom"/>
          </w:tcPr>
          <w:p>
            <w:pPr>
              <w:ind w:left="660"/>
              <w:spacing w:after="0"/>
              <w:rPr>
                <w:sz w:val="20"/>
                <w:szCs w:val="20"/>
                <w:color w:val="auto"/>
              </w:rPr>
            </w:pPr>
            <w:r>
              <w:rPr>
                <w:rFonts w:ascii="Arial" w:cs="Arial" w:eastAsia="Arial" w:hAnsi="Arial"/>
                <w:sz w:val="17"/>
                <w:szCs w:val="17"/>
                <w:color w:val="auto"/>
              </w:rPr>
              <w:t>Total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384.0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371.5</w:t>
            </w:r>
          </w:p>
        </w:tc>
        <w:tc>
          <w:tcPr>
            <w:tcW w:w="0" w:type="dxa"/>
            <w:vAlign w:val="bottom"/>
          </w:tcPr>
          <w:p>
            <w:pPr>
              <w:spacing w:after="0"/>
              <w:rPr>
                <w:sz w:val="1"/>
                <w:szCs w:val="1"/>
                <w:color w:val="auto"/>
              </w:rPr>
            </w:pPr>
          </w:p>
        </w:tc>
      </w:tr>
      <w:tr>
        <w:trPr>
          <w:trHeight w:val="31"/>
        </w:trPr>
        <w:tc>
          <w:tcPr>
            <w:tcW w:w="7480" w:type="dxa"/>
            <w:vAlign w:val="bottom"/>
            <w:vMerge w:val="restart"/>
          </w:tcPr>
          <w:p>
            <w:pPr>
              <w:spacing w:after="0"/>
              <w:rPr>
                <w:sz w:val="20"/>
                <w:szCs w:val="20"/>
                <w:color w:val="auto"/>
              </w:rPr>
            </w:pPr>
            <w:r>
              <w:rPr>
                <w:rFonts w:ascii="Arial" w:cs="Arial" w:eastAsia="Arial" w:hAnsi="Arial"/>
                <w:sz w:val="17"/>
                <w:szCs w:val="17"/>
                <w:color w:val="auto"/>
              </w:rPr>
              <w:t>Stockholders’ equity (deficit)</w:t>
            </w: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2"/>
        </w:trPr>
        <w:tc>
          <w:tcPr>
            <w:tcW w:w="7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8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70"/>
        </w:trPr>
        <w:tc>
          <w:tcPr>
            <w:tcW w:w="748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4"/>
        </w:trPr>
        <w:tc>
          <w:tcPr>
            <w:tcW w:w="748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8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913.3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904.5</w:t>
            </w:r>
          </w:p>
        </w:tc>
        <w:tc>
          <w:tcPr>
            <w:tcW w:w="0" w:type="dxa"/>
            <w:vAlign w:val="bottom"/>
          </w:tcPr>
          <w:p>
            <w:pPr>
              <w:spacing w:after="0"/>
              <w:rPr>
                <w:sz w:val="1"/>
                <w:szCs w:val="1"/>
                <w:color w:val="auto"/>
              </w:rPr>
            </w:pPr>
          </w:p>
        </w:tc>
      </w:tr>
      <w:tr>
        <w:trPr>
          <w:trHeight w:val="283"/>
        </w:trPr>
        <w:tc>
          <w:tcPr>
            <w:tcW w:w="748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(970.0)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(939.9)</w:t>
            </w:r>
          </w:p>
        </w:tc>
        <w:tc>
          <w:tcPr>
            <w:tcW w:w="0" w:type="dxa"/>
            <w:vAlign w:val="bottom"/>
          </w:tcPr>
          <w:p>
            <w:pPr>
              <w:spacing w:after="0"/>
              <w:rPr>
                <w:sz w:val="1"/>
                <w:szCs w:val="1"/>
                <w:color w:val="auto"/>
              </w:rPr>
            </w:pPr>
          </w:p>
        </w:tc>
      </w:tr>
      <w:tr>
        <w:trPr>
          <w:trHeight w:val="31"/>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748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31"/>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480" w:type="dxa"/>
            <w:vAlign w:val="bottom"/>
          </w:tcPr>
          <w:p>
            <w:pPr>
              <w:spacing w:after="0"/>
              <w:rPr>
                <w:sz w:val="20"/>
                <w:szCs w:val="20"/>
                <w:color w:val="auto"/>
              </w:rPr>
            </w:pPr>
            <w:r>
              <w:rPr>
                <w:rFonts w:ascii="Arial" w:cs="Arial" w:eastAsia="Arial" w:hAnsi="Arial"/>
                <w:sz w:val="17"/>
                <w:szCs w:val="17"/>
                <w:color w:val="auto"/>
              </w:rPr>
              <w:t>Total liabilities and stockholders’ equity (deficit)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327.4</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336.2</w:t>
            </w:r>
          </w:p>
        </w:tc>
        <w:tc>
          <w:tcPr>
            <w:tcW w:w="0" w:type="dxa"/>
            <w:vAlign w:val="bottom"/>
          </w:tcPr>
          <w:p>
            <w:pPr>
              <w:spacing w:after="0"/>
              <w:rPr>
                <w:sz w:val="1"/>
                <w:szCs w:val="1"/>
                <w:color w:val="auto"/>
              </w:rPr>
            </w:pPr>
          </w:p>
        </w:tc>
      </w:tr>
      <w:tr>
        <w:trPr>
          <w:trHeight w:val="23"/>
        </w:trPr>
        <w:tc>
          <w:tcPr>
            <w:tcW w:w="7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1067" w:right="6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Rent the Runway, Inc.</w:t>
      </w:r>
    </w:p>
    <w:p>
      <w:pPr>
        <w:jc w:val="center"/>
        <w:ind w:right="20"/>
        <w:spacing w:after="0" w:line="235"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jc w:val="center"/>
        <w:ind w:right="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220" w:type="dxa"/>
            <w:vAlign w:val="bottom"/>
          </w:tcPr>
          <w:p>
            <w:pPr>
              <w:ind w:left="320"/>
              <w:spacing w:after="0"/>
              <w:rPr>
                <w:sz w:val="20"/>
                <w:szCs w:val="20"/>
                <w:color w:val="auto"/>
              </w:rPr>
            </w:pPr>
            <w:r>
              <w:rPr>
                <w:rFonts w:ascii="Arial" w:cs="Arial" w:eastAsia="Arial" w:hAnsi="Arial"/>
                <w:sz w:val="18"/>
                <w:szCs w:val="18"/>
                <w:color w:val="auto"/>
              </w:rPr>
              <w:t>Subscription and Reserve rental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66.8</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91"/>
        </w:trPr>
        <w:tc>
          <w:tcPr>
            <w:tcW w:w="7220" w:type="dxa"/>
            <w:vAlign w:val="bottom"/>
          </w:tcPr>
          <w:p>
            <w:pPr>
              <w:ind w:left="3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7220" w:type="dxa"/>
            <w:vAlign w:val="bottom"/>
          </w:tcPr>
          <w:p>
            <w:pPr>
              <w:ind w:left="640"/>
              <w:spacing w:after="0"/>
              <w:rPr>
                <w:sz w:val="20"/>
                <w:szCs w:val="20"/>
                <w:color w:val="auto"/>
              </w:rPr>
            </w:pPr>
            <w:r>
              <w:rPr>
                <w:rFonts w:ascii="Arial" w:cs="Arial" w:eastAsia="Arial" w:hAnsi="Arial"/>
                <w:sz w:val="18"/>
                <w:szCs w:val="18"/>
                <w:color w:val="auto"/>
              </w:rPr>
              <w:t>Total revenue,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722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220" w:type="dxa"/>
            <w:vAlign w:val="bottom"/>
          </w:tcPr>
          <w:p>
            <w:pPr>
              <w:ind w:left="320"/>
              <w:spacing w:after="0"/>
              <w:rPr>
                <w:sz w:val="20"/>
                <w:szCs w:val="20"/>
                <w:color w:val="auto"/>
              </w:rPr>
            </w:pPr>
            <w:r>
              <w:rPr>
                <w:rFonts w:ascii="Arial" w:cs="Arial" w:eastAsia="Arial" w:hAnsi="Arial"/>
                <w:sz w:val="18"/>
                <w:szCs w:val="18"/>
                <w:color w:val="auto"/>
              </w:rPr>
              <w:t>Fulfillment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0"/>
        </w:trPr>
        <w:tc>
          <w:tcPr>
            <w:tcW w:w="7220" w:type="dxa"/>
            <w:vAlign w:val="bottom"/>
          </w:tcPr>
          <w:p>
            <w:pPr>
              <w:ind w:left="32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0"/>
        </w:trPr>
        <w:tc>
          <w:tcPr>
            <w:tcW w:w="7220" w:type="dxa"/>
            <w:vAlign w:val="bottom"/>
          </w:tcPr>
          <w:p>
            <w:pPr>
              <w:ind w:left="32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0"/>
        </w:trPr>
        <w:tc>
          <w:tcPr>
            <w:tcW w:w="722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0"/>
        </w:trPr>
        <w:tc>
          <w:tcPr>
            <w:tcW w:w="7220" w:type="dxa"/>
            <w:vAlign w:val="bottom"/>
          </w:tcPr>
          <w:p>
            <w:pPr>
              <w:ind w:left="320"/>
              <w:spacing w:after="0"/>
              <w:rPr>
                <w:sz w:val="20"/>
                <w:szCs w:val="20"/>
                <w:color w:val="auto"/>
              </w:rPr>
            </w:pPr>
            <w:r>
              <w:rPr>
                <w:rFonts w:ascii="Arial" w:cs="Arial" w:eastAsia="Arial" w:hAnsi="Arial"/>
                <w:sz w:val="18"/>
                <w:szCs w:val="18"/>
                <w:color w:val="auto"/>
              </w:rPr>
              <w:t>Rental product depreciation and revenue share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90"/>
        </w:trPr>
        <w:tc>
          <w:tcPr>
            <w:tcW w:w="7220" w:type="dxa"/>
            <w:vAlign w:val="bottom"/>
          </w:tcPr>
          <w:p>
            <w:pPr>
              <w:ind w:left="320"/>
              <w:spacing w:after="0"/>
              <w:rPr>
                <w:sz w:val="20"/>
                <w:szCs w:val="20"/>
                <w:color w:val="auto"/>
              </w:rPr>
            </w:pPr>
            <w:r>
              <w:rPr>
                <w:rFonts w:ascii="Arial" w:cs="Arial" w:eastAsia="Arial" w:hAnsi="Arial"/>
                <w:sz w:val="18"/>
                <w:szCs w:val="18"/>
                <w:color w:val="auto"/>
              </w:rPr>
              <w:t>Other depreciation and amortization</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90"/>
        </w:trPr>
        <w:tc>
          <w:tcPr>
            <w:tcW w:w="7220" w:type="dxa"/>
            <w:vAlign w:val="bottom"/>
          </w:tcPr>
          <w:p>
            <w:pPr>
              <w:ind w:left="64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70"/>
        </w:trPr>
        <w:tc>
          <w:tcPr>
            <w:tcW w:w="7220" w:type="dxa"/>
            <w:vAlign w:val="bottom"/>
          </w:tcPr>
          <w:p>
            <w:pPr>
              <w:ind w:left="960"/>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0"/>
        </w:trPr>
        <w:tc>
          <w:tcPr>
            <w:tcW w:w="722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20" w:type="dxa"/>
            <w:vAlign w:val="bottom"/>
          </w:tcPr>
          <w:p>
            <w:pPr>
              <w:ind w:left="860"/>
              <w:spacing w:after="0"/>
              <w:rPr>
                <w:sz w:val="20"/>
                <w:szCs w:val="20"/>
                <w:color w:val="auto"/>
              </w:rPr>
            </w:pPr>
            <w:r>
              <w:rPr>
                <w:rFonts w:ascii="Arial" w:cs="Arial" w:eastAsia="Arial" w:hAnsi="Arial"/>
                <w:sz w:val="18"/>
                <w:szCs w:val="18"/>
                <w:color w:val="auto"/>
              </w:rPr>
              <w:t>Net loss before income tax benefit / (expense)</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0"/>
        </w:trPr>
        <w:tc>
          <w:tcPr>
            <w:tcW w:w="722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220" w:type="dxa"/>
            <w:vAlign w:val="bottom"/>
          </w:tcPr>
          <w:p>
            <w:pPr>
              <w:ind w:left="96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22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(0.46)</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72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65,865,906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63,431,165</w:t>
            </w:r>
          </w:p>
        </w:tc>
        <w:tc>
          <w:tcPr>
            <w:tcW w:w="0" w:type="dxa"/>
            <w:vAlign w:val="bottom"/>
          </w:tcPr>
          <w:p>
            <w:pPr>
              <w:spacing w:after="0"/>
              <w:rPr>
                <w:sz w:val="1"/>
                <w:szCs w:val="1"/>
                <w:color w:val="auto"/>
              </w:rPr>
            </w:pPr>
          </w:p>
        </w:tc>
      </w:tr>
      <w:tr>
        <w:trPr>
          <w:trHeight w:val="229"/>
        </w:trPr>
        <w:tc>
          <w:tcPr>
            <w:tcW w:w="722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1097" w:right="699" w:bottom="1440" w:gutter="0" w:footer="0" w:header="0"/>
        </w:sectPr>
      </w:pPr>
    </w:p>
    <w:bookmarkStart w:id="11" w:name="page12"/>
    <w:bookmarkEnd w:id="11"/>
    <w:p>
      <w:pPr>
        <w:ind w:left="4540"/>
        <w:spacing w:after="0"/>
        <w:rPr>
          <w:sz w:val="20"/>
          <w:szCs w:val="20"/>
          <w:color w:val="auto"/>
        </w:rPr>
      </w:pPr>
      <w:r>
        <w:rPr>
          <w:rFonts w:ascii="Arial" w:cs="Arial" w:eastAsia="Arial" w:hAnsi="Arial"/>
          <w:sz w:val="20"/>
          <w:szCs w:val="20"/>
          <w:b w:val="1"/>
          <w:bCs w:val="1"/>
          <w:color w:val="auto"/>
        </w:rPr>
        <w:t>Rent the Runway, Inc.</w:t>
      </w:r>
    </w:p>
    <w:p>
      <w:pPr>
        <w:spacing w:after="0" w:line="8"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Condensed Consolidated Statements of Cash Flow</w:t>
      </w:r>
    </w:p>
    <w:p>
      <w:pPr>
        <w:ind w:left="5000"/>
        <w:spacing w:after="0"/>
        <w:rPr>
          <w:sz w:val="20"/>
          <w:szCs w:val="20"/>
          <w:color w:val="auto"/>
        </w:rPr>
      </w:pPr>
      <w:r>
        <w:rPr>
          <w:rFonts w:ascii="Arial" w:cs="Arial" w:eastAsia="Arial" w:hAnsi="Arial"/>
          <w:sz w:val="20"/>
          <w:szCs w:val="20"/>
          <w:b w:val="1"/>
          <w:bCs w:val="1"/>
          <w:color w:val="auto"/>
        </w:rPr>
        <w:t>(in millions)</w:t>
      </w:r>
    </w:p>
    <w:p>
      <w:pPr>
        <w:ind w:left="506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1080"/>
          </w:cols>
          <w:pgMar w:left="380" w:top="109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OPERATING ACTIVITIES</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Rental product depreciation and write-offs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Write-off of rental product sold</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depreciation and amortization</w:t>
      </w:r>
    </w:p>
    <w:p>
      <w:pPr>
        <w:spacing w:after="0" w:line="59" w:lineRule="exact"/>
        <w:rPr>
          <w:sz w:val="20"/>
          <w:szCs w:val="20"/>
          <w:color w:val="auto"/>
        </w:rPr>
      </w:pPr>
    </w:p>
    <w:p>
      <w:pPr>
        <w:ind w:left="380" w:right="1180"/>
        <w:spacing w:after="0" w:line="325" w:lineRule="auto"/>
        <w:rPr>
          <w:sz w:val="20"/>
          <w:szCs w:val="20"/>
          <w:color w:val="auto"/>
        </w:rPr>
      </w:pPr>
      <w:r>
        <w:rPr>
          <w:rFonts w:ascii="Arial" w:cs="Arial" w:eastAsia="Arial" w:hAnsi="Arial"/>
          <w:sz w:val="16"/>
          <w:szCs w:val="16"/>
          <w:color w:val="auto"/>
        </w:rPr>
        <w:t>(Gain) / loss from lease termination and write-off of fixed and intangible assets Proceeds from rental product sold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 loss from liquidation of rental product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Accrual of paid-in-kind interest</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discount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Share-based compensation expense</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operating assets and liabilities:</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Prepaid expenses and other current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right-of-use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700" w:right="1840"/>
        <w:spacing w:after="0" w:line="325" w:lineRule="auto"/>
        <w:rPr>
          <w:sz w:val="20"/>
          <w:szCs w:val="20"/>
          <w:color w:val="auto"/>
        </w:rPr>
      </w:pPr>
      <w:r>
        <w:rPr>
          <w:rFonts w:ascii="Arial" w:cs="Arial" w:eastAsia="Arial" w:hAnsi="Arial"/>
          <w:sz w:val="16"/>
          <w:szCs w:val="16"/>
          <w:color w:val="auto"/>
        </w:rPr>
        <w:t>Accounts payable, accrued expenses and other current liabilities Deferred revenue and customer credit liabilities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liabilities</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operating activities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INVESTING ACTIVITIES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rental product</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liquidation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sale of rental product</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fixed and intangible assets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Net cash (used in) provided by investing activities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FINANCING ACTIVITIES</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financing payments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(decrease) increase in cash and cash equivalents and restricted cash</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beginning of period</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2040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r>
      <w:tr>
        <w:trPr>
          <w:trHeight w:val="451"/>
        </w:trPr>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(30.1)</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(42.5)</w:t>
            </w:r>
          </w:p>
        </w:tc>
      </w:tr>
      <w:tr>
        <w:trPr>
          <w:trHeight w:val="500"/>
        </w:trPr>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12.3</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57"/>
        </w:trPr>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57"/>
        </w:trPr>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59"/>
        </w:trPr>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499"/>
        </w:trPr>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7"/>
        </w:trPr>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57"/>
        </w:trPr>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56"/>
        </w:trPr>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23"/>
        </w:trPr>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47"/>
        </w:trPr>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447"/>
        </w:trPr>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56"/>
        </w:trPr>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41"/>
        </w:trPr>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35"/>
        </w:trPr>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5"/>
        </w:trPr>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35"/>
        </w:trPr>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471"/>
        </w:trPr>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35"/>
        </w:trPr>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5"/>
        </w:trPr>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35"/>
        </w:trPr>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5"/>
        </w:trPr>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(29.8)</w:t>
            </w:r>
          </w:p>
        </w:tc>
      </w:tr>
      <w:tr>
        <w:trPr>
          <w:trHeight w:val="270"/>
        </w:trPr>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163.6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259.6</w:t>
            </w:r>
          </w:p>
        </w:tc>
      </w:tr>
      <w:tr>
        <w:trPr>
          <w:trHeight w:val="35"/>
        </w:trPr>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5"/>
        </w:trPr>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151.4</w:t>
            </w: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229.8</w:t>
            </w:r>
          </w:p>
        </w:tc>
      </w:tr>
      <w:tr>
        <w:trPr>
          <w:trHeight w:val="35"/>
        </w:trPr>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160" w:space="720"/>
            <w:col w:w="3200"/>
          </w:cols>
          <w:pgMar w:left="380" w:top="1097" w:right="439" w:bottom="1440" w:gutter="0" w:footer="0" w:header="0"/>
          <w:type w:val="continuous"/>
        </w:sectPr>
      </w:pPr>
    </w:p>
    <w:bookmarkStart w:id="12" w:name="page13"/>
    <w:bookmarkEnd w:id="12"/>
    <w:p>
      <w:pPr>
        <w:ind w:left="4280"/>
        <w:spacing w:after="0"/>
        <w:rPr>
          <w:sz w:val="20"/>
          <w:szCs w:val="20"/>
          <w:color w:val="auto"/>
        </w:rPr>
      </w:pPr>
      <w:r>
        <w:rPr>
          <w:rFonts w:ascii="Arial" w:cs="Arial" w:eastAsia="Arial" w:hAnsi="Arial"/>
          <w:sz w:val="20"/>
          <w:szCs w:val="20"/>
          <w:b w:val="1"/>
          <w:bCs w:val="1"/>
          <w:color w:val="auto"/>
        </w:rPr>
        <w:t>Rent the Runway, Inc.</w:t>
      </w:r>
    </w:p>
    <w:p>
      <w:pPr>
        <w:spacing w:after="0" w:line="8" w:lineRule="exact"/>
        <w:rPr>
          <w:sz w:val="20"/>
          <w:szCs w:val="20"/>
          <w:color w:val="auto"/>
        </w:rPr>
      </w:pPr>
    </w:p>
    <w:p>
      <w:pPr>
        <w:ind w:left="2900"/>
        <w:spacing w:after="0"/>
        <w:rPr>
          <w:sz w:val="20"/>
          <w:szCs w:val="20"/>
          <w:color w:val="auto"/>
        </w:rPr>
      </w:pPr>
      <w:r>
        <w:rPr>
          <w:rFonts w:ascii="Arial" w:cs="Arial" w:eastAsia="Arial" w:hAnsi="Arial"/>
          <w:sz w:val="19"/>
          <w:szCs w:val="19"/>
          <w:b w:val="1"/>
          <w:bCs w:val="1"/>
          <w:color w:val="auto"/>
        </w:rPr>
        <w:t>Condensed Consolidated Statements of Cash Flow</w:t>
      </w:r>
    </w:p>
    <w:p>
      <w:pPr>
        <w:ind w:left="4740"/>
        <w:spacing w:after="0"/>
        <w:rPr>
          <w:sz w:val="20"/>
          <w:szCs w:val="20"/>
          <w:color w:val="auto"/>
        </w:rPr>
      </w:pPr>
      <w:r>
        <w:rPr>
          <w:rFonts w:ascii="Arial" w:cs="Arial" w:eastAsia="Arial" w:hAnsi="Arial"/>
          <w:sz w:val="20"/>
          <w:szCs w:val="20"/>
          <w:b w:val="1"/>
          <w:bCs w:val="1"/>
          <w:color w:val="auto"/>
        </w:rPr>
        <w:t>(in millions)</w:t>
      </w:r>
    </w:p>
    <w:p>
      <w:pPr>
        <w:ind w:left="480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0620"/>
          </w:cols>
          <w:pgMar w:left="640" w:top="1097"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0" w:hanging="161"/>
        <w:spacing w:after="0" w:line="297" w:lineRule="auto"/>
        <w:rPr>
          <w:sz w:val="20"/>
          <w:szCs w:val="20"/>
          <w:color w:val="auto"/>
        </w:rPr>
      </w:pPr>
      <w:r>
        <w:rPr>
          <w:rFonts w:ascii="Arial" w:cs="Arial" w:eastAsia="Arial" w:hAnsi="Arial"/>
          <w:sz w:val="14"/>
          <w:szCs w:val="14"/>
          <w:b w:val="1"/>
          <w:bCs w:val="1"/>
          <w:color w:val="auto"/>
        </w:rPr>
        <w:t>RECONCILIATION OF CASH AND CASH EQUIVALENTS AND RESTRICTED CASH TO THE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operating lease payments (reimbursements), net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assets and intangibles received in the prior period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Rental product received in the prior period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Non-cash financing and investing activities: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Financing leases right-of-use asset amortization</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ROU assets obtained in exchange for lease liabilities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fixed assets and intangibles not yet settled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rental product not yet settled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19113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595"/>
        </w:trPr>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141.4</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219.0</w:t>
            </w:r>
          </w:p>
        </w:tc>
      </w:tr>
      <w:tr>
        <w:trPr>
          <w:trHeight w:val="230"/>
        </w:trPr>
        <w:tc>
          <w:tcPr>
            <w:tcW w:w="32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43"/>
        </w:trPr>
        <w:tc>
          <w:tcPr>
            <w:tcW w:w="32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6"/>
        </w:trPr>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1"/>
        </w:trPr>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151.4</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229.8</w:t>
            </w:r>
          </w:p>
        </w:tc>
      </w:tr>
      <w:tr>
        <w:trPr>
          <w:trHeight w:val="26"/>
        </w:trPr>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6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56"/>
        </w:trPr>
        <w:tc>
          <w:tcPr>
            <w:tcW w:w="6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6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43"/>
        </w:trPr>
        <w:tc>
          <w:tcPr>
            <w:tcW w:w="60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6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473"/>
        </w:trPr>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6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3"/>
        </w:trPr>
        <w:tc>
          <w:tcPr>
            <w:tcW w:w="60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3"/>
        </w:trPr>
        <w:tc>
          <w:tcPr>
            <w:tcW w:w="60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43"/>
        </w:trPr>
        <w:tc>
          <w:tcPr>
            <w:tcW w:w="60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6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w:t>
            </w:r>
          </w:p>
        </w:tc>
      </w:tr>
    </w:tbl>
    <w:p>
      <w:pPr>
        <w:sectPr>
          <w:pgSz w:w="11900" w:h="16838" w:orient="portrait"/>
          <w:cols w:equalWidth="0" w:num="2">
            <w:col w:w="7040" w:space="580"/>
            <w:col w:w="3000"/>
          </w:cols>
          <w:pgMar w:left="640" w:top="1097" w:right="639" w:bottom="1440" w:gutter="0" w:footer="0" w:header="0"/>
          <w:type w:val="continuous"/>
        </w:sectPr>
      </w:pPr>
    </w:p>
    <w:bookmarkStart w:id="13" w:name="page14"/>
    <w:bookmarkEnd w:id="13"/>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35"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133"/>
        <w:spacing w:after="0"/>
        <w:rPr>
          <w:sz w:val="20"/>
          <w:szCs w:val="20"/>
          <w:color w:val="auto"/>
        </w:rPr>
      </w:pPr>
      <w:r>
        <w:rPr>
          <w:rFonts w:ascii="Arial" w:cs="Arial" w:eastAsia="Arial" w:hAnsi="Arial"/>
          <w:sz w:val="20"/>
          <w:szCs w:val="20"/>
          <w:b w:val="1"/>
          <w:bCs w:val="1"/>
          <w:color w:val="auto"/>
        </w:rPr>
        <w:t>(in millions)</w:t>
      </w:r>
    </w:p>
    <w:p>
      <w:pPr>
        <w:ind w:left="5193"/>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72" w:lineRule="exact"/>
        <w:rPr>
          <w:sz w:val="20"/>
          <w:szCs w:val="20"/>
          <w:color w:val="auto"/>
        </w:rPr>
      </w:pPr>
    </w:p>
    <w:p>
      <w:pPr>
        <w:ind w:left="73"/>
        <w:spacing w:after="0" w:line="236" w:lineRule="auto"/>
        <w:rPr>
          <w:sz w:val="20"/>
          <w:szCs w:val="20"/>
          <w:color w:val="auto"/>
        </w:rPr>
      </w:pPr>
      <w:r>
        <w:rPr>
          <w:rFonts w:ascii="Arial" w:cs="Arial" w:eastAsia="Arial" w:hAnsi="Arial"/>
          <w:sz w:val="20"/>
          <w:szCs w:val="20"/>
          <w:color w:val="auto"/>
        </w:rPr>
        <w:t>The following table presents a reconciliation of net loss, the most comparable GAAP financial measure, to Adjusted EBITDA for the periods presented:</w:t>
      </w:r>
    </w:p>
    <w:p>
      <w:pPr>
        <w:spacing w:after="0" w:line="281" w:lineRule="exact"/>
        <w:rPr>
          <w:sz w:val="20"/>
          <w:szCs w:val="20"/>
          <w:color w:val="auto"/>
        </w:rPr>
      </w:pPr>
    </w:p>
    <w:tbl>
      <w:tblPr>
        <w:tblLayout w:type="fixed"/>
        <w:tblInd w:w="93" w:type="dxa"/>
        <w:tblCellMar>
          <w:top w:w="0" w:type="dxa"/>
          <w:left w:w="0" w:type="dxa"/>
          <w:bottom w:w="0" w:type="dxa"/>
          <w:right w:w="0" w:type="dxa"/>
        </w:tblCellMar>
      </w:tblPr>
      <w:tr>
        <w:trPr>
          <w:trHeight w:val="209"/>
        </w:trPr>
        <w:tc>
          <w:tcPr>
            <w:tcW w:w="750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April 30,</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750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(30.1)</w:t>
            </w:r>
          </w:p>
        </w:tc>
        <w:tc>
          <w:tcPr>
            <w:tcW w:w="11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(42.5)</w:t>
            </w:r>
          </w:p>
        </w:tc>
        <w:tc>
          <w:tcPr>
            <w:tcW w:w="0" w:type="dxa"/>
            <w:vAlign w:val="bottom"/>
          </w:tcPr>
          <w:p>
            <w:pPr>
              <w:spacing w:after="0"/>
              <w:rPr>
                <w:sz w:val="1"/>
                <w:szCs w:val="1"/>
                <w:color w:val="auto"/>
              </w:rPr>
            </w:pPr>
          </w:p>
        </w:tc>
      </w:tr>
      <w:tr>
        <w:trPr>
          <w:trHeight w:val="365"/>
        </w:trPr>
        <w:tc>
          <w:tcPr>
            <w:tcW w:w="7500" w:type="dxa"/>
            <w:vAlign w:val="bottom"/>
          </w:tcPr>
          <w:p>
            <w:pPr>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tc>
        <w:tc>
          <w:tcPr>
            <w:tcW w:w="102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8"/>
                <w:szCs w:val="18"/>
                <w:color w:val="auto"/>
              </w:rPr>
              <w:t>Rental product depreciation</w:t>
            </w:r>
          </w:p>
        </w:tc>
        <w:tc>
          <w:tcPr>
            <w:tcW w:w="1020" w:type="dxa"/>
            <w:vAlign w:val="bottom"/>
          </w:tcPr>
          <w:p>
            <w:pPr>
              <w:spacing w:after="0"/>
              <w:rPr>
                <w:sz w:val="19"/>
                <w:szCs w:val="19"/>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345"/>
        </w:trPr>
        <w:tc>
          <w:tcPr>
            <w:tcW w:w="7500" w:type="dxa"/>
            <w:vAlign w:val="bottom"/>
          </w:tcPr>
          <w:p>
            <w:pPr>
              <w:spacing w:after="0"/>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23"/>
                <w:szCs w:val="23"/>
                <w:color w:val="auto"/>
                <w:vertAlign w:val="superscript"/>
              </w:rPr>
              <w:t>(2)</w:t>
            </w:r>
          </w:p>
        </w:tc>
        <w:tc>
          <w:tcPr>
            <w:tcW w:w="102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97"/>
        </w:trPr>
        <w:tc>
          <w:tcPr>
            <w:tcW w:w="7500" w:type="dxa"/>
            <w:vAlign w:val="bottom"/>
          </w:tcPr>
          <w:p>
            <w:pPr>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tc>
        <w:tc>
          <w:tcPr>
            <w:tcW w:w="102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90"/>
        </w:trPr>
        <w:tc>
          <w:tcPr>
            <w:tcW w:w="7500" w:type="dxa"/>
            <w:vAlign w:val="bottom"/>
          </w:tcPr>
          <w:p>
            <w:pPr>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tc>
        <w:tc>
          <w:tcPr>
            <w:tcW w:w="102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97"/>
        </w:trPr>
        <w:tc>
          <w:tcPr>
            <w:tcW w:w="7500" w:type="dxa"/>
            <w:vAlign w:val="bottom"/>
          </w:tcPr>
          <w:p>
            <w:pPr>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tc>
        <w:tc>
          <w:tcPr>
            <w:tcW w:w="102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9"/>
        </w:trPr>
        <w:tc>
          <w:tcPr>
            <w:tcW w:w="7500" w:type="dxa"/>
            <w:vAlign w:val="bottom"/>
          </w:tcPr>
          <w:p>
            <w:pPr>
              <w:spacing w:after="0"/>
              <w:rPr>
                <w:sz w:val="20"/>
                <w:szCs w:val="20"/>
                <w:color w:val="auto"/>
              </w:rPr>
            </w:pPr>
            <w:r>
              <w:rPr>
                <w:rFonts w:ascii="Arial" w:cs="Arial" w:eastAsia="Arial" w:hAnsi="Arial"/>
                <w:sz w:val="18"/>
                <w:szCs w:val="18"/>
                <w:color w:val="auto"/>
              </w:rPr>
              <w:t xml:space="preserve">Other (gains) / losses </w:t>
            </w:r>
            <w:r>
              <w:rPr>
                <w:rFonts w:ascii="Arial" w:cs="Arial" w:eastAsia="Arial" w:hAnsi="Arial"/>
                <w:sz w:val="23"/>
                <w:szCs w:val="23"/>
                <w:color w:val="auto"/>
                <w:vertAlign w:val="superscript"/>
              </w:rPr>
              <w:t>(6)</w:t>
            </w:r>
          </w:p>
        </w:tc>
        <w:tc>
          <w:tcPr>
            <w:tcW w:w="10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4"/>
        </w:trPr>
        <w:tc>
          <w:tcPr>
            <w:tcW w:w="7500" w:type="dxa"/>
            <w:vAlign w:val="bottom"/>
          </w:tcPr>
          <w:p>
            <w:pPr>
              <w:spacing w:after="0"/>
              <w:rPr>
                <w:sz w:val="20"/>
                <w:szCs w:val="20"/>
                <w:color w:val="auto"/>
              </w:rPr>
            </w:pPr>
            <w:r>
              <w:rPr>
                <w:rFonts w:ascii="Arial" w:cs="Arial" w:eastAsia="Arial" w:hAnsi="Arial"/>
                <w:sz w:val="18"/>
                <w:szCs w:val="18"/>
                <w:color w:val="auto"/>
              </w:rPr>
              <w:t>Adjusted EBITDA</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11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7500" w:type="dxa"/>
            <w:vAlign w:val="bottom"/>
            <w:vMerge w:val="restart"/>
          </w:tcPr>
          <w:p>
            <w:pPr>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(7)</w:t>
            </w:r>
          </w:p>
        </w:tc>
        <w:tc>
          <w:tcPr>
            <w:tcW w:w="10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75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333" w:hanging="333"/>
        <w:spacing w:after="0"/>
        <w:tabs>
          <w:tab w:leader="none" w:pos="33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Includes debt discount amortization of $1.6 million in the three months ended April 30, 2023 and $1.0 million in the three months ended April 30, 2022.</w:t>
      </w:r>
    </w:p>
    <w:p>
      <w:pPr>
        <w:spacing w:after="0" w:line="78" w:lineRule="exact"/>
        <w:rPr>
          <w:rFonts w:ascii="Arial" w:cs="Arial" w:eastAsia="Arial" w:hAnsi="Arial"/>
          <w:sz w:val="19"/>
          <w:szCs w:val="19"/>
          <w:color w:val="auto"/>
          <w:vertAlign w:val="superscript"/>
        </w:rPr>
      </w:pPr>
    </w:p>
    <w:p>
      <w:pPr>
        <w:ind w:left="333" w:hanging="333"/>
        <w:spacing w:after="0"/>
        <w:tabs>
          <w:tab w:leader="none" w:pos="33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78" w:lineRule="exact"/>
        <w:rPr>
          <w:rFonts w:ascii="Arial" w:cs="Arial" w:eastAsia="Arial" w:hAnsi="Arial"/>
          <w:sz w:val="19"/>
          <w:szCs w:val="19"/>
          <w:color w:val="auto"/>
          <w:vertAlign w:val="superscript"/>
        </w:rPr>
      </w:pPr>
    </w:p>
    <w:p>
      <w:pPr>
        <w:ind w:left="333" w:hanging="333"/>
        <w:spacing w:after="0"/>
        <w:tabs>
          <w:tab w:leader="none" w:pos="33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share-based compensation.</w:t>
      </w:r>
    </w:p>
    <w:p>
      <w:pPr>
        <w:spacing w:after="0" w:line="78" w:lineRule="exact"/>
        <w:rPr>
          <w:rFonts w:ascii="Arial" w:cs="Arial" w:eastAsia="Arial" w:hAnsi="Arial"/>
          <w:sz w:val="19"/>
          <w:szCs w:val="19"/>
          <w:color w:val="auto"/>
          <w:vertAlign w:val="superscript"/>
        </w:rPr>
      </w:pPr>
    </w:p>
    <w:p>
      <w:pPr>
        <w:ind w:left="333" w:hanging="333"/>
        <w:spacing w:after="0"/>
        <w:tabs>
          <w:tab w:leader="none" w:pos="33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rental product that had previously been held for sale.</w:t>
      </w:r>
    </w:p>
    <w:p>
      <w:pPr>
        <w:spacing w:after="0" w:line="114" w:lineRule="exact"/>
        <w:rPr>
          <w:rFonts w:ascii="Arial" w:cs="Arial" w:eastAsia="Arial" w:hAnsi="Arial"/>
          <w:sz w:val="19"/>
          <w:szCs w:val="19"/>
          <w:color w:val="auto"/>
          <w:vertAlign w:val="superscript"/>
        </w:rPr>
      </w:pPr>
    </w:p>
    <w:p>
      <w:pPr>
        <w:ind w:left="333" w:hanging="333"/>
        <w:spacing w:after="0"/>
        <w:tabs>
          <w:tab w:leader="none" w:pos="333" w:val="left"/>
        </w:tabs>
        <w:numPr>
          <w:ilvl w:val="0"/>
          <w:numId w:val="7"/>
        </w:numPr>
        <w:rPr>
          <w:rFonts w:ascii="Arial" w:cs="Arial" w:eastAsia="Arial" w:hAnsi="Arial"/>
          <w:sz w:val="9"/>
          <w:szCs w:val="9"/>
          <w:color w:val="auto"/>
        </w:rPr>
      </w:pPr>
      <w:r>
        <w:rPr>
          <w:rFonts w:ascii="Arial" w:cs="Arial" w:eastAsia="Arial" w:hAnsi="Arial"/>
          <w:sz w:val="14"/>
          <w:szCs w:val="14"/>
          <w:color w:val="auto"/>
        </w:rPr>
        <w:t>Non-recurring adjustments for the three months ended April 30, 2022 includes $0.3 million of costs related to public company SOX readiness.</w:t>
      </w:r>
    </w:p>
    <w:p>
      <w:pPr>
        <w:spacing w:after="0" w:line="136" w:lineRule="exact"/>
        <w:rPr>
          <w:rFonts w:ascii="Arial" w:cs="Arial" w:eastAsia="Arial" w:hAnsi="Arial"/>
          <w:sz w:val="9"/>
          <w:szCs w:val="9"/>
          <w:color w:val="auto"/>
        </w:rPr>
      </w:pPr>
    </w:p>
    <w:p>
      <w:pPr>
        <w:ind w:left="333" w:right="140" w:hanging="333"/>
        <w:spacing w:after="0" w:line="333" w:lineRule="auto"/>
        <w:tabs>
          <w:tab w:leader="none" w:pos="333"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Includes gains / losses recognized in relation to foreign exchange, operating lease terminations and the related surrender of fixed assets (see “Note 4 - Leases – Lessee Accounting” in the Notes to the Condensed Consolidated Financial Statements).</w:t>
      </w:r>
    </w:p>
    <w:p>
      <w:pPr>
        <w:spacing w:after="0" w:line="52" w:lineRule="exact"/>
        <w:rPr>
          <w:rFonts w:ascii="Arial" w:cs="Arial" w:eastAsia="Arial" w:hAnsi="Arial"/>
          <w:sz w:val="9"/>
          <w:szCs w:val="9"/>
          <w:color w:val="auto"/>
        </w:rPr>
      </w:pPr>
    </w:p>
    <w:p>
      <w:pPr>
        <w:ind w:left="333" w:hanging="333"/>
        <w:spacing w:after="0"/>
        <w:tabs>
          <w:tab w:leader="none" w:pos="333" w:val="left"/>
        </w:tabs>
        <w:numPr>
          <w:ilvl w:val="0"/>
          <w:numId w:val="7"/>
        </w:numPr>
        <w:rPr>
          <w:rFonts w:ascii="Arial" w:cs="Arial" w:eastAsia="Arial" w:hAnsi="Arial"/>
          <w:sz w:val="9"/>
          <w:szCs w:val="9"/>
          <w:color w:val="auto"/>
        </w:rPr>
      </w:pPr>
      <w:r>
        <w:rPr>
          <w:rFonts w:ascii="Arial" w:cs="Arial" w:eastAsia="Arial" w:hAnsi="Arial"/>
          <w:sz w:val="14"/>
          <w:szCs w:val="14"/>
          <w:color w:val="auto"/>
        </w:rPr>
        <w:t>Adjusted EBITDA Margin calculated as Adjusted EBITDA as a percentage of revenue.</w:t>
      </w:r>
    </w:p>
    <w:sectPr>
      <w:pgSz w:w="11900" w:h="16838" w:orient="portrait"/>
      <w:cols w:equalWidth="0" w:num="1">
        <w:col w:w="11173"/>
      </w:cols>
      <w:pgMar w:left="247" w:top="109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2023-06-07T15:15:14Z</dcterms:created>
  <dcterms:modified xsi:type="dcterms:W3CDTF">2023-06-07T15:15:14Z</dcterms:modified>
</cp:coreProperties>
</file>