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5620x1_s1_100-regcov_pg1"/>
        <w:bookmarkStart w:id="1" w:name="ny20055620x1_s1.htm"/>
        <w:bookmarkStart w:id="2" w:name="ksny20055620x1_s1"/>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September 18, 2025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13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S-1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UNDER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ACT OF 1933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RENT THE RUNWAY,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(Exact Name of Registrant as Specified in Its Charter) </w:t>
      </w:r>
    </w:p>
    <w:tbl>
      <w:tblPr>
        <w:tblW w:w="7355" w:type="dxa"/>
        <w:jc w:val="left"/>
        <w:tblInd w:w="0" w:type="dxa"/>
        <w:tblLayout w:type="fixed"/>
        <w:tblCellMar>
          <w:top w:w="0" w:type="dxa"/>
          <w:left w:w="0" w:type="dxa"/>
          <w:bottom w:w="0" w:type="dxa"/>
          <w:right w:w="0" w:type="dxa"/>
        </w:tblCellMar>
      </w:tblPr>
      <w:tblGrid>
        <w:gridCol w:w="2525"/>
        <w:gridCol w:w="140"/>
        <w:gridCol w:w="140"/>
        <w:gridCol w:w="2375"/>
        <w:gridCol w:w="140"/>
        <w:gridCol w:w="140"/>
        <w:gridCol w:w="1895"/>
      </w:tblGrid>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5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Delaware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7389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80-0376379</w:t>
            </w:r>
          </w:p>
        </w:tc>
      </w:tr>
      <w:tr>
        <w:trPr/>
        <w:tc>
          <w:tcPr>
            <w:tcW w:w="25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(State or Other Jurisdiction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(Primary Standard Industrial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(I.R.S. Employer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Identification Number)</w:t>
            </w:r>
          </w:p>
        </w:tc>
      </w:tr>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10 Jay Street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Brooklyn, New York 11201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(212) 524-6860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(Address, Including Zip Code, and Telephone Number, Including Area Code, of Registrant’s Principal Executive Offices) </w:t>
      </w:r>
    </w:p>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Jennifer Y. Hyman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Co-Founder, Chief Executive Officer and Chair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Rent the Runway, Inc.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10 Jay Street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Brooklyn, New York 11201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(212) 524-6860</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(Name, Address, Including Zip Code, and Telephone Number, Including Area Code, of Agent For Service) </w:t>
      </w:r>
    </w:p>
    <w:p>
      <w:pPr>
        <w:pStyle w:val="TextBody"/>
        <w:bidi w:val="0"/>
        <w:spacing w:before="120" w:after="283"/>
        <w:jc w:val="center"/>
        <w:rPr>
          <w:rFonts w:ascii="Times New Roman;Times;serif" w:hAnsi="Times New Roman;Times;serif"/>
          <w:b/>
          <w:i/>
          <w:color w:val="000000"/>
          <w:sz w:val="19"/>
        </w:rPr>
      </w:pPr>
      <w:r>
        <w:rPr>
          <w:rFonts w:ascii="Times New Roman;Times;serif" w:hAnsi="Times New Roman;Times;serif"/>
          <w:b/>
          <w:i/>
          <w:color w:val="000000"/>
          <w:sz w:val="19"/>
        </w:rPr>
        <w:t>Copies to:</w:t>
      </w:r>
      <w:r>
        <w:rPr>
          <w:rFonts w:ascii="Times New Roman;Times;serif" w:hAnsi="Times New Roman;Times;serif"/>
          <w:b/>
          <w:i/>
          <w:caps w:val="false"/>
          <w:smallCaps w:val="false"/>
          <w:color w:val="000000"/>
          <w:sz w:val="19"/>
        </w:rPr>
        <w:t xml:space="preserve"> </w:t>
      </w:r>
    </w:p>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Nicole Brookshire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Paul Scrivano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Davis Polk &amp; Wardwell LLP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450 Lexington Avenue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New York, New York 10017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(212) 450-4000 </w:t>
      </w:r>
    </w:p>
    <w:p>
      <w:pPr>
        <w:pStyle w:val="TextBody"/>
        <w:bidi w:val="0"/>
        <w:spacing w:before="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Approximate date of commencement of proposed sale to the public</w:t>
      </w:r>
      <w:r>
        <w:rPr>
          <w:rFonts w:ascii="Times New Roman;Times;serif" w:hAnsi="Times New Roman;Times;serif"/>
          <w:b w:val="false"/>
          <w:color w:val="000000"/>
          <w:sz w:val="19"/>
        </w:rPr>
        <w:t xml:space="preserve">: As soon as practicable after the effective date of this registration statement.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675" w:type="dxa"/>
        <w:jc w:val="left"/>
        <w:tblInd w:w="0" w:type="dxa"/>
        <w:tblLayout w:type="fixed"/>
        <w:tblCellMar>
          <w:top w:w="0" w:type="dxa"/>
          <w:left w:w="0" w:type="dxa"/>
          <w:bottom w:w="0" w:type="dxa"/>
          <w:right w:w="0" w:type="dxa"/>
        </w:tblCellMar>
      </w:tblPr>
      <w:tblGrid>
        <w:gridCol w:w="1880"/>
        <w:gridCol w:w="140"/>
        <w:gridCol w:w="140"/>
        <w:gridCol w:w="335"/>
        <w:gridCol w:w="140"/>
        <w:gridCol w:w="140"/>
        <w:gridCol w:w="2270"/>
        <w:gridCol w:w="140"/>
        <w:gridCol w:w="140"/>
        <w:gridCol w:w="350"/>
      </w:tblGrid>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Large 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color w:val="000000"/>
              </w:rPr>
            </w:pPr>
            <w:r>
              <w:rPr>
                <w:color w:val="000000"/>
              </w:rPr>
              <w:t xml:space="preserve">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Non-accelerated filer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Smaller reporting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Emerging growth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w:t>
            </w:r>
          </w:p>
        </w:tc>
      </w:tr>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55620x1_s1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SEPTEMBER 18, 2025</w:t>
      </w:r>
      <w:r>
        <w:rPr>
          <w:rFonts w:ascii="Times New Roman;Times;serif" w:hAnsi="Times New Roman;Times;serif"/>
          <w:b/>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PRELIMINARY PROSPECTUS</w:t>
      </w:r>
      <w:r>
        <w:rPr>
          <w:rFonts w:ascii="Times New Roman;Times;serif" w:hAnsi="Times New Roman;Times;serif"/>
          <w:b/>
          <w:color w:val="000000"/>
          <w:sz w:val="20"/>
        </w:rPr>
        <w:t xml:space="preserve"> </w:t>
      </w:r>
    </w:p>
    <w:p>
      <w:pPr>
        <w:pStyle w:val="TextBody"/>
        <w:bidi w:val="0"/>
        <w:spacing w:before="285" w:after="283"/>
        <w:jc w:val="center"/>
        <w:rPr>
          <w:color w:val="000000"/>
        </w:rPr>
      </w:pPr>
      <w:r>
        <w:rPr>
          <w:color w:val="000000"/>
        </w:rPr>
        <w:drawing>
          <wp:inline distT="0" distB="0" distL="0" distR="0">
            <wp:extent cx="7810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1066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RENT THE RUNWAY, INC. </w:t>
      </w:r>
    </w:p>
    <w:p>
      <w:pPr>
        <w:pStyle w:val="TextBody"/>
        <w:bidi w:val="0"/>
        <w:spacing w:before="1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Class A Common Stock </w:t>
      </w:r>
    </w:p>
    <w:p>
      <w:pPr>
        <w:pStyle w:val="TextBody"/>
        <w:bidi w:val="0"/>
        <w:spacing w:before="1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Subscription Rights to Purchase up to 3,063,725 Shares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Class A Common Stock at $4.08 per Share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are distributing, at no charge, to the holders of our Class A Common Stock and Class B Common Stock (together, the “Common Stock”) transferable subscription rights to purchase up to an aggregate of 3,063,725 shares of our Class A common stock, par value $0.001 per share (the “Class A Common Stock”), at a subscription price of $4.08 per share. We are offering to each of our stockholders one right for each share of Common Stock owned by that stockholder as of 5:00 p.m., New York City time, on    , 2025. Each right will entitle its holder to purchase     shares of our Class A Common Stock.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total purchase price of shares of our Class A Common Stock offered hereby will be up to $12.5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3,063,725 shares of Class A Common Stock.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This offering will commence on    , 2025. The rights will expire if they are not exercised by 5:00 p.m., New York City time, on    , 2025,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have entered into a rights offering backstop agreement, dated August 20, 2025 (the “Backstop Agreement”), with CHS US Investments LLC (“Lender”), Gateway Runway, LLC (“Nexus”) and S3 RR Aggregator, LLC (“STORY3” and, collectively with Lender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 </w:t>
      </w:r>
    </w:p>
    <w:p>
      <w:pPr>
        <w:pStyle w:val="TextBody"/>
        <w:bidi w:val="0"/>
        <w:spacing w:before="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Our Class A Common Stock is traded on the Nasdaq Global Market (the “Nasdaq”) under the symbol “RENT.” The rights will not be listed for trading on Nasdaq or any other exchange or market. On    , 2025, the last reported sale price of our shares of Class A Common Stock on the Nasdaq was $    per share, to which the subscription price in this offering represents a    % discount. </w:t>
      </w:r>
    </w:p>
    <w:p>
      <w:pPr>
        <w:pStyle w:val="TextBody"/>
        <w:bidi w:val="0"/>
        <w:spacing w:before="60" w:after="283"/>
        <w:ind w:left="0" w:right="0" w:firstLine="400"/>
        <w:jc w:val="left"/>
        <w:rPr/>
      </w:pPr>
      <w:r>
        <w:rPr>
          <w:rFonts w:ascii="Times New Roman;Times;serif" w:hAnsi="Times New Roman;Times;serif"/>
          <w:b/>
          <w:color w:val="000000"/>
          <w:sz w:val="19"/>
        </w:rPr>
        <w:t xml:space="preserve">Investing in our Class A Common Stock involves significant risks. See “Risk Factors” beginning on page </w:t>
      </w:r>
      <w:hyperlink w:anchor="tRF">
        <w:r>
          <w:rPr>
            <w:rStyle w:val="InternetLink"/>
          </w:rPr>
          <w:t>8</w:t>
        </w:r>
      </w:hyperlink>
      <w:r>
        <w:rPr>
          <w:rFonts w:ascii="Times New Roman;Times;serif" w:hAnsi="Times New Roman;Times;serif"/>
          <w:b/>
          <w:color w:val="000000"/>
          <w:sz w:val="19"/>
        </w:rPr>
        <w:t xml:space="preserve"> of this prospectus and those identified under “Risk Factors” in our Quarterly Report on Form 10-Q, as filed with the Securities and Exchange Commission (the “SEC”) on September 12, 2025, and incorporated by reference herein. </w:t>
      </w:r>
    </w:p>
    <w:p>
      <w:pPr>
        <w:pStyle w:val="TextBody"/>
        <w:bidi w:val="0"/>
        <w:spacing w:before="6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130" w:after="283"/>
        <w:jc w:val="center"/>
        <w:rPr>
          <w:color w:val="000000"/>
        </w:rPr>
      </w:pPr>
      <w:r>
        <w:rPr>
          <w:color w:val="000000"/>
        </w:rPr>
        <w:t>   </w:t>
      </w:r>
      <w:r>
        <w:rPr>
          <w:rFonts w:ascii="Times New Roman;Times;serif" w:hAnsi="Times New Roman;Times;serif"/>
          <w:color w:val="000000"/>
          <w:sz w:val="18"/>
        </w:rPr>
        <w:t>,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55620x1_s1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6965" w:type="dxa"/>
        <w:jc w:val="left"/>
        <w:tblInd w:w="0" w:type="dxa"/>
        <w:tblLayout w:type="fixed"/>
        <w:tblCellMar>
          <w:top w:w="0" w:type="dxa"/>
          <w:left w:w="0" w:type="dxa"/>
          <w:bottom w:w="0" w:type="dxa"/>
          <w:right w:w="0" w:type="dxa"/>
        </w:tblCellMar>
      </w:tblPr>
      <w:tblGrid>
        <w:gridCol w:w="6245"/>
        <w:gridCol w:w="140"/>
        <w:gridCol w:w="140"/>
        <w:gridCol w:w="440"/>
      </w:tblGrid>
      <w:tr>
        <w:trPr/>
        <w:tc>
          <w:tcPr>
            <w:tcW w:w="6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6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24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p>
        </w:tc>
      </w:tr>
      <w:tr>
        <w:trPr/>
        <w:tc>
          <w:tcPr>
            <w:tcW w:w="6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8</w:t>
              </w:r>
            </w:hyperlink>
          </w:p>
        </w:tc>
      </w:tr>
      <w:tr>
        <w:trPr/>
        <w:tc>
          <w:tcPr>
            <w:tcW w:w="6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12</w:t>
              </w:r>
            </w:hyperlink>
          </w:p>
        </w:tc>
      </w:tr>
      <w:tr>
        <w:trPr/>
        <w:tc>
          <w:tcPr>
            <w:tcW w:w="624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13</w:t>
              </w:r>
            </w:hyperlink>
          </w:p>
        </w:tc>
      </w:tr>
      <w:tr>
        <w:trPr/>
        <w:tc>
          <w:tcPr>
            <w:tcW w:w="6245" w:type="dxa"/>
            <w:tcBorders/>
            <w:shd w:fill="CCEEFF" w:val="clear"/>
            <w:vAlign w:val="center"/>
          </w:tcPr>
          <w:p>
            <w:pPr>
              <w:pStyle w:val="TableContents"/>
              <w:bidi w:val="0"/>
              <w:spacing w:before="0" w:after="283"/>
              <w:ind w:left="0" w:right="0" w:hanging="0"/>
              <w:jc w:val="left"/>
              <w:rPr/>
            </w:pPr>
            <w:hyperlink w:anchor="tCAP">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AP">
              <w:r>
                <w:rPr>
                  <w:rStyle w:val="InternetLink"/>
                  <w:rFonts w:ascii="Times New Roman;Times;serif" w:hAnsi="Times New Roman;Times;serif"/>
                  <w:color w:val="000000"/>
                  <w:sz w:val="20"/>
                </w:rPr>
                <w:t>14</w:t>
              </w:r>
            </w:hyperlink>
          </w:p>
        </w:tc>
      </w:tr>
      <w:tr>
        <w:trPr/>
        <w:tc>
          <w:tcPr>
            <w:tcW w:w="6245" w:type="dxa"/>
            <w:tcBorders/>
            <w:vAlign w:val="center"/>
          </w:tcPr>
          <w:p>
            <w:pPr>
              <w:pStyle w:val="TableContents"/>
              <w:bidi w:val="0"/>
              <w:spacing w:before="0" w:after="283"/>
              <w:ind w:left="0" w:right="0" w:hanging="0"/>
              <w:jc w:val="left"/>
              <w:rPr/>
            </w:pPr>
            <w:hyperlink w:anchor="tDIL">
              <w:r>
                <w:rPr>
                  <w:rStyle w:val="InternetLink"/>
                  <w:rFonts w:ascii="Times New Roman;Times;serif" w:hAnsi="Times New Roman;Times;serif"/>
                  <w:color w:val="000000"/>
                  <w:sz w:val="20"/>
                </w:rPr>
                <w:t>DILUTION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IL">
              <w:r>
                <w:rPr>
                  <w:rStyle w:val="InternetLink"/>
                  <w:rFonts w:ascii="Times New Roman;Times;serif" w:hAnsi="Times New Roman;Times;serif"/>
                  <w:color w:val="000000"/>
                  <w:sz w:val="20"/>
                </w:rPr>
                <w:t>15</w:t>
              </w:r>
            </w:hyperlink>
          </w:p>
        </w:tc>
      </w:tr>
      <w:tr>
        <w:trPr/>
        <w:tc>
          <w:tcPr>
            <w:tcW w:w="6245" w:type="dxa"/>
            <w:tcBorders/>
            <w:shd w:fill="CCEEFF" w:val="clear"/>
            <w:vAlign w:val="center"/>
          </w:tcPr>
          <w:p>
            <w:pPr>
              <w:pStyle w:val="TableContents"/>
              <w:bidi w:val="0"/>
              <w:spacing w:before="0" w:after="283"/>
              <w:ind w:left="0" w:right="0" w:hanging="0"/>
              <w:jc w:val="left"/>
              <w:rPr/>
            </w:pPr>
            <w:hyperlink w:anchor="tDOT">
              <w:r>
                <w:rPr>
                  <w:rStyle w:val="InternetLink"/>
                  <w:rFonts w:ascii="Times New Roman;Times;serif" w:hAnsi="Times New Roman;Times;serif"/>
                  <w:color w:val="000000"/>
                  <w:sz w:val="20"/>
                </w:rPr>
                <w:t>DESCRIPTION OF THE RIGHTS OFFERING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OT">
              <w:r>
                <w:rPr>
                  <w:rStyle w:val="InternetLink"/>
                  <w:rFonts w:ascii="Times New Roman;Times;serif" w:hAnsi="Times New Roman;Times;serif"/>
                  <w:color w:val="000000"/>
                  <w:sz w:val="20"/>
                </w:rPr>
                <w:t>16</w:t>
              </w:r>
            </w:hyperlink>
          </w:p>
        </w:tc>
      </w:tr>
      <w:tr>
        <w:trPr/>
        <w:tc>
          <w:tcPr>
            <w:tcW w:w="6245" w:type="dxa"/>
            <w:tcBorders/>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MATERIAL U.S. FEDERAL INCOME 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MUF">
              <w:r>
                <w:rPr>
                  <w:rStyle w:val="InternetLink"/>
                  <w:rFonts w:ascii="Times New Roman;Times;serif" w:hAnsi="Times New Roman;Times;serif"/>
                  <w:color w:val="000000"/>
                  <w:sz w:val="20"/>
                </w:rPr>
                <w:t>27</w:t>
              </w:r>
            </w:hyperlink>
          </w:p>
        </w:tc>
      </w:tr>
      <w:tr>
        <w:trPr/>
        <w:tc>
          <w:tcPr>
            <w:tcW w:w="6245"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33</w:t>
              </w:r>
            </w:hyperlink>
          </w:p>
        </w:tc>
      </w:tr>
      <w:tr>
        <w:trPr/>
        <w:tc>
          <w:tcPr>
            <w:tcW w:w="624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34</w:t>
              </w:r>
            </w:hyperlink>
          </w:p>
        </w:tc>
      </w:tr>
      <w:tr>
        <w:trPr/>
        <w:tc>
          <w:tcPr>
            <w:tcW w:w="6245"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34</w:t>
              </w:r>
            </w:hyperlink>
          </w:p>
        </w:tc>
      </w:tr>
      <w:tr>
        <w:trPr/>
        <w:tc>
          <w:tcPr>
            <w:tcW w:w="6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35</w:t>
              </w:r>
            </w:hyperlink>
          </w:p>
        </w:tc>
      </w:tr>
      <w:tr>
        <w:trPr/>
        <w:tc>
          <w:tcPr>
            <w:tcW w:w="6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55620x1_s1_103-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prospectus, “Rent the Runway,” “RTR,” the “company,” “we,” “us” and “our” refer to Rent the Runway, Inc. and its consolidated subsidiaries. All references in this prospectus to the amount of indebtedness outstanding under the Existing Credit Agreement (as defined below) and the corresponding amount of such indebtedness that will be exchanged pursuant to the Recapitalization Transactions (as defined below) are stated as of July 31, 2025, for illustrative purposes.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55620x1_s1_104-summar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9" w:name="tSUM"/>
      <w:bookmarkEnd w:id="9"/>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Business Overview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mission is to power women to feel their best every day.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185,102 total subscribers (active and paused) as of July 31, 2025. We had 146,373 active subscribers as of July 31, 2025. For each of the six months ended July 31, 2025 and 2024, 89% of our total revenue was generated by subscribers, while they were active or paused.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Brand Partner Advantage</w:t>
            </w:r>
            <w:r>
              <w:rPr>
                <w:rFonts w:ascii="Times New Roman;Times;serif" w:hAnsi="Times New Roman;Times;serif"/>
                <w:color w:val="000000"/>
                <w:sz w:val="20"/>
              </w:rPr>
              <w:t xml:space="preserve">: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Data Advantage</w:t>
            </w:r>
            <w:r>
              <w:rPr>
                <w:rFonts w:ascii="Times New Roman;Times;serif" w:hAnsi="Times New Roman;Times;serif"/>
                <w:color w:val="000000"/>
                <w:sz w:val="20"/>
              </w:rPr>
              <w:t xml:space="preserv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Technology and Logistics Advantage</w:t>
            </w:r>
            <w:r>
              <w:rPr>
                <w:rFonts w:ascii="Times New Roman;Times;serif" w:hAnsi="Times New Roman;Times;serif"/>
                <w:color w:val="000000"/>
                <w:sz w:val="20"/>
              </w:rPr>
              <w:t xml:space="preserv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55620x1_s1_104-summary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5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Recapitalization Transactions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Faced with the approaching maturity date under the Existing Credit Agreement (as defined below), and significant uncertainty as to whether we could continue to meet the minimum liquidity covenant under the Existing Credit Agreement, for the past two years we have been working diligently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financial sponsors and strategic acquirers. Despite engaging in many discussions with these third parties, none of these financial sponsors or strategic acquirers was willing to proceed beyond having preliminary discussions on strategic alternatives. As a result of the lack of interest by third parties in any of these strategic alternatives, it was the considered view of the Board of Directors (the “Board”) and the finance committee of the Board, which is comprised of disinterested and independent directors who are not affiliated with, and do not have a financial interest in, the Investor Group (the “Finance Committee”), that there was substantial concern that we would be unable to effectively run our business unless the Existing Credit Agreement could be amended or restructured.</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entered into an exchange agreement, dated August 20, 2025 (the “Exchange Agreement”), by and between us and CHS US Investments LLC, as a lender (“Lender”), the lender under our credit agreement, dated July 23, 2018, by and among the company, as borrower, Lender, as lender, and CHS (US) Management LLC (as successor-in-interest to Double Helix Pte Ltd.), as administrative agent (“Agent”) (as amended, amended and restated, supplemented, revised or otherwise modified to date, the “Existing Credit Agreement”), and certain other transaction agreements with affiliates of Lender, Gateway Runway, LLC (“Nexus”) and S3 RR Aggregator, LLC (“STORY3” and, collectively with Nexus and Lender, the “Investor Group”) in connection with our proposed recapitalization transactions (the “Recapitalization Transactions”). The Recapitalization Transactions were the only option available that provided us sufficient liquidity to effectively run our business while remaining in compliance with the Existing Credit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acting upon the unanimous recommendation of the Finance Committee, which is comprised of disinterested and independent directors, has determined that it is in the best interests of the company and our stockholders to consummate the Recapitalization Transactions.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Recapitalization Transactions include, among other matters: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entry into an amended and restated credit agreement (the “New Credit Agreement”), by and among us, as borrower, Agent, as administrative agent, and the Investor Group, as lenders, to reflect (i) the exchange of $100.0 million of existing outstanding indebtedness owing to Lender under the Existing Credit Agreement on a dollar-for-dollar and cashless basis for new term loans under the New Credit Agreement (the “Exchange Consideration Term Loans”) and (ii) $20.0 million of new money term loans to be provided to the company by the Investor Group (the “New Money Term Loans”) (together, the “Debt Exchange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contribution of all remaining indebtedness owing to Lender under the Existing Credit Agreement (approximately $223.1 million as of the end of our second fiscal quarter ending July 31, 2025, which excludes our unamortized debt premium and includes accrued but unpaid cash interest) to us in exchange for newly issued shares of Class A Common Stock, equal to 86% of our outstanding Common Stock as of the closing of the Recapitalization Transactions (after giving effect to the Conversions (as defined below), but before giving effect to this offering and the increase to the share reserve under the Amended Plan (as defined below)) (the “Term Loan Conversion”, and, together with the Debt Exchange Transactions, the “Exchange Transactions”) and our existing stockholders will own the remaining 14% of our outstanding Common Stock as of the closing of the Recapitalization Transactions; </w:t>
            </w:r>
          </w:p>
        </w:tc>
      </w:tr>
    </w:tbl>
    <w:tbl>
      <w:tblPr>
        <w:tblW w:w="1225" w:type="dxa"/>
        <w:jc w:val="left"/>
        <w:tblInd w:w="24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color w:val="000000"/>
              </w:rPr>
            </w:pPr>
            <w:r>
              <w:rPr>
                <w:color w:val="000000"/>
              </w:rPr>
              <w:t>•</w:t>
            </w:r>
          </w:p>
        </w:tc>
        <w:tc>
          <w:tcPr>
            <w:tcW w:w="1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offering; </w:t>
            </w:r>
          </w:p>
        </w:tc>
      </w:tr>
    </w:tbl>
    <w:tbl>
      <w:tblPr>
        <w:tblW w:w="3370" w:type="dxa"/>
        <w:jc w:val="left"/>
        <w:tblInd w:w="24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entry into the Backstop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conversion, prior to the closing of the Recapitalization Transactions, of each share of Class B common stock, par value $0.001 per share (the “Class B Common Stock”), into one share of Class A Common Stock (the “Conversions”);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55620x1_s1_104-summary_pg3"/>
        <w:bookmarkEnd w:id="11"/>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and restatement of our Twelfth Amended and Restated Certificate of Incorporation to, among other things, eliminate the Class B Common Stock and preferred stock, eliminate supermajority voting requirements and provide for officer exculpation as permitted by Delaware law (the “Amended and Restated Charter”);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entry into an investor rights agreement, dated August 20, 2025 (the “Investor Rights Agreement”), by and among us, the Investor Group and certain entities affiliated with Jennifer Hyman that would apply after the closing of the Recapitalization Transactions to set forth certain post-closing governance terms;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amendment and restatement of our Amended and Restated 2021 Incentive Award Plan (the “2021 Plan”) to increase the maximum number of shares of Class A Common Stock authorized for issuance under the 2021 Plan and extend the expiration date of the 2021 Plan (the “Amended Plan”). </w:t>
            </w:r>
          </w:p>
        </w:tc>
      </w:tr>
    </w:tbl>
    <w:p>
      <w:pPr>
        <w:pStyle w:val="TextBody"/>
        <w:bidi w:val="0"/>
        <w:spacing w:before="41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Special Meeting of Stockholders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our entry into the Exchange Agreement, we called a special meeting of stockholders on    , 2025 (the “Special Meeting”). We asked our stockholders to approve, among other proposals, the following proposals in order to consummate the Recapitalization Transactions (jointly, the “Required Proposals”):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complying with Nasdaq Listing Rules, including, but not limited to, Rule 5635(b), the issuance of shares of Class A Common Stock upon the Term Loan Conversion;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complying with Nasdaq Listing Rules, including, but not limited to, Rules 5635(b) and (d), the issuance of shares of Class A Common Stock pursuant to the Backstop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complying with Nasdaq Listing Rules, including, but not limited to, Rule 5635(c), the amendment and restatement of our 2021 Plan to increase the maximum number of shares of Class A Common Stock authorized for issuance under the 2021 Plan and extend the expiration date of the 2021 Plan; and </w:t>
            </w:r>
          </w:p>
        </w:tc>
      </w:tr>
    </w:tbl>
    <w:tbl>
      <w:tblPr>
        <w:tblW w:w="3040" w:type="dxa"/>
        <w:jc w:val="left"/>
        <w:tblInd w:w="24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Amended and Restated Charter.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stockholder approval of the aforementioned proposals at the Special Meeting, we are offering the rights described herein pursuant to the Exchange Agreement. The completion of this offering is a condition to closing of the Recapitalization Transactions, and we expect the Recapitalization Transactions to be consummated within two business days of the closing of this offering.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55620x1_s1_104-summary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Subscription Rights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distributing, at no charge, to our stockholders transferable subscription rights to purchase up to an aggregate of 3,063,725 shares of our Class A Common Stock.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Distribution Ratio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holder of our Common Stock will receive one right for each share of Common Stock owned by that stockholder as of the Record Date.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Basic Subscription Privilege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right will entitle its holder to purchase     shares of our Class A Common Stock at a subscription price of $4.08 per whole share of Class A Common Stock. Rights may only be exercised for a whole number of shares of Class A Common Stock.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Oversubscription Privilege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holder of rights who elects to exercise its basic subscription privilege in full may also subscribe for additional shares of our Class A Common Stock at the same subscription price per share.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Record Date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5:00 p.m., New York City time, on    , 2025.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Subscription Period for and Exercise of Rights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exercise period for the rights will begin on    , 2025 and will close at 5:00 p.m., New York City time, unless extended as described herein.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Revocation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exercises of rights are irrevocable, even if you later learn of information that you consider to be unfavorable to the exercise of your rights. You should not exercise your rights unless you are certain that you wish to purchase shares of Class A Common Stock at a subscription price of $4.08 per whole share.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Listing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Class A Common Stock is traded on the Nasdaq Global Market under the symbol “RENT.” On    , 2025, the last reported sale price of our shares of Class A Common Stock on the Nasdaq was $     per share, to which the subscription price in this offering represents a    % discount.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rights will not be listed for trading on the Nasdaq or any other national securities exchange or nationally recognized trading system.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Transfers and Sales of Rights</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rights are transferable until the Expiration Date. If you are a rights holder, you may transfer your rights through the Subscription Agent. Any rights submitted to the Subscription Agent for sale must be received by the Subscription Agent on or before    , 2025, five business days prior to the completion of the subscription period, due to normal settlement procedures. For more information, see “Description of the Rights Offering—Transfers and Sales of Rights.”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Backstop Commitment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Backstop Agreement, the Investor Group has agreed to purchase from us, at a price per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55620x1_s1_104-summary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Settlement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expect to deliver the shares of Class A Common Stock issuable upon exercise of the rights, including rights exercised under the oversubscription privilege, on or about    , 2025 through the book-entry facilities of The Depository Trust Company (“DTC”).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expect to deliver the shares of Class A Common Stock issuable pursuant to the Backstop Agreement, if any, on or about    , 2025 through the book-entry facilities of DTC.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Use of Proceeds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expect that the net proceeds from the sale of Class A Common Stock in this offering and pursuant to the Backstop Agreement will be approximately $    million, after deducting offering expenses payable by us. We intend to use the net proceeds from this offering for general corporate purposes.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Subscription Agent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Broadridge Corporate Issuer Solutions, LLC, as subscription agent and information agent.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Risk Factors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 xml:space="preserve">You should carefully consider all of the information contained in this prospectus and the information incorporated by reference herein. In particular, we urge you to carefully consider the information set forth under “Risk Factors” beginning on page </w:t>
      </w:r>
      <w:hyperlink w:anchor="tRF">
        <w:r>
          <w:rPr>
            <w:rStyle w:val="InternetLink"/>
          </w:rPr>
          <w:t>8</w:t>
        </w:r>
      </w:hyperlink>
      <w:r>
        <w:rPr>
          <w:rFonts w:ascii="Times New Roman;Times;serif" w:hAnsi="Times New Roman;Times;serif"/>
          <w:color w:val="000000"/>
          <w:sz w:val="20"/>
          <w:bdr w:val="single" w:sz="8" w:space="12" w:color="000000"/>
        </w:rPr>
        <w:t xml:space="preserve"> of this prospectus and under “Risk Factors” in our Quarterly Report on Form 10-Q, filed with the SEC on September 12, 2025, which is incorporated by reference herein.</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55620x1_s1_104-summary_pg6"/>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SELECTED HISTORICAL FINANCIAL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summary selected statement of operations data for the years ended January 31, 2025, 2024 and 2023 and the balance sheet data set forth below as of January 31, 2025 and 2024 are derived from our audited consolidated financial statements included in our Annual Report on Form 10-K for the year ended January 31, 2025, which is incorporated by reference herein. The following summary selected statement of operations data for the six-month periods ended July 31, 2025 and 2024, and the balance sheet data set forth below as of July 31, 2025 are derived from our unaudited interim condensed consolidated financial statements included in our Quarterly Report on Form 10-Q for the period ended July 31, 2025, which is incorporated by reference herein.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Selected Statement of Operations Data </w:t>
      </w:r>
    </w:p>
    <w:tbl>
      <w:tblPr>
        <w:tblW w:w="9965" w:type="dxa"/>
        <w:jc w:val="left"/>
        <w:tblInd w:w="240" w:type="dxa"/>
        <w:tblLayout w:type="fixed"/>
        <w:tblCellMar>
          <w:top w:w="0" w:type="dxa"/>
          <w:left w:w="0" w:type="dxa"/>
          <w:bottom w:w="0" w:type="dxa"/>
          <w:right w:w="0" w:type="dxa"/>
        </w:tblCellMar>
      </w:tblPr>
      <w:tblGrid>
        <w:gridCol w:w="4325"/>
        <w:gridCol w:w="140"/>
        <w:gridCol w:w="140"/>
        <w:gridCol w:w="845"/>
        <w:gridCol w:w="140"/>
        <w:gridCol w:w="140"/>
        <w:gridCol w:w="845"/>
        <w:gridCol w:w="140"/>
        <w:gridCol w:w="140"/>
        <w:gridCol w:w="845"/>
        <w:gridCol w:w="140"/>
        <w:gridCol w:w="140"/>
        <w:gridCol w:w="845"/>
        <w:gridCol w:w="140"/>
        <w:gridCol w:w="140"/>
        <w:gridCol w:w="860"/>
      </w:tblGrid>
      <w:tr>
        <w:trPr/>
        <w:tc>
          <w:tcPr>
            <w:tcW w:w="4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0" w:type="dxa"/>
            <w:gridSpan w:val="7"/>
            <w:tcBorders/>
            <w:vAlign w:val="center"/>
          </w:tcPr>
          <w:p>
            <w:pPr>
              <w:pStyle w:val="TableContents"/>
              <w:bidi w:val="0"/>
              <w:spacing w:before="0" w:after="0"/>
              <w:jc w:val="left"/>
              <w:rPr/>
            </w:pPr>
            <w:r>
              <w:rPr/>
              <w:t> </w:t>
            </w:r>
          </w:p>
        </w:tc>
      </w:tr>
      <w:tr>
        <w:trPr/>
        <w:tc>
          <w:tcPr>
            <w:tcW w:w="4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July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31, </w:t>
            </w:r>
          </w:p>
        </w:tc>
      </w:tr>
      <w:tr>
        <w:trPr/>
        <w:tc>
          <w:tcPr>
            <w:tcW w:w="4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 except share and per share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Subscription and Reserve rental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268.6 </w:t>
            </w:r>
          </w:p>
        </w:tc>
      </w:tr>
      <w:tr>
        <w:trPr/>
        <w:tc>
          <w:tcPr>
            <w:tcW w:w="43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27.8 </w:t>
            </w:r>
          </w:p>
        </w:tc>
      </w:tr>
      <w:tr>
        <w:trPr/>
        <w:tc>
          <w:tcPr>
            <w:tcW w:w="43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296.4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Fulfillment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 </w:t>
            </w:r>
          </w:p>
        </w:tc>
      </w:tr>
      <w:tr>
        <w:trPr/>
        <w:tc>
          <w:tcPr>
            <w:tcW w:w="43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55.4 </w:t>
            </w:r>
          </w:p>
        </w:tc>
      </w:tr>
      <w:tr>
        <w:trPr/>
        <w:tc>
          <w:tcPr>
            <w:tcW w:w="43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 </w:t>
            </w:r>
          </w:p>
        </w:tc>
      </w:tr>
      <w:tr>
        <w:trPr/>
        <w:tc>
          <w:tcPr>
            <w:tcW w:w="43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109.0 </w:t>
            </w:r>
          </w:p>
        </w:tc>
      </w:tr>
      <w:tr>
        <w:trPr/>
        <w:tc>
          <w:tcPr>
            <w:tcW w:w="43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Rental product depreciation and revenue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84.2 </w:t>
            </w:r>
          </w:p>
        </w:tc>
      </w:tr>
      <w:tr>
        <w:trPr/>
        <w:tc>
          <w:tcPr>
            <w:tcW w:w="43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 </w:t>
            </w:r>
          </w:p>
        </w:tc>
      </w:tr>
      <w:tr>
        <w:trPr/>
        <w:tc>
          <w:tcPr>
            <w:tcW w:w="43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Restructuring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432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Loss on asset impairment related to restructuring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 </w:t>
            </w:r>
          </w:p>
        </w:tc>
      </w:tr>
      <w:tr>
        <w:trPr/>
        <w:tc>
          <w:tcPr>
            <w:tcW w:w="43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costs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400.0 </w:t>
            </w:r>
          </w:p>
        </w:tc>
      </w:tr>
      <w:tr>
        <w:trPr/>
        <w:tc>
          <w:tcPr>
            <w:tcW w:w="432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Operating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(36.8)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 </w:t>
            </w:r>
          </w:p>
        </w:tc>
      </w:tr>
      <w:tr>
        <w:trPr/>
        <w:tc>
          <w:tcPr>
            <w:tcW w:w="432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before benefit from income tax benefit /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(138.9)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 /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0.2 </w:t>
            </w:r>
          </w:p>
        </w:tc>
      </w:tr>
      <w:tr>
        <w:trPr/>
        <w:tc>
          <w:tcPr>
            <w:tcW w:w="432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(138.7) </w:t>
            </w:r>
          </w:p>
        </w:tc>
      </w:tr>
      <w:tr>
        <w:trPr/>
        <w:tc>
          <w:tcPr>
            <w:tcW w:w="432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(43.17) </w:t>
            </w:r>
          </w:p>
        </w:tc>
      </w:tr>
      <w:tr>
        <w:trPr/>
        <w:tc>
          <w:tcPr>
            <w:tcW w:w="432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used in computing net loss per share attributable to common stockholders,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3,692,025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3,776,633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3,418,382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3,212,746</w:t>
            </w:r>
          </w:p>
        </w:tc>
      </w:tr>
      <w:tr>
        <w:trPr/>
        <w:tc>
          <w:tcPr>
            <w:tcW w:w="4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55620x1_s1_104-summary_pg7"/>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Selected Balance Sheet Data </w:t>
      </w:r>
    </w:p>
    <w:tbl>
      <w:tblPr>
        <w:tblW w:w="7175" w:type="dxa"/>
        <w:jc w:val="left"/>
        <w:tblInd w:w="240" w:type="dxa"/>
        <w:tblLayout w:type="fixed"/>
        <w:tblCellMar>
          <w:top w:w="0" w:type="dxa"/>
          <w:left w:w="0" w:type="dxa"/>
          <w:bottom w:w="0" w:type="dxa"/>
          <w:right w:w="0" w:type="dxa"/>
        </w:tblCellMar>
      </w:tblPr>
      <w:tblGrid>
        <w:gridCol w:w="3740"/>
        <w:gridCol w:w="140"/>
        <w:gridCol w:w="140"/>
        <w:gridCol w:w="1025"/>
        <w:gridCol w:w="140"/>
        <w:gridCol w:w="140"/>
        <w:gridCol w:w="755"/>
        <w:gridCol w:w="140"/>
        <w:gridCol w:w="140"/>
        <w:gridCol w:w="815"/>
      </w:tblGrid>
      <w:tr>
        <w:trPr/>
        <w:tc>
          <w:tcPr>
            <w:tcW w:w="3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July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January 31, </w:t>
            </w:r>
          </w:p>
        </w:tc>
      </w:tr>
      <w:tr>
        <w:trPr/>
        <w:tc>
          <w:tcPr>
            <w:tcW w:w="37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color w:val="000000"/>
              </w:rPr>
            </w:pPr>
            <w:r>
              <w:rPr>
                <w:color w:val="000000"/>
              </w:rPr>
              <w:t>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84.0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13.0 </w:t>
            </w:r>
          </w:p>
        </w:tc>
      </w:tr>
      <w:tr>
        <w:trPr/>
        <w:tc>
          <w:tcPr>
            <w:tcW w:w="37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102.2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Rental product,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33.9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 </w:t>
            </w:r>
          </w:p>
        </w:tc>
      </w:tr>
      <w:tr>
        <w:trPr/>
        <w:tc>
          <w:tcPr>
            <w:tcW w:w="3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$278.5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credit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 </w:t>
            </w:r>
          </w:p>
        </w:tc>
      </w:tr>
      <w:tr>
        <w:trPr/>
        <w:tc>
          <w:tcPr>
            <w:tcW w:w="3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68.3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343.9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306.7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45.3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 </w:t>
            </w:r>
          </w:p>
        </w:tc>
      </w:tr>
      <w:tr>
        <w:trPr/>
        <w:tc>
          <w:tcPr>
            <w:tcW w:w="3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400.8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930.8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(1,175.5)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(1,053.1)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(232.1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(182.5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(122.3</w:t>
            </w:r>
            <w:r>
              <w:rPr>
                <w:rFonts w:ascii="Times New Roman;Times;serif" w:hAnsi="Times New Roman;Times;serif"/>
                <w:color w:val="000000"/>
                <w:sz w:val="20"/>
              </w:rPr>
              <w:t xml:space="preserve">)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$278.5</w:t>
            </w:r>
          </w:p>
        </w:tc>
      </w:tr>
      <w:tr>
        <w:trPr/>
        <w:tc>
          <w:tcPr>
            <w:tcW w:w="3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55620x1_s1_105-risk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RF"/>
      <w:bookmarkEnd w:id="17"/>
      <w:r>
        <w:rPr>
          <w:rFonts w:ascii="Times New Roman;Times;serif" w:hAnsi="Times New Roman;Times;serif"/>
          <w:b/>
          <w:color w:val="000000"/>
          <w:sz w:val="20"/>
        </w:rPr>
        <w:t xml:space="preserve">RISK FACTORS </w:t>
      </w:r>
    </w:p>
    <w:p>
      <w:pPr>
        <w:pStyle w:val="TextBody"/>
        <w:bidi w:val="0"/>
        <w:spacing w:lineRule="atLeast" w:line="230"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You should carefully consider the following risk factors, together with other risk factors disclosed in the company’s SEC filings, the risks set forth under “Risk Factors” in our Quarterly Report on Form 10-Q for the period ended July 31, 2025, and all of the other information set forth in this prospectus before deciding to invest in our Class A Common Stock. These risks could have a material adverse effect on our business, financial condition or results of operations. In such case, the trading price of our Class A Common Stock could decline due to any of these risks, and you may lose all or part of your investment.</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Rights Offering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subscription price determined for this offering is not necessarily an indication of the fair value of our Class A Common Stock.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price was determined in connection with the negotiation of the Exchange Agreement and the Backstop Agreement and represents a 20% discount to the average volume weighted average price of the Class A Common Stock over the 30-day trading period ending on the trading day immediately preceding the date of the Exchange Agreement.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Term Loan Conversion will result in significant dilution to our stockholders, and stockholders who do not fully exercise their rights in this offering will have their interest further diluted.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Exchange Agreement, Lender agreed to contribute approximately $223.1 million (as of the end of our second fiscal quarter ending July 31, 2025, which excludes our unamortized debt premium and includes accrued but unpaid cash interest) in outstanding indebtedness under the Existing Credit Agreement to us in exchange for newly issued shares of Class A Common Stock, equal to 86% of our outstanding Common Stock as of the closing of the Recapitalization Transactions (after giving effect to the Conversions, but before giving effect to this offering and the increased share reserve under the Amended Plan), and our existing stockholders will own the remaining 14% of our outstanding Common Stock as of the closing of the Recapitalization Transactions. As a result, the completion of the Term Loan Conversion will result in significant dilution to our stockholders.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offering will result in the issuance of an additional 3,063,725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the Backstop Agreement with the Investor Group, pursuant to which the Investor Group has agreed to purchase from us, at a price per share equal to the subscription price, all unsubscribed shares of Class A Common Stock in this offering for cash, such that the gross proceeds of this offering would be $12.5 million. If no rights holders were to exercise their rights in this offering, the transactions contemplated by the Backstop Agreement would result in the issuance of 3,063,725 shares of our Class A Common Stock to the Investor Group, which would increase the Investor Group’s ownership percentage to over 86% of our outstanding Common Stock as of the closing of the Recapitalization Transactions (after giving effect to the Conversions, but before giving effect to the Rights Offering and the increased share reserve under the Amended Plan).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may not revoke your subscription exercise and could be committed to buying shares of Class A Common Stock above the prevailing market price.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you exercise your rights, you may not revoke the exercise. The public trading market price of our Class A Common Stock may decline before the rights expire. If you exercise your rights, you will have 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amend the terms of or terminate this offering at any time prior to the Expiration Date, and neither we nor the Subscription Agent will have any obligation to you except to return your exercise payments.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55620x1_s1_105-risk_pg2"/>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must act promptly and follow instructions carefully if you want to exercise your rights.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will only be able to transfer your rights for a short period of time.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rights are transferable until 5:00 p.m., New York City time, on     , 2025,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prior market exists for the rights, and a liquid and reliable market for the rights may not develop.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are a new issue of securities with no established trading market. Unless indicated otherwise, the rights are transferable until 5:00 p.m., New York City time, on     , 2025.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Significant sales of rights and our Class A Common Stock, or the perception that significant sales may occur in the future, could adversely affect the market price for the rights and our Class A Common Stock.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3,063,725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which takes effect upon the closing of the Recapitalization Transactions, we will be required to prepare and file with the SEC within 20 days of such closing, a shelf registration statement registering the resale of Class A Common Stock held by Ms. Hyman and the Investor Group. Any disposition by Ms. Hyman or the Investor Group, or any of our substantial stockholders, of our Class A Common Stock in the public market, or the perception that such dispositions could occur, could adversely affect prevailing market prices of our Class A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management will have broad discretion over the use of the net proceeds from this offering, you may not agree with how we use the proceeds, and we may not invest the proceeds successfully.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anticipate that we will use the net proceeds of this offering for general corporate purposes. Our management may allocate the proceeds for these purposes as it deems appropriate. In addition, market factors may require our management to allocate portions of the proceeds for other purposes. Accordingly, you will be relying on the judgment of our management with regard to the use of proceeds from this offering, and you will not have the opportunity, as part of your investment decision, to assess whether we are using the proceeds appropriately. It is possible that we may invest the proceeds in a way that does not yield a favorable, or any, return for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55620x1_s1_105-risk_pg3"/>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Relating to the Recapitalization Transactions Generally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If our stockholders fail to approve the Required Proposals at the Special Meeting to consummate the Recapitalization Transactions, the Exchange Agreement will be terminated in accordance with its terms, we will not be able to enter into the New Credit Agreement, and we may default on our Existing Credit Agreement, which would have a material adverse effect on our business, financial condition and results of operations and our ability to continue to operate as a going concern.</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incurred a substantial amount of indebtedness to fund our operations, which requires significant interest payments. As of July 31, 2025, we had $323.1 million (which excludes our unamortized debt premium and includes accrued but unpaid cash interest) in outstanding long-term indebtedness under our Existing Credit Agreement that will mature in October 2026. We do not expect that our business will generate sufficient cash flow from operations to repay our indebtedness upon maturity or make other scheduled payments. Further, we are required to comply with various covenants under our Existing Credit Agreement, which we have amended from time to time with the cooperation of Lender to ensure our continued compliance with such covenants. Any failure to repay our indebtedness, make scheduled payments or comply with the covenants under our Existing Credit Agreement would constitute an event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we will not be able to enter into the New Credit Agreement, our ability to continue as a going concern will be impaired, and we may default under our Existing Credit Agreement. A default would allow the Agent to accelerate repayment of all obligations under the Existing Credit Agreement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Required Proposals are approved, we will issue a significant number of shares of Class A Common Stock pursuant to the Term Loan Conversion, the Rights Offering and the Backstop Agreement, which will result in immediate and substantial dilution to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Exchange Agreement, Lender would (a) exchange $100.0 million of existing outstanding indebtedness owing by the Company to Lender under the Existing Credit Agreement on a dollar-for-dollar and cashless basis for new term loans under the New Credit Agreement and (b) contribute all remaining indebtedness owing to Lender under the Existing Credit Agreement (approximately $223.1 million as of the end of our second fiscal quarter ending July 31, 2025) to the Company in exchange for newly issued shares of Class A Common Stock, equal to 86% of the number of shares of our total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under the Exchange Agreement, we agreed to prepare and file with the SEC a registration statement on Form S-1 in connection with a $12.5 million rights offering and entered into the Backstop 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Lender’s substantial ownership of our capital stock, Lender may be able to control matters requiring stockholder approval, including the election of directors and approval of significant corporate transactions, such as a merger or other sale of our Company or our assets.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55620x1_s1_105-risk_pg4"/>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Following the consummation of the Recapitalization Transactions, we may in the future elect to take advantage of all or part of the “controlled company” exemption to certain of the corporate governance rules for Nasdaq-listed companies, which, if we make such election, could then make our Class A Common Stock less attractive to some investors or otherwise adversely affect our stock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Recapitalization Transactions are consummated, Lender may control a majority of the voting power of our Common Stock, and in the future, Lender, potentially with other parties, may together control a majority of the voting power of our Common Stock, and in that circumstance, we would qualify as a controlled company within the meaning of the listing rules of the Nasdaq Global Market. Although there currently is not an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As a result, if the Recapitalization Transactions are consummated, we could then have the ability to elect in the future not to have a majority of our directors be independent or not to have a compensation committee or nominating and corporate governance committee comprised of independent directors. If that were to occur, stockholders may not have the same protections afforded to stockholders of companies that are subject to all of the corporate governance rules for Nasdaq-listed companies. Therefore, if we were to elect to become a controlled company, our Class A Common Stock may be less attractive to some investors or such status may otherwise adversely affect our stock price.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Required Proposals are approved, we will enter into the New Credit Agreement upon the consummation of the Recapitalization Transactions. The New Credit Agreement will amend and restate the Existing Credit Agreement and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in the past we have sought waivers and/or concessions from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modification of such covenants under the New Credit Agreement, Agent would have the right to accelerate repayment of all outstanding obligations, which would immediately become due and payable, and exercise all other rights and remedies available under the New Credit Agreement. While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the Investor Group could have a material adverse effect on our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55620x1_s1_106-fls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FLS"/>
      <w:bookmarkEnd w:id="22"/>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and the Recapitalization Transactions on the anticipated terms, or at all; the timing of completion and the anticipated benefits of this offering and the Recapitalization Transactions; the ability to exercise the oversubscription privilege; and the ability to transfer and sell rights prior to the Expiration Date. </w:t>
      </w:r>
    </w:p>
    <w:p>
      <w:pPr>
        <w:pStyle w:val="TextBody"/>
        <w:bidi w:val="0"/>
        <w:spacing w:before="120" w:after="283"/>
        <w:ind w:left="0" w:right="0" w:firstLine="400"/>
        <w:jc w:val="left"/>
        <w:rPr/>
      </w:pPr>
      <w:r>
        <w:rPr>
          <w:rFonts w:ascii="Times New Roman;Times;serif" w:hAnsi="Times New Roman;Times;serif"/>
          <w:color w:val="000000"/>
          <w:sz w:val="20"/>
        </w:rPr>
        <w:t xml:space="preserve">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2025, and those identified under “Risk Factors” beginning on page </w:t>
      </w:r>
      <w:hyperlink w:anchor="tRF">
        <w:r>
          <w:rPr>
            <w:rStyle w:val="InternetLink"/>
            <w:rFonts w:ascii="Times New Roman;Times;serif" w:hAnsi="Times New Roman;Times;serif"/>
            <w:color w:val="000080"/>
            <w:sz w:val="20"/>
          </w:rPr>
          <w:t>8</w:t>
        </w:r>
      </w:hyperlink>
      <w:r>
        <w:rPr>
          <w:rFonts w:ascii="Times New Roman;Times;serif" w:hAnsi="Times New Roman;Times;serif"/>
          <w:color w:val="000000"/>
          <w:sz w:val="20"/>
        </w:rPr>
        <w:t xml:space="preserve">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55620x1_s1_107-use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UOP"/>
      <w:bookmarkEnd w:id="24"/>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net proceeds from the sale of Class A Common Stock in this offering and pursuant to the Backstop Agreement will be approximately $   million, after deducting offering expenses payable by us. We intend to use the net proceeds from this offering for general corporate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management will retain broad discretion in deciding how to allocate the net proceeds of this offering. The precise amounts and timing of our use of the net proceeds will depend upon market conditions and the availability of other funds, among other factors. See “Risk Factors.”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55620x1_s1_108-capital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CAP"/>
      <w:bookmarkEnd w:id="26"/>
      <w:r>
        <w:rPr>
          <w:rFonts w:ascii="Times New Roman;Times;serif" w:hAnsi="Times New Roman;Times;serif"/>
          <w:b/>
          <w:color w:val="000000"/>
          <w:sz w:val="20"/>
        </w:rPr>
        <w:t xml:space="preserve">CAPITALIZATION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our cash and cash equivalents and capitalization as of July 31, 2025: </w:t>
      </w:r>
    </w:p>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an actual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an adjusted basis to reflect the sale by us of 3,063,725 shares of Class A Common Stock, par value $0.001 per share, pursuant to this offering and the Backstop Agreement; and </w:t>
            </w:r>
          </w:p>
        </w:tc>
      </w:tr>
    </w:tbl>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 further adjusted basis to reflect the completion of the Recapitalization Transactions.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table should be read together with our Quarterly Report on Form 10-Q for the period ended July 31, 2025, our Annual Report on Form 10-K for the year ended January 31, 2025, the financial statements included therein, the related notes thereto and the other financial data appearing elsewhere or incorporated by reference in this prospectus.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 </w:t>
      </w:r>
    </w:p>
    <w:tbl>
      <w:tblPr>
        <w:tblW w:w="10205" w:type="dxa"/>
        <w:jc w:val="left"/>
        <w:tblInd w:w="0" w:type="dxa"/>
        <w:tblLayout w:type="fixed"/>
        <w:tblCellMar>
          <w:top w:w="0" w:type="dxa"/>
          <w:left w:w="0" w:type="dxa"/>
          <w:bottom w:w="0" w:type="dxa"/>
          <w:right w:w="0" w:type="dxa"/>
        </w:tblCellMar>
      </w:tblPr>
      <w:tblGrid>
        <w:gridCol w:w="7202"/>
        <w:gridCol w:w="140"/>
        <w:gridCol w:w="140"/>
        <w:gridCol w:w="710"/>
        <w:gridCol w:w="140"/>
        <w:gridCol w:w="140"/>
        <w:gridCol w:w="722"/>
        <w:gridCol w:w="140"/>
        <w:gridCol w:w="140"/>
        <w:gridCol w:w="731"/>
      </w:tblGrid>
      <w:tr>
        <w:trPr/>
        <w:tc>
          <w:tcPr>
            <w:tcW w:w="72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3" w:type="dxa"/>
            <w:gridSpan w:val="7"/>
            <w:tcBorders/>
            <w:vAlign w:val="center"/>
          </w:tcPr>
          <w:p>
            <w:pPr>
              <w:pStyle w:val="TableContents"/>
              <w:bidi w:val="0"/>
              <w:spacing w:before="0" w:after="0"/>
              <w:jc w:val="left"/>
              <w:rPr/>
            </w:pPr>
            <w:r>
              <w:rPr/>
              <w:t> </w:t>
            </w:r>
          </w:p>
        </w:tc>
      </w:tr>
      <w:tr>
        <w:trPr/>
        <w:tc>
          <w:tcPr>
            <w:tcW w:w="72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3"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July 31, 2025 </w:t>
            </w:r>
          </w:p>
        </w:tc>
      </w:tr>
      <w:tr>
        <w:trPr/>
        <w:tc>
          <w:tcPr>
            <w:tcW w:w="7202"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 except share and per share data,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Further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720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37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283"/>
              <w:ind w:left="3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72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283"/>
              <w:ind w:left="3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Existing Credit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0"/>
              <w:jc w:val="center"/>
              <w:rPr>
                <w:color w:val="000000"/>
              </w:rPr>
            </w:pPr>
            <w:r>
              <w:rPr>
                <w:color w:val="000000"/>
              </w:rPr>
              <w:t> </w:t>
            </w:r>
          </w:p>
        </w:tc>
      </w:tr>
      <w:tr>
        <w:trPr/>
        <w:tc>
          <w:tcPr>
            <w:tcW w:w="7202"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Credit Agreement(2)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283"/>
              <w:ind w:left="419"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283"/>
              <w:ind w:left="347" w:right="0" w:hanging="0"/>
              <w:jc w:val="left"/>
              <w:rPr>
                <w:sz w:val="4"/>
                <w:szCs w:val="4"/>
              </w:rPr>
            </w:pPr>
            <w:r>
              <w:rPr>
                <w:sz w:val="4"/>
                <w:szCs w:val="4"/>
              </w:rPr>
            </w:r>
          </w:p>
        </w:tc>
      </w:tr>
      <w:tr>
        <w:trPr/>
        <w:tc>
          <w:tcPr>
            <w:tcW w:w="720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ind w:left="3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283"/>
              <w:ind w:left="3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0"/>
              <w:jc w:val="center"/>
              <w:rPr>
                <w:color w:val="000000"/>
              </w:rPr>
            </w:pPr>
            <w:r>
              <w:rPr>
                <w:color w:val="000000"/>
              </w:rPr>
              <w:t> </w:t>
            </w:r>
          </w:p>
        </w:tc>
      </w:tr>
      <w:tr>
        <w:trPr/>
        <w:tc>
          <w:tcPr>
            <w:tcW w:w="720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Common Stock, par value $0.001 per share, 300,000,000 shares authorized, 3,899,124 shares issued and outstanding, actual; 300,000,000 shares authorized, 6,962,849 shares issued and outstanding, as adjusted; 300,000,000 shares authorized,    shares issued and outstanding, as further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B Common Stock, par value $0.001 per share, 50,000,000 shares authorized, 155,699 shares issued and outstanding, actual; 50,000,000 shares authorized, 155,699 shares issued and outstanding, as adjusted; no shares authorized, no shares issued and outstanding, as further adjusted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0"/>
              <w:jc w:val="center"/>
              <w:rPr>
                <w:color w:val="000000"/>
              </w:rPr>
            </w:pPr>
            <w:r>
              <w:rPr>
                <w:color w:val="000000"/>
              </w:rPr>
              <w:t> </w:t>
            </w:r>
          </w:p>
        </w:tc>
      </w:tr>
      <w:tr>
        <w:trPr/>
        <w:tc>
          <w:tcPr>
            <w:tcW w:w="720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$0.001 per share, 10,000,000 shares authorized, no shares issued and outstanding, actual; 10,000,000 shares authorized, no shares issued and outstanding, as adjusted; no shares authorized, no shares issued and outstanding, as further adjusted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0"/>
              <w:jc w:val="center"/>
              <w:rPr>
                <w:color w:val="000000"/>
              </w:rPr>
            </w:pPr>
            <w:r>
              <w:rPr>
                <w:color w:val="000000"/>
              </w:rPr>
              <w:t> </w:t>
            </w:r>
          </w:p>
        </w:tc>
      </w:tr>
      <w:tr>
        <w:trPr/>
        <w:tc>
          <w:tcPr>
            <w:tcW w:w="72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r>
        <w:trPr/>
        <w:tc>
          <w:tcPr>
            <w:tcW w:w="720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$(232.1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1" w:type="dxa"/>
            <w:tcBorders/>
            <w:shd w:fill="CCEEFF" w:val="clear"/>
            <w:vAlign w:val="center"/>
          </w:tcPr>
          <w:p>
            <w:pPr>
              <w:pStyle w:val="TableContents"/>
              <w:bidi w:val="0"/>
              <w:spacing w:before="0" w:after="0"/>
              <w:jc w:val="center"/>
              <w:rPr>
                <w:color w:val="000000"/>
              </w:rPr>
            </w:pPr>
            <w:r>
              <w:rPr>
                <w:color w:val="000000"/>
              </w:rPr>
              <w:t> </w:t>
            </w:r>
          </w:p>
        </w:tc>
      </w:tr>
      <w:tr>
        <w:trPr/>
        <w:tc>
          <w:tcPr>
            <w:tcW w:w="7202"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capitalization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1" w:type="dxa"/>
            <w:tcBorders/>
            <w:vAlign w:val="center"/>
          </w:tcPr>
          <w:p>
            <w:pPr>
              <w:pStyle w:val="TableContents"/>
              <w:bidi w:val="0"/>
              <w:spacing w:before="0" w:after="0"/>
              <w:jc w:val="center"/>
              <w:rPr>
                <w:color w:val="000000"/>
              </w:rPr>
            </w:pPr>
            <w:r>
              <w:rPr>
                <w:color w:val="000000"/>
              </w:rPr>
              <w:t> </w:t>
            </w:r>
          </w:p>
        </w:tc>
      </w:tr>
    </w:tbl>
    <w:tbl>
      <w:tblPr>
        <w:tblW w:w="8935" w:type="dxa"/>
        <w:jc w:val="left"/>
        <w:tblInd w:w="0" w:type="dxa"/>
        <w:tblLayout w:type="fixed"/>
        <w:tblCellMar>
          <w:top w:w="0" w:type="dxa"/>
          <w:left w:w="0" w:type="dxa"/>
          <w:bottom w:w="0" w:type="dxa"/>
          <w:right w:w="0" w:type="dxa"/>
        </w:tblCellMar>
      </w:tblPr>
      <w:tblGrid>
        <w:gridCol w:w="230"/>
        <w:gridCol w:w="87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7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Excluding restricted cash of $4.7 million and prepaid expenses and other current assets of $15.0 million as of July 31, 2025. </w:t>
            </w:r>
          </w:p>
        </w:tc>
      </w:tr>
    </w:tbl>
    <w:tbl>
      <w:tblPr>
        <w:tblW w:w="8260" w:type="dxa"/>
        <w:jc w:val="left"/>
        <w:tblInd w:w="0" w:type="dxa"/>
        <w:tblLayout w:type="fixed"/>
        <w:tblCellMar>
          <w:top w:w="0" w:type="dxa"/>
          <w:left w:w="0" w:type="dxa"/>
          <w:bottom w:w="0" w:type="dxa"/>
          <w:right w:w="0" w:type="dxa"/>
        </w:tblCellMar>
      </w:tblPr>
      <w:tblGrid>
        <w:gridCol w:w="230"/>
        <w:gridCol w:w="80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0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$100.0 million of Exchange Consideration Term Loans and $20.0 million of New Money Term Loans. </w:t>
            </w:r>
          </w:p>
        </w:tc>
      </w:tr>
    </w:tbl>
    <w:tbl>
      <w:tblPr>
        <w:tblW w:w="7855" w:type="dxa"/>
        <w:jc w:val="left"/>
        <w:tblInd w:w="0" w:type="dxa"/>
        <w:tblLayout w:type="fixed"/>
        <w:tblCellMar>
          <w:top w:w="0" w:type="dxa"/>
          <w:left w:w="0" w:type="dxa"/>
          <w:bottom w:w="0" w:type="dxa"/>
          <w:right w:w="0" w:type="dxa"/>
        </w:tblCellMar>
      </w:tblPr>
      <w:tblGrid>
        <w:gridCol w:w="230"/>
        <w:gridCol w:w="76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operating lease liabilities of $38.3 million and other liabilities of $0.6 million as of July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55620x1_s1_108-capital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DIL"/>
      <w:bookmarkEnd w:id="28"/>
      <w:r>
        <w:rPr>
          <w:rFonts w:ascii="Times New Roman;Times;serif" w:hAnsi="Times New Roman;Times;serif"/>
          <w:b/>
          <w:color w:val="000000"/>
          <w:sz w:val="20"/>
        </w:rPr>
        <w:t xml:space="preserve">DILUTION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net tangible book value as of July 31, 2025, was approximately $(265.1) million, or approximately $(65.38) per share. Net tangible book value per share is determined by subtracting our total liabilities from the total book value of our tangible assets (excluding right of use assets) and dividing the difference by the number of shares of Common Stock deemed to be outstanding immediately prior to the Rights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Dilution per share to purchasers in the Rights Offering represents the difference between the amount per share paid by purchasers for our Class A Common Stock in the Rights Offering and the further adjusted net tangible book value per share of our Common Stock immediately following the completion of the Recapitalization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giving effect to the sale of 3,063,725 shares of Common Stock upon exercise of subscription rights offered by this prospectus at the public offering price of $4.08 per share, after deducting the estimated fees, commissions and our estimated offering expenses, our as adjusted net tangible book value as of July 31, 2025, would have been approximately $  million or approximately $  per share. In addition, after giving further effect to the completion of the Recapitalization Transactions, after deducting the estimated fees, commissions and our estimated expenses, our as further adjusted net tangible book value as of July 31, 2025, would have been approximately $  million or approximately $  per share. This represents an immediate increase in net tangible book value of approximately $  per share to our existing stockholders and an immediate dilution in net tangible book value of approximately $  per share to purchasers of our common stock in the Rights Offering, as illustrated by the following table: </w:t>
      </w:r>
    </w:p>
    <w:tbl>
      <w:tblPr>
        <w:tblW w:w="10205" w:type="dxa"/>
        <w:jc w:val="left"/>
        <w:tblInd w:w="0" w:type="dxa"/>
        <w:tblLayout w:type="fixed"/>
        <w:tblCellMar>
          <w:top w:w="0" w:type="dxa"/>
          <w:left w:w="0" w:type="dxa"/>
          <w:bottom w:w="0" w:type="dxa"/>
          <w:right w:w="0" w:type="dxa"/>
        </w:tblCellMar>
      </w:tblPr>
      <w:tblGrid>
        <w:gridCol w:w="9381"/>
        <w:gridCol w:w="140"/>
        <w:gridCol w:w="140"/>
        <w:gridCol w:w="544"/>
      </w:tblGrid>
      <w:tr>
        <w:trPr/>
        <w:tc>
          <w:tcPr>
            <w:tcW w:w="93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0"/>
              <w:jc w:val="left"/>
              <w:rPr/>
            </w:pPr>
            <w:r>
              <w:rPr/>
              <w:t> </w:t>
            </w:r>
          </w:p>
        </w:tc>
      </w:tr>
      <w:tr>
        <w:trPr/>
        <w:tc>
          <w:tcPr>
            <w:tcW w:w="93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Subscription price for one share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$4.08 </w:t>
            </w:r>
          </w:p>
        </w:tc>
      </w:tr>
      <w:tr>
        <w:trPr/>
        <w:tc>
          <w:tcPr>
            <w:tcW w:w="9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tangible book value per share as of July 31,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3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adjusted net tangible book value per share as of July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further adjusted net tangible book value per share as of July 31,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38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Increase in net tangible book value per share after giving effect to the completion of the Recapitalization Transactions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in net tangible book value per share to purchasers in the Rights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93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55620x1_s1_109-description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DOT"/>
      <w:bookmarkEnd w:id="30"/>
      <w:r>
        <w:rPr>
          <w:rFonts w:ascii="Times New Roman;Times;serif" w:hAnsi="Times New Roman;Times;serif"/>
          <w:b/>
          <w:color w:val="000000"/>
          <w:sz w:val="20"/>
        </w:rPr>
        <w:t xml:space="preserve">DESCRIPTION OF THE RIGHTS OFFERING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distributing, at no charge, to the holders of our Common Stock transferable subscription rights to purchase up to an aggregate of 3,063,725 shares of our Class A Common Stock at a subscription price of $4.08 per share. We are offering to each of our stockholders one right for each share of Common Stock owned by that stockholder as of 5:00 p.m., New York City time, on    , 2025 (the “Record Date”). Each right will entitle its holder to purchase     shares of our Class A Common Stock. The subscription rights will be evidenced by transferable rights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Rights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offering is being made to raise capital to provide us with additional liquidity in connection with the Recapitalization Transactions. The completion of this offering is a condition to closing of the Recapitalization Transactions, and we expect the Recapitalization Transactions to be consummated within two business days of the closing of this offering. See “Summary—Recent Developments—The Recapitalization Transactions” and “Use of Proceeds.”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Important Dates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important dates applicable to this offering and the rights. </w:t>
      </w:r>
    </w:p>
    <w:tbl>
      <w:tblPr>
        <w:tblW w:w="10205" w:type="dxa"/>
        <w:jc w:val="left"/>
        <w:tblInd w:w="0" w:type="dxa"/>
        <w:tblLayout w:type="fixed"/>
        <w:tblCellMar>
          <w:top w:w="0" w:type="dxa"/>
          <w:left w:w="0" w:type="dxa"/>
          <w:bottom w:w="0" w:type="dxa"/>
          <w:right w:w="0" w:type="dxa"/>
        </w:tblCellMar>
      </w:tblPr>
      <w:tblGrid>
        <w:gridCol w:w="1724"/>
        <w:gridCol w:w="140"/>
        <w:gridCol w:w="140"/>
        <w:gridCol w:w="1018"/>
        <w:gridCol w:w="140"/>
        <w:gridCol w:w="140"/>
        <w:gridCol w:w="6903"/>
      </w:tblGrid>
      <w:tr>
        <w:trPr/>
        <w:tc>
          <w:tcPr>
            <w:tcW w:w="1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pPr>
            <w:r>
              <w:rPr/>
              <w:t> </w:t>
            </w:r>
          </w:p>
        </w:tc>
      </w:tr>
      <w:tr>
        <w:trPr/>
        <w:tc>
          <w:tcPr>
            <w:tcW w:w="17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Event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Calendar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Significance </w:t>
            </w:r>
          </w:p>
        </w:tc>
      </w:tr>
      <w:tr>
        <w:trPr/>
        <w:tc>
          <w:tcPr>
            <w:tcW w:w="1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p.m., New York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City time, on    ,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our Common Stock as of the close of business on this date, as determined by the Subscription Agent based on the book-entry facilities of DTC and the register maintained by Equiniti in its capacity as our transfer agent, will be entitled to receive rights. </w:t>
            </w:r>
          </w:p>
        </w:tc>
      </w:tr>
      <w:tr>
        <w:trPr/>
        <w:tc>
          <w:tcPr>
            <w:tcW w:w="1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color w:val="000000"/>
              </w:rPr>
            </w:pPr>
            <w:r>
              <w:rPr>
                <w:color w:val="000000"/>
              </w:rPr>
              <w:t> </w:t>
            </w:r>
          </w:p>
        </w:tc>
      </w:tr>
      <w:tr>
        <w:trPr/>
        <w:tc>
          <w:tcPr>
            <w:tcW w:w="1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Subscription Period Commences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rights may begin to subscribe for new shares of Class A Common Stock. </w:t>
            </w:r>
          </w:p>
        </w:tc>
      </w:tr>
      <w:tr>
        <w:trPr/>
        <w:tc>
          <w:tcPr>
            <w:tcW w:w="1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color w:val="000000"/>
              </w:rPr>
            </w:pPr>
            <w:r>
              <w:rPr>
                <w:color w:val="000000"/>
              </w:rPr>
              <w:t> </w:t>
            </w:r>
          </w:p>
        </w:tc>
      </w:tr>
      <w:tr>
        <w:trPr/>
        <w:tc>
          <w:tcPr>
            <w:tcW w:w="1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Last Day to Transfer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rights who wish to transfer or sell their rights must do so on or prior to this date. </w:t>
            </w:r>
          </w:p>
        </w:tc>
      </w:tr>
      <w:tr>
        <w:trPr/>
        <w:tc>
          <w:tcPr>
            <w:tcW w:w="1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color w:val="000000"/>
              </w:rPr>
            </w:pPr>
            <w:r>
              <w:rPr>
                <w:color w:val="000000"/>
              </w:rPr>
              <w:t> </w:t>
            </w:r>
          </w:p>
        </w:tc>
      </w:tr>
      <w:tr>
        <w:trPr/>
        <w:tc>
          <w:tcPr>
            <w:tcW w:w="1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Expiration Date; Subscription Period 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p.m., New York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City time, on    ,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Deadline to exercise outstanding rights and to request additional new shares of Class A Common Stock under the oversubscription privilege.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rights may no longer subscribe for new shares of Class A Common Stock after this time.</w:t>
            </w:r>
          </w:p>
        </w:tc>
      </w:tr>
      <w:tr>
        <w:trPr/>
        <w:tc>
          <w:tcPr>
            <w:tcW w:w="1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color w:val="000000"/>
              </w:rPr>
            </w:pPr>
            <w:r>
              <w:rPr>
                <w:color w:val="000000"/>
              </w:rPr>
              <w:t> </w:t>
            </w:r>
          </w:p>
        </w:tc>
      </w:tr>
      <w:tr>
        <w:trPr/>
        <w:tc>
          <w:tcPr>
            <w:tcW w:w="1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Backstop Commitment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Sales of shares of Class A Common Stock that are unsubscribed in this offering (if any) are expected to be purchased by the Investor Group. </w:t>
            </w:r>
          </w:p>
        </w:tc>
      </w:tr>
      <w:tr>
        <w:trPr/>
        <w:tc>
          <w:tcPr>
            <w:tcW w:w="1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55620x1_s1_109-description_pg2"/>
        <w:bookmarkEnd w:id="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18"/>
        <w:gridCol w:w="140"/>
        <w:gridCol w:w="140"/>
        <w:gridCol w:w="991"/>
        <w:gridCol w:w="140"/>
        <w:gridCol w:w="140"/>
        <w:gridCol w:w="6236"/>
      </w:tblGrid>
      <w:tr>
        <w:trPr/>
        <w:tc>
          <w:tcPr>
            <w:tcW w:w="24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0"/>
              <w:jc w:val="left"/>
              <w:rPr/>
            </w:pPr>
            <w:r>
              <w:rPr/>
              <w:t> </w:t>
            </w:r>
          </w:p>
        </w:tc>
      </w:tr>
      <w:tr>
        <w:trPr/>
        <w:tc>
          <w:tcPr>
            <w:tcW w:w="24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Event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Calendar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Significance </w:t>
            </w:r>
          </w:p>
        </w:tc>
      </w:tr>
      <w:tr>
        <w:trPr/>
        <w:tc>
          <w:tcPr>
            <w:tcW w:w="24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 of Rights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deliver the new shares of Class A Common Stock issued in respect of the rights through the book-entry facilities of DTC. </w:t>
            </w:r>
          </w:p>
        </w:tc>
      </w:tr>
      <w:tr>
        <w:trPr/>
        <w:tc>
          <w:tcPr>
            <w:tcW w:w="24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0"/>
              <w:jc w:val="left"/>
              <w:rPr>
                <w:color w:val="000000"/>
              </w:rPr>
            </w:pPr>
            <w:r>
              <w:rPr>
                <w:color w:val="000000"/>
              </w:rPr>
              <w:t> </w:t>
            </w:r>
          </w:p>
        </w:tc>
      </w:tr>
      <w:tr>
        <w:trPr/>
        <w:tc>
          <w:tcPr>
            <w:tcW w:w="24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 of Backstop Commitment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deliver the new shares of Class A Common Stock issued pursuant to the Backstop Agreement through the book-entry facilities of DTC. </w:t>
            </w:r>
          </w:p>
        </w:tc>
      </w:tr>
      <w:tr>
        <w:trPr/>
        <w:tc>
          <w:tcPr>
            <w:tcW w:w="24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0"/>
              <w:jc w:val="left"/>
              <w:rPr>
                <w:color w:val="000000"/>
              </w:rPr>
            </w:pPr>
            <w:r>
              <w:rPr>
                <w:color w:val="000000"/>
              </w:rPr>
              <w:t> </w:t>
            </w:r>
          </w:p>
        </w:tc>
      </w:tr>
      <w:tr>
        <w:trPr/>
        <w:tc>
          <w:tcPr>
            <w:tcW w:w="24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of the Recapitalization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expect the Recapitalization Transactions to be consummated within two business days of the closing of this offering.</w:t>
            </w:r>
          </w:p>
        </w:tc>
      </w:tr>
      <w:tr>
        <w:trPr/>
        <w:tc>
          <w:tcPr>
            <w:tcW w:w="24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6"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Backstop Commitment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(iii) to the extent required by the rules of the Nasdaq Global Market, the company shall have obtained any required stockholder approval; (iv) consummation of this offering and delivery of a subscription notice to the Investor Group; (v) to the extent required by the rules of the Nasdaq Global Market, stockholder approval of the Backstop Agreement and the issuance of shares pursuant the Backstop Agreement in compliance with Nasdaq Rule 5635; and (vi) consummation of the Exchange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Backstop Agreement may be terminated (i) automatically without any action by or on behalf of any party if the Exchange Agreement is validly terminated in accordance with its terms or (ii) upon the parties’ mutual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shares of Class A Common Stock purchased by the Investor Group pursuant to the Backstop Agreement will be issued in a private placement transaction, exempt from the registration requirements of the Securities Act and, accordingly, will be restricted securities.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Subscription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price is $4.08 per whole share of Class A Common Stock, which represents a 20% discount to the average volume weighted average price of Class A Common Stock over the 30-day trading period ending on the trading day immediately preceding the date of the Exchange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price per share for this offering was determined by the Board, acting upon the unanimous recommendation of the Finance Committee. This price was determined in connection with the negotiation of the Exchange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55620x1_s1_109-description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Amendment, Withdrawal and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 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offering is terminated, in whole or in part, all affected rights will expire without value and all subscription payments received by the Subscription Agent will be returned promptly, without interest or deduction. See also “—Termination Rights.”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Rights Offering on Existing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ownership interests and voting interests of the existing stockholders who do not exercise their basic subscription rights will be diluted. See “Risk Factors.”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Subscription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entitle holders to a basic subscription privilege and an oversubscription privilege.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Basic Subscription Privilege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will entitle the holder thereof to a basic subscription privilege. The basic subscription privilege entitles you to purchase     shares of Class A Common Stock per     rights, upon delivery of the required documents and payment of the subscription price of $4.08 per whole share. 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Oversubscription Privilege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your basic subscription privilege, you may subscribe for additional shares of our Class A Common Stock upon delivery of the required documents and payment of the subscription price of $4.08 per whole share before the Expiration Date.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 Rata Allocation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55620x1_s1_109-description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Full Exercise of Basic Subscription Privilege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Common Stock that you own individually and shares of our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you complete the portion of your rights certificate to exercise your oversubscription privilege, you will be representing and certifying that you have fully exercised your basic subscription privilege as to shares of our Common Stock that you hold in that capacity. You must exercise your oversubscription privilege at the same time you exercise your basic subscription privilege in full.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Return of Excess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Method of Subscription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are evidenced by rights certificates, which may be physical certificates but will more likely be electronic certificates issued through the facilities of DTC. Except as described below under “—Non-U.S. Stockholders,” the rights certificates will be mailed to stockholders as of the Record Date or, if such stockholders’ shares of Common Stock are held by a depository or nominee on his, her or its behalf, to 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Method of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participating rights holder may send the rights certificate together with payment for the shares of Class A Common Stock subscribed for in this offering to the Subscription Agent based on the subscription price of $4.08 per whole share. Except as described below under “Guaranteed Delivery Procedures,” to be accepted,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55620x1_s1_109-description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Times;serif" w:hAnsi="Times New Roman;Times;serif"/>
          <w:b/>
          <w:color w:val="000000"/>
          <w:sz w:val="20"/>
        </w:rPr>
        <w:t>Do not send rights certificates, notices of guaranteed delivery or payments to us.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Whichever of the methods described above is used, issuance of the shares of Class A Common Stock purchased is subject to collection of checks and actual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Participating rights holders will have no right to revoke their subscription after the Subscription Agent’s receipt of their payment for shares of Class A Common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Missing or Incomplete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Common Stock in the name of a custodian bank, broker, dealer or other nominee, the nominee will exercise the rights on your behalf in accordance with your instructions. </w:t>
      </w:r>
      <w:r>
        <w:rPr>
          <w:rFonts w:ascii="Times New Roman;Times;serif" w:hAnsi="Times New Roman;Times;serif"/>
          <w:b/>
          <w:color w:val="000000"/>
          <w:sz w:val="20"/>
        </w:rPr>
        <w:t>Your nominee may establish a deadline that may be before the Expiration Date that we have established for this offering.</w:t>
      </w:r>
      <w:r>
        <w:rPr>
          <w:rFonts w:ascii="Times New Roman;Times;serif" w:hAnsi="Times New Roman;Times;serif"/>
          <w:color w:val="000000"/>
          <w:sz w:val="20"/>
        </w:rPr>
        <w:t xml:space="preserve"> If you send a 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responsibility or action to contact you concerning an incomplete or incorrect subscription form, nor are we under any obligation to correct such forms. We have the sole discretion to determine whether a subscription exercise properly complies with the subscription procedures.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55620x1_s1_109-description_pg6"/>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Expiration of the Rights Offering and Extensions, Amendments and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exercise your rights at any time before 5:00 p.m., New York City time, on    , 2025, the Expiration Date for this offering. We may, in our sole discretion, extend the time available for exercising the rights. If the commencement of this offering is delayed for a period of time, the Expiration Date of this offering will be similarly extended.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reserve the right, in our sole discretion, to amend or modify the terms of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may terminate this offering, in whole or in part, in its sole discretion at any time for any reason. If we terminate this offering, any funds you paid to the Subscription Agent will be promptly refunded via check, without interest or deduction.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Instructions for Completing Your Rights Certificate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and follow the instructions accompanying the rights certificates carefully.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Delivery of Subscription Materials and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Agent for this offering is Broadridge Corporate Issuer Solutions, LLC. You should deliver your rights certificate and payment of the subscription price or, if applicable, notices of guaranteed delivery, to the Subscription Agent by one of the methods described below: </w:t>
      </w:r>
    </w:p>
    <w:tbl>
      <w:tblPr>
        <w:tblW w:w="7535" w:type="dxa"/>
        <w:jc w:val="left"/>
        <w:tblInd w:w="0" w:type="dxa"/>
        <w:tblLayout w:type="fixed"/>
        <w:tblCellMar>
          <w:top w:w="0" w:type="dxa"/>
          <w:left w:w="0" w:type="dxa"/>
          <w:bottom w:w="0" w:type="dxa"/>
          <w:right w:w="0" w:type="dxa"/>
        </w:tblCellMar>
      </w:tblPr>
      <w:tblGrid>
        <w:gridCol w:w="3605"/>
        <w:gridCol w:w="140"/>
        <w:gridCol w:w="140"/>
        <w:gridCol w:w="3650"/>
      </w:tblGrid>
      <w:tr>
        <w:trPr/>
        <w:tc>
          <w:tcPr>
            <w:tcW w:w="3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r>
      <w:tr>
        <w:trPr/>
        <w:tc>
          <w:tcPr>
            <w:tcW w:w="3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By Overnight Carrier </w:t>
            </w:r>
          </w:p>
        </w:tc>
      </w:tr>
      <w:tr>
        <w:trPr/>
        <w:tc>
          <w:tcPr>
            <w:tcW w:w="3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Broadridge Corporate Issuer Solutions,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Broadridge Corporate Issuer Solutions, LLC </w:t>
            </w:r>
          </w:p>
        </w:tc>
      </w:tr>
      <w:tr>
        <w:trPr/>
        <w:tc>
          <w:tcPr>
            <w:tcW w:w="3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Attention: BCIS Re-Organization Dept.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BCIS IWS </w:t>
            </w:r>
          </w:p>
        </w:tc>
      </w:tr>
      <w:tr>
        <w:trPr/>
        <w:tc>
          <w:tcPr>
            <w:tcW w:w="3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P.O. Box 1317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51 Mercedes Way </w:t>
            </w:r>
          </w:p>
        </w:tc>
      </w:tr>
      <w:tr>
        <w:trPr/>
        <w:tc>
          <w:tcPr>
            <w:tcW w:w="3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Brentwood, New York 11717-0693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Edgewood, New York 11717</w:t>
            </w:r>
          </w:p>
        </w:tc>
      </w:tr>
      <w:tr>
        <w:trPr/>
        <w:tc>
          <w:tcPr>
            <w:tcW w:w="3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must be made in full in U.S. currency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certified bank or cashier’s check drawn on a U.S. bank payable to “Broadridge Corporate Issuer Solutions, LLC, as Subscription Agent for Rent the Runway, Inc.”;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wire transfer of transfer of immediately available funds to the account maintained by the Subscription Agent (see the rights certificate for the wire instructions).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55620x1_s1_109-description_pg7"/>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 received after 5:00 p.m., New York City time, on the Expiration Date will not be honored, and, in such event, the Subscription Agent will return your payment to you, without interest, as soon as practicable. If you hold your shares of Common Stock in street name, please contact your bank, broker or nominee for instructions on how to participate in this offering.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Questions About Exercising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Calculation of Rights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Limitation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Exercising a Portion of Your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subscribe for fewer than all of the shares of our Class A Common Stock represented by your rights certificate, you may receive from the Subscription Agent a new rights certificate representing your unused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Guaranteed Delivery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wish to exercise subscription rights, but you do not have sufficient time to deliver the rights certificate evidencing your subscription rights to the Subscription Agent on or before the Expiration Date, you may exercise your subscription rights by delivering: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Subscription Agent on or before the Expiration Date the payment for each share you elected to purchase pursuant to the exercise of rights in the manner set forth above under “—Method of Subscription”;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55620x1_s1_109-description_pg8"/>
        <w:bookmarkEnd w:id="37"/>
        <w:r>
          <w:rPr>
            <w:rStyle w:val="InternetLink"/>
            <w:rFonts w:ascii="Times New Roman;Times;Serif" w:hAnsi="Times New Roman;Times;Serif"/>
            <w:b/>
            <w:caps w:val="false"/>
            <w:smallCaps w:val="false"/>
            <w:color w:val="000000"/>
            <w:sz w:val="16"/>
          </w:rPr>
          <w:t>TABLE OF CONTENTS</w:t>
        </w:r>
      </w:hyperlink>
    </w:p>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Subscription Agent before the Expiration Date the form entitled “Notice of Guaranteed Delivery”;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deliver your Notice of Guaranteed Delivery to the Subscription Agent in the same manner as your rights certificate at the address set forth above under “—Delivery of Subscription Materials and Payment.”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Procedures for DTC Participants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exercise of your basic subscription privilege and your oversubscription privilege may be made through the facilities of DTC. If you are a broker, dealer, trustee or a depositary for securities who holds our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and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charging any fee or sales commission to issue rights to you or to issue shares of Class A Common Stock to you if you exercise your rights. If you exercise your rights through the record holders of your shares of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Fractional Shares of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shares of Class A Common Stock will be sold at a purchase price of $4.08 per whole share.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3,063,725 shares of Class A Common Stock in this offering. In the event that, because of the rounding of fractional shares of Class A Common Stock, this offering would have been subscribed in an amount in excess of 3,063,725 shares of Class A Common Stock, all holders’ shares issued in this offering will be reduced in an equitable manner. Any excess subscription payments received by the Subscription Agent will be returned, without interest, as soon as practicable.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Notice to Beneficial Holders and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broker, a trustee or a depositary for securities who holds shares of our Common Stock for the account of others on the Record Date, you should notify the respective beneficial owners of such shares of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55620x1_s1_109-description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Common Stock for the account of more than one beneficial owner, you may exercise the number of rights to which all such beneficial owners in the aggregate otherwise would have been entitled had they been direct record holders of our Common Stock on the Record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Beneficial Owners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of our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Validity of Subscriptions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Funds Held by Subscription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Revocation or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you have exercised your rights or have instructed your nominee of your subscription request, you may not revoke or change your exercise or request a refund of monies paid. All exercises of rights are irrevocable,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55620x1_s1_109-description_pg10"/>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and Trading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Class A Common Stock is traded on the Nasdaq Global Market under the symbol “RENT.” On    , 2025, the last reported sale price of our shares of Class A Common Stock on the Nasdaq was $    per share, to which the subscription price in this offering represents a    % discount.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will not be listed for trading on the Nasdaq or any other national securities exchange or nationally recognized trading system.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Transfers and Sales of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anticipate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Equiniti Trust Company, LLC is the transfer agent and registrar for our Common Stock.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Subscription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of Class A Common Stock Outstanding After the Rights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3,899,124 shares of our Class A Common Stock issued and outstanding as of July 31, 2025, approximately 6,962,849 shares of our Class A Common Stock will be issued and outstanding after giving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55620x1_s1_109-description_pg1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Non-U.S.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 2025,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Our 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and directors who hold shares of Common Stock may participate in this offering at the same subscription price as all other stockholders, but none of our executive officers and directors are obligated to so participate.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Recommendation </w:t>
      </w:r>
    </w:p>
    <w:p>
      <w:pPr>
        <w:pStyle w:val="TextBody"/>
        <w:bidi w:val="0"/>
        <w:spacing w:before="120" w:after="283"/>
        <w:ind w:left="0" w:right="0" w:firstLine="400"/>
        <w:jc w:val="left"/>
        <w:rPr/>
      </w:pPr>
      <w:r>
        <w:rPr>
          <w:rFonts w:ascii="Times New Roman;Times;serif" w:hAnsi="Times New Roman;Times;serif"/>
          <w:color w:val="000000"/>
          <w:sz w:val="20"/>
        </w:rPr>
        <w:t xml:space="preserve">An investment in shares of our Class A Common Stock must be made according to each investor’s evaluation of such investor’s own best interests and after considering all of the information herein, including the “Risk Factors” section beginning on page </w:t>
      </w:r>
      <w:hyperlink w:anchor="tRF">
        <w:r>
          <w:rPr>
            <w:rStyle w:val="InternetLink"/>
            <w:rFonts w:ascii="Times New Roman;Times;serif" w:hAnsi="Times New Roman;Times;serif"/>
            <w:color w:val="000080"/>
            <w:sz w:val="20"/>
          </w:rPr>
          <w:t>8</w:t>
        </w:r>
      </w:hyperlink>
      <w:r>
        <w:rPr>
          <w:rFonts w:ascii="Times New Roman;Times;serif" w:hAnsi="Times New Roman;Times;serif"/>
          <w:color w:val="000000"/>
          <w:sz w:val="20"/>
        </w:rPr>
        <w:t xml:space="preserve">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our Board has, or will, make any recommendation to stockholders whether to exercise their rights in this offering. You should make an independent investment decision about whether to exercise your rights based on your own assessment of our business and this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55620x1_s1_110-material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MUF"/>
      <w:bookmarkEnd w:id="42"/>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Medicare contribution tax on net investment income. In addition, it does not address consequences relevant to holders subject to special rules, including, without limitation: </w:t>
      </w:r>
    </w:p>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holding the rights or shares of our Common Stock as part of a hedge, straddle or other risk reduction strategy or as part of a conversion transaction or other integrated investment;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and other financial institutions;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securities or currencies or traders that elect to mark-to-market their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controlled foreign corporations,” “passive foreign investment companies,” and corporations that accumulate earnings to avoid U.S. federal income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corporations, partnerships or other entities or arrangements treated as partnerships or other pass-through entities for U.S. federal income tax purposes (and investors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regulated investment companies, grantor trusts, tax-exempt organizations or governmental organizations;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the rights or shares of our Common Stock under the constructive sale provisions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being taken into account in an applicable financial statement (as defined in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received, hold or will receive shares of our Common Stock or the rights pursuant to the exercise of any employee stock option or otherwise as compensation and persons who hold restricted Common Stock;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tax-qualified retirement plans;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own or have owned (directly, indirectly or constructively) 5% or more of our Common Stock;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(as defined below) that have a functional currency other than the U.S. dollar; and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members of the Investor Group that purchase our Class A common stock pursuant to the Backstop Agreement.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55620x1_s1_110-material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treated as a partnership for U.S. federal income tax purposes holds shares of our Common Stock, receives rights pursuant to this offering or receives shares of our Class A Common Stock upon exercise of rights, as the case may be, the tax treatment of a partner in the partnership will depend on the status of the partner, the activities of the partnership and certain determinations made at the partner level. Accordingly, partnerships and the partners in such partnerships should consult their tax advisors regarding the U.S. federal income tax consequences to them.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Common Stock acquired upon exercise of rights arising under the U.S. federal estate or gift tax laws or under the laws of any state, local or non-U.S. taxing jurisdiction or under any applicable income tax treaty.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U.S. Holders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Definition of a U.S.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any beneficial owner of shares of our Common Stock, our rights or shares of our Common Stock acquired upon exercise of rights, as the case may be, that, for U.S. federal income tax purposes, is or is treated as any of the following: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under the laws of the United States, any state thereof, or the District of Columbia; or </w:t>
            </w:r>
          </w:p>
        </w:tc>
      </w:tr>
    </w:tbl>
    <w:tbl>
      <w:tblPr>
        <w:tblW w:w="8095" w:type="dxa"/>
        <w:jc w:val="left"/>
        <w:tblInd w:w="0" w:type="dxa"/>
        <w:tblLayout w:type="fixed"/>
        <w:tblCellMar>
          <w:top w:w="0" w:type="dxa"/>
          <w:left w:w="0" w:type="dxa"/>
          <w:bottom w:w="0" w:type="dxa"/>
          <w:right w:w="0" w:type="dxa"/>
        </w:tblCellMar>
      </w:tblPr>
      <w:tblGrid>
        <w:gridCol w:w="110"/>
        <w:gridCol w:w="7985"/>
      </w:tblGrid>
      <w:tr>
        <w:trPr/>
        <w:tc>
          <w:tcPr>
            <w:tcW w:w="11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or trust, the income of which is subject to U.S. federal income tax regardless of its source.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Receipt of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Common Stock generally in the manner as described below under “—Distributions 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remainder of this discussion is based upon the treatment of this offering as a non-taxable distribution with respect to a U.S. Holder’s existing shares of Common Stock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55620x1_s1_110-material_pg3"/>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Basis and Holding Period in the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fair market value of the rights a U.S. Holder receives is less than 15% of the fair market value of the U.S. Holder’s existing shares of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Common Stock between the existing shares of Common Stock and the rights in proportion to the relative fair market values of the existing shares of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if the fair market value of the rights a U.S. Holder receives is 15% or more of the fair market value of the holder’s existing shares of Common Stock on the date the U.S. Holder receives the rights, then the U.S. Holder must allocate tax basis in the existing shares of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Common Stock with respect to which the right was distributed.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Holder’s holding period in the rights it receives will include the holding period of the U.S. Holder’s existing shares of Common Stock with respect to which the rights are distributed.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Exercise of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will not recognize gain or loss upon the exercise of a right received in this offering. A 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time of the receipt or exercise of the right, the U.S. Holder no longer holds the Common Stock with respect to which the right was distributed, then certain aspects of the tax treatment of the receipt and exercise of the right are unclear, including (i) the allocation of the tax basis between the shares of our Common Stock previously sold and the right, (ii) the impact of such allocation on the amount and timing of gain or loss recognized with respect to the shares of our Common Stock previously sold, and (iii) the impact of such allocation on the tax basis of the shares of our Class A Common Stock acquired upon exercise of the right. Furthermore, if you exercise the rights and sell other shares of our Common Stock within the 61-day period beginning 30 days before the exercise date and ending 30 days after the exercise date, the “wash sale” rules may disallow the recognition of any loss upon the sale of our Common Stock. If a U.S. Holder exercises a right received in this offering after disposing of shares of our Common Stock with respect to which the right is received, the U.S. Holder should consult its tax advisor.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Expiration of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55620x1_s1_110-material_pg4"/>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Sale, Exchange or Other Disposition of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Distributions 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Common Stock.”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Sale, Exchange or Other Disposition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is any beneficial owner of shares of our Common Stock, our rights or shares of our Class A Common Stock acquired upon exercise of rights, as the case may be, that is neither a U.S. Holder nor an entity treated as a partnership for U.S. federal income tax purposes.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Receipt, Exercise and Expiration of the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discussion assumes that the receipt of rights will be treated as a nontaxable distribution. See “—Tax Considerations Applicable to U.S. Holders—Receipt of Rights” above. In such case, Non-U.S. Holders will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55620x1_s1_110-material_pg5"/>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subject to U.S. federal income tax (or any withholding thereof) on the receipt, exercise or expiration of the rights. Otherwise, the fair market value of the rights would be taxable to Non-U.S. Holders of our Common Stock generally in the manner as described below under “—Distributions on Common Stock.”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Distributions 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regarding their entitlement to benefits under any applicable income tax treaty.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Sale of Other Disposition of Rights or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will not be subject to U.S. federal income tax on any gain realized upon the sale or other taxable disposition of our rights or Class A Common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present in the United States for 183 days or more during the taxable year of the disposition and certain other requirements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rights or Class A Common Stock constitute a U.S. real property interest (“USRPI”) by reason of our status as a U.S. real property holding corporation (“USRPHC”) for U.S. federal income tax purposes.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described in the second bullet point above will be subject to U.S. federal income tax at a rate of 30% (or such lower rate specified by an applicable income tax treaty) on gain realized upon the sale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55620x1_s1_110-material_pg6"/>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regarding potentially applicable income tax treaties that may provide for different rules.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of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Withholding Tax on Payments Made to Foreign Accounts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should consult their tax advisors regarding the potential application of withholding under FATCA to their receipt, ownership, and exercise and disposition of rights and the ownership and disposition of shares of our Class A Common Stock acquired upon exercise of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55620x1_s1_111-plan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POD"/>
      <w:bookmarkEnd w:id="49"/>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or about    , 2025, the rights will be distributed to holders of our Common Stock as of the Record Date. If you wish to exercise your rights and purchase shares of Class A Common Stock in this offering, you should timely comply with the procedures described in “Description of the Rights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Class A Common Stock offered pursuant to this offering are being offered by us directly to all holders of our Common Stock. We intend to distribute subscription materials, including rights certificates, to those persons that were holders of our Common Stock on the Record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estimate that we will incur approximately $    million in total expenses in connection with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rights are transferable, they will not be listed for trading on the Nasdaq or any other national securities exchange or nationally recognized trading system.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55620x1_s1_112-legal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LM"/>
      <w:bookmarkEnd w:id="51"/>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issuance of the securities offered hereby will be passed upon for the company by Davis Polk &amp; Wardwell LLP. </w:t>
      </w:r>
    </w:p>
    <w:p>
      <w:pPr>
        <w:pStyle w:val="TextBody"/>
        <w:bidi w:val="0"/>
        <w:spacing w:before="410" w:after="283"/>
        <w:jc w:val="center"/>
        <w:rPr>
          <w:rFonts w:ascii="Times New Roman;Times;serif" w:hAnsi="Times New Roman;Times;serif"/>
          <w:b/>
          <w:color w:val="000000"/>
          <w:sz w:val="20"/>
        </w:rPr>
      </w:pPr>
      <w:bookmarkStart w:id="52" w:name="tEXP"/>
      <w:bookmarkEnd w:id="52"/>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incorporated in this Prospectus by reference to the Annual Report on Form 10-K for the year ended January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55620x1_s1_113-info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WYC"/>
      <w:bookmarkEnd w:id="54"/>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 </w:t>
      </w:r>
    </w:p>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January 31, 2025, filed with the SEC on </w:t>
            </w:r>
            <w:hyperlink r:id="rId3">
              <w:r>
                <w:rPr>
                  <w:rStyle w:val="InternetLink"/>
                  <w:rFonts w:ascii="Times New Roman;Times;serif" w:hAnsi="Times New Roman;Times;serif"/>
                  <w:color w:val="000080"/>
                  <w:sz w:val="20"/>
                </w:rPr>
                <w:t>April 15,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Reports on Form 10-Q for the fiscal quarter ended April 30, 2025, filed with the SEC on </w:t>
            </w:r>
            <w:hyperlink r:id="rId4">
              <w:r>
                <w:rPr>
                  <w:rStyle w:val="InternetLink"/>
                  <w:rFonts w:ascii="Times New Roman;Times;serif" w:hAnsi="Times New Roman;Times;serif"/>
                  <w:color w:val="000080"/>
                  <w:sz w:val="20"/>
                </w:rPr>
                <w:t>June 6, 2025</w:t>
              </w:r>
            </w:hyperlink>
            <w:r>
              <w:rPr>
                <w:rFonts w:ascii="Times New Roman;Times;serif" w:hAnsi="Times New Roman;Times;serif"/>
                <w:color w:val="000000"/>
                <w:sz w:val="20"/>
              </w:rPr>
              <w:t xml:space="preserve">, and for the fiscal quarter ended July 31, 2025, filed with the SEC on </w:t>
            </w:r>
            <w:hyperlink r:id="rId5">
              <w:r>
                <w:rPr>
                  <w:rStyle w:val="InternetLink"/>
                  <w:rFonts w:ascii="Times New Roman;Times;serif" w:hAnsi="Times New Roman;Times;serif"/>
                  <w:color w:val="000080"/>
                  <w:sz w:val="20"/>
                </w:rPr>
                <w:t>September 12,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Definitive Proxy Statements on Schedule 14A, filed with the SEC on </w:t>
            </w:r>
            <w:hyperlink r:id="rId6">
              <w:r>
                <w:rPr>
                  <w:rStyle w:val="InternetLink"/>
                  <w:rFonts w:ascii="Times New Roman;Times;serif" w:hAnsi="Times New Roman;Times;serif"/>
                  <w:color w:val="000080"/>
                  <w:sz w:val="20"/>
                </w:rPr>
                <w:t>May 22, 2025</w:t>
              </w:r>
            </w:hyperlink>
            <w:r>
              <w:rPr>
                <w:rFonts w:ascii="Times New Roman;Times;serif" w:hAnsi="Times New Roman;Times;serif"/>
                <w:color w:val="000000"/>
                <w:sz w:val="20"/>
              </w:rPr>
              <w:t xml:space="preserve"> and September   , 2025 (excluding any information constituting prospective financial information); and </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pPr>
            <w:r>
              <w:rPr>
                <w:rFonts w:ascii="Times New Roman;Times;serif" w:hAnsi="Times New Roman;Times;serif"/>
                <w:color w:val="000000"/>
                <w:sz w:val="20"/>
              </w:rPr>
              <w:t xml:space="preserve">Current Reports on Form 8-K, filed with the SEC on </w:t>
            </w:r>
            <w:hyperlink r:id="rId7">
              <w:r>
                <w:rPr>
                  <w:rStyle w:val="InternetLink"/>
                  <w:rFonts w:ascii="Times New Roman;Times;serif" w:hAnsi="Times New Roman;Times;serif"/>
                  <w:color w:val="000080"/>
                  <w:sz w:val="20"/>
                </w:rPr>
                <w:t>March 5, 2025</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May 16, 2025</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July 11, 2025</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August 21, 2025</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Rent the Runway,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 Jay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Brooklyn, New York 11201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(212) 524-6860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55620x1_s1_300-bcv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3015" w:after="283"/>
        <w:ind w:left="0" w:right="0" w:hanging="0"/>
        <w:jc w:val="center"/>
        <w:rPr>
          <w:color w:val="000000"/>
        </w:rPr>
      </w:pPr>
      <w:r>
        <w:rPr>
          <w:color w:val="000000"/>
        </w:rPr>
        <w:drawing>
          <wp:inline distT="0" distB="0" distL="0" distR="0">
            <wp:extent cx="1171575" cy="1600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171575" cy="1600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8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RENT THE RUNWAY,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Class A Common Stock</w:t>
      </w:r>
    </w:p>
    <w:p>
      <w:pPr>
        <w:pStyle w:val="TextBody"/>
        <w:bidi w:val="0"/>
        <w:spacing w:before="4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Subscription Rights to Purchase up to 3,063,725 Shares of </w:t>
      </w:r>
    </w:p>
    <w:p>
      <w:pPr>
        <w:pStyle w:val="TextBody"/>
        <w:bidi w:val="0"/>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Class A Common Stock at $4.08 per Share </w:t>
      </w:r>
    </w:p>
    <w:p>
      <w:pPr>
        <w:pStyle w:val="TextBody"/>
        <w:bidi w:val="0"/>
        <w:spacing w:before="69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PRELIMINARY PROSPECTUS </w:t>
      </w:r>
    </w:p>
    <w:p>
      <w:pPr>
        <w:pStyle w:val="TextBody"/>
        <w:bidi w:val="0"/>
        <w:spacing w:before="960" w:after="283"/>
        <w:jc w:val="center"/>
        <w:rPr>
          <w:color w:val="000000"/>
        </w:rPr>
      </w:pPr>
      <w:r>
        <w:rPr>
          <w:color w:val="000000"/>
        </w:rPr>
        <w:t>   </w:t>
      </w:r>
      <w:r>
        <w:rPr>
          <w:rFonts w:ascii="Times New Roman;Times;serif" w:hAnsi="Times New Roman;Times;serif"/>
          <w:b/>
          <w:color w:val="000000"/>
          <w:sz w:val="20"/>
        </w:rPr>
        <w:t>,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55620x1_s1_301-part2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13.</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expenses expected to be incurred by Rent the Runway, Inc. (the “registrant”) in connection with the issuance and distribution of the securities being registered under this registration statement are estimated to be as follows: </w:t>
      </w:r>
    </w:p>
    <w:tbl>
      <w:tblPr>
        <w:tblW w:w="5135" w:type="dxa"/>
        <w:jc w:val="left"/>
        <w:tblInd w:w="0" w:type="dxa"/>
        <w:tblLayout w:type="fixed"/>
        <w:tblCellMar>
          <w:top w:w="0" w:type="dxa"/>
          <w:left w:w="0" w:type="dxa"/>
          <w:bottom w:w="0" w:type="dxa"/>
          <w:right w:w="0" w:type="dxa"/>
        </w:tblCellMar>
      </w:tblPr>
      <w:tblGrid>
        <w:gridCol w:w="3770"/>
        <w:gridCol w:w="140"/>
        <w:gridCol w:w="140"/>
        <w:gridCol w:w="108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$1,913.75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agent’s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engraving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Subscription agent and information agent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w:t>
            </w:r>
            <w:r>
              <w:rPr>
                <w:rFonts w:ascii="Times New Roman;Times;serif" w:hAnsi="Times New Roman;Times;serif"/>
                <w:color w:val="000000"/>
                <w:sz w:val="20"/>
              </w:rPr>
              <w:t>*</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3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completed by amendment.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amounts set forth above, other than the registration fee, is an estimate. </w:t>
      </w:r>
    </w:p>
    <w:tbl>
      <w:tblPr>
        <w:tblW w:w="4255" w:type="dxa"/>
        <w:jc w:val="left"/>
        <w:tblInd w:w="0" w:type="dxa"/>
        <w:tblLayout w:type="fixed"/>
        <w:tblCellMar>
          <w:top w:w="0" w:type="dxa"/>
          <w:left w:w="0" w:type="dxa"/>
          <w:bottom w:w="0" w:type="dxa"/>
          <w:right w:w="0" w:type="dxa"/>
        </w:tblCellMar>
      </w:tblPr>
      <w:tblGrid>
        <w:gridCol w:w="710"/>
        <w:gridCol w:w="354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tbl>
      <w:tblPr>
        <w:tblW w:w="4045" w:type="dxa"/>
        <w:jc w:val="left"/>
        <w:tblInd w:w="0" w:type="dxa"/>
        <w:tblLayout w:type="fixed"/>
        <w:tblCellMar>
          <w:top w:w="0" w:type="dxa"/>
          <w:left w:w="0" w:type="dxa"/>
          <w:bottom w:w="0" w:type="dxa"/>
          <w:right w:w="0" w:type="dxa"/>
        </w:tblCellMar>
      </w:tblPr>
      <w:tblGrid>
        <w:gridCol w:w="710"/>
        <w:gridCol w:w="333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Recent Sales of Unregistered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31, 2023, the registrant entered into a Ninth Amendment (the “Credit Facility Amendment”) to its term loan agreement dated as of July 23, 2018, with Double Helix Pte Ltd. (“Double Helix”), an indirectly wholly owned subsidiary of Temasek Holdings (Private) Limited, as administrative agent for the lenders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55620x1_s1_301-part2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thereto (the “Lenders”) (as amended by the Credit Facility Amendment, the “Amended Credit Facility”). The Credit Facility Amendment provided for, among other things, (i) an extension of the maturity of the Amended Credit Facility to October 29, 2026, (ii) a reduction of the cash portion of the interest rate to 2.00% per annum through July 31, 2024, increasing to 5.00% per annum for the duration of the Amended Credit Facility (with the remainder of the total interest in each period to be paid in kind) and (iii) a 1.00% increase in the total interest rate on February 1, 2024 and on each subsequent one-year anniversary thereof for the duration of the Amended Credit Facility.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and as consideration for entering into the Credit Facility Amendment, on January 31, 2023, the registrant granted a warrant to Double Helix to purchase up to 2,000,000 shares of its Class A Common Stock, par value $0.001 per share, at an exercise price of $5.00 per share (the “Warrant”). The Warrant will expire on January 31, 2030 and may be net exercised at the holder’s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Warrant is exempt from registration pursuant to Section 4(a)(2) of the Securities Act of 1933, as amended (the “Securities Act”), and corresponding provisions of state securities or “blue sky” laws, as a transaction by an issuer not involving a public offering. Double Helix represented that it was acquiring the Warrant and shares of Class A Common Stock issuable upon exercise of the Warrant for investment for Double Helix’s account, not as a nominee or agent, and not with a view to the public resale or distribution within the meaning of the Securities Act. Accordingly, neither the Warrant nor the shares of Class A Common Stock issuable upon exercise of the Warrant have been registered under the Securities Act and such securities may not be offered or sold in the United States absent registration or an exemption from registration under the Securities Act and any applicable state securities laws. Appropriate legends were affixed to the securities issued in the transaction. </w:t>
      </w:r>
    </w:p>
    <w:tbl>
      <w:tblPr>
        <w:tblW w:w="4450" w:type="dxa"/>
        <w:jc w:val="left"/>
        <w:tblInd w:w="0" w:type="dxa"/>
        <w:tblLayout w:type="fixed"/>
        <w:tblCellMar>
          <w:top w:w="0" w:type="dxa"/>
          <w:left w:w="0" w:type="dxa"/>
          <w:bottom w:w="0" w:type="dxa"/>
          <w:right w:w="0" w:type="dxa"/>
        </w:tblCellMar>
      </w:tblPr>
      <w:tblGrid>
        <w:gridCol w:w="710"/>
        <w:gridCol w:w="374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(a) Exhibits.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Exhibit index on the page immediately preceding the signature page for a list of exhibits filed as part of this registration statement, which Exhibit index is incorporated herein by reference.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(b) Financial statement schedules.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financial statement schedules are omitted because they are not required or are not applicable, or the information is otherwise set forth in the consolidated financial statements and related notes thereto. </w:t>
      </w:r>
    </w:p>
    <w:tbl>
      <w:tblPr>
        <w:tblW w:w="1915" w:type="dxa"/>
        <w:jc w:val="left"/>
        <w:tblInd w:w="0" w:type="dxa"/>
        <w:tblLayout w:type="fixed"/>
        <w:tblCellMar>
          <w:top w:w="0" w:type="dxa"/>
          <w:left w:w="0" w:type="dxa"/>
          <w:bottom w:w="0" w:type="dxa"/>
          <w:right w:w="0" w:type="dxa"/>
        </w:tblCellMar>
      </w:tblPr>
      <w:tblGrid>
        <w:gridCol w:w="710"/>
        <w:gridCol w:w="120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15" w:type="dxa"/>
        <w:jc w:val="left"/>
        <w:tblInd w:w="0" w:type="dxa"/>
        <w:tblLayout w:type="fixed"/>
        <w:tblCellMar>
          <w:top w:w="0" w:type="dxa"/>
          <w:left w:w="0" w:type="dxa"/>
          <w:bottom w:w="0" w:type="dxa"/>
          <w:right w:w="0" w:type="dxa"/>
        </w:tblCellMar>
      </w:tblPr>
      <w:tblGrid>
        <w:gridCol w:w="200"/>
        <w:gridCol w:w="6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120" w:after="283"/>
        <w:ind w:left="80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w:t>
      </w:r>
      <w:r>
        <w:rPr>
          <w:rFonts w:ascii="Times New Roman;Times;serif" w:hAnsi="Times New Roman;Times;serif"/>
          <w:i/>
          <w:color w:val="000000"/>
          <w:sz w:val="20"/>
        </w:rPr>
        <w:t xml:space="preserve"> however</w:t>
      </w:r>
      <w:r>
        <w:rPr>
          <w:rFonts w:ascii="Times New Roman;Times;serif" w:hAnsi="Times New Roman;Times;serif"/>
          <w:i w:val="false"/>
          <w:caps w:val="false"/>
          <w:smallCaps w:val="false"/>
          <w:color w:val="000000"/>
          <w:sz w:val="20"/>
        </w:rPr>
        <w:t xml:space="preserve">, that paragraphs (i), (ii) and (iii) do not apply if the information required to be included in a post-effective amendment by those paragraphs is contained in periodic reports filed with or furnished to the Securities and Exchange Commission by the registrant pursuant to Section 13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55620x1_s1_301-part2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15(d) of the Securities Exchange Act of 1934, as amended (the “Exchange Act”), that are incorporated by reference in this registration statement.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this offering.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this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this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this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this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this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55620x1_s1_302-sig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0" w:name="tPOA"/>
      <w:bookmarkEnd w:id="60"/>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has duly caused this registration statement to be signed on its behalf by the undersigned, thereunto duly authorized, in the City of Brooklyn, State of New York, on September 18, 2025. </w:t>
      </w:r>
    </w:p>
    <w:tbl>
      <w:tblPr>
        <w:tblW w:w="381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RENT THE RUNWAY,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Jennifer Y. Hyman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Jennifer Y. Hyman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55620x1_s1_302-sig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KNOW ALL PERSONS BY THESE PRESENTS, that each person whose signature appears below constitutes and appoints Sid Thacker and Cara Schembri,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7085" w:type="dxa"/>
        <w:jc w:val="left"/>
        <w:tblInd w:w="0" w:type="dxa"/>
        <w:tblLayout w:type="fixed"/>
        <w:tblCellMar>
          <w:top w:w="0" w:type="dxa"/>
          <w:left w:w="0" w:type="dxa"/>
          <w:bottom w:w="0" w:type="dxa"/>
          <w:right w:w="0" w:type="dxa"/>
        </w:tblCellMar>
      </w:tblPr>
      <w:tblGrid>
        <w:gridCol w:w="1835"/>
        <w:gridCol w:w="140"/>
        <w:gridCol w:w="140"/>
        <w:gridCol w:w="2990"/>
        <w:gridCol w:w="140"/>
        <w:gridCol w:w="140"/>
        <w:gridCol w:w="1700"/>
      </w:tblGrid>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r>
        <w:trPr/>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Jennifer Y. Hyman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 and Director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Jennifer Y. Hyman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Sid Thacker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 and</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Sid Thacker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Tim Bixby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Tim Bixby</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Jennifer Fleiss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Jennifer Fleiss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Scott Friend</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Scott Friend</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Beth Kaplan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Beth Kaplan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Mike Roth</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Mike Roth</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color w:val="000000"/>
              </w:rPr>
            </w:pPr>
            <w:r>
              <w:rPr>
                <w:color w:val="000000"/>
              </w:rPr>
              <w:t> </w:t>
            </w:r>
          </w:p>
        </w:tc>
      </w:tr>
      <w:tr>
        <w:trPr/>
        <w:tc>
          <w:tcPr>
            <w:tcW w:w="1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Daniel Rosensweig</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29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September 18, 2025 </w:t>
            </w:r>
          </w:p>
        </w:tc>
      </w:tr>
      <w:tr>
        <w:trPr/>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Daniel Rosensweig</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299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55620x1_s1_303-exindex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860"/>
        <w:gridCol w:w="140"/>
        <w:gridCol w:w="140"/>
        <w:gridCol w:w="5621"/>
        <w:gridCol w:w="140"/>
        <w:gridCol w:w="140"/>
        <w:gridCol w:w="425"/>
        <w:gridCol w:w="140"/>
        <w:gridCol w:w="140"/>
        <w:gridCol w:w="746"/>
        <w:gridCol w:w="140"/>
        <w:gridCol w:w="140"/>
        <w:gridCol w:w="545"/>
        <w:gridCol w:w="140"/>
        <w:gridCol w:w="140"/>
        <w:gridCol w:w="608"/>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4" w:type="dxa"/>
            <w:gridSpan w:val="10"/>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File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860" w:type="dxa"/>
            <w:tcBorders/>
            <w:shd w:fill="CCEEFF" w:val="clear"/>
            <w:vAlign w:val="center"/>
          </w:tcPr>
          <w:p>
            <w:pPr>
              <w:pStyle w:val="TableContents"/>
              <w:bidi w:val="0"/>
              <w:spacing w:before="0" w:after="283"/>
              <w:jc w:val="center"/>
              <w:rPr/>
            </w:pPr>
            <w:hyperlink r:id="rId12">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Twelfth Amended and Restated Certificate of Incorporation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10/29/2021 </w:t>
            </w:r>
          </w:p>
        </w:tc>
      </w:tr>
      <w:tr>
        <w:trPr/>
        <w:tc>
          <w:tcPr>
            <w:tcW w:w="860" w:type="dxa"/>
            <w:tcBorders/>
            <w:vAlign w:val="center"/>
          </w:tcPr>
          <w:p>
            <w:pPr>
              <w:pStyle w:val="TableContents"/>
              <w:bidi w:val="0"/>
              <w:spacing w:before="0" w:after="283"/>
              <w:jc w:val="center"/>
              <w:rPr/>
            </w:pPr>
            <w:hyperlink r:id="rId13">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Amendment to Twelfth Amended &amp; Restated Certificate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04/02/2024 </w:t>
            </w:r>
          </w:p>
        </w:tc>
      </w:tr>
      <w:tr>
        <w:trPr/>
        <w:tc>
          <w:tcPr>
            <w:tcW w:w="860" w:type="dxa"/>
            <w:tcBorders/>
            <w:shd w:fill="CCEEFF" w:val="clear"/>
            <w:vAlign w:val="center"/>
          </w:tcPr>
          <w:p>
            <w:pPr>
              <w:pStyle w:val="TableContents"/>
              <w:bidi w:val="0"/>
              <w:spacing w:before="0" w:after="283"/>
              <w:jc w:val="center"/>
              <w:rPr/>
            </w:pPr>
            <w:hyperlink r:id="rId14">
              <w:r>
                <w:rPr>
                  <w:rStyle w:val="InternetLink"/>
                  <w:rFonts w:ascii="Times New Roman;Times;serif" w:hAnsi="Times New Roman;Times;serif"/>
                  <w:color w:val="000000"/>
                  <w:sz w:val="20"/>
                </w:rPr>
                <w:t>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&amp; Restated By-Laws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10/29/2021 </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Rights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color w:val="000000"/>
              </w:rPr>
            </w:pPr>
            <w:r>
              <w:rPr>
                <w:color w:val="000000"/>
              </w:rPr>
              <w:t xml:space="preserve">— </w:t>
            </w:r>
          </w:p>
        </w:tc>
      </w:tr>
      <w:tr>
        <w:trPr/>
        <w:tc>
          <w:tcPr>
            <w:tcW w:w="860" w:type="dxa"/>
            <w:tcBorders/>
            <w:shd w:fill="CCEEFF" w:val="clear"/>
            <w:vAlign w:val="center"/>
          </w:tcPr>
          <w:p>
            <w:pPr>
              <w:pStyle w:val="TableContents"/>
              <w:bidi w:val="0"/>
              <w:spacing w:before="0" w:after="283"/>
              <w:jc w:val="center"/>
              <w:rPr/>
            </w:pPr>
            <w:hyperlink r:id="rId15">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Specimen Class A Common Stock Certificate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10/04/2021 </w:t>
            </w:r>
          </w:p>
        </w:tc>
      </w:tr>
      <w:tr>
        <w:trPr/>
        <w:tc>
          <w:tcPr>
            <w:tcW w:w="860" w:type="dxa"/>
            <w:tcBorders/>
            <w:vAlign w:val="center"/>
          </w:tcPr>
          <w:p>
            <w:pPr>
              <w:pStyle w:val="TableContents"/>
              <w:bidi w:val="0"/>
              <w:spacing w:before="0" w:after="283"/>
              <w:jc w:val="center"/>
              <w:rPr/>
            </w:pPr>
            <w:hyperlink r:id="rId16">
              <w:r>
                <w:rPr>
                  <w:rStyle w:val="InternetLink"/>
                  <w:rFonts w:ascii="Times New Roman;Times;serif" w:hAnsi="Times New Roman;Times;serif"/>
                  <w:color w:val="000000"/>
                  <w:sz w:val="20"/>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Eighth Amended and Restated Investors’ Rights Agreement, dated April 30, 2020, by and among Rent the Runway, Inc. and certain of its stockholders, as amended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10/04/2021 </w:t>
            </w:r>
          </w:p>
        </w:tc>
      </w:tr>
      <w:tr>
        <w:trPr/>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Davis Polk &amp; Wardwell LLP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Davis Polk &amp; Wardwell LLP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color w:val="000000"/>
              </w:rPr>
            </w:pPr>
            <w:r>
              <w:rPr>
                <w:color w:val="000000"/>
              </w:rPr>
              <w:t xml:space="preserve">— </w:t>
            </w:r>
          </w:p>
        </w:tc>
      </w:tr>
      <w:tr>
        <w:trPr/>
        <w:tc>
          <w:tcPr>
            <w:tcW w:w="860" w:type="dxa"/>
            <w:tcBorders/>
            <w:shd w:fill="CCEEFF" w:val="clear"/>
            <w:vAlign w:val="center"/>
          </w:tcPr>
          <w:p>
            <w:pPr>
              <w:pStyle w:val="TableContents"/>
              <w:bidi w:val="0"/>
              <w:spacing w:before="0" w:after="283"/>
              <w:jc w:val="center"/>
              <w:rPr/>
            </w:pPr>
            <w:hyperlink r:id="rId17">
              <w:r>
                <w:rPr>
                  <w:rStyle w:val="InternetLink"/>
                  <w:rFonts w:ascii="Times New Roman;Times;serif" w:hAnsi="Times New Roman;Times;serif"/>
                  <w:color w:val="000000"/>
                  <w:sz w:val="20"/>
                </w:rPr>
                <w:t>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Agreement, dated August 20, 2025, by and between Rent the Runway, Inc. and CHS US Investments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08/21/2025 </w:t>
            </w:r>
          </w:p>
        </w:tc>
      </w:tr>
      <w:tr>
        <w:trPr/>
        <w:tc>
          <w:tcPr>
            <w:tcW w:w="860" w:type="dxa"/>
            <w:tcBorders/>
            <w:vAlign w:val="center"/>
          </w:tcPr>
          <w:p>
            <w:pPr>
              <w:pStyle w:val="TableContents"/>
              <w:bidi w:val="0"/>
              <w:spacing w:before="0" w:after="283"/>
              <w:jc w:val="center"/>
              <w:rPr/>
            </w:pPr>
            <w:hyperlink r:id="rId18">
              <w:r>
                <w:rPr>
                  <w:rStyle w:val="InternetLink"/>
                  <w:rFonts w:ascii="Times New Roman;Times;serif" w:hAnsi="Times New Roman;Times;serif"/>
                  <w:color w:val="000000"/>
                  <w:sz w:val="20"/>
                </w:rPr>
                <w:t>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Rights Agreement, dated August 20, 2025, by and among Rent the Runway, Inc., CHS US Investments LLC, Gateway Runway, LLC, S3 RR Aggregator, LLC and entities affiliated with Jennifer Hyman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08/21/2025 </w:t>
            </w:r>
          </w:p>
        </w:tc>
      </w:tr>
      <w:tr>
        <w:trPr/>
        <w:tc>
          <w:tcPr>
            <w:tcW w:w="860" w:type="dxa"/>
            <w:tcBorders/>
            <w:shd w:fill="CCEEFF" w:val="clear"/>
            <w:vAlign w:val="center"/>
          </w:tcPr>
          <w:p>
            <w:pPr>
              <w:pStyle w:val="TableContents"/>
              <w:bidi w:val="0"/>
              <w:spacing w:before="0" w:after="283"/>
              <w:jc w:val="center"/>
              <w:rPr/>
            </w:pPr>
            <w:hyperlink r:id="rId19">
              <w:r>
                <w:rPr>
                  <w:rStyle w:val="InternetLink"/>
                  <w:rFonts w:ascii="Times New Roman;Times;serif" w:hAnsi="Times New Roman;Times;serif"/>
                  <w:color w:val="000000"/>
                  <w:sz w:val="20"/>
                </w:rPr>
                <w:t>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 Offering Backstop Agreement, dated August 20, 2025, by and among Rent the Runway, Inc. and CHS US Investments LLC, Gateway Runway, LLC and S3 RR Aggregator,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08/21/2025 </w:t>
            </w:r>
          </w:p>
        </w:tc>
      </w:tr>
      <w:tr>
        <w:trPr/>
        <w:tc>
          <w:tcPr>
            <w:tcW w:w="860" w:type="dxa"/>
            <w:tcBorders/>
            <w:vAlign w:val="center"/>
          </w:tcPr>
          <w:p>
            <w:pPr>
              <w:pStyle w:val="TableContents"/>
              <w:bidi w:val="0"/>
              <w:spacing w:before="0" w:after="283"/>
              <w:jc w:val="center"/>
              <w:rPr/>
            </w:pPr>
            <w:hyperlink r:id="rId20">
              <w:r>
                <w:rPr>
                  <w:rStyle w:val="InternetLink"/>
                  <w:rFonts w:ascii="Times New Roman;Times;serif" w:hAnsi="Times New Roman;Times;serif"/>
                  <w:color w:val="000000"/>
                  <w:sz w:val="20"/>
                </w:rPr>
                <w:t>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Tenth Amendment to the Credit Agreement, dated December 1, 2023, by and among Rent the Runway, Inc., the lenders from time to time party thereto and Double Helix Pte Ltd., as administrative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04/15/2025 </w:t>
            </w:r>
          </w:p>
        </w:tc>
      </w:tr>
      <w:tr>
        <w:trPr/>
        <w:tc>
          <w:tcPr>
            <w:tcW w:w="860" w:type="dxa"/>
            <w:tcBorders/>
            <w:shd w:fill="CCEEFF" w:val="clear"/>
            <w:vAlign w:val="center"/>
          </w:tcPr>
          <w:p>
            <w:pPr>
              <w:pStyle w:val="TableContents"/>
              <w:bidi w:val="0"/>
              <w:spacing w:before="0" w:after="283"/>
              <w:jc w:val="center"/>
              <w:rPr/>
            </w:pPr>
            <w:hyperlink r:id="rId21">
              <w:r>
                <w:rPr>
                  <w:rStyle w:val="InternetLink"/>
                  <w:rFonts w:ascii="Times New Roman;Times;serif" w:hAnsi="Times New Roman;Times;serif"/>
                  <w:color w:val="000000"/>
                  <w:sz w:val="20"/>
                </w:rPr>
                <w:t>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Eleventh Amendment to the Credit Agreement, dated March 31, 2025, by and among Rent the Runway, Inc., the lenders from time to time party thereto and CHS (US) Management LLC, as administrative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06/06/2025 </w:t>
            </w:r>
          </w:p>
        </w:tc>
      </w:tr>
      <w:tr>
        <w:trPr/>
        <w:tc>
          <w:tcPr>
            <w:tcW w:w="860" w:type="dxa"/>
            <w:tcBorders/>
            <w:vAlign w:val="center"/>
          </w:tcPr>
          <w:p>
            <w:pPr>
              <w:pStyle w:val="TableContents"/>
              <w:bidi w:val="0"/>
              <w:spacing w:before="0" w:after="283"/>
              <w:jc w:val="center"/>
              <w:rPr/>
            </w:pPr>
            <w:hyperlink r:id="rId22">
              <w:r>
                <w:rPr>
                  <w:rStyle w:val="InternetLink"/>
                  <w:rFonts w:ascii="Times New Roman;Times;serif" w:hAnsi="Times New Roman;Times;serif"/>
                  <w:color w:val="000000"/>
                  <w:sz w:val="20"/>
                </w:rPr>
                <w:t>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Twelfth Amendment to the Credit Agreement, dated May 29, 2025, by and among Rent the Runway, Inc., the lenders from time to time party thereto and CHS (US) Management LLC, as administrative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09/12/2025 </w:t>
            </w:r>
          </w:p>
        </w:tc>
      </w:tr>
      <w:tr>
        <w:trPr/>
        <w:tc>
          <w:tcPr>
            <w:tcW w:w="860" w:type="dxa"/>
            <w:tcBorders/>
            <w:shd w:fill="CCEEFF" w:val="clear"/>
            <w:vAlign w:val="center"/>
          </w:tcPr>
          <w:p>
            <w:pPr>
              <w:pStyle w:val="TableContents"/>
              <w:bidi w:val="0"/>
              <w:spacing w:before="0" w:after="283"/>
              <w:jc w:val="center"/>
              <w:rPr/>
            </w:pPr>
            <w:hyperlink r:id="rId23">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Thirteenth Amendment to the Credit Agreement, dated July 31, 2025, by and among Rent the Runway, Inc., the lenders from time to time party thereto and CHS (US) Management LLC, as administrative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09/12/2025 </w:t>
            </w:r>
          </w:p>
        </w:tc>
      </w:tr>
      <w:tr>
        <w:trPr/>
        <w:tc>
          <w:tcPr>
            <w:tcW w:w="860" w:type="dxa"/>
            <w:tcBorders/>
            <w:vAlign w:val="center"/>
          </w:tcPr>
          <w:p>
            <w:pPr>
              <w:pStyle w:val="TableContents"/>
              <w:bidi w:val="0"/>
              <w:spacing w:before="0" w:after="283"/>
              <w:jc w:val="center"/>
              <w:rPr/>
            </w:pPr>
            <w:hyperlink r:id="rId24">
              <w:r>
                <w:rPr>
                  <w:rStyle w:val="InternetLink"/>
                  <w:rFonts w:ascii="Times New Roman;Times;serif" w:hAnsi="Times New Roman;Times;serif"/>
                  <w:color w:val="000000"/>
                  <w:sz w:val="20"/>
                </w:rPr>
                <w:t>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Fourteenth Amendment to the Credit Agreement, dated August 20, 2025, by and among Rent the Runway, Inc., the lenders from time to time party thereto and CHS (US) Management LLC, as administrative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08/21/2025 </w:t>
            </w:r>
          </w:p>
        </w:tc>
      </w:tr>
      <w:tr>
        <w:trPr/>
        <w:tc>
          <w:tcPr>
            <w:tcW w:w="860" w:type="dxa"/>
            <w:tcBorders/>
            <w:shd w:fill="CCEEFF" w:val="clear"/>
            <w:vAlign w:val="center"/>
          </w:tcPr>
          <w:p>
            <w:pPr>
              <w:pStyle w:val="TableContents"/>
              <w:bidi w:val="0"/>
              <w:spacing w:before="0" w:after="283"/>
              <w:jc w:val="center"/>
              <w:rPr/>
            </w:pPr>
            <w:hyperlink r:id="rId25">
              <w:r>
                <w:rPr>
                  <w:rStyle w:val="InternetLink"/>
                  <w:rFonts w:ascii="Times New Roman;Times;serif" w:hAnsi="Times New Roman;Times;serif"/>
                  <w:color w:val="000000"/>
                  <w:sz w:val="20"/>
                </w:rPr>
                <w:t>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Agreement, dated October 29, 2021, by and among Rent the Runway, Inc., Jennifer Hyman, entities affiliated with Bain Capital Ventures, entities affiliated with Highland Capital Partners and certain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10/29/2021 </w:t>
            </w:r>
          </w:p>
        </w:tc>
      </w:tr>
      <w:tr>
        <w:trPr/>
        <w:tc>
          <w:tcPr>
            <w:tcW w:w="860" w:type="dxa"/>
            <w:tcBorders/>
            <w:vAlign w:val="center"/>
          </w:tcPr>
          <w:p>
            <w:pPr>
              <w:pStyle w:val="TableContents"/>
              <w:bidi w:val="0"/>
              <w:spacing w:before="0" w:after="283"/>
              <w:jc w:val="center"/>
              <w:rPr/>
            </w:pPr>
            <w:hyperlink r:id="rId26">
              <w:r>
                <w:rPr>
                  <w:rStyle w:val="InternetLink"/>
                  <w:rFonts w:ascii="Times New Roman;Times;serif" w:hAnsi="Times New Roman;Times;serif"/>
                  <w:color w:val="000000"/>
                  <w:sz w:val="20"/>
                </w:rPr>
                <w:t>10.10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dated July 7, 2014, by and between Hartz Metro Leasehold I LLC and Rent the Runway,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10/04/2021 </w:t>
            </w:r>
          </w:p>
        </w:tc>
      </w:tr>
      <w:tr>
        <w:trPr/>
        <w:tc>
          <w:tcPr>
            <w:tcW w:w="860" w:type="dxa"/>
            <w:tcBorders/>
            <w:shd w:fill="CCEEFF" w:val="clear"/>
            <w:vAlign w:val="center"/>
          </w:tcPr>
          <w:p>
            <w:pPr>
              <w:pStyle w:val="TableContents"/>
              <w:bidi w:val="0"/>
              <w:spacing w:before="0" w:after="283"/>
              <w:jc w:val="center"/>
              <w:rPr/>
            </w:pPr>
            <w:hyperlink r:id="rId27">
              <w:r>
                <w:rPr>
                  <w:rStyle w:val="InternetLink"/>
                  <w:rFonts w:ascii="Times New Roman;Times;serif" w:hAnsi="Times New Roman;Times;serif"/>
                  <w:color w:val="000000"/>
                  <w:sz w:val="20"/>
                </w:rPr>
                <w:t>10.11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 Lease, dated March 31, 2018, by and between CPF BARDIN JV LP and Rent the Runway,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10/04/2021 </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55620x1_s1_303-exindex_pg2"/>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0"/>
        <w:gridCol w:w="140"/>
        <w:gridCol w:w="140"/>
        <w:gridCol w:w="5521"/>
        <w:gridCol w:w="140"/>
        <w:gridCol w:w="140"/>
        <w:gridCol w:w="445"/>
        <w:gridCol w:w="140"/>
        <w:gridCol w:w="140"/>
        <w:gridCol w:w="777"/>
        <w:gridCol w:w="140"/>
        <w:gridCol w:w="140"/>
        <w:gridCol w:w="545"/>
        <w:gridCol w:w="140"/>
        <w:gridCol w:w="140"/>
        <w:gridCol w:w="657"/>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gridSpan w:val="10"/>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File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860" w:type="dxa"/>
            <w:tcBorders/>
            <w:shd w:fill="CCEEFF" w:val="clear"/>
            <w:vAlign w:val="center"/>
          </w:tcPr>
          <w:p>
            <w:pPr>
              <w:pStyle w:val="TableContents"/>
              <w:bidi w:val="0"/>
              <w:spacing w:before="0" w:after="283"/>
              <w:jc w:val="center"/>
              <w:rPr/>
            </w:pPr>
            <w:hyperlink r:id="rId28">
              <w:r>
                <w:rPr>
                  <w:rStyle w:val="InternetLink"/>
                  <w:rFonts w:ascii="Times New Roman;Times;serif" w:hAnsi="Times New Roman;Times;serif"/>
                  <w:color w:val="000000"/>
                  <w:sz w:val="20"/>
                </w:rPr>
                <w:t>10.12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dated April 1, 2019, by and between 10 Jay Master Tenant LLC and Rent the Runway,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10/04/2021 </w:t>
            </w:r>
          </w:p>
        </w:tc>
      </w:tr>
      <w:tr>
        <w:trPr/>
        <w:tc>
          <w:tcPr>
            <w:tcW w:w="860" w:type="dxa"/>
            <w:tcBorders/>
            <w:vAlign w:val="center"/>
          </w:tcPr>
          <w:p>
            <w:pPr>
              <w:pStyle w:val="TableContents"/>
              <w:bidi w:val="0"/>
              <w:spacing w:before="0" w:after="283"/>
              <w:jc w:val="center"/>
              <w:rPr/>
            </w:pPr>
            <w:hyperlink r:id="rId29">
              <w:r>
                <w:rPr>
                  <w:rStyle w:val="InternetLink"/>
                  <w:rFonts w:ascii="Times New Roman;Times;serif" w:hAnsi="Times New Roman;Times;serif"/>
                  <w:color w:val="000000"/>
                  <w:sz w:val="20"/>
                </w:rPr>
                <w:t>10.13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Partial Termination and Second Amendment of Lease, dated February 16, 2022, by and between 10 Jay Master Tenant LLC and Rent the Runway,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04/14/2022 </w:t>
            </w:r>
          </w:p>
        </w:tc>
      </w:tr>
      <w:tr>
        <w:trPr/>
        <w:tc>
          <w:tcPr>
            <w:tcW w:w="860" w:type="dxa"/>
            <w:tcBorders/>
            <w:shd w:fill="CCEEFF" w:val="clear"/>
            <w:vAlign w:val="center"/>
          </w:tcPr>
          <w:p>
            <w:pPr>
              <w:pStyle w:val="TableContents"/>
              <w:bidi w:val="0"/>
              <w:spacing w:before="0" w:after="283"/>
              <w:jc w:val="center"/>
              <w:rPr/>
            </w:pPr>
            <w:hyperlink r:id="rId30">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2009 Stock Incentive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31">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Incentive Stock Option Agreement (2009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shd w:fill="CCEEFF" w:val="clear"/>
            <w:vAlign w:val="center"/>
          </w:tcPr>
          <w:p>
            <w:pPr>
              <w:pStyle w:val="TableContents"/>
              <w:bidi w:val="0"/>
              <w:spacing w:before="0" w:after="283"/>
              <w:jc w:val="center"/>
              <w:rPr/>
            </w:pPr>
            <w:hyperlink r:id="rId32">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Nonstatutory Stock Option Agreement (2009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33">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2019 Stock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shd w:fill="CCEEFF" w:val="clear"/>
            <w:vAlign w:val="center"/>
          </w:tcPr>
          <w:p>
            <w:pPr>
              <w:pStyle w:val="TableContents"/>
              <w:bidi w:val="0"/>
              <w:spacing w:before="0" w:after="283"/>
              <w:jc w:val="center"/>
              <w:rPr/>
            </w:pPr>
            <w:hyperlink r:id="rId34">
              <w:r>
                <w:rPr>
                  <w:rStyle w:val="InternetLink"/>
                  <w:rFonts w:ascii="Times New Roman;Times;serif" w:hAnsi="Times New Roman;Times;serif"/>
                  <w:color w:val="000000"/>
                  <w:sz w:val="20"/>
                </w:rPr>
                <w:t>10.18+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Incentive Stock Option Agreement (2019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35">
              <w:r>
                <w:rPr>
                  <w:rStyle w:val="InternetLink"/>
                  <w:rFonts w:ascii="Times New Roman;Times;serif" w:hAnsi="Times New Roman;Times;serif"/>
                  <w:color w:val="000000"/>
                  <w:sz w:val="20"/>
                </w:rPr>
                <w:t>10.19+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Nonstatutory Stock Option Agreement (2019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shd w:fill="CCEEFF" w:val="clear"/>
            <w:vAlign w:val="center"/>
          </w:tcPr>
          <w:p>
            <w:pPr>
              <w:pStyle w:val="TableContents"/>
              <w:bidi w:val="0"/>
              <w:spacing w:before="0" w:after="283"/>
              <w:jc w:val="center"/>
              <w:rPr/>
            </w:pPr>
            <w:hyperlink r:id="rId36">
              <w:r>
                <w:rPr>
                  <w:rStyle w:val="InternetLink"/>
                  <w:rFonts w:ascii="Times New Roman;Times;serif" w:hAnsi="Times New Roman;Times;serif"/>
                  <w:color w:val="000000"/>
                  <w:sz w:val="20"/>
                </w:rPr>
                <w:t>10.20+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Agreement (2019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37">
              <w:r>
                <w:rPr>
                  <w:rStyle w:val="InternetLink"/>
                  <w:rFonts w:ascii="Times New Roman;Times;serif" w:hAnsi="Times New Roman;Times;serif"/>
                  <w:color w:val="000000"/>
                  <w:sz w:val="20"/>
                </w:rPr>
                <w:t>10.21+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2021 Incentive Award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10/22/2021 </w:t>
            </w:r>
          </w:p>
        </w:tc>
      </w:tr>
      <w:tr>
        <w:trPr/>
        <w:tc>
          <w:tcPr>
            <w:tcW w:w="860" w:type="dxa"/>
            <w:tcBorders/>
            <w:shd w:fill="CCEEFF" w:val="clear"/>
            <w:vAlign w:val="center"/>
          </w:tcPr>
          <w:p>
            <w:pPr>
              <w:pStyle w:val="TableContents"/>
              <w:bidi w:val="0"/>
              <w:spacing w:before="0" w:after="283"/>
              <w:jc w:val="center"/>
              <w:rPr/>
            </w:pPr>
            <w:hyperlink r:id="rId38">
              <w:r>
                <w:rPr>
                  <w:rStyle w:val="InternetLink"/>
                  <w:rFonts w:ascii="Times New Roman;Times;serif" w:hAnsi="Times New Roman;Times;serif"/>
                  <w:color w:val="000000"/>
                  <w:sz w:val="20"/>
                </w:rPr>
                <w:t>10.22+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Stock Option Agreement (2021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39">
              <w:r>
                <w:rPr>
                  <w:rStyle w:val="InternetLink"/>
                  <w:rFonts w:ascii="Times New Roman;Times;serif" w:hAnsi="Times New Roman;Times;serif"/>
                  <w:color w:val="000000"/>
                  <w:sz w:val="20"/>
                </w:rPr>
                <w:t>10.23+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Agreement (2021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shd w:fill="CCEEFF" w:val="clear"/>
            <w:vAlign w:val="center"/>
          </w:tcPr>
          <w:p>
            <w:pPr>
              <w:pStyle w:val="TableContents"/>
              <w:bidi w:val="0"/>
              <w:spacing w:before="0" w:after="283"/>
              <w:jc w:val="center"/>
              <w:rPr/>
            </w:pPr>
            <w:hyperlink r:id="rId40">
              <w:r>
                <w:rPr>
                  <w:rStyle w:val="InternetLink"/>
                  <w:rFonts w:ascii="Times New Roman;Times;serif" w:hAnsi="Times New Roman;Times;serif"/>
                  <w:color w:val="000000"/>
                  <w:sz w:val="20"/>
                </w:rPr>
                <w:t>10.24+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Agreement (2021 Plan) (Mandatory Sell-to-Cover Election)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41">
              <w:r>
                <w:rPr>
                  <w:rStyle w:val="InternetLink"/>
                  <w:rFonts w:ascii="Times New Roman;Times;serif" w:hAnsi="Times New Roman;Times;serif"/>
                  <w:color w:val="000000"/>
                  <w:sz w:val="20"/>
                </w:rPr>
                <w:t>10.25+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Indemnification Agreement between Rent the Runway, Inc. and each of its directors and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shd w:fill="CCEEFF" w:val="clear"/>
            <w:vAlign w:val="center"/>
          </w:tcPr>
          <w:p>
            <w:pPr>
              <w:pStyle w:val="TableContents"/>
              <w:bidi w:val="0"/>
              <w:spacing w:before="0" w:after="283"/>
              <w:jc w:val="center"/>
              <w:rPr/>
            </w:pPr>
            <w:hyperlink r:id="rId42">
              <w:r>
                <w:rPr>
                  <w:rStyle w:val="InternetLink"/>
                  <w:rFonts w:ascii="Times New Roman;Times;serif" w:hAnsi="Times New Roman;Times;serif"/>
                  <w:color w:val="000000"/>
                  <w:sz w:val="20"/>
                </w:rPr>
                <w:t>10.26+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Non-Employee Director Compensation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4/15/2025 </w:t>
            </w:r>
          </w:p>
        </w:tc>
      </w:tr>
      <w:tr>
        <w:trPr/>
        <w:tc>
          <w:tcPr>
            <w:tcW w:w="860" w:type="dxa"/>
            <w:tcBorders/>
            <w:vAlign w:val="center"/>
          </w:tcPr>
          <w:p>
            <w:pPr>
              <w:pStyle w:val="TableContents"/>
              <w:bidi w:val="0"/>
              <w:spacing w:before="0" w:after="283"/>
              <w:jc w:val="center"/>
              <w:rPr/>
            </w:pPr>
            <w:hyperlink r:id="rId43">
              <w:r>
                <w:rPr>
                  <w:rStyle w:val="InternetLink"/>
                  <w:rFonts w:ascii="Times New Roman;Times;serif" w:hAnsi="Times New Roman;Times;serif"/>
                  <w:color w:val="000000"/>
                  <w:sz w:val="20"/>
                </w:rPr>
                <w:t>10.27+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 Employee Stock Purchase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10/22/2021 </w:t>
            </w:r>
          </w:p>
        </w:tc>
      </w:tr>
      <w:tr>
        <w:trPr/>
        <w:tc>
          <w:tcPr>
            <w:tcW w:w="860" w:type="dxa"/>
            <w:tcBorders/>
            <w:shd w:fill="CCEEFF" w:val="clear"/>
            <w:vAlign w:val="center"/>
          </w:tcPr>
          <w:p>
            <w:pPr>
              <w:pStyle w:val="TableContents"/>
              <w:bidi w:val="0"/>
              <w:spacing w:before="0" w:after="283"/>
              <w:jc w:val="center"/>
              <w:rPr/>
            </w:pPr>
            <w:hyperlink r:id="rId44">
              <w:r>
                <w:rPr>
                  <w:rStyle w:val="InternetLink"/>
                  <w:rFonts w:ascii="Times New Roman;Times;serif" w:hAnsi="Times New Roman;Times;serif"/>
                  <w:color w:val="000000"/>
                  <w:sz w:val="20"/>
                </w:rPr>
                <w:t>10.28+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Employment Agreement, by and between Rent the Runway, Inc. and Jennifer Y. Hyman, dated October 5,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333-260027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10/18/2021 </w:t>
            </w:r>
          </w:p>
        </w:tc>
      </w:tr>
      <w:tr>
        <w:trPr/>
        <w:tc>
          <w:tcPr>
            <w:tcW w:w="860" w:type="dxa"/>
            <w:tcBorders/>
            <w:vAlign w:val="center"/>
          </w:tcPr>
          <w:p>
            <w:pPr>
              <w:pStyle w:val="TableContents"/>
              <w:bidi w:val="0"/>
              <w:spacing w:before="0" w:after="283"/>
              <w:jc w:val="center"/>
              <w:rPr/>
            </w:pPr>
            <w:hyperlink r:id="rId45">
              <w:r>
                <w:rPr>
                  <w:rStyle w:val="InternetLink"/>
                  <w:rFonts w:ascii="Times New Roman;Times;serif" w:hAnsi="Times New Roman;Times;serif"/>
                  <w:color w:val="000000"/>
                  <w:sz w:val="20"/>
                </w:rPr>
                <w:t>10.29+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Amended and Restated Employment Agreement by and between Rent the Runway, Inc. and Jennifer Y. Hyman, dated May 18,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6/10/2022 </w:t>
            </w:r>
          </w:p>
        </w:tc>
      </w:tr>
      <w:tr>
        <w:trPr/>
        <w:tc>
          <w:tcPr>
            <w:tcW w:w="860" w:type="dxa"/>
            <w:tcBorders/>
            <w:shd w:fill="CCEEFF" w:val="clear"/>
            <w:vAlign w:val="center"/>
          </w:tcPr>
          <w:p>
            <w:pPr>
              <w:pStyle w:val="TableContents"/>
              <w:bidi w:val="0"/>
              <w:spacing w:before="0" w:after="283"/>
              <w:jc w:val="center"/>
              <w:rPr/>
            </w:pPr>
            <w:hyperlink r:id="rId46">
              <w:r>
                <w:rPr>
                  <w:rStyle w:val="InternetLink"/>
                  <w:rFonts w:ascii="Times New Roman;Times;serif" w:hAnsi="Times New Roman;Times;serif"/>
                  <w:color w:val="000000"/>
                  <w:sz w:val="20"/>
                </w:rPr>
                <w:t>10.30+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Amended and Restated Employment Agreement by and between Rent the Runway, Inc. and Jennifer Y. Hyman, dated February 25,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4/15/2025 </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Amended and Restated Employment Agreement by and between Rent the Runway, Inc. and Jennifer Y. Hyman, dated August 20,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color w:val="000000"/>
              </w:rPr>
            </w:pPr>
            <w:r>
              <w:rPr>
                <w:color w:val="000000"/>
              </w:rPr>
              <w:t xml:space="preserve">— </w:t>
            </w:r>
          </w:p>
        </w:tc>
      </w:tr>
      <w:tr>
        <w:trPr/>
        <w:tc>
          <w:tcPr>
            <w:tcW w:w="860" w:type="dxa"/>
            <w:tcBorders/>
            <w:shd w:fill="CCEEFF" w:val="clear"/>
            <w:vAlign w:val="center"/>
          </w:tcPr>
          <w:p>
            <w:pPr>
              <w:pStyle w:val="TableContents"/>
              <w:bidi w:val="0"/>
              <w:spacing w:before="0" w:after="283"/>
              <w:jc w:val="center"/>
              <w:rPr/>
            </w:pPr>
            <w:hyperlink r:id="rId47">
              <w:r>
                <w:rPr>
                  <w:rStyle w:val="InternetLink"/>
                  <w:rFonts w:ascii="Times New Roman;Times;serif" w:hAnsi="Times New Roman;Times;serif"/>
                  <w:color w:val="000000"/>
                  <w:sz w:val="20"/>
                </w:rPr>
                <w:t>10.32+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Retention Bonus Letter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12/06/2023 </w:t>
            </w:r>
          </w:p>
        </w:tc>
      </w:tr>
      <w:tr>
        <w:trPr/>
        <w:tc>
          <w:tcPr>
            <w:tcW w:w="860" w:type="dxa"/>
            <w:tcBorders/>
            <w:vAlign w:val="center"/>
          </w:tcPr>
          <w:p>
            <w:pPr>
              <w:pStyle w:val="TableContents"/>
              <w:bidi w:val="0"/>
              <w:spacing w:before="0" w:after="283"/>
              <w:jc w:val="center"/>
              <w:rPr/>
            </w:pPr>
            <w:hyperlink r:id="rId48">
              <w:r>
                <w:rPr>
                  <w:rStyle w:val="InternetLink"/>
                  <w:rFonts w:ascii="Times New Roman;Times;serif" w:hAnsi="Times New Roman;Times;serif"/>
                  <w:color w:val="000000"/>
                  <w:sz w:val="20"/>
                </w:rPr>
                <w:t>10.33+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Officer Letter Amendment, between Rent the Runway, Inc. and Siddharth Thacker, dated April 11,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4/12/2023 </w:t>
            </w:r>
          </w:p>
        </w:tc>
      </w:tr>
      <w:tr>
        <w:trPr/>
        <w:tc>
          <w:tcPr>
            <w:tcW w:w="860" w:type="dxa"/>
            <w:tcBorders/>
            <w:shd w:fill="CCEEFF" w:val="clear"/>
            <w:vAlign w:val="center"/>
          </w:tcPr>
          <w:p>
            <w:pPr>
              <w:pStyle w:val="TableContents"/>
              <w:bidi w:val="0"/>
              <w:spacing w:before="0" w:after="283"/>
              <w:jc w:val="center"/>
              <w:rPr/>
            </w:pPr>
            <w:hyperlink r:id="rId49">
              <w:r>
                <w:rPr>
                  <w:rStyle w:val="InternetLink"/>
                  <w:rFonts w:ascii="Times New Roman;Times;serif" w:hAnsi="Times New Roman;Times;serif"/>
                  <w:color w:val="000000"/>
                  <w:sz w:val="20"/>
                </w:rPr>
                <w:t>10.34+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Executive Severance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4/11/2024 </w:t>
            </w:r>
          </w:p>
        </w:tc>
      </w:tr>
      <w:tr>
        <w:trPr/>
        <w:tc>
          <w:tcPr>
            <w:tcW w:w="860" w:type="dxa"/>
            <w:tcBorders/>
            <w:vAlign w:val="center"/>
          </w:tcPr>
          <w:p>
            <w:pPr>
              <w:pStyle w:val="TableContents"/>
              <w:bidi w:val="0"/>
              <w:spacing w:before="0" w:after="283"/>
              <w:jc w:val="center"/>
              <w:rPr/>
            </w:pPr>
            <w:hyperlink r:id="rId50">
              <w:r>
                <w:rPr>
                  <w:rStyle w:val="InternetLink"/>
                  <w:rFonts w:ascii="Times New Roman;Times;serif" w:hAnsi="Times New Roman;Times;serif"/>
                  <w:color w:val="000000"/>
                  <w:sz w:val="20"/>
                </w:rPr>
                <w:t>10.35+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Bonus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05/21/2024 </w:t>
            </w:r>
          </w:p>
        </w:tc>
      </w:tr>
      <w:tr>
        <w:trPr/>
        <w:tc>
          <w:tcPr>
            <w:tcW w:w="860" w:type="dxa"/>
            <w:tcBorders/>
            <w:shd w:fill="CCEEFF" w:val="clear"/>
            <w:vAlign w:val="center"/>
          </w:tcPr>
          <w:p>
            <w:pPr>
              <w:pStyle w:val="TableContents"/>
              <w:bidi w:val="0"/>
              <w:spacing w:before="0" w:after="283"/>
              <w:jc w:val="center"/>
              <w:rPr/>
            </w:pPr>
            <w:hyperlink r:id="rId51">
              <w:r>
                <w:rPr>
                  <w:rStyle w:val="InternetLink"/>
                  <w:rFonts w:ascii="Times New Roman;Times;serif" w:hAnsi="Times New Roman;Times;serif"/>
                  <w:color w:val="000000"/>
                  <w:sz w:val="20"/>
                </w:rPr>
                <w:t>10.36+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to Transaction Bonus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09/12/2025 </w:t>
            </w:r>
          </w:p>
        </w:tc>
      </w:tr>
      <w:tr>
        <w:trPr/>
        <w:tc>
          <w:tcPr>
            <w:tcW w:w="860" w:type="dxa"/>
            <w:tcBorders/>
            <w:vAlign w:val="center"/>
          </w:tcPr>
          <w:p>
            <w:pPr>
              <w:pStyle w:val="TableContents"/>
              <w:bidi w:val="0"/>
              <w:spacing w:before="0" w:after="283"/>
              <w:jc w:val="center"/>
              <w:rPr/>
            </w:pPr>
            <w:hyperlink r:id="rId52">
              <w:r>
                <w:rPr>
                  <w:rStyle w:val="InternetLink"/>
                  <w:rFonts w:ascii="Times New Roman;Times;serif" w:hAnsi="Times New Roman;Times;serif"/>
                  <w:color w:val="000000"/>
                  <w:sz w:val="20"/>
                </w:rPr>
                <w:t>10.37+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2 to Transaction Bonus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08/21/2025 </w:t>
            </w:r>
          </w:p>
        </w:tc>
      </w:tr>
      <w:tr>
        <w:trPr/>
        <w:tc>
          <w:tcPr>
            <w:tcW w:w="860" w:type="dxa"/>
            <w:tcBorders/>
            <w:shd w:fill="CCEEFF" w:val="clear"/>
            <w:vAlign w:val="center"/>
          </w:tcPr>
          <w:p>
            <w:pPr>
              <w:pStyle w:val="TableContents"/>
              <w:bidi w:val="0"/>
              <w:spacing w:before="0" w:after="283"/>
              <w:jc w:val="center"/>
              <w:rPr/>
            </w:pPr>
            <w:hyperlink r:id="rId53">
              <w:r>
                <w:rPr>
                  <w:rStyle w:val="InternetLink"/>
                  <w:rFonts w:ascii="Times New Roman;Times;serif" w:hAnsi="Times New Roman;Times;serif"/>
                  <w:color w:val="000000"/>
                  <w:sz w:val="20"/>
                </w:rPr>
                <w:t>10.38+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Special Retention Program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4/15/2025 </w:t>
            </w:r>
          </w:p>
        </w:tc>
      </w:tr>
      <w:tr>
        <w:trPr/>
        <w:tc>
          <w:tcPr>
            <w:tcW w:w="860" w:type="dxa"/>
            <w:tcBorders/>
            <w:vAlign w:val="center"/>
          </w:tcPr>
          <w:p>
            <w:pPr>
              <w:pStyle w:val="TableContents"/>
              <w:bidi w:val="0"/>
              <w:spacing w:before="0" w:after="283"/>
              <w:jc w:val="center"/>
              <w:rPr/>
            </w:pPr>
            <w:hyperlink r:id="rId54">
              <w:r>
                <w:rPr>
                  <w:rStyle w:val="InternetLink"/>
                  <w:rFonts w:ascii="Times New Roman;Times;serif" w:hAnsi="Times New Roman;Times;serif"/>
                  <w:color w:val="000000"/>
                  <w:sz w:val="20"/>
                </w:rPr>
                <w:t>21.1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Subsidiaries of the registrant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001-40958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04/15/2025 </w:t>
            </w:r>
          </w:p>
        </w:tc>
      </w:tr>
      <w:tr>
        <w:trPr/>
        <w:tc>
          <w:tcPr>
            <w:tcW w:w="860" w:type="dxa"/>
            <w:tcBorders/>
            <w:shd w:fill="CCEEFF" w:val="clear"/>
            <w:vAlign w:val="center"/>
          </w:tcPr>
          <w:p>
            <w:pPr>
              <w:pStyle w:val="TableContents"/>
              <w:bidi w:val="0"/>
              <w:spacing w:before="0" w:after="283"/>
              <w:jc w:val="center"/>
              <w:rPr/>
            </w:pPr>
            <w:hyperlink w:anchor="ny20055620x1_ex23-1.htm">
              <w:r>
                <w:rPr>
                  <w:rStyle w:val="InternetLink"/>
                  <w:rFonts w:ascii="Times New Roman;Times;serif" w:hAnsi="Times New Roman;Times;serif"/>
                  <w:color w:val="000000"/>
                  <w:sz w:val="20"/>
                </w:rPr>
                <w:t>23.1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PricewaterhouseCoopers LLP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color w:val="000000"/>
              </w:rPr>
            </w:pPr>
            <w:r>
              <w:rPr>
                <w:color w:val="000000"/>
              </w:rPr>
              <w:t>—</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Davis Polk &amp; Wardwell LLP (included in Exhibits 5.1 and 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color w:val="000000"/>
              </w:rPr>
            </w:pPr>
            <w:r>
              <w:rPr>
                <w:color w:val="000000"/>
              </w:rPr>
              <w:t>—</w:t>
            </w:r>
          </w:p>
        </w:tc>
      </w:tr>
      <w:tr>
        <w:trPr/>
        <w:tc>
          <w:tcPr>
            <w:tcW w:w="860" w:type="dxa"/>
            <w:tcBorders/>
            <w:shd w:fill="CCEEFF" w:val="clear"/>
            <w:vAlign w:val="center"/>
          </w:tcPr>
          <w:p>
            <w:pPr>
              <w:pStyle w:val="TableContents"/>
              <w:bidi w:val="0"/>
              <w:spacing w:before="0" w:after="283"/>
              <w:jc w:val="center"/>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signature page)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color w:val="000000"/>
              </w:rPr>
            </w:pPr>
            <w:r>
              <w:rPr>
                <w:color w:val="000000"/>
              </w:rPr>
              <w:t>—</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Instructions for Use of Rent the Runway, Inc.’s Rights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color w:val="000000"/>
              </w:rPr>
            </w:pPr>
            <w:r>
              <w:rPr>
                <w:color w:val="000000"/>
              </w:rPr>
              <w:t>—</w:t>
            </w:r>
          </w:p>
        </w:tc>
      </w:tr>
      <w:tr>
        <w:trPr/>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Letter to Stockholders Who Are Record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jc w:val="center"/>
              <w:rPr>
                <w:color w:val="000000"/>
              </w:rPr>
            </w:pPr>
            <w:r>
              <w:rPr>
                <w:color w:val="000000"/>
              </w:rPr>
              <w:t>—</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Letter to Brokers and Other Nominee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jc w:val="center"/>
              <w:rPr>
                <w:color w:val="000000"/>
              </w:rPr>
            </w:pPr>
            <w:r>
              <w:rPr>
                <w:color w:val="000000"/>
              </w:rPr>
              <w:t>—</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55620x1_s1_303-exindex_pg3"/>
        <w:bookmarkEnd w:id="64"/>
        <w:r>
          <w:rPr>
            <w:rStyle w:val="InternetLink"/>
            <w:rFonts w:ascii="Times New Roman;Times;Serif" w:hAnsi="Times New Roman;Times;Serif"/>
            <w:b/>
            <w:caps w:val="false"/>
            <w:smallCaps w:val="false"/>
            <w:color w:val="000000"/>
            <w:sz w:val="16"/>
          </w:rPr>
          <w:t>TABLE OF CONTENTS</w:t>
        </w:r>
      </w:hyperlink>
    </w:p>
    <w:tbl>
      <w:tblPr>
        <w:tblW w:w="9440" w:type="dxa"/>
        <w:jc w:val="left"/>
        <w:tblInd w:w="0" w:type="dxa"/>
        <w:tblLayout w:type="fixed"/>
        <w:tblCellMar>
          <w:top w:w="0" w:type="dxa"/>
          <w:left w:w="0" w:type="dxa"/>
          <w:bottom w:w="0" w:type="dxa"/>
          <w:right w:w="0" w:type="dxa"/>
        </w:tblCellMar>
      </w:tblPr>
      <w:tblGrid>
        <w:gridCol w:w="860"/>
        <w:gridCol w:w="140"/>
        <w:gridCol w:w="140"/>
        <w:gridCol w:w="5195"/>
        <w:gridCol w:w="140"/>
        <w:gridCol w:w="140"/>
        <w:gridCol w:w="425"/>
        <w:gridCol w:w="140"/>
        <w:gridCol w:w="140"/>
        <w:gridCol w:w="590"/>
        <w:gridCol w:w="140"/>
        <w:gridCol w:w="140"/>
        <w:gridCol w:w="545"/>
        <w:gridCol w:w="140"/>
        <w:gridCol w:w="140"/>
        <w:gridCol w:w="42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10"/>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File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Letter to Clients of Brokers and Other Nominee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Beneficial Owner Election 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Nominee Holder Certification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Notice of Guaranteed Delivery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jc w:val="center"/>
              <w:rPr/>
            </w:pPr>
            <w:hyperlink w:anchor="ny20055620x1_exfee.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by amendment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management contract or compensatory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jc w:val="left"/>
        <w:rPr/>
      </w:pPr>
      <w:r>
        <w:rPr/>
      </w:r>
      <w:bookmarkStart w:id="65" w:name="ny20055620x1_ex23-1.htm"/>
      <w:bookmarkStart w:id="66" w:name="ksny20055620x1_ex231"/>
      <w:bookmarkStart w:id="67" w:name="ny20055620x1_ex23-1.htm"/>
      <w:bookmarkStart w:id="68" w:name="ksny20055620x1_ex231"/>
      <w:bookmarkEnd w:id="67"/>
      <w:bookmarkEnd w:id="68"/>
      <w:r>
        <w:br w:type="page"/>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Registration Statement on Form S-1 of Rent the Runway, Inc. of our report dated April 15, 2025 relating to the financial statements, which appears in Rent the Runway, Inc.'s Annual Report on Form 10-K for the year ended January 31, 2025.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PricewaterhouseCoopers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September 18, 2025</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color w:val="000000"/>
        </w:rPr>
      </w:pPr>
      <w:bookmarkStart w:id="69" w:name="ny20055620x1_exfee.htm"/>
      <w:bookmarkStart w:id="70" w:name="ksny20055620x1_exfee"/>
      <w:bookmarkEnd w:id="69"/>
      <w:bookmarkEnd w:id="70"/>
      <w:r>
        <w:rPr>
          <w:color w:val="000000"/>
        </w:rPr>
        <w:t xml:space="preserve">  </w:t>
      </w:r>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107</w:t>
      </w:r>
      <w:r>
        <w:rPr>
          <w:rFonts w:ascii="Times New Roman" w:hAnsi="Times New Roman"/>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Calculation of Filing Fee Tables</w:t>
      </w:r>
      <w:r>
        <w:rPr>
          <w:rFonts w:ascii="Times New Roman" w:hAnsi="Times New Roman"/>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Form S-1</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Rent the Runway, Inc.</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u w:val="single"/>
        </w:rPr>
        <w:t>Table 1: Newly Registered Securities</w:t>
      </w:r>
      <w:r>
        <w:rPr>
          <w:rFonts w:ascii="Times New Roman" w:hAnsi="Times New Roman"/>
          <w:color w:val="000000"/>
          <w:sz w:val="20"/>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left"/>
        <w:rPr>
          <w:color w:val="000000"/>
        </w:rPr>
      </w:pPr>
      <w:r>
        <w:rPr>
          <w:color w:val="000000"/>
        </w:rPr>
        <w:t xml:space="preserve">  </w:t>
      </w:r>
    </w:p>
    <w:tbl>
      <w:tblPr>
        <w:tblW w:w="10239" w:type="dxa"/>
        <w:jc w:val="left"/>
        <w:tblInd w:w="-15" w:type="dxa"/>
        <w:tblLayout w:type="fixed"/>
        <w:tblCellMar>
          <w:top w:w="28" w:type="dxa"/>
          <w:left w:w="28" w:type="dxa"/>
          <w:bottom w:w="28" w:type="dxa"/>
          <w:right w:w="28" w:type="dxa"/>
        </w:tblCellMar>
      </w:tblPr>
      <w:tblGrid>
        <w:gridCol w:w="556"/>
        <w:gridCol w:w="946"/>
        <w:gridCol w:w="1291"/>
        <w:gridCol w:w="1276"/>
        <w:gridCol w:w="1186"/>
        <w:gridCol w:w="1156"/>
        <w:gridCol w:w="1306"/>
        <w:gridCol w:w="1126"/>
        <w:gridCol w:w="1396"/>
      </w:tblGrid>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94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Security</w:t>
            </w:r>
            <w:r>
              <w:rPr>
                <w:color w:val="000000"/>
              </w:rPr>
              <w:t xml:space="preserve"> </w:t>
            </w:r>
          </w:p>
          <w:p>
            <w:pPr>
              <w:pStyle w:val="TableContents"/>
              <w:bidi w:val="0"/>
              <w:spacing w:before="0" w:after="0"/>
              <w:jc w:val="center"/>
              <w:rPr>
                <w:color w:val="000000"/>
              </w:rPr>
            </w:pPr>
            <w:r>
              <w:rPr>
                <w:b/>
                <w:color w:val="000000"/>
              </w:rPr>
              <w:t>Type</w:t>
            </w:r>
            <w:r>
              <w:rPr>
                <w:color w:val="000000"/>
              </w:rPr>
              <w:t xml:space="preserve"> </w:t>
            </w:r>
          </w:p>
        </w:tc>
        <w:tc>
          <w:tcPr>
            <w:tcW w:w="129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Security</w:t>
            </w:r>
            <w:r>
              <w:rPr>
                <w:color w:val="000000"/>
              </w:rPr>
              <w:t xml:space="preserve"> </w:t>
            </w:r>
          </w:p>
          <w:p>
            <w:pPr>
              <w:pStyle w:val="TableContents"/>
              <w:bidi w:val="0"/>
              <w:spacing w:before="0" w:after="0"/>
              <w:jc w:val="center"/>
              <w:rPr>
                <w:color w:val="000000"/>
              </w:rPr>
            </w:pPr>
            <w:r>
              <w:rPr>
                <w:b/>
                <w:color w:val="000000"/>
              </w:rPr>
              <w:t>Class</w:t>
            </w:r>
            <w:r>
              <w:rPr>
                <w:color w:val="000000"/>
              </w:rPr>
              <w:t> </w:t>
            </w:r>
            <w:r>
              <w:rPr>
                <w:b/>
                <w:color w:val="000000"/>
              </w:rPr>
              <w:t>Title</w:t>
            </w:r>
            <w:r>
              <w:rPr>
                <w:color w:val="000000"/>
              </w:rPr>
              <w:t xml:space="preserve"> </w:t>
            </w:r>
          </w:p>
        </w:tc>
        <w:tc>
          <w:tcPr>
            <w:tcW w:w="127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Fee</w:t>
            </w:r>
            <w:r>
              <w:rPr>
                <w:color w:val="000000"/>
              </w:rPr>
              <w:t xml:space="preserve"> </w:t>
            </w:r>
          </w:p>
          <w:p>
            <w:pPr>
              <w:pStyle w:val="TableContents"/>
              <w:bidi w:val="0"/>
              <w:spacing w:before="0" w:after="0"/>
              <w:jc w:val="center"/>
              <w:rPr>
                <w:color w:val="000000"/>
              </w:rPr>
            </w:pPr>
            <w:r>
              <w:rPr>
                <w:b/>
                <w:color w:val="000000"/>
              </w:rPr>
              <w:t>Calculation</w:t>
            </w:r>
            <w:r>
              <w:rPr>
                <w:color w:val="000000"/>
              </w:rPr>
              <w:t xml:space="preserve"> </w:t>
            </w:r>
          </w:p>
          <w:p>
            <w:pPr>
              <w:pStyle w:val="TableContents"/>
              <w:bidi w:val="0"/>
              <w:spacing w:before="0" w:after="0"/>
              <w:jc w:val="center"/>
              <w:rPr>
                <w:color w:val="000000"/>
              </w:rPr>
            </w:pPr>
            <w:r>
              <w:rPr>
                <w:b/>
                <w:color w:val="000000"/>
              </w:rPr>
              <w:t>Rule</w:t>
            </w:r>
            <w:r>
              <w:rPr>
                <w:color w:val="000000"/>
              </w:rPr>
              <w:t xml:space="preserve"> </w:t>
            </w:r>
          </w:p>
        </w:tc>
        <w:tc>
          <w:tcPr>
            <w:tcW w:w="118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Amount</w:t>
            </w:r>
            <w:r>
              <w:rPr>
                <w:color w:val="000000"/>
              </w:rPr>
              <w:t xml:space="preserve"> </w:t>
            </w:r>
          </w:p>
          <w:p>
            <w:pPr>
              <w:pStyle w:val="TableContents"/>
              <w:bidi w:val="0"/>
              <w:spacing w:before="0" w:after="0"/>
              <w:jc w:val="center"/>
              <w:rPr>
                <w:color w:val="000000"/>
              </w:rPr>
            </w:pPr>
            <w:r>
              <w:rPr>
                <w:b/>
                <w:color w:val="000000"/>
              </w:rPr>
              <w:t>Registered</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Proposed</w:t>
            </w:r>
            <w:r>
              <w:rPr>
                <w:color w:val="000000"/>
              </w:rPr>
              <w:t xml:space="preserve"> </w:t>
            </w:r>
          </w:p>
          <w:p>
            <w:pPr>
              <w:pStyle w:val="TableContents"/>
              <w:bidi w:val="0"/>
              <w:spacing w:before="0" w:after="0"/>
              <w:jc w:val="center"/>
              <w:rPr>
                <w:color w:val="000000"/>
              </w:rPr>
            </w:pPr>
            <w:r>
              <w:rPr>
                <w:b/>
                <w:color w:val="000000"/>
              </w:rPr>
              <w:t>Maximum</w:t>
            </w:r>
            <w:r>
              <w:rPr>
                <w:color w:val="000000"/>
              </w:rPr>
              <w:t xml:space="preserve"> </w:t>
            </w:r>
          </w:p>
          <w:p>
            <w:pPr>
              <w:pStyle w:val="TableContents"/>
              <w:bidi w:val="0"/>
              <w:spacing w:before="0" w:after="0"/>
              <w:jc w:val="center"/>
              <w:rPr>
                <w:color w:val="000000"/>
              </w:rPr>
            </w:pPr>
            <w:r>
              <w:rPr>
                <w:b/>
                <w:color w:val="000000"/>
              </w:rPr>
              <w:t>Offering</w:t>
            </w:r>
            <w:r>
              <w:rPr>
                <w:color w:val="000000"/>
              </w:rPr>
              <w:t xml:space="preserve"> </w:t>
            </w:r>
          </w:p>
          <w:p>
            <w:pPr>
              <w:pStyle w:val="TableContents"/>
              <w:bidi w:val="0"/>
              <w:spacing w:before="0" w:after="0"/>
              <w:jc w:val="center"/>
              <w:rPr>
                <w:color w:val="000000"/>
              </w:rPr>
            </w:pPr>
            <w:r>
              <w:rPr>
                <w:b/>
                <w:color w:val="000000"/>
              </w:rPr>
              <w:t>Price Per</w:t>
            </w:r>
            <w:r>
              <w:rPr>
                <w:color w:val="000000"/>
              </w:rPr>
              <w:t xml:space="preserve"> </w:t>
            </w:r>
          </w:p>
          <w:p>
            <w:pPr>
              <w:pStyle w:val="TableContents"/>
              <w:bidi w:val="0"/>
              <w:spacing w:before="0" w:after="0"/>
              <w:jc w:val="center"/>
              <w:rPr>
                <w:color w:val="000000"/>
              </w:rPr>
            </w:pPr>
            <w:r>
              <w:rPr>
                <w:b/>
                <w:color w:val="000000"/>
              </w:rPr>
              <w:t>Share</w:t>
            </w:r>
            <w:r>
              <w:rPr>
                <w:color w:val="000000"/>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Maximum</w:t>
            </w:r>
            <w:r>
              <w:rPr>
                <w:color w:val="000000"/>
              </w:rPr>
              <w:t xml:space="preserve"> </w:t>
            </w:r>
          </w:p>
          <w:p>
            <w:pPr>
              <w:pStyle w:val="TableContents"/>
              <w:bidi w:val="0"/>
              <w:spacing w:before="0" w:after="0"/>
              <w:jc w:val="center"/>
              <w:rPr>
                <w:color w:val="000000"/>
              </w:rPr>
            </w:pPr>
            <w:r>
              <w:rPr>
                <w:b/>
                <w:color w:val="000000"/>
              </w:rPr>
              <w:t>Aggregate</w:t>
            </w:r>
            <w:r>
              <w:rPr>
                <w:color w:val="000000"/>
              </w:rPr>
              <w:t xml:space="preserve"> </w:t>
            </w:r>
          </w:p>
          <w:p>
            <w:pPr>
              <w:pStyle w:val="TableContents"/>
              <w:bidi w:val="0"/>
              <w:spacing w:before="0" w:after="0"/>
              <w:jc w:val="center"/>
              <w:rPr>
                <w:color w:val="000000"/>
              </w:rPr>
            </w:pPr>
            <w:r>
              <w:rPr>
                <w:b/>
                <w:color w:val="000000"/>
              </w:rPr>
              <w:t>Offering</w:t>
            </w:r>
            <w:r>
              <w:rPr>
                <w:color w:val="000000"/>
              </w:rPr>
              <w:t xml:space="preserve"> </w:t>
            </w:r>
          </w:p>
          <w:p>
            <w:pPr>
              <w:pStyle w:val="TableContents"/>
              <w:bidi w:val="0"/>
              <w:spacing w:before="0" w:after="0"/>
              <w:jc w:val="center"/>
              <w:rPr>
                <w:color w:val="000000"/>
              </w:rPr>
            </w:pPr>
            <w:r>
              <w:rPr>
                <w:b/>
                <w:color w:val="000000"/>
              </w:rPr>
              <w:t>Price(1)</w:t>
            </w:r>
            <w:r>
              <w:rPr>
                <w:color w:val="000000"/>
              </w:rPr>
              <w:t xml:space="preserve">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Fee</w:t>
            </w:r>
            <w:r>
              <w:rPr>
                <w:color w:val="000000"/>
              </w:rPr>
              <w:t> </w:t>
            </w:r>
            <w:r>
              <w:rPr>
                <w:b/>
                <w:color w:val="000000"/>
              </w:rPr>
              <w:t>Rate</w:t>
            </w:r>
            <w:r>
              <w:rPr>
                <w:color w:val="000000"/>
              </w:rPr>
              <w:t xml:space="preserve">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b/>
                <w:color w:val="000000"/>
              </w:rPr>
              <w:t>Amount of</w:t>
            </w:r>
            <w:r>
              <w:rPr>
                <w:color w:val="000000"/>
              </w:rPr>
              <w:t xml:space="preserve"> </w:t>
            </w:r>
          </w:p>
          <w:p>
            <w:pPr>
              <w:pStyle w:val="TableContents"/>
              <w:bidi w:val="0"/>
              <w:spacing w:before="0" w:after="0"/>
              <w:jc w:val="center"/>
              <w:rPr>
                <w:color w:val="000000"/>
              </w:rPr>
            </w:pPr>
            <w:r>
              <w:rPr>
                <w:b/>
                <w:color w:val="000000"/>
              </w:rPr>
              <w:t>Registration</w:t>
            </w:r>
            <w:r>
              <w:rPr>
                <w:color w:val="000000"/>
              </w:rPr>
              <w:t xml:space="preserve"> </w:t>
            </w:r>
          </w:p>
          <w:p>
            <w:pPr>
              <w:pStyle w:val="TableContents"/>
              <w:bidi w:val="0"/>
              <w:spacing w:before="0" w:after="0"/>
              <w:jc w:val="center"/>
              <w:rPr>
                <w:color w:val="000000"/>
              </w:rPr>
            </w:pPr>
            <w:r>
              <w:rPr>
                <w:b/>
                <w:color w:val="000000"/>
              </w:rPr>
              <w:t>Fee</w:t>
            </w:r>
            <w:r>
              <w:rPr>
                <w:color w:val="000000"/>
              </w:rPr>
              <w:t xml:space="preserve"> </w:t>
            </w:r>
          </w:p>
        </w:tc>
      </w:tr>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Fees to Be Paid </w:t>
            </w:r>
          </w:p>
        </w:tc>
        <w:tc>
          <w:tcPr>
            <w:tcW w:w="94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Equity </w:t>
            </w:r>
          </w:p>
        </w:tc>
        <w:tc>
          <w:tcPr>
            <w:tcW w:w="129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Class A Common Stock, par value $0.001 per share, </w:t>
            </w:r>
          </w:p>
          <w:p>
            <w:pPr>
              <w:pStyle w:val="TableContents"/>
              <w:bidi w:val="0"/>
              <w:spacing w:before="0" w:after="0"/>
              <w:jc w:val="center"/>
              <w:rPr>
                <w:color w:val="000000"/>
              </w:rPr>
            </w:pPr>
            <w:r>
              <w:rPr>
                <w:color w:val="000000"/>
              </w:rPr>
              <w:t xml:space="preserve">issuable upon exercise of Subscription Rights </w:t>
            </w:r>
          </w:p>
        </w:tc>
        <w:tc>
          <w:tcPr>
            <w:tcW w:w="127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457(o) </w:t>
            </w:r>
          </w:p>
        </w:tc>
        <w:tc>
          <w:tcPr>
            <w:tcW w:w="118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202124"/>
              </w:rPr>
              <w:t>—</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w:t>
            </w:r>
            <w:r>
              <w:rPr>
                <w:color w:val="202124"/>
              </w:rPr>
              <w:t>—</w:t>
            </w:r>
            <w:r>
              <w:rPr>
                <w:color w:val="000000"/>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$12,500,000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0.0001531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$1,913.75 </w:t>
            </w:r>
          </w:p>
        </w:tc>
      </w:tr>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color w:val="000000"/>
              </w:rPr>
              <w:t xml:space="preserve">  </w:t>
            </w:r>
          </w:p>
        </w:tc>
        <w:tc>
          <w:tcPr>
            <w:tcW w:w="4699"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b/>
                <w:color w:val="000000"/>
              </w:rPr>
              <w:t>Total Offering Amounts</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$12,500,000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$1,913.75 </w:t>
            </w:r>
          </w:p>
        </w:tc>
      </w:tr>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color w:val="000000"/>
              </w:rPr>
              <w:t xml:space="preserve">  </w:t>
            </w:r>
          </w:p>
        </w:tc>
        <w:tc>
          <w:tcPr>
            <w:tcW w:w="4699"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b/>
                <w:color w:val="000000"/>
              </w:rPr>
              <w:t>Total Fees Previously Paid</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 </w:t>
            </w:r>
          </w:p>
        </w:tc>
      </w:tr>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color w:val="000000"/>
              </w:rPr>
              <w:t xml:space="preserve">  </w:t>
            </w:r>
          </w:p>
        </w:tc>
        <w:tc>
          <w:tcPr>
            <w:tcW w:w="4699"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b/>
                <w:color w:val="000000"/>
              </w:rPr>
              <w:t>Total Fee Offsets</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 </w:t>
            </w:r>
          </w:p>
        </w:tc>
      </w:tr>
      <w:tr>
        <w:trPr/>
        <w:tc>
          <w:tcPr>
            <w:tcW w:w="5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color w:val="000000"/>
              </w:rPr>
              <w:t xml:space="preserve">  </w:t>
            </w:r>
          </w:p>
        </w:tc>
        <w:tc>
          <w:tcPr>
            <w:tcW w:w="4699"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color w:val="000000"/>
              </w:rPr>
            </w:pPr>
            <w:r>
              <w:rPr>
                <w:b/>
                <w:color w:val="000000"/>
              </w:rPr>
              <w:t>Net Fee Due</w:t>
            </w:r>
            <w:r>
              <w:rPr>
                <w:color w:val="000000"/>
              </w:rPr>
              <w:t xml:space="preserve"> </w:t>
            </w:r>
          </w:p>
        </w:tc>
        <w:tc>
          <w:tcPr>
            <w:tcW w:w="115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0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12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  </w:t>
            </w:r>
          </w:p>
        </w:tc>
        <w:tc>
          <w:tcPr>
            <w:tcW w:w="13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xml:space="preserve">$1,913.75 </w:t>
            </w:r>
          </w:p>
        </w:tc>
      </w:tr>
    </w:tbl>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99"/>
        <w:gridCol w:w="9806"/>
      </w:tblGrid>
      <w:tr>
        <w:trPr/>
        <w:tc>
          <w:tcPr>
            <w:tcW w:w="399" w:type="dxa"/>
            <w:tcBorders/>
            <w:vAlign w:val="center"/>
          </w:tcPr>
          <w:p>
            <w:pPr>
              <w:pStyle w:val="TableContents"/>
              <w:bidi w:val="0"/>
              <w:spacing w:before="0" w:after="0"/>
              <w:jc w:val="left"/>
              <w:rPr>
                <w:color w:val="000000"/>
              </w:rPr>
            </w:pPr>
            <w:r>
              <w:rPr>
                <w:color w:val="000000"/>
              </w:rPr>
              <w:t xml:space="preserve">(1) </w:t>
            </w:r>
          </w:p>
        </w:tc>
        <w:tc>
          <w:tcPr>
            <w:tcW w:w="9806" w:type="dxa"/>
            <w:tcBorders/>
            <w:vAlign w:val="center"/>
          </w:tcPr>
          <w:p>
            <w:pPr>
              <w:pStyle w:val="TableContents"/>
              <w:bidi w:val="0"/>
              <w:spacing w:before="0" w:after="0"/>
              <w:jc w:val="left"/>
              <w:rPr>
                <w:color w:val="000000"/>
              </w:rPr>
            </w:pPr>
            <w:r>
              <w:rPr>
                <w:color w:val="000000"/>
              </w:rPr>
              <w:t xml:space="preserve">Estimated solely for the purpose of calculating the registration fee pursuant to Rule 457(o) under the Securities Act of 1933, as amended (the “Securities Act”). </w:t>
            </w:r>
          </w:p>
        </w:tc>
      </w:tr>
    </w:tbl>
    <w:p>
      <w:pPr>
        <w:pStyle w:val="TextBody"/>
        <w:bidi w:val="0"/>
        <w:spacing w:before="0" w:after="283"/>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68327/000146832725000056/wdq-20250131.htm" TargetMode="External"/><Relationship Id="rId4" Type="http://schemas.openxmlformats.org/officeDocument/2006/relationships/hyperlink" Target="https://www.sec.gov/ix?doc=/Archives/edgar/data/0001468327/000146832725000097/rent-20250430.htm" TargetMode="External"/><Relationship Id="rId5" Type="http://schemas.openxmlformats.org/officeDocument/2006/relationships/hyperlink" Target="https://www.sec.gov/ix?doc=/Archives/edgar/data/1468327/000146832725000176/rent-20250731.htm" TargetMode="External"/><Relationship Id="rId6" Type="http://schemas.openxmlformats.org/officeDocument/2006/relationships/hyperlink" Target="https://www.sec.gov/ix?doc=/Archives/edgar/data/0001468327/000114036125020175/ny20043016x1_def14a.htm" TargetMode="External"/><Relationship Id="rId7" Type="http://schemas.openxmlformats.org/officeDocument/2006/relationships/hyperlink" Target="https://www.sec.gov/ix?doc=/Archives/edgar/data/0001468327/000146832725000021/wdq-20250227.htm" TargetMode="External"/><Relationship Id="rId8" Type="http://schemas.openxmlformats.org/officeDocument/2006/relationships/hyperlink" Target="https://www.sec.gov/ix?doc=/Archives/edgar/data/0001468327/000146832725000087/wdq-20250512.htm" TargetMode="External"/><Relationship Id="rId9" Type="http://schemas.openxmlformats.org/officeDocument/2006/relationships/hyperlink" Target="https://www.sec.gov/ix?doc=/Archives/edgar/data/0001468327/000146832725000143/wdq-20250708.htm" TargetMode="External"/><Relationship Id="rId10" Type="http://schemas.openxmlformats.org/officeDocument/2006/relationships/hyperlink" Target="https://www.sec.gov/ix?doc=/Archives/edgar/data/0001468327/000095010325010546/dp233293_8k.htm" TargetMode="External"/><Relationship Id="rId11" Type="http://schemas.openxmlformats.org/officeDocument/2006/relationships/image" Target="media/image2.jpeg"/><Relationship Id="rId12" Type="http://schemas.openxmlformats.org/officeDocument/2006/relationships/hyperlink" Target="https://www.sec.gov/Archives/edgar/data/1468327/000119312521313321/d211519dex31.htm" TargetMode="External"/><Relationship Id="rId13" Type="http://schemas.openxmlformats.org/officeDocument/2006/relationships/hyperlink" Target="https://www.sec.gov/Archives/edgar/data/1468327/000146832724000100/exhibit31certificateofam.htm" TargetMode="External"/><Relationship Id="rId14" Type="http://schemas.openxmlformats.org/officeDocument/2006/relationships/hyperlink" Target="https://www.sec.gov/Archives/edgar/data/1468327/000119312521313321/d211519dex32.htm" TargetMode="External"/><Relationship Id="rId15" Type="http://schemas.openxmlformats.org/officeDocument/2006/relationships/hyperlink" Target="https://www.sec.gov/Archives/edgar/data/1468327/000119312521291103/d194411dex41.htm" TargetMode="External"/><Relationship Id="rId16" Type="http://schemas.openxmlformats.org/officeDocument/2006/relationships/hyperlink" Target="https://www.sec.gov/Archives/edgar/data/1468327/000119312521291103/d194411dex42.htm" TargetMode="External"/><Relationship Id="rId17" Type="http://schemas.openxmlformats.org/officeDocument/2006/relationships/hyperlink" Target="https://www.sec.gov/Archives/edgar/data/1468327/000095010325010546/dp233293_ex1001.htm" TargetMode="External"/><Relationship Id="rId18" Type="http://schemas.openxmlformats.org/officeDocument/2006/relationships/hyperlink" Target="https://www.sec.gov/Archives/edgar/data/1468327/000095010325010546/dp233293_ex1002.htm" TargetMode="External"/><Relationship Id="rId19" Type="http://schemas.openxmlformats.org/officeDocument/2006/relationships/hyperlink" Target="https://www.sec.gov/Archives/edgar/data/1468327/000095010325010546/dp233293_ex1003.htm" TargetMode="External"/><Relationship Id="rId20" Type="http://schemas.openxmlformats.org/officeDocument/2006/relationships/hyperlink" Target="https://www.sec.gov/Archives/edgar/data/1468327/000146832724000114/rent-amendmenttocreditag.htm" TargetMode="External"/><Relationship Id="rId21" Type="http://schemas.openxmlformats.org/officeDocument/2006/relationships/hyperlink" Target="https://www.sec.gov/Archives/edgar/data/1468327/000146832725000097/rtr-eleventhamendmentexe.htm" TargetMode="External"/><Relationship Id="rId22" Type="http://schemas.openxmlformats.org/officeDocument/2006/relationships/hyperlink" Target="https://www.sec.gov/Archives/edgar/data/1468327/000146832725000176/rtr-twelfthamendment.htm" TargetMode="External"/><Relationship Id="rId23" Type="http://schemas.openxmlformats.org/officeDocument/2006/relationships/hyperlink" Target="https://www.sec.gov/Archives/edgar/data/1468327/000146832725000176/rtr-thirteenthamendmenta.htm" TargetMode="External"/><Relationship Id="rId24" Type="http://schemas.openxmlformats.org/officeDocument/2006/relationships/hyperlink" Target="https://www.sec.gov/Archives/edgar/data/1468327/000095010325010546/dp233293_ex1004.htm" TargetMode="External"/><Relationship Id="rId25" Type="http://schemas.openxmlformats.org/officeDocument/2006/relationships/hyperlink" Target="https://www.sec.gov/Archives/edgar/data/1468327/000119312521313321/d211519dex101.htm" TargetMode="External"/><Relationship Id="rId26" Type="http://schemas.openxmlformats.org/officeDocument/2006/relationships/hyperlink" Target="https://www.sec.gov/Archives/edgar/data/1468327/000119312521291103/d194411dex1021.htm" TargetMode="External"/><Relationship Id="rId27" Type="http://schemas.openxmlformats.org/officeDocument/2006/relationships/hyperlink" Target="https://www.sec.gov/Archives/edgar/data/1468327/000119312521291103/d194411dex1023.htm" TargetMode="External"/><Relationship Id="rId28" Type="http://schemas.openxmlformats.org/officeDocument/2006/relationships/hyperlink" Target="https://www.sec.gov/Archives/edgar/data/1468327/000119312521291103/d194411dex1024.htm" TargetMode="External"/><Relationship Id="rId29" Type="http://schemas.openxmlformats.org/officeDocument/2006/relationships/hyperlink" Target="https://www.sec.gov/Archives/edgar/data/1468327/000146832722000047/exhibit102710jaylease2ndam.htm" TargetMode="External"/><Relationship Id="rId30" Type="http://schemas.openxmlformats.org/officeDocument/2006/relationships/hyperlink" Target="https://www.sec.gov/Archives/edgar/data/1468327/000119312521301156/d194411dex102.htm" TargetMode="External"/><Relationship Id="rId31" Type="http://schemas.openxmlformats.org/officeDocument/2006/relationships/hyperlink" Target="https://www.sec.gov/Archives/edgar/data/1468327/000119312521301156/d194411dex103.htm" TargetMode="External"/><Relationship Id="rId32" Type="http://schemas.openxmlformats.org/officeDocument/2006/relationships/hyperlink" Target="https://www.sec.gov/Archives/edgar/data/1468327/000119312521301156/d194411dex104.htm" TargetMode="External"/><Relationship Id="rId33" Type="http://schemas.openxmlformats.org/officeDocument/2006/relationships/hyperlink" Target="https://www.sec.gov/Archives/edgar/data/1468327/000119312521301156/d194411dex105.htm" TargetMode="External"/><Relationship Id="rId34" Type="http://schemas.openxmlformats.org/officeDocument/2006/relationships/hyperlink" Target="https://www.sec.gov/Archives/edgar/data/1468327/000119312521301156/d194411dex106.htm" TargetMode="External"/><Relationship Id="rId35" Type="http://schemas.openxmlformats.org/officeDocument/2006/relationships/hyperlink" Target="https://www.sec.gov/Archives/edgar/data/1468327/000119312521301156/d194411dex107.htm" TargetMode="External"/><Relationship Id="rId36" Type="http://schemas.openxmlformats.org/officeDocument/2006/relationships/hyperlink" Target="https://www.sec.gov/Archives/edgar/data/1468327/000119312521301156/d194411dex108.htm" TargetMode="External"/><Relationship Id="rId37" Type="http://schemas.openxmlformats.org/officeDocument/2006/relationships/hyperlink" Target="https://www.sec.gov/Archives/edgar/data/1468327/000119312521301156/d194411dex109.htm" TargetMode="External"/><Relationship Id="rId38" Type="http://schemas.openxmlformats.org/officeDocument/2006/relationships/hyperlink" Target="https://www.sec.gov/Archives/edgar/data/1468327/000119312521301156/d194411dex1010.htm" TargetMode="External"/><Relationship Id="rId39" Type="http://schemas.openxmlformats.org/officeDocument/2006/relationships/hyperlink" Target="https://www.sec.gov/Archives/edgar/data/1468327/000119312521301156/d194411dex1011.htm" TargetMode="External"/><Relationship Id="rId40" Type="http://schemas.openxmlformats.org/officeDocument/2006/relationships/hyperlink" Target="https://www.sec.gov/Archives/edgar/data/1468327/000119312521301156/d194411dex1012.htm" TargetMode="External"/><Relationship Id="rId41" Type="http://schemas.openxmlformats.org/officeDocument/2006/relationships/hyperlink" Target="https://www.sec.gov/Archives/edgar/data/1468327/000119312521301156/d194411dex101.htm" TargetMode="External"/><Relationship Id="rId42" Type="http://schemas.openxmlformats.org/officeDocument/2006/relationships/hyperlink" Target="https://www.sec.gov/Archives/edgar/data/1468327/000146832725000056/a2024boardcompensationpr.htm" TargetMode="External"/><Relationship Id="rId43" Type="http://schemas.openxmlformats.org/officeDocument/2006/relationships/hyperlink" Target="https://www.sec.gov/Archives/edgar/data/1468327/000119312521304928/d194411dex1014.htm" TargetMode="External"/><Relationship Id="rId44" Type="http://schemas.openxmlformats.org/officeDocument/2006/relationships/hyperlink" Target="https://www.sec.gov/Archives/edgar/data/1468327/000119312521301156/d194411dex1015.htm" TargetMode="External"/><Relationship Id="rId45" Type="http://schemas.openxmlformats.org/officeDocument/2006/relationships/hyperlink" Target="https://www.sec.gov/Archives/edgar/data/1468327/000146832722000073/exhibit101jhemploymentagre.htm" TargetMode="External"/><Relationship Id="rId46" Type="http://schemas.openxmlformats.org/officeDocument/2006/relationships/hyperlink" Target="https://www.sec.gov/Archives/edgar/data/1468327/000146832725000056/jhymansalaryamendment202.htm" TargetMode="External"/><Relationship Id="rId47" Type="http://schemas.openxmlformats.org/officeDocument/2006/relationships/hyperlink" Target="https://www.sec.gov/Archives/edgar/data/1468327/000146832723000341/formofexecretentionbonus.htm" TargetMode="External"/><Relationship Id="rId48" Type="http://schemas.openxmlformats.org/officeDocument/2006/relationships/hyperlink" Target="https://www.sec.gov/Archives/edgar/data/1468327/000146832723000047/rtr-offerletteramendment.htm" TargetMode="External"/><Relationship Id="rId49" Type="http://schemas.openxmlformats.org/officeDocument/2006/relationships/hyperlink" Target="https://www.sec.gov/Archives/edgar/data/1468327/000146832724000114/severanceplanjan2024.htm" TargetMode="External"/><Relationship Id="rId50" Type="http://schemas.openxmlformats.org/officeDocument/2006/relationships/hyperlink" Target="https://www.sec.gov/Archives/edgar/data/1468327/000146832724000160/rtr-transactionbonusplan.htm" TargetMode="External"/><Relationship Id="rId51" Type="http://schemas.openxmlformats.org/officeDocument/2006/relationships/hyperlink" Target="https://www.sec.gov/Archives/edgar/data/1468327/000146832725000176/exhibit101.htm" TargetMode="External"/><Relationship Id="rId52" Type="http://schemas.openxmlformats.org/officeDocument/2006/relationships/hyperlink" Target="https://www.sec.gov/Archives/edgar/data/1468327/000095010325010546/dp233293_ex1005.htm" TargetMode="External"/><Relationship Id="rId53" Type="http://schemas.openxmlformats.org/officeDocument/2006/relationships/hyperlink" Target="https://www.sec.gov/Archives/edgar/data/1468327/000146832725000056/form2025retentionprogram.htm" TargetMode="External"/><Relationship Id="rId54" Type="http://schemas.openxmlformats.org/officeDocument/2006/relationships/hyperlink" Target="https://www.sec.gov/Archives/edgar/data/1468327/000146832725000056/exhibit211fy2024listofsubs.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26821</Words>
  <Characters>141139</Characters>
  <CharactersWithSpaces>169191</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