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Supply Chain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161"/>
              <w:spacing w:after="0" w:line="320" w:lineRule="exact"/>
              <w:rPr>
                <w:sz w:val="20"/>
                <w:szCs w:val="20"/>
                <w:color w:val="auto"/>
              </w:rPr>
            </w:pPr>
            <w:r>
              <w:rPr>
                <w:rFonts w:ascii="Times New Roman" w:cs="Times New Roman" w:eastAsia="Times New Roman" w:hAnsi="Times New Roman"/>
                <w:sz w:val="34"/>
                <w:szCs w:val="34"/>
                <w:color w:val="0000FF"/>
                <w:vertAlign w:val="subscript"/>
              </w:rPr>
              <w:t>35</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12.16</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28,194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01"/>
              <w:spacing w:after="0" w:line="320" w:lineRule="exact"/>
              <w:rPr>
                <w:sz w:val="20"/>
                <w:szCs w:val="20"/>
                <w:color w:val="auto"/>
              </w:rPr>
            </w:pPr>
            <w:r>
              <w:rPr>
                <w:rFonts w:ascii="Times New Roman" w:cs="Times New Roman" w:eastAsia="Times New Roman" w:hAnsi="Times New Roman"/>
                <w:sz w:val="34"/>
                <w:szCs w:val="34"/>
                <w:color w:val="0000FF"/>
                <w:vertAlign w:val="subscript"/>
              </w:rPr>
              <w:t>6</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w:t>
            </w:r>
            <w:r>
              <w:rPr>
                <w:rFonts w:ascii="Times New Roman" w:cs="Times New Roman" w:eastAsia="Times New Roman" w:hAnsi="Times New Roman"/>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28,188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$11.70 to $12.69,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$12.71 to $13.62,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share counts herein have been adjusted to reflect the 1-for-20 reverse stock split that became effective on April 2,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05/06/2024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2024-05-06T19:56:55Z</dcterms:created>
  <dcterms:modified xsi:type="dcterms:W3CDTF">2024-05-06T19:56:55Z</dcterms:modified>
</cp:coreProperties>
</file>