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156845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394"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001-40958</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80-0376379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08" w:lineRule="exact"/>
        <w:rPr>
          <w:sz w:val="24"/>
          <w:szCs w:val="24"/>
          <w:color w:val="auto"/>
        </w:rPr>
      </w:pPr>
    </w:p>
    <w:p>
      <w:pPr>
        <w:sectPr>
          <w:pgSz w:w="11900" w:h="16838" w:orient="portrait"/>
          <w:cols w:equalWidth="0" w:num="3">
            <w:col w:w="4480" w:space="720"/>
            <w:col w:w="2620" w:space="720"/>
            <w:col w:w="248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Rent the Runway,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Brooklyn, New York 11201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(212) 524-6860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378"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RENT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connection with the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by Rent the Runway,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of its Class A common stock, par value $0.001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at an offering price of $21.00 per share, described in the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dated October 26, 2021, filed with the Securities and Exchange Commission pursuant to Rule 424(b)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which is deemed to be part of the Registration Statement on Form S-1 (File No. 333-260027)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Company entered into a Stockholders Agreement, dated October 29, 2021, by and among the Company and certain security holders of the Company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 copy of the Stockholders Agreement is filed as Exhibit 10.1 to this Current Report on Form 8-K, and is incorporated herein by reference. The terms of this agreement are substantially the same as the terms set forth in the form of such agreement previously filed as an exhibit to the Registration Statement and as described therein. The foregoing description does not purport to be complete and is subject and qualified in its entirety by reference to the Stockholders Agreement. Certain parties to this agreement have various relationships with the Company. For further information, see “Certain Relationships and Related Party Transactions” in the 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Amendment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On October 18, 2021, the Company entered into an amendment (the “</w:t>
      </w:r>
      <w:r>
        <w:rPr>
          <w:rFonts w:ascii="Arial" w:cs="Arial" w:eastAsia="Arial" w:hAnsi="Arial"/>
          <w:sz w:val="16"/>
          <w:szCs w:val="16"/>
          <w:b w:val="1"/>
          <w:bCs w:val="1"/>
          <w:i w:val="1"/>
          <w:iCs w:val="1"/>
          <w:color w:val="auto"/>
        </w:rPr>
        <w:t>Credit Facility Amendment</w:t>
      </w:r>
      <w:r>
        <w:rPr>
          <w:rFonts w:ascii="Arial" w:cs="Arial" w:eastAsia="Arial" w:hAnsi="Arial"/>
          <w:sz w:val="16"/>
          <w:szCs w:val="16"/>
          <w:color w:val="auto"/>
        </w:rPr>
        <w:t>”) to its term loan agreement dated as of July 23, 2018, as amended to date, with Double Helix Pte Ltd., as administrative agent for the lenders party thereto (the “</w:t>
      </w:r>
      <w:r>
        <w:rPr>
          <w:rFonts w:ascii="Arial" w:cs="Arial" w:eastAsia="Arial" w:hAnsi="Arial"/>
          <w:sz w:val="16"/>
          <w:szCs w:val="16"/>
          <w:b w:val="1"/>
          <w:bCs w:val="1"/>
          <w:i w:val="1"/>
          <w:iCs w:val="1"/>
          <w:color w:val="auto"/>
        </w:rPr>
        <w:t>Lenders</w:t>
      </w:r>
      <w:r>
        <w:rPr>
          <w:rFonts w:ascii="Arial" w:cs="Arial" w:eastAsia="Arial" w:hAnsi="Arial"/>
          <w:sz w:val="16"/>
          <w:szCs w:val="16"/>
          <w:color w:val="auto"/>
        </w:rPr>
        <w:t>”) which is referred to herein as the Credit Facility (as amended by the Credit Facility Amendment, the “</w:t>
      </w:r>
      <w:r>
        <w:rPr>
          <w:rFonts w:ascii="Arial" w:cs="Arial" w:eastAsia="Arial" w:hAnsi="Arial"/>
          <w:sz w:val="16"/>
          <w:szCs w:val="16"/>
          <w:b w:val="1"/>
          <w:bCs w:val="1"/>
          <w:i w:val="1"/>
          <w:iCs w:val="1"/>
          <w:color w:val="auto"/>
        </w:rPr>
        <w:t>Amended Credit Facility</w:t>
      </w:r>
      <w:r>
        <w:rPr>
          <w:rFonts w:ascii="Arial" w:cs="Arial" w:eastAsia="Arial" w:hAnsi="Arial"/>
          <w:sz w:val="16"/>
          <w:szCs w:val="16"/>
          <w:color w:val="auto"/>
        </w:rPr>
        <w:t>”), which Credit Facility Amendment became effective substantially concurrently with the consummation of the Offering and the Debt Repayment referred to below. The Credit Facility Amendment provides for, among other things, (i) an extension of the maturity of the Amended Credit Facility to October 29, 2024, (ii) a decrease in the stated amount of loans outstanding under the Amended Credit Facility to $271.6 million (with no additional debt proceeds having been funded and after giving effect to the repayment described below), (iii) an amendment to the interest rate to 12% with up to 5% payable in kind, (iv) the addition of a minimum liquidity maintenance covenant of $50 million and (v) the amendment of the call protection applicable to the loans outstanding thereunder.</w:t>
      </w:r>
    </w:p>
    <w:p>
      <w:pPr>
        <w:spacing w:after="0" w:line="16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connection with the Credit Facility Amendment, the Company issued to the Lenders warrants to purchase 394,343 shares of the Company’s Class A common stock. In addition, in connection with the Credit Facility Amendment, certain existing warrants held by the Lenders were amended to extend the expiration date for an additional six months following the date of the Offering.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Credit Facility Amendment described above, on October 29, 2021, the Company used a portion of the net proceeds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received by the Company in the Offering to repay all amounts outstanding under its first lien facility, which the Company entered into in October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to date, with Alter Domus (US) LLC as administrative agent for Ares Corporate Opportunities Fund V, L.P. (the “</w:t>
      </w:r>
      <w:r>
        <w:rPr>
          <w:rFonts w:ascii="Arial" w:cs="Arial" w:eastAsia="Arial" w:hAnsi="Arial"/>
          <w:sz w:val="17"/>
          <w:szCs w:val="17"/>
          <w:b w:val="1"/>
          <w:bCs w:val="1"/>
          <w:i w:val="1"/>
          <w:iCs w:val="1"/>
          <w:color w:val="auto"/>
        </w:rPr>
        <w:t>Ares Facility</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 million of outstanding loans under the Credit Facility. Following such repayments, the Company’s obligations under the Ares Facility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terminated, and the liens securing the Ares Facility have been released.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copy of the Credit Facility Amendment is included as Exhibit 10.2 to this Current Report on Form 8-K, and is incorporated herein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 does not purport to be complete and is subject and qualified in its entirety by reference to the Credit Facility Amendment.</w:t>
      </w:r>
    </w:p>
    <w:p>
      <w:pPr>
        <w:spacing w:after="0" w:line="3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5.03 below is incorporated by reference in this Item 3.03.</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On October 29, 2021, the Company’s Amended and Restated Certificate of Incorporation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in the form previously filed as Exhibit 3.3 to the Registration Statement, and the Company’s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in the form previously filed as Exhibit 3.4 to the Registration Statement, became effective. The Charter, among other things, provides that the Company’s authorized capital stock consists of 300,000,000 shares of Class A common stock, 50,000,000 shares of Class B common stock and 10,000,000 shares of preferred stock. A description of the Company’s capital stock, after giving effect to the adoption of the Charter and Bylaws, has previously been reported by the Company in the Registration Statement. The Charter and Bylaws are filed as Exhibits 3.1 and 3.2 to this Current Report on Form 8-K, respectively, and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On October 29, 2021, the Company completed the Offering of 17,000,000 shares of its Class A common stock at a price to the public of $21.00 per share. The gross proceeds to the Company from the initial public offering were $357.0 million, before deducting underwriting discounts and commissions and estimated offering expenses payable by the Company.</w:t>
      </w:r>
    </w:p>
    <w:p>
      <w:pPr>
        <w:spacing w:after="0" w:line="32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11"/>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8"/>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40" w:type="dxa"/>
            <w:vAlign w:val="bottom"/>
            <w:gridSpan w:val="9"/>
          </w:tcPr>
          <w:p>
            <w:pPr>
              <w:ind w:left="94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980" w:type="dxa"/>
            <w:vAlign w:val="bottom"/>
            <w:tcBorders>
              <w:top w:val="single" w:sz="8" w:color="auto"/>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Amended and Restated Certificate of Incorporation of the Registrant.</w:t>
              </w:r>
            </w:hyperlink>
          </w:p>
        </w:tc>
        <w:tc>
          <w:tcPr>
            <w:tcW w:w="4700" w:type="dxa"/>
            <w:vAlign w:val="bottom"/>
            <w:tcBorders>
              <w:top w:val="single" w:sz="8" w:color="auto"/>
            </w:tcBorders>
            <w:gridSpan w:val="8"/>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Borders>
              <w:bottom w:val="single" w:sz="8" w:color="0000EE"/>
            </w:tcBorders>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Amended and Restated Bylaws of the Registrant.</w:t>
              </w:r>
            </w:hyperlink>
          </w:p>
        </w:tc>
        <w:tc>
          <w:tcPr>
            <w:tcW w:w="614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Stockholders Agreement, dated October 29, 2021, by and among the Registrant, Jennifer Y. Hyman, entities affiliated with Bain</w:t>
              </w:r>
            </w:hyperlink>
          </w:p>
        </w:tc>
        <w:tc>
          <w:tcPr>
            <w:tcW w:w="4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Capital Ventures and entities affiliated with Highland Capital Partners and certain related parties.</w:t>
              </w:r>
            </w:hyperlink>
          </w:p>
        </w:tc>
      </w:tr>
      <w:tr>
        <w:trPr>
          <w:trHeight w:val="20"/>
        </w:trPr>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340" w:type="dxa"/>
            <w:vAlign w:val="bottom"/>
            <w:tcBorders>
              <w:bottom w:val="single" w:sz="8" w:color="0000EE"/>
            </w:tcBorders>
            <w:gridSpan w:val="7"/>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Seventh Amendment to the Credit Agreement dated as of July 23, 2018, dated as of October 18, 2021 (as previously amended on</w:t>
              </w:r>
            </w:hyperlink>
          </w:p>
        </w:tc>
        <w:tc>
          <w:tcPr>
            <w:tcW w:w="34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December 21, 2018, April 24, 2019, November 26, 2019, June 2, 2020, August 18, 2020, and October 26, 2020), and as may be</w:t>
              </w:r>
            </w:hyperlink>
          </w:p>
        </w:tc>
        <w:tc>
          <w:tcPr>
            <w:tcW w:w="44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further amended, restated, supplemented or otherwise modified in accordance with the terms thereof), by and among the Registrant,</w:t>
              </w:r>
            </w:hyperlink>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60" w:type="dxa"/>
            <w:vAlign w:val="bottom"/>
            <w:gridSpan w:val="4"/>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the lenders from time to time party thereto and Double Helix Pte Ltd., as administrative agent. (incorporated by reference to Exhibit</w:t>
              </w:r>
            </w:hyperlink>
          </w:p>
        </w:tc>
        <w:tc>
          <w:tcPr>
            <w:tcW w:w="18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10.</w:t>
              </w:r>
              <w:r>
                <w:rPr>
                  <w:rFonts w:ascii="Arial" w:cs="Arial" w:eastAsia="Arial" w:hAnsi="Arial"/>
                  <w:sz w:val="18"/>
                  <w:szCs w:val="18"/>
                  <w:u w:val="single" w:color="auto"/>
                  <w:color w:val="0000EE"/>
                </w:rPr>
                <w:t>20</w:t>
              </w:r>
              <w:r>
                <w:rPr>
                  <w:rFonts w:ascii="Arial" w:cs="Arial" w:eastAsia="Arial" w:hAnsi="Arial"/>
                  <w:sz w:val="18"/>
                  <w:szCs w:val="18"/>
                  <w:color w:val="0000EE"/>
                </w:rPr>
                <w:t xml:space="preserve"> to the Registration Statement on Form S-1 (File No. 333-260027) filed on October 18, 2021).</w:t>
              </w:r>
            </w:hyperlink>
          </w:p>
        </w:tc>
      </w:tr>
      <w:tr>
        <w:trPr>
          <w:trHeight w:val="20"/>
        </w:trPr>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(601)(b)(10).</w:t>
      </w:r>
    </w:p>
    <w:p>
      <w:pPr>
        <w:sectPr>
          <w:pgSz w:w="11900" w:h="16838" w:orient="portrait"/>
          <w:cols w:equalWidth="0" w:num="1">
            <w:col w:w="11024"/>
          </w:cols>
          <w:pgMar w:left="436" w:top="270" w:right="4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RENT THE RUNWAY, INC.</w:t>
      </w:r>
    </w:p>
    <w:p>
      <w:pPr>
        <w:spacing w:after="0" w:line="189" w:lineRule="exact"/>
        <w:rPr>
          <w:sz w:val="20"/>
          <w:szCs w:val="20"/>
          <w:color w:val="auto"/>
        </w:rPr>
      </w:pPr>
    </w:p>
    <w:p>
      <w:pPr>
        <w:spacing w:after="0"/>
        <w:tabs>
          <w:tab w:leader="none" w:pos="5500" w:val="left"/>
          <w:tab w:leader="none" w:pos="5920" w:val="left"/>
        </w:tabs>
        <w:rPr>
          <w:sz w:val="20"/>
          <w:szCs w:val="20"/>
          <w:color w:val="auto"/>
        </w:rPr>
      </w:pPr>
      <w:r>
        <w:rPr>
          <w:rFonts w:ascii="Arial" w:cs="Arial" w:eastAsia="Arial" w:hAnsi="Arial"/>
          <w:sz w:val="18"/>
          <w:szCs w:val="18"/>
          <w:color w:val="auto"/>
        </w:rPr>
        <w:t>Date: October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Scarlett O’Sullivan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60"/>
          </w:cols>
          <w:pgMar w:left="440" w:top="270"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TWELFTH AMENDED AND RESTATED CERTIFICATE OF INCORPORATION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RENT THE RUNWAY, INC.</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Rent the Runway, Inc., a corporation organized and existing under the laws of the State of Delaware, hereby certifies as follows:</w:t>
      </w:r>
    </w:p>
    <w:p>
      <w:pPr>
        <w:spacing w:after="0" w:line="117" w:lineRule="exact"/>
        <w:rPr>
          <w:sz w:val="20"/>
          <w:szCs w:val="20"/>
          <w:color w:val="auto"/>
        </w:rPr>
      </w:pPr>
    </w:p>
    <w:p>
      <w:pPr>
        <w:ind w:left="4" w:right="380" w:firstLine="436"/>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 was originally incorporated pursuant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on March 3, 2009, under the name Rent the Runway, Inc.</w:t>
      </w:r>
    </w:p>
    <w:p>
      <w:pPr>
        <w:spacing w:after="0" w:line="62" w:lineRule="exact"/>
        <w:rPr>
          <w:rFonts w:ascii="Arial" w:cs="Arial" w:eastAsia="Arial" w:hAnsi="Arial"/>
          <w:sz w:val="18"/>
          <w:szCs w:val="18"/>
          <w:color w:val="auto"/>
        </w:rPr>
      </w:pPr>
    </w:p>
    <w:p>
      <w:pPr>
        <w:ind w:left="4" w:right="100" w:firstLine="436"/>
        <w:spacing w:after="0" w:line="279"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is filing this Twelfth Amended and Restated Certificate of Incorporation of the Corporation (the “</w:t>
      </w:r>
      <w:r>
        <w:rPr>
          <w:rFonts w:ascii="Arial" w:cs="Arial" w:eastAsia="Arial" w:hAnsi="Arial"/>
          <w:sz w:val="17"/>
          <w:szCs w:val="17"/>
          <w:b w:val="1"/>
          <w:bCs w:val="1"/>
          <w:i w:val="1"/>
          <w:iCs w:val="1"/>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Incorporation</w:t>
      </w:r>
      <w:r>
        <w:rPr>
          <w:rFonts w:ascii="Arial" w:cs="Arial" w:eastAsia="Arial" w:hAnsi="Arial"/>
          <w:sz w:val="17"/>
          <w:szCs w:val="17"/>
          <w:color w:val="auto"/>
        </w:rPr>
        <w:t>”), which restates, integrates and further amends the Eleventh Amended and Restated Certificate of Incorporation, as heretofore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Prior Certificate</w:t>
      </w:r>
      <w:r>
        <w:rPr>
          <w:rFonts w:ascii="Arial" w:cs="Arial" w:eastAsia="Arial" w:hAnsi="Arial"/>
          <w:sz w:val="17"/>
          <w:szCs w:val="17"/>
          <w:color w:val="auto"/>
        </w:rPr>
        <w:t>”), and which was duly adopted by all necessary action of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and the stockholders of the Corporation in accordance with the provisions of Sections 242, 245 and 228 of the DGCL.</w:t>
      </w:r>
    </w:p>
    <w:p>
      <w:pPr>
        <w:spacing w:after="0" w:line="63" w:lineRule="exact"/>
        <w:rPr>
          <w:rFonts w:ascii="Arial" w:cs="Arial" w:eastAsia="Arial" w:hAnsi="Arial"/>
          <w:sz w:val="17"/>
          <w:szCs w:val="17"/>
          <w:color w:val="auto"/>
        </w:rPr>
      </w:pPr>
    </w:p>
    <w:p>
      <w:pPr>
        <w:ind w:left="624" w:hanging="184"/>
        <w:spacing w:after="0"/>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text of the Prior Certificate is hereby amended and restated in its entirety by this Certificate of Incorporation to read in full as follows:</w:t>
      </w:r>
    </w:p>
    <w:p>
      <w:pPr>
        <w:spacing w:after="0" w:line="200" w:lineRule="exact"/>
        <w:rPr>
          <w:sz w:val="20"/>
          <w:szCs w:val="20"/>
          <w:color w:val="auto"/>
        </w:rPr>
      </w:pPr>
    </w:p>
    <w:p>
      <w:pPr>
        <w:spacing w:after="0" w:line="249"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name of the corporation is Rent the Runway,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4" w:right="320" w:firstLine="440"/>
        <w:spacing w:after="0" w:line="29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Purposes</w:t>
      </w:r>
      <w:r>
        <w:rPr>
          <w:rFonts w:ascii="Arial" w:cs="Arial" w:eastAsia="Arial" w:hAnsi="Arial"/>
          <w:sz w:val="16"/>
          <w:szCs w:val="16"/>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w:t>
      </w:r>
    </w:p>
    <w:p>
      <w:pPr>
        <w:ind w:left="4" w:right="140" w:hanging="4"/>
        <w:spacing w:after="0" w:line="260"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 The total number of shares of all classes of stock that the Corporation is authorized to issue is three hundred and sixty million (360,000,000), consisting of:</w:t>
      </w:r>
    </w:p>
    <w:p>
      <w:pPr>
        <w:sectPr>
          <w:pgSz w:w="11900" w:h="16838" w:orient="portrait"/>
          <w:cols w:equalWidth="0" w:num="1">
            <w:col w:w="11024"/>
          </w:cols>
          <w:pgMar w:left="436" w:top="121" w:right="439" w:bottom="1440" w:gutter="0" w:footer="0" w:header="0"/>
        </w:sectPr>
      </w:pPr>
    </w:p>
    <w:bookmarkStart w:id="5" w:name="page6"/>
    <w:bookmarkEnd w:id="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Three hundred million (300,000,000) shares of Class A common stock, with a par value of $0.001 per share (the “</w:t>
      </w:r>
      <w:r>
        <w:rPr>
          <w:rFonts w:ascii="Arial" w:cs="Arial" w:eastAsia="Arial" w:hAnsi="Arial"/>
          <w:sz w:val="16"/>
          <w:szCs w:val="16"/>
          <w:b w:val="1"/>
          <w:bCs w:val="1"/>
          <w:i w:val="1"/>
          <w:iCs w:val="1"/>
          <w:color w:val="auto"/>
        </w:rPr>
        <w:t>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r>
        <w:rPr>
          <w:rFonts w:ascii="Arial" w:cs="Arial" w:eastAsia="Arial" w:hAnsi="Arial"/>
          <w:sz w:val="18"/>
          <w:szCs w:val="18"/>
          <w:color w:val="auto"/>
        </w:rPr>
        <w:t>”); and</w:t>
      </w:r>
    </w:p>
    <w:p>
      <w:pPr>
        <w:spacing w:after="0" w:line="103" w:lineRule="exact"/>
        <w:rPr>
          <w:sz w:val="20"/>
          <w:szCs w:val="20"/>
          <w:color w:val="auto"/>
        </w:rPr>
      </w:pPr>
    </w:p>
    <w:p>
      <w:pPr>
        <w:ind w:right="180" w:firstLine="987"/>
        <w:spacing w:after="0" w:line="27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Fifty million (50,000,000) shares of Class B common stock, with a par value of $0.001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 million (10,000,000) shares of preferred stock, with a par value of $0.001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Reclassification of Common Stock</w:t>
      </w:r>
      <w:r>
        <w:rPr>
          <w:rFonts w:ascii="Arial" w:cs="Arial" w:eastAsia="Arial" w:hAnsi="Arial"/>
          <w:sz w:val="16"/>
          <w:szCs w:val="16"/>
          <w:color w:val="auto"/>
        </w:rPr>
        <w:t>. Upon the filing and effectiveness of this Certificate of Incorporation with the Secretary of State of the State of Delaware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and 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16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Blank Check Preferred Stock</w:t>
      </w:r>
      <w:r>
        <w:rPr>
          <w:rFonts w:ascii="Arial" w:cs="Arial" w:eastAsia="Arial" w:hAnsi="Arial"/>
          <w:sz w:val="16"/>
          <w:szCs w:val="16"/>
          <w:color w:val="auto"/>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Arial" w:cs="Arial" w:eastAsia="Arial" w:hAnsi="Arial"/>
          <w:sz w:val="18"/>
          <w:szCs w:val="18"/>
          <w:u w:val="single" w:color="auto"/>
          <w:color w:val="auto"/>
        </w:rPr>
        <w:t>Number of Authorized Shares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192"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Class A Common Stock and Class B Common Stock</w:t>
      </w:r>
      <w:r>
        <w:rPr>
          <w:rFonts w:ascii="Arial" w:cs="Arial" w:eastAsia="Arial" w:hAnsi="Arial"/>
          <w:sz w:val="16"/>
          <w:szCs w:val="16"/>
          <w:color w:val="auto"/>
        </w:rPr>
        <w:t>. Except as otherwise set forth herein, the powers, preferences and rights of the Class A Common Stock and the Class B Common Stock, and the qualifications, limitations or restrictions thereof shall be identical in all respects.</w:t>
      </w:r>
    </w:p>
    <w:p>
      <w:pPr>
        <w:spacing w:after="0" w:line="16" w:lineRule="exact"/>
        <w:rPr>
          <w:sz w:val="20"/>
          <w:szCs w:val="20"/>
          <w:color w:val="auto"/>
        </w:rPr>
      </w:pPr>
    </w:p>
    <w:p>
      <w:pPr>
        <w:ind w:left="1240" w:hanging="25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w:t>
      </w:r>
    </w:p>
    <w:p>
      <w:pPr>
        <w:spacing w:after="0" w:line="117" w:lineRule="exact"/>
        <w:rPr>
          <w:rFonts w:ascii="Arial" w:cs="Arial" w:eastAsia="Arial" w:hAnsi="Arial"/>
          <w:sz w:val="18"/>
          <w:szCs w:val="18"/>
          <w:color w:val="auto"/>
        </w:rPr>
      </w:pPr>
    </w:p>
    <w:p>
      <w:pPr>
        <w:ind w:right="180" w:firstLine="1428"/>
        <w:spacing w:after="0" w:line="263" w:lineRule="auto"/>
        <w:tabs>
          <w:tab w:leader="none" w:pos="1647"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75" w:lineRule="exact"/>
        <w:rPr>
          <w:rFonts w:ascii="Arial" w:cs="Arial" w:eastAsia="Arial" w:hAnsi="Arial"/>
          <w:sz w:val="18"/>
          <w:szCs w:val="18"/>
          <w:color w:val="auto"/>
        </w:rPr>
      </w:pPr>
    </w:p>
    <w:p>
      <w:pPr>
        <w:ind w:right="20" w:firstLine="1428"/>
        <w:spacing w:after="0" w:line="263" w:lineRule="auto"/>
        <w:tabs>
          <w:tab w:leader="none" w:pos="1697"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share of Class B Common Stock shall entitle the record holder thereof as of the applicable record date to twenty (20) votes per share in person or by proxy on all matters submitted to a vote of the holders of Class B Common Stock, whether voting separately as a class or otherwise.</w:t>
      </w:r>
    </w:p>
    <w:p>
      <w:pPr>
        <w:spacing w:after="0" w:line="75" w:lineRule="exact"/>
        <w:rPr>
          <w:rFonts w:ascii="Arial" w:cs="Arial" w:eastAsia="Arial" w:hAnsi="Arial"/>
          <w:sz w:val="18"/>
          <w:szCs w:val="18"/>
          <w:color w:val="auto"/>
        </w:rPr>
      </w:pPr>
    </w:p>
    <w:p>
      <w:pPr>
        <w:ind w:firstLine="1428"/>
        <w:spacing w:after="0" w:line="257" w:lineRule="auto"/>
        <w:tabs>
          <w:tab w:leader="none" w:pos="1747" w:val="left"/>
        </w:tabs>
        <w:numPr>
          <w:ilvl w:val="1"/>
          <w:numId w:val="6"/>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9" w:lineRule="exact"/>
        <w:rPr>
          <w:rFonts w:ascii="Arial" w:cs="Arial" w:eastAsia="Arial" w:hAnsi="Arial"/>
          <w:sz w:val="18"/>
          <w:szCs w:val="18"/>
          <w:color w:val="auto"/>
        </w:rPr>
      </w:pPr>
    </w:p>
    <w:p>
      <w:pPr>
        <w:ind w:right="80" w:firstLine="987"/>
        <w:spacing w:after="0" w:line="293" w:lineRule="auto"/>
        <w:tabs>
          <w:tab w:leader="none" w:pos="124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dividends may be declared and paid on the Class A Common Stock and Class B Common Stock out of the assets or funds of the Corporation that are by law available therefor, at such times and in such amounts as the Board of Directors in its discretion shall determine. Dividends may not be declared or paid (x) on the Class A Common Stock unless a dividend of the same amount per share and same type of cash or property (or combination thereof) per share is concurrently declared or paid on the Class B Common Stock or (y) on the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7" w:name="page8"/>
    <w:bookmarkEnd w:id="7"/>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 B Common Stock unless a dividend of the same amount per share and same type of cash or property (or combination thereof) per share is concurrently declared or paid on the Class A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w:t>
      </w:r>
    </w:p>
    <w:p>
      <w:pPr>
        <w:spacing w:after="0" w:line="1" w:lineRule="exact"/>
        <w:rPr>
          <w:sz w:val="20"/>
          <w:szCs w:val="20"/>
          <w:color w:val="auto"/>
        </w:rPr>
      </w:pPr>
    </w:p>
    <w:p>
      <w:pPr>
        <w:ind w:left="264" w:hanging="264"/>
        <w:spacing w:after="0"/>
        <w:tabs>
          <w:tab w:leader="none" w:pos="2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B Common Stock as it is on the outstanding shares of Class A Common Stock).</w:t>
      </w:r>
    </w:p>
    <w:p>
      <w:pPr>
        <w:spacing w:after="0" w:line="102" w:lineRule="exact"/>
        <w:rPr>
          <w:rFonts w:ascii="Arial" w:cs="Arial" w:eastAsia="Arial" w:hAnsi="Arial"/>
          <w:sz w:val="18"/>
          <w:szCs w:val="18"/>
          <w:color w:val="auto"/>
        </w:rPr>
      </w:pPr>
    </w:p>
    <w:p>
      <w:pPr>
        <w:ind w:left="4" w:right="20" w:firstLine="987"/>
        <w:spacing w:after="0" w:line="271" w:lineRule="auto"/>
        <w:tabs>
          <w:tab w:leader="none" w:pos="1240"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Liquidation Rights</w:t>
      </w:r>
      <w:r>
        <w:rPr>
          <w:rFonts w:ascii="Arial" w:cs="Arial" w:eastAsia="Arial" w:hAnsi="Arial"/>
          <w:sz w:val="17"/>
          <w:szCs w:val="17"/>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and Class B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7"/>
          <w:szCs w:val="17"/>
          <w:u w:val="single" w:color="auto"/>
          <w:color w:val="auto"/>
        </w:rPr>
        <w:t>Section 4.5(c)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244" w:hanging="253"/>
        <w:spacing w:after="0"/>
        <w:tabs>
          <w:tab w:leader="none" w:pos="124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73" w:lineRule="auto"/>
        <w:tabs>
          <w:tab w:leader="none" w:pos="1651" w:val="left"/>
        </w:tabs>
        <w:numPr>
          <w:ilvl w:val="2"/>
          <w:numId w:val="7"/>
        </w:numPr>
        <w:rPr>
          <w:rFonts w:ascii="Arial" w:cs="Arial" w:eastAsia="Arial" w:hAnsi="Arial"/>
          <w:sz w:val="17"/>
          <w:szCs w:val="17"/>
          <w:color w:val="auto"/>
        </w:rPr>
      </w:pPr>
      <w:r>
        <w:rPr>
          <w:rFonts w:ascii="Arial" w:cs="Arial" w:eastAsia="Arial" w:hAnsi="Arial"/>
          <w:sz w:val="17"/>
          <w:szCs w:val="17"/>
          <w:color w:val="auto"/>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69" w:lineRule="exact"/>
        <w:rPr>
          <w:rFonts w:ascii="Arial" w:cs="Arial" w:eastAsia="Arial" w:hAnsi="Arial"/>
          <w:sz w:val="17"/>
          <w:szCs w:val="17"/>
          <w:color w:val="auto"/>
        </w:rPr>
      </w:pPr>
    </w:p>
    <w:p>
      <w:pPr>
        <w:ind w:left="4" w:right="20" w:firstLine="1428"/>
        <w:spacing w:after="0" w:line="273" w:lineRule="auto"/>
        <w:tabs>
          <w:tab w:leader="none" w:pos="1701" w:val="left"/>
        </w:tabs>
        <w:numPr>
          <w:ilvl w:val="2"/>
          <w:numId w:val="7"/>
        </w:numPr>
        <w:rPr>
          <w:rFonts w:ascii="Arial" w:cs="Arial" w:eastAsia="Arial" w:hAnsi="Arial"/>
          <w:sz w:val="17"/>
          <w:szCs w:val="17"/>
          <w:color w:val="auto"/>
        </w:rPr>
      </w:pPr>
      <w:r>
        <w:rPr>
          <w:rFonts w:ascii="Arial" w:cs="Arial" w:eastAsia="Arial" w:hAnsi="Arial"/>
          <w:sz w:val="17"/>
          <w:szCs w:val="17"/>
          <w:color w:val="auto"/>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 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 w:name="page9"/>
    <w:bookmarkEnd w:id="8"/>
    <w:p>
      <w:pPr>
        <w:ind w:right="300" w:firstLine="987"/>
        <w:spacing w:after="0" w:line="263"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B Common Stock</w:t>
      </w:r>
      <w:r>
        <w:rPr>
          <w:rFonts w:ascii="Arial" w:cs="Arial" w:eastAsia="Arial" w:hAnsi="Arial"/>
          <w:sz w:val="18"/>
          <w:szCs w:val="18"/>
          <w:color w:val="auto"/>
        </w:rPr>
        <w:t>. From and after the Effective Time, shares of Class B Common Stock may be issued only to, and registered only in the name of any Key Holder and any Person in such Key Holder’s Permitted Ownership Group (any such Person, a “</w:t>
      </w:r>
      <w:r>
        <w:rPr>
          <w:rFonts w:ascii="Arial" w:cs="Arial" w:eastAsia="Arial" w:hAnsi="Arial"/>
          <w:sz w:val="18"/>
          <w:szCs w:val="18"/>
          <w:b w:val="1"/>
          <w:bCs w:val="1"/>
          <w:i w:val="1"/>
          <w:iCs w:val="1"/>
          <w:color w:val="auto"/>
        </w:rPr>
        <w:t>Permitted 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Transfers of Class B Common Stock</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78" w:lineRule="exact"/>
        <w:rPr>
          <w:rFonts w:ascii="Arial" w:cs="Arial" w:eastAsia="Arial" w:hAnsi="Arial"/>
          <w:sz w:val="18"/>
          <w:szCs w:val="18"/>
          <w:color w:val="auto"/>
        </w:rPr>
      </w:pPr>
    </w:p>
    <w:p>
      <w:pPr>
        <w:ind w:right="120" w:firstLine="987"/>
        <w:spacing w:after="0" w:line="257"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9" w:lineRule="exact"/>
        <w:rPr>
          <w:rFonts w:ascii="Arial" w:cs="Arial" w:eastAsia="Arial" w:hAnsi="Arial"/>
          <w:sz w:val="18"/>
          <w:szCs w:val="18"/>
          <w:color w:val="auto"/>
        </w:rPr>
      </w:pPr>
    </w:p>
    <w:p>
      <w:pPr>
        <w:ind w:right="20" w:firstLine="987"/>
        <w:spacing w:after="0" w:line="270"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Arial" w:cs="Arial" w:eastAsia="Arial" w:hAnsi="Arial"/>
          <w:sz w:val="17"/>
          <w:szCs w:val="17"/>
          <w:b w:val="1"/>
          <w:bCs w:val="1"/>
          <w:i w:val="1"/>
          <w:iCs w:val="1"/>
          <w:color w:val="auto"/>
        </w:rPr>
        <w:t>Class B Restricted Shares</w:t>
      </w:r>
      <w:r>
        <w:rPr>
          <w:rFonts w:ascii="Arial" w:cs="Arial" w:eastAsia="Arial" w:hAnsi="Arial"/>
          <w:sz w:val="17"/>
          <w:szCs w:val="17"/>
          <w:color w:val="auto"/>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72" w:lineRule="exact"/>
        <w:rPr>
          <w:rFonts w:ascii="Arial" w:cs="Arial" w:eastAsia="Arial" w:hAnsi="Arial"/>
          <w:sz w:val="17"/>
          <w:szCs w:val="17"/>
          <w:color w:val="auto"/>
        </w:rPr>
      </w:pPr>
    </w:p>
    <w:p>
      <w:pPr>
        <w:ind w:right="80" w:firstLine="987"/>
        <w:spacing w:after="0" w:line="254" w:lineRule="auto"/>
        <w:tabs>
          <w:tab w:leader="none" w:pos="1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9" w:name="page10"/>
    <w:bookmarkEnd w:id="9"/>
    <w:p>
      <w:pPr>
        <w:ind w:left="-20" w:right="120" w:firstLine="987"/>
        <w:spacing w:after="0" w:line="255" w:lineRule="auto"/>
        <w:tabs>
          <w:tab w:leader="none" w:pos="121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Arial" w:cs="Arial" w:eastAsia="Arial" w:hAnsi="Arial"/>
          <w:sz w:val="18"/>
          <w:szCs w:val="18"/>
          <w:u w:val="single" w:color="auto"/>
          <w:color w:val="auto"/>
        </w:rPr>
        <w:t>Section 4.6</w:t>
      </w:r>
      <w:r>
        <w:rPr>
          <w:rFonts w:ascii="Arial" w:cs="Arial" w:eastAsia="Arial" w:hAnsi="Arial"/>
          <w:sz w:val="18"/>
          <w:szCs w:val="18"/>
          <w:color w:val="auto"/>
        </w:rPr>
        <w:t>. Any such procedures and regulations shall be kept on file with the Secretary of the Corporation and with the transfer agent and shall be made available for inspection by and, upon written request shall be mailed to, any requesting holders of shares of Class B Common Stock.</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Other Conversions of Class B Common Stock</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5" w:lineRule="auto"/>
        <w:tabs>
          <w:tab w:leader="none" w:pos="121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Each share of Class B Common Stock shall be convertible, at the option of the holder thereof, 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 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10" w:name="page11"/>
    <w:bookmarkEnd w:id="10"/>
    <w:p>
      <w:pPr>
        <w:ind w:left="-20" w:firstLine="987"/>
        <w:spacing w:after="0" w:line="293" w:lineRule="auto"/>
        <w:tabs>
          <w:tab w:leader="none" w:pos="122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Conversion</w:t>
      </w:r>
      <w:r>
        <w:rPr>
          <w:rFonts w:ascii="Arial" w:cs="Arial" w:eastAsia="Arial" w:hAnsi="Arial"/>
          <w:sz w:val="16"/>
          <w:szCs w:val="16"/>
          <w:color w:val="auto"/>
        </w:rPr>
        <w:t xml:space="preserve">. Each share of Class B Common Stock held by any Permitted Class B Holder shall convert into one (1) fully paid and nonassessable share of Class A Common Stock upon the earlier of (i) the Transfer of such share to a Person that is not in the same Permitted Ownership Group as such Permitted Class B Holder, as contemplated by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hereof, (ii) November 1, 2028, or (iii) with respect to any shares held by any Person in a Key Holder’s Permitted Ownership Group, (A) such time as a Key Holder is removed or resigns from the Board 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56" w:lineRule="exact"/>
        <w:rPr>
          <w:rFonts w:ascii="Arial" w:cs="Arial" w:eastAsia="Arial" w:hAnsi="Arial"/>
          <w:sz w:val="16"/>
          <w:szCs w:val="16"/>
          <w:color w:val="auto"/>
        </w:rPr>
      </w:pPr>
    </w:p>
    <w:p>
      <w:pPr>
        <w:ind w:left="-20" w:right="40" w:firstLine="987"/>
        <w:spacing w:after="0" w:line="269" w:lineRule="auto"/>
        <w:tabs>
          <w:tab w:leader="none" w:pos="121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Record Holders</w:t>
      </w:r>
      <w:r>
        <w:rPr>
          <w:rFonts w:ascii="Arial" w:cs="Arial" w:eastAsia="Arial" w:hAnsi="Arial"/>
          <w:sz w:val="17"/>
          <w:szCs w:val="17"/>
          <w:color w:val="auto"/>
        </w:rPr>
        <w:t>. The Persons entitled to shares of Class A Common Stock upon conversion of Class B Common 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77" w:lineRule="exact"/>
        <w:rPr>
          <w:rFonts w:ascii="Arial" w:cs="Arial" w:eastAsia="Arial" w:hAnsi="Arial"/>
          <w:sz w:val="17"/>
          <w:szCs w:val="17"/>
          <w:color w:val="auto"/>
        </w:rPr>
      </w:pPr>
    </w:p>
    <w:p>
      <w:pPr>
        <w:ind w:left="-20" w:right="20" w:firstLine="987"/>
        <w:spacing w:after="0" w:line="290" w:lineRule="auto"/>
        <w:tabs>
          <w:tab w:leader="none" w:pos="122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Reservation of Stock Issuable Upon Conversion</w:t>
      </w:r>
      <w:r>
        <w:rPr>
          <w:rFonts w:ascii="Arial" w:cs="Arial" w:eastAsia="Arial" w:hAnsi="Arial"/>
          <w:sz w:val="16"/>
          <w:szCs w:val="16"/>
          <w:color w:val="auto"/>
        </w:rPr>
        <w:t>. The Corporation shall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57" w:lineRule="exact"/>
        <w:rPr>
          <w:rFonts w:ascii="Arial" w:cs="Arial" w:eastAsia="Arial" w:hAnsi="Arial"/>
          <w:sz w:val="16"/>
          <w:szCs w:val="16"/>
          <w:color w:val="auto"/>
        </w:rPr>
      </w:pPr>
    </w:p>
    <w:p>
      <w:pPr>
        <w:ind w:left="-20" w:right="620" w:firstLine="987"/>
        <w:spacing w:after="0" w:line="263" w:lineRule="auto"/>
        <w:tabs>
          <w:tab w:leader="none" w:pos="121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Class B Common Stock shall be converted pursuant to the terms 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75" w:lineRule="exact"/>
        <w:rPr>
          <w:rFonts w:ascii="Arial" w:cs="Arial" w:eastAsia="Arial" w:hAnsi="Arial"/>
          <w:sz w:val="18"/>
          <w:szCs w:val="18"/>
          <w:color w:val="auto"/>
        </w:rPr>
      </w:pPr>
    </w:p>
    <w:p>
      <w:pPr>
        <w:jc w:val="both"/>
        <w:ind w:left="-20" w:right="120" w:firstLine="987"/>
        <w:spacing w:after="0" w:line="301" w:lineRule="auto"/>
        <w:tabs>
          <w:tab w:leader="none" w:pos="119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Taxes Payable</w:t>
      </w:r>
      <w:r>
        <w:rPr>
          <w:rFonts w:ascii="Arial" w:cs="Arial" w:eastAsia="Arial" w:hAnsi="Arial"/>
          <w:sz w:val="16"/>
          <w:szCs w:val="16"/>
          <w:color w:val="auto"/>
        </w:rPr>
        <w:t>. The Corporation shall not be required to pay any tax which may be payable in respect of any Transfer 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11" w:name="page12"/>
    <w:bookmarkEnd w:id="11"/>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4.8 </w:t>
      </w:r>
      <w:r>
        <w:rPr>
          <w:rFonts w:ascii="Arial" w:cs="Arial" w:eastAsia="Arial" w:hAnsi="Arial"/>
          <w:sz w:val="18"/>
          <w:szCs w:val="18"/>
          <w:u w:val="single" w:color="auto"/>
          <w:color w:val="auto"/>
        </w:rPr>
        <w:t>Certificates; Notice</w:t>
      </w:r>
      <w:r>
        <w:rPr>
          <w:rFonts w:ascii="Arial" w:cs="Arial" w:eastAsia="Arial" w:hAnsi="Arial"/>
          <w:sz w:val="18"/>
          <w:szCs w:val="18"/>
          <w:color w:val="auto"/>
        </w:rPr>
        <w:t>. All certificates or book entries representing shares of Class B Common Stock shall bear a legend substantially in the following form (or in such other form as the Board of Directors may determine):</w:t>
      </w:r>
    </w:p>
    <w:p>
      <w:pPr>
        <w:spacing w:after="0" w:line="62" w:lineRule="exact"/>
        <w:rPr>
          <w:sz w:val="20"/>
          <w:szCs w:val="20"/>
          <w:color w:val="auto"/>
        </w:rPr>
      </w:pPr>
    </w:p>
    <w:p>
      <w:pPr>
        <w:ind w:left="980" w:right="200"/>
        <w:spacing w:after="0" w:line="257" w:lineRule="auto"/>
        <w:rPr>
          <w:sz w:val="20"/>
          <w:szCs w:val="20"/>
          <w:color w:val="auto"/>
        </w:rPr>
      </w:pPr>
      <w:r>
        <w:rPr>
          <w:rFonts w:ascii="Arial" w:cs="Arial" w:eastAsia="Arial" w:hAnsi="Arial"/>
          <w:sz w:val="18"/>
          <w:szCs w:val="18"/>
          <w:color w:val="auto"/>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188"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17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Fractions</w:t>
      </w:r>
      <w:r>
        <w:rPr>
          <w:rFonts w:ascii="Arial" w:cs="Arial" w:eastAsia="Arial" w:hAnsi="Arial"/>
          <w:sz w:val="18"/>
          <w:szCs w:val="18"/>
          <w:color w:val="auto"/>
        </w:rPr>
        <w:t xml:space="preserve">. No fractional shares of Class A Common Stock shall be deliverable upon any conversion contemplated by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Stockholders who otherwise would have been entitled to receive any fractional share of Class A Common Stock pursuant to a conversion contemplated by this </w:t>
      </w:r>
      <w:r>
        <w:rPr>
          <w:rFonts w:ascii="Arial" w:cs="Arial" w:eastAsia="Arial" w:hAnsi="Arial"/>
          <w:sz w:val="18"/>
          <w:szCs w:val="18"/>
          <w:u w:val="single" w:color="auto"/>
          <w:color w:val="auto"/>
        </w:rPr>
        <w:t>Section 4</w:t>
      </w:r>
      <w:r>
        <w:rPr>
          <w:rFonts w:ascii="Arial" w:cs="Arial" w:eastAsia="Arial" w:hAnsi="Arial"/>
          <w:sz w:val="18"/>
          <w:szCs w:val="18"/>
          <w:color w:val="auto"/>
        </w:rPr>
        <w:t>, in lieu of receipt of such fractional interest, shall be entitled to receive from the Corporation an amount in cash equal to the fair value of such fractional share as of the time of conversion.</w:t>
      </w:r>
    </w:p>
    <w:p>
      <w:pPr>
        <w:spacing w:after="0" w:line="18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Amendment</w:t>
      </w:r>
      <w:r>
        <w:rPr>
          <w:rFonts w:ascii="Arial" w:cs="Arial" w:eastAsia="Arial" w:hAnsi="Arial"/>
          <w:sz w:val="17"/>
          <w:szCs w:val="17"/>
          <w:color w:val="auto"/>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17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Equal Treatment in a Change of Control Transaction</w:t>
      </w:r>
      <w:r>
        <w:rPr>
          <w:rFonts w:ascii="Arial" w:cs="Arial" w:eastAsia="Arial" w:hAnsi="Arial"/>
          <w:sz w:val="18"/>
          <w:szCs w:val="18"/>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2" w:name="page13"/>
    <w:bookmarkEnd w:id="12"/>
    <w:p>
      <w:pPr>
        <w:ind w:right="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The affirmative vote of at least a majority of the Whole Board of Directors shall be required in order for the Board of Directors to adopt, repeal, alter, amend or rescind the Bylaws. The stockholders shall also have power to adopt, repeal, alter, amend or rescind the Bylaws. In addition to any other vote of the holders of any class or series of stock of the Corporation required by applicable law or by this Certificate of Incorporation, such adoption, repeal, alteration, amendment or rescission of the Bylaws by the stockholders shall require the affirmative vote of the holders of at least two-thirds of the voting power of all of the then outstanding shares of capital stock of the Corporation entitled to vote generally in the election of directors, voting together as a single class.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Ballot</w:t>
      </w:r>
      <w:r>
        <w:rPr>
          <w:rFonts w:ascii="Arial" w:cs="Arial" w:eastAsia="Arial" w:hAnsi="Arial"/>
          <w:sz w:val="18"/>
          <w:szCs w:val="18"/>
          <w:color w:val="auto"/>
        </w:rPr>
        <w:t>. Elections of directors (each such director, in such capacity,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need not be by written ballot unless the Bylaws shall so provide.</w:t>
      </w:r>
    </w:p>
    <w:p>
      <w:pPr>
        <w:spacing w:after="0" w:line="170" w:lineRule="exact"/>
        <w:rPr>
          <w:sz w:val="20"/>
          <w:szCs w:val="20"/>
          <w:color w:val="auto"/>
        </w:rPr>
      </w:pPr>
    </w:p>
    <w:p>
      <w:pPr>
        <w:jc w:val="both"/>
        <w:ind w:right="40" w:firstLine="440"/>
        <w:spacing w:after="0" w:line="287"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Classification of the Board of Directors</w:t>
      </w:r>
      <w:r>
        <w:rPr>
          <w:rFonts w:ascii="Arial" w:cs="Arial" w:eastAsia="Arial" w:hAnsi="Arial"/>
          <w:sz w:val="16"/>
          <w:szCs w:val="16"/>
          <w:color w:val="auto"/>
        </w:rPr>
        <w:t>. Except as may be provided in a resolution or resolutions of the Board of Directors providing for any series of Preferred Stock with respect to any directors elected (or to be elected) by the holders of such series and except as otherwise required by applicable law, the Directors shall be divided into three classes, designated as Class I, Class II and Class III, as nearly equal in number as possible.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Directors already in office shall be assigned to each class at the time such classification becomes effective, in accordance with a resolution or resolutions adopted by the Board of Directors. Class I Directors shall initially serve for a term expiring at the first annual meeting 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 of Directors becomes effective. At each annual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stockholders commencing with the first annual meeting of stockholders following the time at which the initial classification of the Board of Directors becomes effective,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Arial" w:cs="Arial" w:eastAsia="Arial" w:hAnsi="Arial"/>
          <w:sz w:val="18"/>
          <w:szCs w:val="18"/>
          <w:u w:val="single" w:color="auto"/>
          <w:color w:val="auto"/>
        </w:rPr>
        <w:t>Section 6.2</w:t>
      </w:r>
      <w:r>
        <w:rPr>
          <w:rFonts w:ascii="Arial" w:cs="Arial" w:eastAsia="Arial" w:hAnsi="Arial"/>
          <w:sz w:val="18"/>
          <w:szCs w:val="18"/>
          <w:color w:val="auto"/>
        </w:rPr>
        <w:t>, each Director shall serve until his or her successor is duly elected and qualified or until his or her death, resignation, disqualification, retirement, or removal. Subject to the rights of the holders of any series of Preferred Stock then outstanding in respect of Preferred Directors,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192"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Number and Terms of the Board of Directors</w:t>
      </w:r>
      <w:r>
        <w:rPr>
          <w:rFonts w:ascii="Arial" w:cs="Arial" w:eastAsia="Arial" w:hAnsi="Arial"/>
          <w:sz w:val="18"/>
          <w:szCs w:val="18"/>
          <w:color w:val="auto"/>
        </w:rPr>
        <w:t>. Subject to the rights of the holders of any series of Preferred Stock to elect directors under specified circumstances (such directors, “</w:t>
      </w:r>
      <w:r>
        <w:rPr>
          <w:rFonts w:ascii="Arial" w:cs="Arial" w:eastAsia="Arial" w:hAnsi="Arial"/>
          <w:sz w:val="18"/>
          <w:szCs w:val="18"/>
          <w:b w:val="1"/>
          <w:bCs w:val="1"/>
          <w:i w:val="1"/>
          <w:iCs w:val="1"/>
          <w:color w:val="auto"/>
        </w:rPr>
        <w:t>Preferred Stock Directors</w:t>
      </w:r>
      <w:r>
        <w:rPr>
          <w:rFonts w:ascii="Arial" w:cs="Arial" w:eastAsia="Arial" w:hAnsi="Arial"/>
          <w:sz w:val="18"/>
          <w:szCs w:val="18"/>
          <w:color w:val="auto"/>
        </w:rPr>
        <w:t>”), the number of Directors shall be fixed from time to time exclusively by a majority of the Whole Board of Directors. For purposes of this Certificate of Incorporation, the term “</w:t>
      </w:r>
      <w:r>
        <w:rPr>
          <w:rFonts w:ascii="Arial" w:cs="Arial" w:eastAsia="Arial" w:hAnsi="Arial"/>
          <w:sz w:val="18"/>
          <w:szCs w:val="18"/>
          <w:b w:val="1"/>
          <w:bCs w:val="1"/>
          <w:i w:val="1"/>
          <w:iCs w:val="1"/>
          <w:color w:val="auto"/>
        </w:rPr>
        <w:t>Whole Board of Directors</w:t>
      </w:r>
      <w:r>
        <w:rPr>
          <w:rFonts w:ascii="Arial" w:cs="Arial" w:eastAsia="Arial" w:hAnsi="Arial"/>
          <w:sz w:val="18"/>
          <w:szCs w:val="18"/>
          <w:color w:val="auto"/>
        </w:rPr>
        <w:t>” shall mean the total number of authorized directors (from time to time) whether or not there exist any vacancies in previously authorized directorships or newly created directorships.</w:t>
      </w:r>
    </w:p>
    <w:p>
      <w:pPr>
        <w:spacing w:after="0" w:line="18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Except as otherwise required by law and the separate rights of the holders of any series of Preferred Stock then outstanding in respect of Preferred Stock Directors,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 Any director elected to fill a newly 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w:t>
      </w:r>
    </w:p>
    <w:p>
      <w:pPr>
        <w:spacing w:after="0" w:line="196"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Removal</w:t>
      </w:r>
      <w:r>
        <w:rPr>
          <w:rFonts w:ascii="Arial" w:cs="Arial" w:eastAsia="Arial" w:hAnsi="Arial"/>
          <w:sz w:val="17"/>
          <w:szCs w:val="17"/>
          <w:color w:val="auto"/>
        </w:rPr>
        <w:t>. Subject to the rights of the holders of any series of Preferred Stock then outstanding in respect of Preferred Stock Directors, any Director may be removed for cause only by an affirmative vote of the holders of at least two-thirds of the voting power of all of the then outstanding shares of capital stock entitled to vote generally in the election of directors, at a meeting duly called for that purpose.</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Notice</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6.7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applicable thereto. The number of directors that may be elected by the holders of any such series of Preferred Stock shall be in addition to the number fixed pursuant to Section 6.3 hereof, and the total number of directors constituting the Whole Board of Directors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 action required or permitted to be taken at any annual or special meeting of stockholders may be taken without a meeting. No action shall be taken by the stockholders of the Corporation by consent.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Except with respect to Articles I, II and III, in addition to any vote of the holders of shares of any class or series of capital stock of the Corporation required by applicable law or by this Certificate of Incorporation (including any Certificate of Designation in respect of one or more series of Preferred Stock), the adoption, amendment or repeal of the Certificate of Incorporation shall require the affirmative vote of the holders of at least two-thirds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Corporate Opportunity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any Director (or his or her respective affiliates) who is not employed by the Corporation or its subsidiaries (each such Person, an “</w:t>
      </w:r>
      <w:r>
        <w:rPr>
          <w:rFonts w:ascii="Arial" w:cs="Arial" w:eastAsia="Arial" w:hAnsi="Arial"/>
          <w:sz w:val="17"/>
          <w:szCs w:val="17"/>
          <w:b w:val="1"/>
          <w:bCs w:val="1"/>
          <w:i w:val="1"/>
          <w:iCs w:val="1"/>
          <w:color w:val="auto"/>
        </w:rPr>
        <w:t>Exempt Person</w:t>
      </w:r>
      <w:r>
        <w:rPr>
          <w:rFonts w:ascii="Arial" w:cs="Arial" w:eastAsia="Arial" w:hAnsi="Arial"/>
          <w:sz w:val="17"/>
          <w:szCs w:val="17"/>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78" w:lineRule="exact"/>
        <w:rPr>
          <w:rFonts w:ascii="Arial" w:cs="Arial" w:eastAsia="Arial" w:hAnsi="Arial"/>
          <w:sz w:val="17"/>
          <w:szCs w:val="17"/>
          <w:color w:val="auto"/>
        </w:rPr>
      </w:pPr>
    </w:p>
    <w:p>
      <w:pPr>
        <w:ind w:right="20" w:firstLine="987"/>
        <w:spacing w:after="0" w:line="293" w:lineRule="auto"/>
        <w:tabs>
          <w:tab w:leader="none" w:pos="12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except to the extent such actions or omissions are in breach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9"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Arial" w:cs="Arial" w:eastAsia="Arial" w:hAnsi="Arial"/>
          <w:sz w:val="17"/>
          <w:szCs w:val="17"/>
          <w:b w:val="1"/>
          <w:bCs w:val="1"/>
          <w:i w:val="1"/>
          <w:iCs w:val="1"/>
          <w:color w:val="auto"/>
        </w:rPr>
        <w:t>Court of</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Chancery</w:t>
      </w:r>
      <w:r>
        <w:rPr>
          <w:rFonts w:ascii="Arial" w:cs="Arial" w:eastAsia="Arial" w:hAnsi="Arial"/>
          <w:sz w:val="17"/>
          <w:szCs w:val="17"/>
          <w:color w:val="auto"/>
        </w:rPr>
        <w:t>”), or (iv) any action, suit or proceeding asserting a claim governed by the internal affairs doctrine, shall be exclusively brought in the Court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Chancery or, if such court does not have subject matter jurisdiction thereof, the federal district court of the District of Delaware or other state courts of the State of Delaware; and (b) the federal district courts of the United States of America (the “</w:t>
      </w:r>
      <w:r>
        <w:rPr>
          <w:rFonts w:ascii="Arial" w:cs="Arial" w:eastAsia="Arial" w:hAnsi="Arial"/>
          <w:sz w:val="17"/>
          <w:szCs w:val="17"/>
          <w:b w:val="1"/>
          <w:bCs w:val="1"/>
          <w:i w:val="1"/>
          <w:iCs w:val="1"/>
          <w:color w:val="auto"/>
        </w:rPr>
        <w:t>Federal Courts</w:t>
      </w:r>
      <w:r>
        <w:rPr>
          <w:rFonts w:ascii="Arial" w:cs="Arial" w:eastAsia="Arial" w:hAnsi="Arial"/>
          <w:sz w:val="17"/>
          <w:szCs w:val="17"/>
          <w:color w:val="auto"/>
        </w:rPr>
        <w:t xml:space="preserve">”) shall be the exclusive forum for the resolution of any complaint asserting a cause of action arising under the Securities Act. If any provision or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(including, without limitation, each portion of any sentence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If any action, the subject matter of which is within the scope of the first sentence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is filed in a court other than the Court of Chancery or the Federal Courts, as applicable, (a “</w:t>
      </w:r>
      <w:r>
        <w:rPr>
          <w:rFonts w:ascii="Arial" w:cs="Arial" w:eastAsia="Arial" w:hAnsi="Arial"/>
          <w:sz w:val="17"/>
          <w:szCs w:val="17"/>
          <w:b w:val="1"/>
          <w:bCs w:val="1"/>
          <w:i w:val="1"/>
          <w:iCs w:val="1"/>
          <w:color w:val="auto"/>
        </w:rPr>
        <w:t>Foreign Action</w:t>
      </w:r>
      <w:r>
        <w:rPr>
          <w:rFonts w:ascii="Arial" w:cs="Arial" w:eastAsia="Arial" w:hAnsi="Arial"/>
          <w:sz w:val="17"/>
          <w:szCs w:val="17"/>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(ii) having service of process made upon such stockholder in any such action by service upon such stockholder’s counsel in the Foreign Action as agent for such stockholder. To the fullest extent permitted by law, any person or entity purchasing or otherwise acquiring or holding any interest in shares of capital stock of the Corporation shall be deemed to have notice of and consented to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not apply to suits brought to enforce any liability or duty created by the Exchange Act or any other claim for which the federal courts of the United States have exclusive jurisdiction.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The Corporation expressly elects not to be governed by Section 203 of the DGCL and the restrictions and limitations set forth therein.</w:t>
      </w:r>
    </w:p>
    <w:p>
      <w:pPr>
        <w:spacing w:after="0" w:line="170"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Business Combinations with Interested Stockholders</w:t>
      </w:r>
      <w:r>
        <w:rPr>
          <w:rFonts w:ascii="Arial" w:cs="Arial" w:eastAsia="Arial" w:hAnsi="Arial"/>
          <w:sz w:val="18"/>
          <w:szCs w:val="18"/>
          <w:color w:val="auto"/>
        </w:rPr>
        <w:t>. Notwithstanding anything to the contrary set forth in this Certificate of Incorporation, at any point in time at which the Class A Common Stock or Class B Common Stock is listed on a national securities exchange registered under the 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left="-20" w:right="620" w:firstLine="987"/>
        <w:spacing w:after="0" w:line="277" w:lineRule="auto"/>
        <w:tabs>
          <w:tab w:leader="none" w:pos="1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such time that such stockholder became an Interested Stockholder, the Board of Directors approved either the Business Combination or the transaction which resulted in such stockholder becoming an Interested Stockholder;</w:t>
      </w:r>
    </w:p>
    <w:p>
      <w:pPr>
        <w:spacing w:after="0" w:line="62" w:lineRule="exact"/>
        <w:rPr>
          <w:rFonts w:ascii="Arial" w:cs="Arial" w:eastAsia="Arial" w:hAnsi="Arial"/>
          <w:sz w:val="18"/>
          <w:szCs w:val="18"/>
          <w:color w:val="auto"/>
        </w:rPr>
      </w:pPr>
    </w:p>
    <w:p>
      <w:pPr>
        <w:ind w:left="-20" w:right="40" w:firstLine="987"/>
        <w:spacing w:after="0" w:line="296" w:lineRule="auto"/>
        <w:tabs>
          <w:tab w:leader="none" w:pos="1226"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53" w:lineRule="exact"/>
        <w:rPr>
          <w:rFonts w:ascii="Arial" w:cs="Arial" w:eastAsia="Arial" w:hAnsi="Arial"/>
          <w:sz w:val="16"/>
          <w:szCs w:val="16"/>
          <w:color w:val="auto"/>
        </w:rPr>
      </w:pPr>
    </w:p>
    <w:p>
      <w:pPr>
        <w:ind w:left="-20" w:right="80" w:firstLine="987"/>
        <w:spacing w:after="0" w:line="311" w:lineRule="auto"/>
        <w:tabs>
          <w:tab w:leader="none" w:pos="12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the following terms shall have the following meaning:</w:t>
      </w:r>
    </w:p>
    <w:p>
      <w:pPr>
        <w:spacing w:after="0" w:line="117" w:lineRule="exact"/>
        <w:rPr>
          <w:sz w:val="20"/>
          <w:szCs w:val="20"/>
          <w:color w:val="auto"/>
        </w:rPr>
      </w:pPr>
    </w:p>
    <w:p>
      <w:pPr>
        <w:ind w:left="-20" w:right="40" w:firstLine="987"/>
        <w:spacing w:after="0" w:line="271" w:lineRule="auto"/>
        <w:tabs>
          <w:tab w:leader="none" w:pos="12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70" w:lineRule="exact"/>
        <w:rPr>
          <w:rFonts w:ascii="Arial" w:cs="Arial" w:eastAsia="Arial" w:hAnsi="Arial"/>
          <w:sz w:val="17"/>
          <w:szCs w:val="17"/>
          <w:color w:val="auto"/>
        </w:rPr>
      </w:pPr>
    </w:p>
    <w:p>
      <w:pPr>
        <w:ind w:left="-20" w:firstLine="987"/>
        <w:spacing w:after="0" w:line="257" w:lineRule="auto"/>
        <w:tabs>
          <w:tab w:leader="none" w:pos="12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18" w:name="page19"/>
    <w:bookmarkEnd w:id="18"/>
    <w:p>
      <w:pPr>
        <w:ind w:firstLine="987"/>
        <w:spacing w:after="0" w:line="282" w:lineRule="auto"/>
        <w:tabs>
          <w:tab w:leader="none" w:pos="1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w:t>
      </w:r>
    </w:p>
    <w:p>
      <w:pPr>
        <w:spacing w:after="0" w:line="10" w:lineRule="exact"/>
        <w:rPr>
          <w:rFonts w:ascii="Arial" w:cs="Arial" w:eastAsia="Arial" w:hAnsi="Arial"/>
          <w:sz w:val="16"/>
          <w:szCs w:val="16"/>
          <w:color w:val="auto"/>
        </w:rPr>
      </w:pPr>
    </w:p>
    <w:p>
      <w:pPr>
        <w:ind w:right="360"/>
        <w:spacing w:after="0" w:line="260" w:lineRule="auto"/>
        <w:rPr>
          <w:rFonts w:ascii="Arial" w:cs="Arial" w:eastAsia="Arial" w:hAnsi="Arial"/>
          <w:sz w:val="16"/>
          <w:szCs w:val="16"/>
          <w:color w:val="auto"/>
        </w:rPr>
      </w:pPr>
      <w:r>
        <w:rPr>
          <w:rFonts w:ascii="Arial" w:cs="Arial" w:eastAsia="Arial" w:hAnsi="Arial"/>
          <w:sz w:val="18"/>
          <w:szCs w:val="18"/>
          <w:color w:val="auto"/>
        </w:rPr>
        <w:t>benefits (other than those expressly permitted in subsections (i) through (iv) above) provided by or through the Corporation or any direct or indirect majority-owned subsidiary.</w:t>
      </w:r>
    </w:p>
    <w:p>
      <w:pPr>
        <w:spacing w:after="0" w:line="77" w:lineRule="exact"/>
        <w:rPr>
          <w:rFonts w:ascii="Arial" w:cs="Arial" w:eastAsia="Arial" w:hAnsi="Arial"/>
          <w:sz w:val="16"/>
          <w:szCs w:val="16"/>
          <w:color w:val="auto"/>
        </w:rPr>
      </w:pPr>
    </w:p>
    <w:p>
      <w:pPr>
        <w:ind w:right="40" w:firstLine="987"/>
        <w:spacing w:after="0" w:line="273"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Interested Stockholder</w:t>
      </w:r>
      <w:r>
        <w:rPr>
          <w:rFonts w:ascii="Arial" w:cs="Arial" w:eastAsia="Arial" w:hAnsi="Arial"/>
          <w:sz w:val="17"/>
          <w:szCs w:val="17"/>
          <w:color w:val="auto"/>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to the contrary, the term “Interested Stockholder” shall not include: (v) the JYH Related Parties or any of their current and future Affiliates (so long as such affiliate remains an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9" w:name="page20"/>
    <w:bookmarkEnd w:id="19"/>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w:t>
      </w:r>
    </w:p>
    <w:p>
      <w:pPr>
        <w:spacing w:after="0" w:line="4" w:lineRule="exact"/>
        <w:rPr>
          <w:sz w:val="20"/>
          <w:szCs w:val="20"/>
          <w:color w:val="auto"/>
        </w:rPr>
      </w:pPr>
    </w:p>
    <w:p>
      <w:pPr>
        <w:ind w:left="4" w:hanging="4"/>
        <w:spacing w:after="0" w:line="286" w:lineRule="auto"/>
        <w:tabs>
          <w:tab w:leader="none" w:pos="2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person specified in this clause (aa)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4" w:lineRule="exact"/>
        <w:rPr>
          <w:rFonts w:ascii="Arial" w:cs="Arial" w:eastAsia="Arial" w:hAnsi="Arial"/>
          <w:sz w:val="16"/>
          <w:szCs w:val="16"/>
          <w:color w:val="auto"/>
        </w:rPr>
      </w:pPr>
    </w:p>
    <w:p>
      <w:pPr>
        <w:ind w:left="1244" w:hanging="253"/>
        <w:spacing w:after="0"/>
        <w:tabs>
          <w:tab w:leader="none" w:pos="12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Bain Capital Ventures</w:t>
      </w:r>
      <w:r>
        <w:rPr>
          <w:rFonts w:ascii="Arial" w:cs="Arial" w:eastAsia="Arial" w:hAnsi="Arial"/>
          <w:sz w:val="18"/>
          <w:szCs w:val="18"/>
          <w:color w:val="auto"/>
        </w:rPr>
        <w:t>” means Bain Capital Venture Investors, LLC, a Delaware limited liability company.</w:t>
      </w:r>
    </w:p>
    <w:p>
      <w:pPr>
        <w:spacing w:after="0" w:line="23" w:lineRule="exact"/>
        <w:rPr>
          <w:rFonts w:ascii="Arial" w:cs="Arial" w:eastAsia="Arial" w:hAnsi="Arial"/>
          <w:sz w:val="18"/>
          <w:szCs w:val="18"/>
          <w:color w:val="auto"/>
        </w:rPr>
      </w:pPr>
    </w:p>
    <w:p>
      <w:pPr>
        <w:ind w:left="1224" w:hanging="233"/>
        <w:spacing w:after="0"/>
        <w:tabs>
          <w:tab w:leader="none" w:pos="12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Bain Capital Ventures Related Parties</w:t>
      </w:r>
      <w:r>
        <w:rPr>
          <w:rFonts w:ascii="Arial" w:cs="Arial" w:eastAsia="Arial" w:hAnsi="Arial"/>
          <w:sz w:val="18"/>
          <w:szCs w:val="18"/>
          <w:color w:val="auto"/>
        </w:rPr>
        <w:t>” means Bain Capital Ventures and its Affiliates.</w:t>
      </w:r>
    </w:p>
    <w:p>
      <w:pPr>
        <w:spacing w:after="0" w:line="102" w:lineRule="exact"/>
        <w:rPr>
          <w:rFonts w:ascii="Arial" w:cs="Arial" w:eastAsia="Arial" w:hAnsi="Arial"/>
          <w:sz w:val="18"/>
          <w:szCs w:val="18"/>
          <w:color w:val="auto"/>
        </w:rPr>
      </w:pPr>
    </w:p>
    <w:p>
      <w:pPr>
        <w:ind w:left="1244" w:hanging="253"/>
        <w:spacing w:after="0"/>
        <w:tabs>
          <w:tab w:leader="none" w:pos="12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HCP</w:t>
      </w:r>
      <w:r>
        <w:rPr>
          <w:rFonts w:ascii="Arial" w:cs="Arial" w:eastAsia="Arial" w:hAnsi="Arial"/>
          <w:sz w:val="18"/>
          <w:szCs w:val="18"/>
          <w:color w:val="auto"/>
        </w:rPr>
        <w:t>” means Highland Management Partners VIII Ltd, a Cayman limited company.</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HCP Related Parties</w:t>
      </w:r>
      <w:r>
        <w:rPr>
          <w:rFonts w:ascii="Arial" w:cs="Arial" w:eastAsia="Arial" w:hAnsi="Arial"/>
          <w:sz w:val="18"/>
          <w:szCs w:val="18"/>
          <w:color w:val="auto"/>
        </w:rPr>
        <w:t>” means HCP and its Affiliates.</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JYH</w:t>
      </w:r>
      <w:r>
        <w:rPr>
          <w:rFonts w:ascii="Arial" w:cs="Arial" w:eastAsia="Arial" w:hAnsi="Arial"/>
          <w:sz w:val="18"/>
          <w:szCs w:val="18"/>
          <w:color w:val="auto"/>
        </w:rPr>
        <w:t>” means Jennifer Y. Hyman.</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JYH Related Parties</w:t>
      </w:r>
      <w:r>
        <w:rPr>
          <w:rFonts w:ascii="Arial" w:cs="Arial" w:eastAsia="Arial" w:hAnsi="Arial"/>
          <w:sz w:val="18"/>
          <w:szCs w:val="18"/>
          <w:color w:val="auto"/>
        </w:rPr>
        <w:t>” means JYH and her Affiliates.</w:t>
      </w:r>
    </w:p>
    <w:p>
      <w:pPr>
        <w:spacing w:after="0" w:line="117" w:lineRule="exact"/>
        <w:rPr>
          <w:rFonts w:ascii="Arial" w:cs="Arial" w:eastAsia="Arial" w:hAnsi="Arial"/>
          <w:sz w:val="18"/>
          <w:szCs w:val="18"/>
          <w:color w:val="auto"/>
        </w:rPr>
      </w:pPr>
    </w:p>
    <w:p>
      <w:pPr>
        <w:ind w:left="4" w:right="420" w:firstLine="987"/>
        <w:spacing w:after="0" w:line="277" w:lineRule="auto"/>
        <w:tabs>
          <w:tab w:leader="none" w:pos="12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“own” and “owned,” when used with respect to any stock, means, for purposes of this Article XII, a person that individually or with or through any of its affiliates or associates: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0" w:name="page21"/>
    <w:bookmarkEnd w:id="20"/>
    <w:p>
      <w:pPr>
        <w:ind w:left="1640" w:hanging="212"/>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beneficially owns such stock, directly or indirectly;</w:t>
      </w:r>
    </w:p>
    <w:p>
      <w:pPr>
        <w:spacing w:after="0" w:line="117" w:lineRule="exact"/>
        <w:rPr>
          <w:rFonts w:ascii="Arial" w:cs="Arial" w:eastAsia="Arial" w:hAnsi="Arial"/>
          <w:sz w:val="18"/>
          <w:szCs w:val="18"/>
          <w:color w:val="auto"/>
        </w:rPr>
      </w:pPr>
    </w:p>
    <w:p>
      <w:pPr>
        <w:ind w:left="1420" w:right="20" w:firstLine="8"/>
        <w:spacing w:after="0" w:line="271" w:lineRule="auto"/>
        <w:tabs>
          <w:tab w:leader="none" w:pos="1685" w:val="left"/>
        </w:tabs>
        <w:numPr>
          <w:ilvl w:val="1"/>
          <w:numId w:val="18"/>
        </w:numPr>
        <w:rPr>
          <w:rFonts w:ascii="Arial" w:cs="Arial" w:eastAsia="Arial" w:hAnsi="Arial"/>
          <w:sz w:val="17"/>
          <w:szCs w:val="17"/>
          <w:color w:val="auto"/>
        </w:rPr>
      </w:pPr>
      <w:r>
        <w:rPr>
          <w:rFonts w:ascii="Arial" w:cs="Arial" w:eastAsia="Arial" w:hAnsi="Arial"/>
          <w:sz w:val="17"/>
          <w:szCs w:val="17"/>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70" w:lineRule="exact"/>
        <w:rPr>
          <w:rFonts w:ascii="Arial" w:cs="Arial" w:eastAsia="Arial" w:hAnsi="Arial"/>
          <w:sz w:val="17"/>
          <w:szCs w:val="17"/>
          <w:color w:val="auto"/>
        </w:rPr>
      </w:pPr>
    </w:p>
    <w:p>
      <w:pPr>
        <w:ind w:left="1420" w:firstLine="8"/>
        <w:spacing w:after="0" w:line="286" w:lineRule="auto"/>
        <w:tabs>
          <w:tab w:leader="none" w:pos="1735" w:val="left"/>
        </w:tabs>
        <w:numPr>
          <w:ilvl w:val="1"/>
          <w:numId w:val="18"/>
        </w:numPr>
        <w:rPr>
          <w:rFonts w:ascii="Arial" w:cs="Arial" w:eastAsia="Arial" w:hAnsi="Arial"/>
          <w:sz w:val="17"/>
          <w:szCs w:val="17"/>
          <w:color w:val="auto"/>
        </w:rPr>
      </w:pPr>
      <w:r>
        <w:rPr>
          <w:rFonts w:ascii="Arial" w:cs="Arial" w:eastAsia="Arial" w:hAnsi="Arial"/>
          <w:sz w:val="17"/>
          <w:szCs w:val="17"/>
          <w:color w:val="auto"/>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57" w:lineRule="exact"/>
        <w:rPr>
          <w:rFonts w:ascii="Arial" w:cs="Arial" w:eastAsia="Arial" w:hAnsi="Arial"/>
          <w:sz w:val="17"/>
          <w:szCs w:val="17"/>
          <w:color w:val="auto"/>
        </w:rPr>
      </w:pPr>
    </w:p>
    <w:p>
      <w:pPr>
        <w:ind w:left="1200" w:hanging="213"/>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corporation, partnership, limited liability company, unincorporated association or other entity.</w:t>
      </w:r>
    </w:p>
    <w:p>
      <w:pPr>
        <w:spacing w:after="0" w:line="128" w:lineRule="exact"/>
        <w:rPr>
          <w:rFonts w:ascii="Arial" w:cs="Arial" w:eastAsia="Arial" w:hAnsi="Arial"/>
          <w:sz w:val="17"/>
          <w:szCs w:val="17"/>
          <w:color w:val="auto"/>
        </w:rPr>
      </w:pPr>
    </w:p>
    <w:p>
      <w:pPr>
        <w:ind w:left="1300" w:hanging="313"/>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means, for purposes of this Article XII, with respect to any corporation, capital stock and, with respect to any other entity,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 interest.</w:t>
      </w:r>
    </w:p>
    <w:p>
      <w:pPr>
        <w:spacing w:after="0" w:line="102" w:lineRule="exact"/>
        <w:rPr>
          <w:rFonts w:ascii="Arial" w:cs="Arial" w:eastAsia="Arial" w:hAnsi="Arial"/>
          <w:sz w:val="16"/>
          <w:szCs w:val="16"/>
          <w:color w:val="auto"/>
        </w:rPr>
      </w:pPr>
    </w:p>
    <w:p>
      <w:pPr>
        <w:ind w:right="20" w:firstLine="987"/>
        <w:spacing w:after="0" w:line="286" w:lineRule="auto"/>
        <w:tabs>
          <w:tab w:leader="none" w:pos="12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stock</w:t>
      </w:r>
      <w:r>
        <w:rPr>
          <w:rFonts w:ascii="Arial" w:cs="Arial" w:eastAsia="Arial" w:hAnsi="Arial"/>
          <w:sz w:val="17"/>
          <w:szCs w:val="17"/>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the following terms shall have the following meaning:</w:t>
      </w:r>
    </w:p>
    <w:p>
      <w:pPr>
        <w:spacing w:after="0" w:line="117" w:lineRule="exact"/>
        <w:rPr>
          <w:sz w:val="20"/>
          <w:szCs w:val="20"/>
          <w:color w:val="auto"/>
        </w:rPr>
      </w:pPr>
    </w:p>
    <w:p>
      <w:pPr>
        <w:ind w:right="300" w:firstLine="987"/>
        <w:spacing w:after="0" w:line="27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or which, directly or indirectly, controls, is controlled by, or is under common control with such specified Person;</w:t>
      </w:r>
    </w:p>
    <w:p>
      <w:pPr>
        <w:spacing w:after="0" w:line="62"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Transaction</w:t>
      </w:r>
      <w:r>
        <w:rPr>
          <w:rFonts w:ascii="Arial" w:cs="Arial" w:eastAsia="Arial" w:hAnsi="Arial"/>
          <w:sz w:val="18"/>
          <w:szCs w:val="18"/>
          <w:color w:val="auto"/>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1" w:name="page22"/>
    <w:bookmarkEnd w:id="21"/>
    <w:p>
      <w:pPr>
        <w:ind w:left="4" w:firstLine="987"/>
        <w:spacing w:after="0" w:line="288" w:lineRule="auto"/>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60" w:lineRule="exact"/>
        <w:rPr>
          <w:rFonts w:ascii="Arial" w:cs="Arial" w:eastAsia="Arial" w:hAnsi="Arial"/>
          <w:sz w:val="16"/>
          <w:szCs w:val="16"/>
          <w:color w:val="auto"/>
        </w:rPr>
      </w:pPr>
    </w:p>
    <w:p>
      <w:pPr>
        <w:ind w:left="4" w:right="140" w:firstLine="987"/>
        <w:spacing w:after="0" w:line="277" w:lineRule="auto"/>
        <w:tabs>
          <w:tab w:leader="none" w:pos="12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62" w:lineRule="exact"/>
        <w:rPr>
          <w:rFonts w:ascii="Arial" w:cs="Arial" w:eastAsia="Arial" w:hAnsi="Arial"/>
          <w:sz w:val="18"/>
          <w:szCs w:val="18"/>
          <w:color w:val="auto"/>
        </w:rPr>
      </w:pPr>
    </w:p>
    <w:p>
      <w:pPr>
        <w:ind w:left="4" w:right="280" w:firstLine="987"/>
        <w:spacing w:after="0" w:line="342" w:lineRule="auto"/>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Family Member</w:t>
      </w:r>
      <w:r>
        <w:rPr>
          <w:rFonts w:ascii="Arial" w:cs="Arial" w:eastAsia="Arial" w:hAnsi="Arial"/>
          <w:sz w:val="16"/>
          <w:szCs w:val="16"/>
          <w:color w:val="auto"/>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15" w:lineRule="exact"/>
        <w:rPr>
          <w:rFonts w:ascii="Arial" w:cs="Arial" w:eastAsia="Arial" w:hAnsi="Arial"/>
          <w:sz w:val="16"/>
          <w:szCs w:val="16"/>
          <w:color w:val="auto"/>
        </w:rPr>
      </w:pPr>
    </w:p>
    <w:p>
      <w:pPr>
        <w:ind w:left="1224" w:hanging="233"/>
        <w:spacing w:after="0"/>
        <w:tabs>
          <w:tab w:leader="none" w:pos="12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Holder</w:t>
      </w:r>
      <w:r>
        <w:rPr>
          <w:rFonts w:ascii="Arial" w:cs="Arial" w:eastAsia="Arial" w:hAnsi="Arial"/>
          <w:sz w:val="18"/>
          <w:szCs w:val="18"/>
          <w:color w:val="auto"/>
        </w:rPr>
        <w:t>” means each of Jennifer Y. Hyman and Jennifer C. Fleiss.</w:t>
      </w:r>
    </w:p>
    <w:p>
      <w:pPr>
        <w:spacing w:after="0" w:line="117" w:lineRule="exact"/>
        <w:rPr>
          <w:rFonts w:ascii="Arial" w:cs="Arial" w:eastAsia="Arial" w:hAnsi="Arial"/>
          <w:sz w:val="18"/>
          <w:szCs w:val="18"/>
          <w:color w:val="auto"/>
        </w:rPr>
      </w:pPr>
    </w:p>
    <w:p>
      <w:pPr>
        <w:ind w:left="4" w:right="20" w:firstLine="987"/>
        <w:spacing w:after="0" w:line="284" w:lineRule="auto"/>
        <w:tabs>
          <w:tab w:leader="none" w:pos="12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Ownership Group</w:t>
      </w:r>
      <w:r>
        <w:rPr>
          <w:rFonts w:ascii="Arial" w:cs="Arial" w:eastAsia="Arial" w:hAnsi="Arial"/>
          <w:sz w:val="16"/>
          <w:szCs w:val="16"/>
          <w:color w:val="auto"/>
        </w:rPr>
        <w:t>” means, (i) with respect to any Key Holder that is an individual, each of the following 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w:t>
      </w:r>
    </w:p>
    <w:p>
      <w:pPr>
        <w:ind w:left="304" w:hanging="304"/>
        <w:spacing w:after="0"/>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 Stauffer.</w:t>
      </w:r>
    </w:p>
    <w:p>
      <w:pPr>
        <w:spacing w:after="0" w:line="102" w:lineRule="exact"/>
        <w:rPr>
          <w:rFonts w:ascii="Arial" w:cs="Arial" w:eastAsia="Arial" w:hAnsi="Arial"/>
          <w:sz w:val="18"/>
          <w:szCs w:val="18"/>
          <w:color w:val="auto"/>
        </w:rPr>
      </w:pPr>
    </w:p>
    <w:p>
      <w:pPr>
        <w:ind w:left="4" w:right="180" w:firstLine="987"/>
        <w:spacing w:after="0" w:line="277" w:lineRule="auto"/>
        <w:tabs>
          <w:tab w:leader="none" w:pos="12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limited partnerships, limited liability company, unincorporated association, trusts or other entity.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2" w:name="page23"/>
    <w:bookmarkEnd w:id="22"/>
    <w:p>
      <w:pPr>
        <w:ind w:right="120" w:firstLine="987"/>
        <w:spacing w:after="0" w:line="277" w:lineRule="auto"/>
        <w:tabs>
          <w:tab w:leader="none" w:pos="1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promulgated thereunder, and any successor to such statute, rules or regulations.</w:t>
      </w:r>
    </w:p>
    <w:p>
      <w:pPr>
        <w:spacing w:after="0" w:line="62" w:lineRule="exact"/>
        <w:rPr>
          <w:rFonts w:ascii="Arial" w:cs="Arial" w:eastAsia="Arial" w:hAnsi="Arial"/>
          <w:sz w:val="18"/>
          <w:szCs w:val="18"/>
          <w:color w:val="auto"/>
        </w:rPr>
      </w:pPr>
    </w:p>
    <w:p>
      <w:pPr>
        <w:ind w:firstLine="987"/>
        <w:spacing w:after="0" w:line="285" w:lineRule="auto"/>
        <w:tabs>
          <w:tab w:leader="none" w:pos="120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(and, with a correlative meaning, “</w:t>
      </w:r>
      <w:r>
        <w:rPr>
          <w:rFonts w:ascii="Arial" w:cs="Arial" w:eastAsia="Arial" w:hAnsi="Arial"/>
          <w:sz w:val="16"/>
          <w:szCs w:val="16"/>
          <w:b w:val="1"/>
          <w:bCs w:val="1"/>
          <w:i w:val="1"/>
          <w:iCs w:val="1"/>
          <w:color w:val="auto"/>
        </w:rPr>
        <w:t>Transferring</w:t>
      </w:r>
      <w:r>
        <w:rPr>
          <w:rFonts w:ascii="Arial" w:cs="Arial" w:eastAsia="Arial" w:hAnsi="Arial"/>
          <w:sz w:val="16"/>
          <w:szCs w:val="16"/>
          <w:color w:val="auto"/>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3" w:name="page24"/>
    <w:bookmarkEnd w:id="2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Amended and Restated Certificate of Incorporation to be signed on this October 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RENT THE RUNWAY,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Jennifer Y. Hyman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780"/>
          </w:cols>
          <w:pgMar w:left="440" w:top="274" w:right="6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RENT THE RUNWAY,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 DELAWARE CORPORATION)</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October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140" w:type="dxa"/>
            <w:vAlign w:val="bottom"/>
          </w:tcPr>
          <w:p>
            <w:pPr>
              <w:ind w:left="3620"/>
              <w:spacing w:after="0"/>
              <w:rPr>
                <w:sz w:val="20"/>
                <w:szCs w:val="20"/>
                <w:color w:val="auto"/>
              </w:rPr>
            </w:pPr>
            <w:r>
              <w:rPr>
                <w:rFonts w:ascii="Arial" w:cs="Arial" w:eastAsia="Arial" w:hAnsi="Arial"/>
                <w:sz w:val="18"/>
                <w:szCs w:val="18"/>
                <w:b w:val="1"/>
                <w:bCs w:val="1"/>
                <w:color w:val="auto"/>
              </w:rPr>
              <w:t>CONTENTS</w:t>
            </w:r>
          </w:p>
        </w:tc>
        <w:tc>
          <w:tcPr>
            <w:tcW w:w="2440" w:type="dxa"/>
            <w:vAlign w:val="bottom"/>
          </w:tcPr>
          <w:p>
            <w:pPr>
              <w:spacing w:after="0"/>
              <w:rPr>
                <w:sz w:val="20"/>
                <w:szCs w:val="20"/>
                <w:color w:val="auto"/>
              </w:rPr>
            </w:pPr>
          </w:p>
        </w:tc>
      </w:tr>
      <w:tr>
        <w:trPr>
          <w:trHeight w:val="407"/>
        </w:trPr>
        <w:tc>
          <w:tcPr>
            <w:tcW w:w="13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03"/>
        </w:trPr>
        <w:tc>
          <w:tcPr>
            <w:tcW w:w="8520" w:type="dxa"/>
            <w:vAlign w:val="bottom"/>
            <w:gridSpan w:val="2"/>
          </w:tcPr>
          <w:p>
            <w:pPr>
              <w:spacing w:after="0"/>
              <w:rPr>
                <w:sz w:val="20"/>
                <w:szCs w:val="20"/>
                <w:color w:val="auto"/>
              </w:rPr>
            </w:pPr>
            <w:r>
              <w:rPr>
                <w:rFonts w:ascii="Arial" w:cs="Arial" w:eastAsia="Arial" w:hAnsi="Arial"/>
                <w:sz w:val="18"/>
                <w:szCs w:val="18"/>
                <w:color w:val="auto"/>
              </w:rPr>
              <w:t>ARTICLE I. CORPORATE OFFICES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1.01</w:t>
            </w:r>
          </w:p>
        </w:tc>
        <w:tc>
          <w:tcPr>
            <w:tcW w:w="7140" w:type="dxa"/>
            <w:vAlign w:val="bottom"/>
          </w:tcPr>
          <w:p>
            <w:pPr>
              <w:ind w:left="140"/>
              <w:spacing w:after="0"/>
              <w:rPr>
                <w:sz w:val="20"/>
                <w:szCs w:val="20"/>
                <w:color w:val="auto"/>
              </w:rPr>
            </w:pPr>
            <w:r>
              <w:rPr>
                <w:rFonts w:ascii="Arial" w:cs="Arial" w:eastAsia="Arial" w:hAnsi="Arial"/>
                <w:sz w:val="18"/>
                <w:szCs w:val="18"/>
                <w:color w:val="auto"/>
              </w:rPr>
              <w:t>Registered Office</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1.02</w:t>
            </w:r>
          </w:p>
        </w:tc>
        <w:tc>
          <w:tcPr>
            <w:tcW w:w="7140" w:type="dxa"/>
            <w:vAlign w:val="bottom"/>
          </w:tcPr>
          <w:p>
            <w:pPr>
              <w:ind w:left="140"/>
              <w:spacing w:after="0"/>
              <w:rPr>
                <w:sz w:val="20"/>
                <w:szCs w:val="20"/>
                <w:color w:val="auto"/>
              </w:rPr>
            </w:pPr>
            <w:r>
              <w:rPr>
                <w:rFonts w:ascii="Arial" w:cs="Arial" w:eastAsia="Arial" w:hAnsi="Arial"/>
                <w:sz w:val="18"/>
                <w:szCs w:val="18"/>
                <w:color w:val="auto"/>
              </w:rPr>
              <w:t>Other Offices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2.01   Place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2.02</w:t>
            </w:r>
          </w:p>
        </w:tc>
        <w:tc>
          <w:tcPr>
            <w:tcW w:w="7140" w:type="dxa"/>
            <w:vAlign w:val="bottom"/>
          </w:tcPr>
          <w:p>
            <w:pPr>
              <w:ind w:left="140"/>
              <w:spacing w:after="0"/>
              <w:rPr>
                <w:sz w:val="20"/>
                <w:szCs w:val="20"/>
                <w:color w:val="auto"/>
              </w:rPr>
            </w:pPr>
            <w:r>
              <w:rPr>
                <w:rFonts w:ascii="Arial" w:cs="Arial" w:eastAsia="Arial" w:hAnsi="Arial"/>
                <w:sz w:val="18"/>
                <w:szCs w:val="18"/>
                <w:color w:val="auto"/>
              </w:rPr>
              <w:t>Annual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2.03</w:t>
            </w:r>
          </w:p>
        </w:tc>
        <w:tc>
          <w:tcPr>
            <w:tcW w:w="714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2.04   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2.05</w:t>
            </w:r>
          </w:p>
        </w:tc>
        <w:tc>
          <w:tcPr>
            <w:tcW w:w="7140" w:type="dxa"/>
            <w:vAlign w:val="bottom"/>
          </w:tcPr>
          <w:p>
            <w:pPr>
              <w:ind w:left="140"/>
              <w:spacing w:after="0"/>
              <w:rPr>
                <w:sz w:val="20"/>
                <w:szCs w:val="20"/>
                <w:color w:val="auto"/>
              </w:rPr>
            </w:pPr>
            <w:r>
              <w:rPr>
                <w:rFonts w:ascii="Arial" w:cs="Arial" w:eastAsia="Arial" w:hAnsi="Arial"/>
                <w:sz w:val="18"/>
                <w:szCs w:val="18"/>
                <w:color w:val="auto"/>
              </w:rPr>
              <w:t>Adjournments</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2.06</w:t>
            </w:r>
          </w:p>
        </w:tc>
        <w:tc>
          <w:tcPr>
            <w:tcW w:w="7140" w:type="dxa"/>
            <w:vAlign w:val="bottom"/>
          </w:tcPr>
          <w:p>
            <w:pPr>
              <w:ind w:left="14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2.07</w:t>
            </w:r>
          </w:p>
        </w:tc>
        <w:tc>
          <w:tcPr>
            <w:tcW w:w="7140" w:type="dxa"/>
            <w:vAlign w:val="bottom"/>
          </w:tcPr>
          <w:p>
            <w:pPr>
              <w:ind w:left="14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2.08</w:t>
            </w:r>
          </w:p>
        </w:tc>
        <w:tc>
          <w:tcPr>
            <w:tcW w:w="7140" w:type="dxa"/>
            <w:vAlign w:val="bottom"/>
          </w:tcPr>
          <w:p>
            <w:pPr>
              <w:ind w:left="140"/>
              <w:spacing w:after="0"/>
              <w:rPr>
                <w:sz w:val="20"/>
                <w:szCs w:val="20"/>
                <w:color w:val="auto"/>
              </w:rPr>
            </w:pPr>
            <w:r>
              <w:rPr>
                <w:rFonts w:ascii="Arial" w:cs="Arial" w:eastAsia="Arial" w:hAnsi="Arial"/>
                <w:sz w:val="18"/>
                <w:szCs w:val="18"/>
                <w:color w:val="auto"/>
              </w:rPr>
              <w:t>Voting; Proxies</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2.09   Fixing Date for Determination of Stockholders of Record</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2.10   List of Stockholders Entitled to Vote</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2.11   Inspectors of Election</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2.12   Conduct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2.13   Advance Notice Procedures for Business Brought before a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2.14   Advance Notice Procedures for Nominations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2.15   Delivery to the Corporation.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8520" w:type="dxa"/>
            <w:vAlign w:val="bottom"/>
            <w:gridSpan w:val="2"/>
          </w:tcPr>
          <w:p>
            <w:pPr>
              <w:spacing w:after="0"/>
              <w:rPr>
                <w:sz w:val="20"/>
                <w:szCs w:val="20"/>
                <w:color w:val="auto"/>
              </w:rPr>
            </w:pPr>
            <w:r>
              <w:rPr>
                <w:rFonts w:ascii="Arial" w:cs="Arial" w:eastAsia="Arial" w:hAnsi="Arial"/>
                <w:sz w:val="18"/>
                <w:szCs w:val="18"/>
                <w:color w:val="auto"/>
              </w:rPr>
              <w:t>ARTICLE III. BOARD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3.01   Number; Tenure; Qualifications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3.02   Election; Resignation; Removal; 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3.03</w:t>
            </w:r>
          </w:p>
        </w:tc>
        <w:tc>
          <w:tcPr>
            <w:tcW w:w="7140" w:type="dxa"/>
            <w:vAlign w:val="bottom"/>
          </w:tcPr>
          <w:p>
            <w:pPr>
              <w:ind w:left="14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3.04</w:t>
            </w:r>
          </w:p>
        </w:tc>
        <w:tc>
          <w:tcPr>
            <w:tcW w:w="7140" w:type="dxa"/>
            <w:vAlign w:val="bottom"/>
          </w:tcPr>
          <w:p>
            <w:pPr>
              <w:ind w:left="14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3.05   Telephonic Meetings Permitted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3.06   Quorum; Vote Required for Action</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3.07</w:t>
            </w:r>
          </w:p>
        </w:tc>
        <w:tc>
          <w:tcPr>
            <w:tcW w:w="7140" w:type="dxa"/>
            <w:vAlign w:val="bottom"/>
          </w:tcPr>
          <w:p>
            <w:pPr>
              <w:ind w:left="14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3.08   Action by Unanimous Consent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3.09   Compensation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3.10</w:t>
            </w:r>
          </w:p>
        </w:tc>
        <w:tc>
          <w:tcPr>
            <w:tcW w:w="7140" w:type="dxa"/>
            <w:vAlign w:val="bottom"/>
          </w:tcPr>
          <w:p>
            <w:pPr>
              <w:ind w:left="140"/>
              <w:spacing w:after="0"/>
              <w:rPr>
                <w:sz w:val="20"/>
                <w:szCs w:val="20"/>
                <w:color w:val="auto"/>
              </w:rPr>
            </w:pPr>
            <w:r>
              <w:rPr>
                <w:rFonts w:ascii="Arial" w:cs="Arial" w:eastAsia="Arial" w:hAnsi="Arial"/>
                <w:sz w:val="18"/>
                <w:szCs w:val="18"/>
                <w:color w:val="auto"/>
              </w:rPr>
              <w:t>Chairpersons</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8520" w:type="dxa"/>
            <w:vAlign w:val="bottom"/>
            <w:gridSpan w:val="2"/>
          </w:tcPr>
          <w:p>
            <w:pPr>
              <w:spacing w:after="0"/>
              <w:rPr>
                <w:sz w:val="20"/>
                <w:szCs w:val="20"/>
                <w:color w:val="auto"/>
              </w:rPr>
            </w:pPr>
            <w:r>
              <w:rPr>
                <w:rFonts w:ascii="Arial" w:cs="Arial" w:eastAsia="Arial" w:hAnsi="Arial"/>
                <w:sz w:val="18"/>
                <w:szCs w:val="18"/>
                <w:color w:val="auto"/>
              </w:rPr>
              <w:t>ARTICLE IV. 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4.01</w:t>
            </w:r>
          </w:p>
        </w:tc>
        <w:tc>
          <w:tcPr>
            <w:tcW w:w="7140" w:type="dxa"/>
            <w:vAlign w:val="bottom"/>
          </w:tcPr>
          <w:p>
            <w:pPr>
              <w:ind w:left="140"/>
              <w:spacing w:after="0"/>
              <w:rPr>
                <w:sz w:val="20"/>
                <w:szCs w:val="20"/>
                <w:color w:val="auto"/>
              </w:rPr>
            </w:pP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4.02</w:t>
            </w:r>
          </w:p>
        </w:tc>
        <w:tc>
          <w:tcPr>
            <w:tcW w:w="7140" w:type="dxa"/>
            <w:vAlign w:val="bottom"/>
          </w:tcPr>
          <w:p>
            <w:pPr>
              <w:ind w:left="140"/>
              <w:spacing w:after="0"/>
              <w:rPr>
                <w:sz w:val="20"/>
                <w:szCs w:val="20"/>
                <w:color w:val="auto"/>
              </w:rPr>
            </w:pPr>
            <w:r>
              <w:rPr>
                <w:rFonts w:ascii="Arial" w:cs="Arial" w:eastAsia="Arial" w:hAnsi="Arial"/>
                <w:sz w:val="18"/>
                <w:szCs w:val="18"/>
                <w:color w:val="auto"/>
              </w:rPr>
              <w:t>Committee Minutes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4.03</w:t>
            </w:r>
          </w:p>
        </w:tc>
        <w:tc>
          <w:tcPr>
            <w:tcW w:w="7140" w:type="dxa"/>
            <w:vAlign w:val="bottom"/>
          </w:tcPr>
          <w:p>
            <w:pPr>
              <w:ind w:left="140"/>
              <w:spacing w:after="0"/>
              <w:rPr>
                <w:sz w:val="20"/>
                <w:szCs w:val="20"/>
                <w:color w:val="auto"/>
              </w:rPr>
            </w:pPr>
            <w:r>
              <w:rPr>
                <w:rFonts w:ascii="Arial" w:cs="Arial" w:eastAsia="Arial" w:hAnsi="Arial"/>
                <w:sz w:val="18"/>
                <w:szCs w:val="18"/>
                <w:color w:val="auto"/>
              </w:rPr>
              <w:t>Committee Rules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5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5.01</w:t>
            </w:r>
          </w:p>
        </w:tc>
        <w:tc>
          <w:tcPr>
            <w:tcW w:w="7140" w:type="dxa"/>
            <w:vAlign w:val="bottom"/>
          </w:tcPr>
          <w:p>
            <w:pPr>
              <w:ind w:left="140"/>
              <w:spacing w:after="0"/>
              <w:rPr>
                <w:sz w:val="20"/>
                <w:szCs w:val="20"/>
                <w:color w:val="auto"/>
              </w:rPr>
            </w:pPr>
            <w:r>
              <w:rPr>
                <w:rFonts w:ascii="Arial" w:cs="Arial" w:eastAsia="Arial" w:hAnsi="Arial"/>
                <w:sz w:val="18"/>
                <w:szCs w:val="18"/>
                <w:color w:val="auto"/>
              </w:rPr>
              <w:t>Officers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5.02   Appointment of Officers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5.03</w:t>
            </w:r>
          </w:p>
        </w:tc>
        <w:tc>
          <w:tcPr>
            <w:tcW w:w="7140" w:type="dxa"/>
            <w:vAlign w:val="bottom"/>
          </w:tcPr>
          <w:p>
            <w:pPr>
              <w:ind w:left="140"/>
              <w:spacing w:after="0"/>
              <w:rPr>
                <w:sz w:val="20"/>
                <w:szCs w:val="20"/>
                <w:color w:val="auto"/>
              </w:rPr>
            </w:pPr>
            <w:r>
              <w:rPr>
                <w:rFonts w:ascii="Arial" w:cs="Arial" w:eastAsia="Arial" w:hAnsi="Arial"/>
                <w:sz w:val="18"/>
                <w:szCs w:val="18"/>
                <w:color w:val="auto"/>
              </w:rPr>
              <w:t>Subordinate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520" w:type="dxa"/>
            <w:vAlign w:val="bottom"/>
            <w:gridSpan w:val="2"/>
          </w:tcPr>
          <w:p>
            <w:pPr>
              <w:ind w:left="360"/>
              <w:spacing w:after="0"/>
              <w:rPr>
                <w:sz w:val="20"/>
                <w:szCs w:val="20"/>
                <w:color w:val="auto"/>
              </w:rPr>
            </w:pPr>
            <w:r>
              <w:rPr>
                <w:rFonts w:ascii="Arial" w:cs="Arial" w:eastAsia="Arial" w:hAnsi="Arial"/>
                <w:sz w:val="18"/>
                <w:szCs w:val="18"/>
                <w:color w:val="auto"/>
              </w:rPr>
              <w:t>Section 5.04   Removal and Resignation of Officers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 w:name="page27"/>
    <w:bookmarkEnd w:id="26"/>
    <w:tbl>
      <w:tblPr>
        <w:tblLayout w:type="fixed"/>
        <w:tblInd w:w="0" w:type="dxa"/>
        <w:tblCellMar>
          <w:top w:w="0" w:type="dxa"/>
          <w:left w:w="0" w:type="dxa"/>
          <w:bottom w:w="0" w:type="dxa"/>
          <w:right w:w="0" w:type="dxa"/>
        </w:tblCellMar>
      </w:tblP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5.05   Vacancies in Offices</w:t>
            </w:r>
          </w:p>
        </w:tc>
        <w:tc>
          <w:tcPr>
            <w:tcW w:w="2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5.06   Chief Executive Officer</w:t>
            </w:r>
          </w:p>
        </w:tc>
        <w:tc>
          <w:tcPr>
            <w:tcW w:w="2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5.07</w:t>
            </w:r>
          </w:p>
        </w:tc>
        <w:tc>
          <w:tcPr>
            <w:tcW w:w="744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2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5.08</w:t>
            </w:r>
          </w:p>
        </w:tc>
        <w:tc>
          <w:tcPr>
            <w:tcW w:w="7440" w:type="dxa"/>
            <w:vAlign w:val="bottom"/>
          </w:tcPr>
          <w:p>
            <w:pPr>
              <w:ind w:left="140"/>
              <w:spacing w:after="0"/>
              <w:rPr>
                <w:sz w:val="20"/>
                <w:szCs w:val="20"/>
                <w:color w:val="auto"/>
              </w:rPr>
            </w:pPr>
            <w:r>
              <w:rPr>
                <w:rFonts w:ascii="Arial" w:cs="Arial" w:eastAsia="Arial" w:hAnsi="Arial"/>
                <w:sz w:val="18"/>
                <w:szCs w:val="18"/>
                <w:color w:val="auto"/>
              </w:rPr>
              <w:t>Secretary</w:t>
            </w:r>
          </w:p>
        </w:tc>
        <w:tc>
          <w:tcPr>
            <w:tcW w:w="2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5.09   Chief Financial Officer</w:t>
            </w:r>
          </w:p>
        </w:tc>
        <w:tc>
          <w:tcPr>
            <w:tcW w:w="2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5.10   Representation of Equity Interests of Other Entities</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5.11   Authority and Duties of Officers</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5.12</w:t>
            </w:r>
          </w:p>
        </w:tc>
        <w:tc>
          <w:tcPr>
            <w:tcW w:w="744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 STOCK</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6.01</w:t>
            </w:r>
          </w:p>
        </w:tc>
        <w:tc>
          <w:tcPr>
            <w:tcW w:w="7440" w:type="dxa"/>
            <w:vAlign w:val="bottom"/>
          </w:tcPr>
          <w:p>
            <w:pPr>
              <w:ind w:left="140"/>
              <w:spacing w:after="0"/>
              <w:rPr>
                <w:sz w:val="20"/>
                <w:szCs w:val="20"/>
                <w:color w:val="auto"/>
              </w:rPr>
            </w:pPr>
            <w:r>
              <w:rPr>
                <w:rFonts w:ascii="Arial" w:cs="Arial" w:eastAsia="Arial" w:hAnsi="Arial"/>
                <w:sz w:val="18"/>
                <w:szCs w:val="18"/>
                <w:color w:val="auto"/>
              </w:rPr>
              <w:t>Certificates</w:t>
            </w: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6.02   Lost, Stolen or Destroyed Stock Certificates; Issuance of New Certificates</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6.03   Shares Without Certificates</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VII. INDEMNIFICATION AND ADVANCEMENT OF 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7.01   Right to Indemnification</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7.02   Indemnification of Others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7.03   Advancement of 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7.04</w:t>
            </w:r>
          </w:p>
        </w:tc>
        <w:tc>
          <w:tcPr>
            <w:tcW w:w="7440" w:type="dxa"/>
            <w:vAlign w:val="bottom"/>
          </w:tcPr>
          <w:p>
            <w:pPr>
              <w:ind w:left="140"/>
              <w:spacing w:after="0"/>
              <w:rPr>
                <w:sz w:val="20"/>
                <w:szCs w:val="20"/>
                <w:color w:val="auto"/>
              </w:rPr>
            </w:pPr>
            <w:r>
              <w:rPr>
                <w:rFonts w:ascii="Arial" w:cs="Arial" w:eastAsia="Arial" w:hAnsi="Arial"/>
                <w:sz w:val="18"/>
                <w:szCs w:val="18"/>
                <w:color w:val="auto"/>
              </w:rPr>
              <w:t>Claims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7.05   Non-exclusivity of Rights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7.06</w:t>
            </w:r>
          </w:p>
        </w:tc>
        <w:tc>
          <w:tcPr>
            <w:tcW w:w="744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7.07</w:t>
            </w:r>
          </w:p>
        </w:tc>
        <w:tc>
          <w:tcPr>
            <w:tcW w:w="7440" w:type="dxa"/>
            <w:vAlign w:val="bottom"/>
          </w:tcPr>
          <w:p>
            <w:pPr>
              <w:ind w:left="140"/>
              <w:spacing w:after="0"/>
              <w:rPr>
                <w:sz w:val="20"/>
                <w:szCs w:val="20"/>
                <w:color w:val="auto"/>
              </w:rPr>
            </w:pPr>
            <w:r>
              <w:rPr>
                <w:rFonts w:ascii="Arial" w:cs="Arial" w:eastAsia="Arial" w:hAnsi="Arial"/>
                <w:sz w:val="18"/>
                <w:szCs w:val="18"/>
                <w:color w:val="auto"/>
              </w:rPr>
              <w:t>Other Sources</w:t>
            </w:r>
          </w:p>
        </w:tc>
        <w:tc>
          <w:tcPr>
            <w:tcW w:w="2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7.08   Continuation of Indemnification</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7.09   Amendment or Repeal</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7.10   Other Indemnification and Advancement of Expenses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82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8.01</w:t>
            </w:r>
          </w:p>
        </w:tc>
        <w:tc>
          <w:tcPr>
            <w:tcW w:w="744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8.02   Execution of Corporate Contracts and Instruments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8.03</w:t>
            </w:r>
          </w:p>
        </w:tc>
        <w:tc>
          <w:tcPr>
            <w:tcW w:w="744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8.04</w:t>
            </w:r>
          </w:p>
        </w:tc>
        <w:tc>
          <w:tcPr>
            <w:tcW w:w="7440" w:type="dxa"/>
            <w:vAlign w:val="bottom"/>
          </w:tcPr>
          <w:p>
            <w:pPr>
              <w:ind w:left="140"/>
              <w:spacing w:after="0"/>
              <w:rPr>
                <w:sz w:val="20"/>
                <w:szCs w:val="20"/>
                <w:color w:val="auto"/>
              </w:rPr>
            </w:pPr>
            <w:r>
              <w:rPr>
                <w:rFonts w:ascii="Arial" w:cs="Arial" w:eastAsia="Arial" w:hAnsi="Arial"/>
                <w:sz w:val="18"/>
                <w:szCs w:val="18"/>
                <w:color w:val="auto"/>
              </w:rPr>
              <w:t>Registered Stockholders</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8.05</w:t>
            </w:r>
          </w:p>
        </w:tc>
        <w:tc>
          <w:tcPr>
            <w:tcW w:w="7440" w:type="dxa"/>
            <w:vAlign w:val="bottom"/>
          </w:tcPr>
          <w:p>
            <w:pPr>
              <w:ind w:left="140"/>
              <w:spacing w:after="0"/>
              <w:rPr>
                <w:sz w:val="20"/>
                <w:szCs w:val="20"/>
                <w:color w:val="auto"/>
              </w:rPr>
            </w:pPr>
            <w:r>
              <w:rPr>
                <w:rFonts w:ascii="Arial" w:cs="Arial" w:eastAsia="Arial" w:hAnsi="Arial"/>
                <w:sz w:val="18"/>
                <w:szCs w:val="18"/>
                <w:color w:val="auto"/>
              </w:rPr>
              <w:t>Corporate Seal</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8.06</w:t>
            </w:r>
          </w:p>
        </w:tc>
        <w:tc>
          <w:tcPr>
            <w:tcW w:w="7440" w:type="dxa"/>
            <w:vAlign w:val="bottom"/>
          </w:tcPr>
          <w:p>
            <w:pPr>
              <w:ind w:left="140"/>
              <w:spacing w:after="0"/>
              <w:rPr>
                <w:sz w:val="20"/>
                <w:szCs w:val="20"/>
                <w:color w:val="auto"/>
              </w:rPr>
            </w:pPr>
            <w:r>
              <w:rPr>
                <w:rFonts w:ascii="Arial" w:cs="Arial" w:eastAsia="Arial" w:hAnsi="Arial"/>
                <w:sz w:val="18"/>
                <w:szCs w:val="18"/>
                <w:color w:val="auto"/>
              </w:rPr>
              <w:t>Construction; Definitions</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8.07   Manner of Notice.</w:t>
            </w:r>
          </w:p>
        </w:tc>
        <w:tc>
          <w:tcPr>
            <w:tcW w:w="2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8.08   Waiver of Notice of Meetings of Stockholders, Directors and Committees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8.09   Form of Records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Section 8.10   Amendment of Bylaws</w:t>
            </w:r>
          </w:p>
        </w:tc>
        <w:tc>
          <w:tcPr>
            <w:tcW w:w="21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CORPORATE OFFICES</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address of the registered office of Rent the Runway,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in the State of Delaware, and the name of its registered agent at such address, shall be as set forth in the Amended and Restated Certificate of Incorporation of the Corporation (as the same may be further amended, restated, amended and restated or otherwise modified from time to time,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Incorporation</w:t>
      </w:r>
      <w:r>
        <w:rPr>
          <w:rFonts w:ascii="Arial" w:cs="Arial" w:eastAsia="Arial" w:hAnsi="Arial"/>
          <w:sz w:val="18"/>
          <w:szCs w:val="18"/>
          <w:color w:val="auto"/>
        </w:rPr>
        <w:t>”).</w:t>
      </w:r>
    </w:p>
    <w:p>
      <w:pPr>
        <w:spacing w:after="0" w:line="187"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Other Offices</w:t>
      </w:r>
      <w:r>
        <w:rPr>
          <w:rFonts w:ascii="Arial" w:cs="Arial" w:eastAsia="Arial" w:hAnsi="Arial"/>
          <w:sz w:val="16"/>
          <w:szCs w:val="16"/>
          <w:color w:val="auto"/>
        </w:rPr>
        <w:t>. The Corporation may have additional offices at any place or places, within or without the State of Delaware, as the Corporation’s Board of Directors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may from time to time establish or as the business of the Corporation may require.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stockholders of the Corporation (the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76"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recess, reschedule or cancel any annual meeting of Stockholders previously scheduled by the Board of Directors.</w:t>
      </w:r>
    </w:p>
    <w:p>
      <w:pPr>
        <w:spacing w:after="0" w:line="187" w:lineRule="exact"/>
        <w:rPr>
          <w:sz w:val="20"/>
          <w:szCs w:val="20"/>
          <w:color w:val="auto"/>
        </w:rPr>
      </w:pPr>
    </w:p>
    <w:p>
      <w:pPr>
        <w:ind w:right="140" w:firstLine="440"/>
        <w:spacing w:after="0" w:line="290"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Stockholders for any purpose or purposes may be called only by a chairperson or co-chairperson of the Board of Directors (a “</w:t>
      </w:r>
      <w:r>
        <w:rPr>
          <w:rFonts w:ascii="Arial" w:cs="Arial" w:eastAsia="Arial" w:hAnsi="Arial"/>
          <w:sz w:val="16"/>
          <w:szCs w:val="16"/>
          <w:b w:val="1"/>
          <w:bCs w:val="1"/>
          <w:i w:val="1"/>
          <w:iCs w:val="1"/>
          <w:color w:val="auto"/>
        </w:rPr>
        <w:t>Chairperson</w:t>
      </w:r>
      <w:r>
        <w:rPr>
          <w:rFonts w:ascii="Arial" w:cs="Arial" w:eastAsia="Arial" w:hAnsi="Arial"/>
          <w:sz w:val="16"/>
          <w:szCs w:val="16"/>
          <w:color w:val="auto"/>
        </w:rPr>
        <w:t>”) or pursuant to a resolution adopted by a majority of the Whole Board of Directors. For purposes of these Bylaws, the term “</w:t>
      </w:r>
      <w:r>
        <w:rPr>
          <w:rFonts w:ascii="Arial" w:cs="Arial" w:eastAsia="Arial" w:hAnsi="Arial"/>
          <w:sz w:val="16"/>
          <w:szCs w:val="16"/>
          <w:b w:val="1"/>
          <w:bCs w:val="1"/>
          <w:i w:val="1"/>
          <w:iCs w:val="1"/>
          <w:color w:val="auto"/>
        </w:rPr>
        <w:t>Whole Board of Directors</w:t>
      </w:r>
      <w:r>
        <w:rPr>
          <w:rFonts w:ascii="Arial" w:cs="Arial" w:eastAsia="Arial" w:hAnsi="Arial"/>
          <w:sz w:val="16"/>
          <w:szCs w:val="16"/>
          <w:color w:val="auto"/>
        </w:rPr>
        <w:t xml:space="preserve">” shall mean the total number of authorized directors whether or not there exist any vacancies in previously authorized directorships. Special meetings validly called in accordance with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of these amended and restated bylaws (as the same may be further amended, restated, amended and restated or otherwise modified from time to time, these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recess, reschedule or cancel any special meeting of Stockholders previously scheduled by a Chairperson or the Board of Directors.</w:t>
      </w:r>
    </w:p>
    <w:p>
      <w:pPr>
        <w:sectPr>
          <w:pgSz w:w="11900" w:h="16838" w:orient="portrait"/>
          <w:cols w:equalWidth="0" w:num="1">
            <w:col w:w="10980"/>
          </w:cols>
          <w:pgMar w:left="440" w:top="274" w:right="479" w:bottom="1440" w:gutter="0" w:footer="0" w:header="0"/>
        </w:sectPr>
      </w:pPr>
    </w:p>
    <w:bookmarkStart w:id="28" w:name="page29"/>
    <w:bookmarkEnd w:id="28"/>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6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annual or special, may be adjourned from time to time by the chairperson of the meeting, whether or not there is a quorum (or, in the absence of a quorum, by the Stockholders in accordance with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79"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Stockholders, the holders of a majority of the voting power of the outstanding shares of capital stock of the Corporation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xml:space="preserve">”) entitled to vote at the meeting, present in person or represented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Stock entitled to vote thereon, present in person or represented by proxy, shall have the power to adjourn the meeting from time to time in the manner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 w:name="page30"/>
    <w:bookmarkEnd w:id="29"/>
    <w:p>
      <w:pPr>
        <w:ind w:right="2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Voting; Proxies</w:t>
      </w:r>
      <w:r>
        <w:rPr>
          <w:rFonts w:ascii="Arial" w:cs="Arial" w:eastAsia="Arial" w:hAnsi="Arial"/>
          <w:sz w:val="16"/>
          <w:szCs w:val="16"/>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required on the matter.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5" w:lineRule="auto"/>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0" w:name="page31"/>
    <w:bookmarkEnd w:id="30"/>
    <w:p>
      <w:pPr>
        <w:ind w:left="4"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at the adjourned meeting.</w:t>
      </w:r>
    </w:p>
    <w:p>
      <w:pPr>
        <w:spacing w:after="0" w:line="69" w:lineRule="exact"/>
        <w:rPr>
          <w:sz w:val="20"/>
          <w:szCs w:val="20"/>
          <w:color w:val="auto"/>
        </w:rPr>
      </w:pPr>
    </w:p>
    <w:p>
      <w:pPr>
        <w:ind w:left="4" w:right="120" w:firstLine="436"/>
        <w:spacing w:after="0" w:line="296" w:lineRule="auto"/>
        <w:tabs>
          <w:tab w:leader="none" w:pos="6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53" w:lineRule="exact"/>
        <w:rPr>
          <w:rFonts w:ascii="Arial" w:cs="Arial" w:eastAsia="Arial" w:hAnsi="Arial"/>
          <w:sz w:val="16"/>
          <w:szCs w:val="16"/>
          <w:color w:val="auto"/>
        </w:rPr>
      </w:pPr>
    </w:p>
    <w:p>
      <w:pPr>
        <w:ind w:left="4" w:right="60" w:firstLine="436"/>
        <w:spacing w:after="0" w:line="253"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without a meeting is fixed by the Board of Directors, (i) when no prior action of the Board of Directors is required by law or the Certificate of Incorporation, the record date for such purpose shall be the first date on which a signed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9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w:t>
      </w:r>
    </w:p>
    <w:p>
      <w:pPr>
        <w:spacing w:after="0" w:line="4" w:lineRule="exact"/>
        <w:rPr>
          <w:sz w:val="20"/>
          <w:szCs w:val="20"/>
          <w:color w:val="auto"/>
        </w:rPr>
      </w:pPr>
    </w:p>
    <w:p>
      <w:pPr>
        <w:ind w:left="4" w:right="60" w:hanging="4"/>
        <w:spacing w:after="0" w:line="260"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If the meeting is to be held at a place, then a list of Stockholders entitled to vote at the meeting shall be produced and kept at the time and place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6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7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2" w:name="page33"/>
    <w:bookmarkEnd w:id="32"/>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78" w:lineRule="exact"/>
        <w:rPr>
          <w:sz w:val="20"/>
          <w:szCs w:val="20"/>
          <w:color w:val="auto"/>
        </w:rPr>
      </w:pPr>
    </w:p>
    <w:p>
      <w:pPr>
        <w:ind w:left="4" w:right="360" w:firstLine="440"/>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Advance Notice Procedures for Business Brought before a Meeting</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apply to any business that may be brought before an annual meeting of Stockholders other than nominations for election to the Board of Directors at such a meeting, which shall be governed by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these Bylaws. Stockholders seeking to nominate Persons for election to the Board of Directors must comply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these Bylaws, and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not be applicable to nominations for election to the Board of Directors except as expressly provided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these Bylaws.</w:t>
      </w:r>
    </w:p>
    <w:p>
      <w:pPr>
        <w:spacing w:after="0" w:line="80" w:lineRule="exact"/>
        <w:rPr>
          <w:sz w:val="20"/>
          <w:szCs w:val="20"/>
          <w:color w:val="auto"/>
        </w:rPr>
      </w:pPr>
    </w:p>
    <w:p>
      <w:pPr>
        <w:jc w:val="both"/>
        <w:ind w:left="4" w:firstLine="436"/>
        <w:spacing w:after="0" w:line="286" w:lineRule="auto"/>
        <w:tabs>
          <w:tab w:leader="none" w:pos="6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(a) specified in a notice of meeting (or any supplement thereto)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was a Stockholder of record of the Corporation both at the time of giving the notice provided for in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at the time of the meeting,</w:t>
      </w:r>
    </w:p>
    <w:p>
      <w:pPr>
        <w:spacing w:after="0" w:line="32" w:lineRule="exact"/>
        <w:rPr>
          <w:rFonts w:ascii="Arial" w:cs="Arial" w:eastAsia="Arial" w:hAnsi="Arial"/>
          <w:sz w:val="16"/>
          <w:szCs w:val="16"/>
          <w:color w:val="auto"/>
        </w:rPr>
      </w:pPr>
    </w:p>
    <w:p>
      <w:pPr>
        <w:ind w:left="4" w:hanging="4"/>
        <w:spacing w:after="0" w:line="267" w:lineRule="auto"/>
        <w:tabs>
          <w:tab w:leader="none" w:pos="25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is entitled to vote at the meeting and (3) has complied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of these Bylaws. For purposes of these Bylaws,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of these Bylaws, “</w:t>
      </w:r>
      <w:r>
        <w:rPr>
          <w:rFonts w:ascii="Arial" w:cs="Arial" w:eastAsia="Arial" w:hAnsi="Arial"/>
          <w:sz w:val="17"/>
          <w:szCs w:val="17"/>
          <w:b w:val="1"/>
          <w:bCs w:val="1"/>
          <w:i w:val="1"/>
          <w:iCs w:val="1"/>
          <w:color w:val="auto"/>
        </w:rPr>
        <w:t>present in person</w:t>
      </w:r>
      <w:r>
        <w:rPr>
          <w:rFonts w:ascii="Arial" w:cs="Arial" w:eastAsia="Arial" w:hAnsi="Arial"/>
          <w:sz w:val="17"/>
          <w:szCs w:val="17"/>
          <w:color w:val="auto"/>
        </w:rPr>
        <w:t>” shall mean that the Stockholder proposing that the business be brought before the meeting or a qualified representative of such proposing Stockholder, appear at such annual meeting,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33" w:name="page34"/>
    <w:bookmarkEnd w:id="33"/>
    <w:p>
      <w:pPr>
        <w:ind w:left="4" w:firstLine="436"/>
        <w:spacing w:after="0" w:line="286" w:lineRule="auto"/>
        <w:tabs>
          <w:tab w:leader="none" w:pos="699" w:val="left"/>
        </w:tabs>
        <w:numPr>
          <w:ilvl w:val="1"/>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qualification, for business to be properly brought before an annual meeting by a Stockholder, the business must constitute a proper matter for stockholder action and the Stockholder must (a) provide Timely Notice (as defined below) thereof in writing and in proper form to the Secretary of the Corporation and (b) provide any updates or supplements to such notice at the times and in the forms required by this </w:t>
      </w:r>
      <w:r>
        <w:rPr>
          <w:rFonts w:ascii="Arial" w:cs="Arial" w:eastAsia="Arial" w:hAnsi="Arial"/>
          <w:sz w:val="16"/>
          <w:szCs w:val="16"/>
          <w:u w:val="single" w:color="auto"/>
          <w:color w:val="auto"/>
        </w:rPr>
        <w:t>Section 2.13</w:t>
      </w:r>
      <w:r>
        <w:rPr>
          <w:rFonts w:ascii="Arial" w:cs="Arial" w:eastAsia="Arial" w:hAnsi="Arial"/>
          <w:sz w:val="16"/>
          <w:szCs w:val="16"/>
          <w:color w:val="auto"/>
        </w:rPr>
        <w:t>. To be timely, a Stockholder’s notice must be delivered to, or mailed and received at, the principal executive offices of the Corporation not less than ninety</w:t>
      </w:r>
    </w:p>
    <w:p>
      <w:pPr>
        <w:spacing w:after="0" w:line="1" w:lineRule="exact"/>
        <w:rPr>
          <w:rFonts w:ascii="Arial" w:cs="Arial" w:eastAsia="Arial" w:hAnsi="Arial"/>
          <w:sz w:val="16"/>
          <w:szCs w:val="16"/>
          <w:color w:val="auto"/>
        </w:rPr>
      </w:pPr>
    </w:p>
    <w:p>
      <w:pPr>
        <w:ind w:left="4" w:hanging="4"/>
        <w:spacing w:after="0" w:line="251" w:lineRule="auto"/>
        <w:tabs>
          <w:tab w:leader="none" w:pos="3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days nor more than one hundred twenty (120) days prior to the one-year anniversary of the preceding year’s annual meeting (in the case of the first annual meeting of Stockholders following the listing of the Corporation’s Class A Common Stock, the date of the preceding year’s annual meeting shall be deemed to be July 6, 2021);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5"/>
          <w:szCs w:val="15"/>
          <w:color w:val="auto"/>
        </w:rPr>
        <w:t>th</w:t>
      </w:r>
      <w:r>
        <w:rPr>
          <w:rFonts w:ascii="Arial" w:cs="Arial" w:eastAsia="Arial" w:hAnsi="Arial"/>
          <w:sz w:val="18"/>
          <w:szCs w:val="18"/>
          <w:color w:val="auto"/>
        </w:rPr>
        <w:t>) day prior to such annual meeting or, if later, the tenth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disclosure (as defined in </w:t>
      </w:r>
      <w:r>
        <w:rPr>
          <w:rFonts w:ascii="Arial" w:cs="Arial" w:eastAsia="Arial" w:hAnsi="Arial"/>
          <w:sz w:val="18"/>
          <w:szCs w:val="18"/>
          <w:u w:val="single" w:color="auto"/>
          <w:color w:val="auto"/>
        </w:rPr>
        <w:t>Section 2.13(h)</w:t>
      </w:r>
      <w:r>
        <w:rPr>
          <w:rFonts w:ascii="Arial" w:cs="Arial" w:eastAsia="Arial" w:hAnsi="Arial"/>
          <w:sz w:val="18"/>
          <w:szCs w:val="18"/>
          <w:color w:val="auto"/>
        </w:rPr>
        <w:t>) of the date of such annual meeting was first made (such notice within such time periods, “</w:t>
      </w:r>
      <w:r>
        <w:rPr>
          <w:rFonts w:ascii="Arial" w:cs="Arial" w:eastAsia="Arial" w:hAnsi="Arial"/>
          <w:sz w:val="18"/>
          <w:szCs w:val="18"/>
          <w:b w:val="1"/>
          <w:bCs w:val="1"/>
          <w:i w:val="1"/>
          <w:iCs w:val="1"/>
          <w:color w:val="auto"/>
        </w:rPr>
        <w:t>Timely Notice</w:t>
      </w:r>
      <w:r>
        <w:rPr>
          <w:rFonts w:ascii="Arial" w:cs="Arial" w:eastAsia="Arial" w:hAnsi="Arial"/>
          <w:sz w:val="18"/>
          <w:szCs w:val="18"/>
          <w:color w:val="auto"/>
        </w:rPr>
        <w:t>”). In no event shall any adjournment, recess or postponement of an annual meeting or the announcement thereof commence a new time period (or extend any time period) for the giving of Timely Notice as described above.</w:t>
      </w:r>
    </w:p>
    <w:p>
      <w:pPr>
        <w:spacing w:after="0" w:line="89" w:lineRule="exact"/>
        <w:rPr>
          <w:rFonts w:ascii="Arial" w:cs="Arial" w:eastAsia="Arial" w:hAnsi="Arial"/>
          <w:sz w:val="18"/>
          <w:szCs w:val="18"/>
          <w:color w:val="auto"/>
        </w:rPr>
      </w:pPr>
    </w:p>
    <w:p>
      <w:pPr>
        <w:ind w:left="684" w:hanging="244"/>
        <w:spacing w:after="0"/>
        <w:tabs>
          <w:tab w:leader="none" w:pos="6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a Stockholder’s notice to the Secretary shall set forth:</w:t>
      </w:r>
    </w:p>
    <w:p>
      <w:pPr>
        <w:spacing w:after="0" w:line="117" w:lineRule="exact"/>
        <w:rPr>
          <w:rFonts w:ascii="Arial" w:cs="Arial" w:eastAsia="Arial" w:hAnsi="Arial"/>
          <w:sz w:val="18"/>
          <w:szCs w:val="18"/>
          <w:color w:val="auto"/>
        </w:rPr>
      </w:pPr>
    </w:p>
    <w:p>
      <w:pPr>
        <w:ind w:left="444" w:right="40" w:firstLine="419"/>
        <w:spacing w:after="0" w:line="285" w:lineRule="auto"/>
        <w:tabs>
          <w:tab w:leader="none" w:pos="1082" w:val="left"/>
        </w:tabs>
        <w:numPr>
          <w:ilvl w:val="2"/>
          <w:numId w:val="30"/>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if applicable, the name and address that appear on the Corporation’s books and records); and (B) the number of shares of each class or series of Stock that are, directly or indirectly, owned of record or beneficially owned (within the meaning of Rule 13d-3 under the Exchange Act) by such Proposing Person, except that such Proposing Person shall in all events be deemed to beneficially own any shares of any class or series of Stock as to which such Proposing Person has a right to acquire beneficial ownership at any time in the future (the disclosures to be made pursuant to the foregoing clauses (A) and</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(B) are referred to as “</w:t>
      </w:r>
      <w:r>
        <w:rPr>
          <w:rFonts w:ascii="Arial" w:cs="Arial" w:eastAsia="Arial" w:hAnsi="Arial"/>
          <w:sz w:val="18"/>
          <w:szCs w:val="18"/>
          <w:b w:val="1"/>
          <w:bCs w:val="1"/>
          <w:i w:val="1"/>
          <w:iCs w:val="1"/>
          <w:color w:val="auto"/>
        </w:rPr>
        <w:t>Stockholder Information</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4" w:right="60" w:firstLine="419"/>
        <w:spacing w:after="0" w:line="291" w:lineRule="auto"/>
        <w:tabs>
          <w:tab w:leader="none" w:pos="1132" w:val="left"/>
        </w:tabs>
        <w:numPr>
          <w:ilvl w:val="2"/>
          <w:numId w:val="30"/>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6"/>
          <w:szCs w:val="16"/>
          <w:b w:val="1"/>
          <w:bCs w:val="1"/>
          <w:i w:val="1"/>
          <w:iCs w:val="1"/>
          <w:color w:val="auto"/>
        </w:rPr>
        <w:t>Synthetic Equity Position</w:t>
      </w:r>
      <w:r>
        <w:rPr>
          <w:rFonts w:ascii="Arial" w:cs="Arial" w:eastAsia="Arial" w:hAnsi="Arial"/>
          <w:sz w:val="16"/>
          <w:szCs w:val="16"/>
          <w:color w:val="auto"/>
        </w:rPr>
        <w:t xml:space="preserve">”) and that is, directly or indirectly, held or maintained by such Proposing Person with respect to any shares of any class or series of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4" w:name="page35"/>
    <w:bookmarkEnd w:id="3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w:t>
      </w:r>
    </w:p>
    <w:p>
      <w:pPr>
        <w:spacing w:after="0" w:line="1" w:lineRule="exact"/>
        <w:rPr>
          <w:sz w:val="20"/>
          <w:szCs w:val="20"/>
          <w:color w:val="auto"/>
        </w:rPr>
      </w:pPr>
    </w:p>
    <w:p>
      <w:pPr>
        <w:ind w:left="4" w:hanging="4"/>
        <w:spacing w:after="0" w:line="290" w:lineRule="auto"/>
        <w:tabs>
          <w:tab w:leader="none" w:pos="2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Arial" w:cs="Arial" w:eastAsia="Arial" w:hAnsi="Arial"/>
          <w:sz w:val="16"/>
          <w:szCs w:val="16"/>
          <w:b w:val="1"/>
          <w:bCs w:val="1"/>
          <w:i w:val="1"/>
          <w:iCs w:val="1"/>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55" w:lineRule="exact"/>
        <w:rPr>
          <w:rFonts w:ascii="Arial" w:cs="Arial" w:eastAsia="Arial" w:hAnsi="Arial"/>
          <w:sz w:val="16"/>
          <w:szCs w:val="16"/>
          <w:color w:val="auto"/>
        </w:rPr>
      </w:pPr>
    </w:p>
    <w:p>
      <w:pPr>
        <w:ind w:left="4" w:right="120" w:firstLine="419"/>
        <w:spacing w:after="0" w:line="286" w:lineRule="auto"/>
        <w:tabs>
          <w:tab w:leader="none" w:pos="74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w:t>
      </w:r>
    </w:p>
    <w:p>
      <w:pPr>
        <w:spacing w:after="0" w:line="1"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disclosures required by this </w:t>
      </w:r>
      <w:r>
        <w:rPr>
          <w:rFonts w:ascii="Arial" w:cs="Arial" w:eastAsia="Arial" w:hAnsi="Arial"/>
          <w:sz w:val="18"/>
          <w:szCs w:val="18"/>
          <w:u w:val="single" w:color="auto"/>
          <w:color w:val="auto"/>
        </w:rPr>
        <w:t>Section 2.13(c)</w:t>
      </w:r>
      <w:r>
        <w:rPr>
          <w:rFonts w:ascii="Arial" w:cs="Arial" w:eastAsia="Arial" w:hAnsi="Arial"/>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5"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4"/>
          </w:cols>
          <w:pgMar w:left="876" w:top="274" w:right="479" w:bottom="1440" w:gutter="0" w:footer="0" w:header="0"/>
        </w:sectPr>
      </w:pPr>
    </w:p>
    <w:bookmarkStart w:id="35" w:name="page36"/>
    <w:bookmarkEnd w:id="35"/>
    <w:p>
      <w:pPr>
        <w:ind w:right="20" w:firstLine="436"/>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78" w:lineRule="exact"/>
        <w:rPr>
          <w:rFonts w:ascii="Arial" w:cs="Arial" w:eastAsia="Arial" w:hAnsi="Arial"/>
          <w:sz w:val="18"/>
          <w:szCs w:val="18"/>
          <w:color w:val="auto"/>
        </w:rPr>
      </w:pPr>
    </w:p>
    <w:p>
      <w:pPr>
        <w:ind w:firstLine="436"/>
        <w:spacing w:after="0" w:line="287"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59" w:lineRule="exact"/>
        <w:rPr>
          <w:rFonts w:ascii="Arial" w:cs="Arial" w:eastAsia="Arial" w:hAnsi="Arial"/>
          <w:sz w:val="16"/>
          <w:szCs w:val="16"/>
          <w:color w:val="auto"/>
        </w:rPr>
      </w:pPr>
    </w:p>
    <w:p>
      <w:pPr>
        <w:ind w:right="120" w:firstLine="436"/>
        <w:spacing w:after="0" w:line="279" w:lineRule="auto"/>
        <w:tabs>
          <w:tab w:leader="none" w:pos="6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and if he or she should so determine, he or she shall so declare to the meeting and any such business not properly brought before the meeting shall not be transacted.</w:t>
      </w:r>
    </w:p>
    <w:p>
      <w:pPr>
        <w:spacing w:after="0" w:line="63"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deemed to affect the rights of Stockholders to request inclusion of proposals in the Corporation’s proxy statement pursuant to Rule 14a-8 under the Exchange Act.</w:t>
      </w:r>
    </w:p>
    <w:p>
      <w:pPr>
        <w:spacing w:after="0" w:line="78" w:lineRule="exact"/>
        <w:rPr>
          <w:rFonts w:ascii="Arial" w:cs="Arial" w:eastAsia="Arial" w:hAnsi="Arial"/>
          <w:sz w:val="18"/>
          <w:szCs w:val="18"/>
          <w:color w:val="auto"/>
        </w:rPr>
      </w:pPr>
    </w:p>
    <w:p>
      <w:pPr>
        <w:ind w:firstLine="436"/>
        <w:spacing w:after="0" w:line="342"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Advance Notice Procedures for Nominations of Directors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2" w:lineRule="auto"/>
        <w:tabs>
          <w:tab w:leader="none" w:pos="68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or at the direction of the Board of Directors, including by any committee authorized to do so by the Board of Directors or these Bylaws, or (b) by a Stockholder present in person (as defined in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(1) who was a Stockholder of record of the Corporation both at the time of giving the notice provided for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at the time of the meeting, (2) is entitled to vote at the meeting and (3) has complied with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as to such notice and nomination. The foregoing clause (b) shall be the exclusive means for a Stockholder to make any nomination of a person or persons for election to the Board of Directors at any annual meeting or special meeting of Stockholders.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440" w:firstLine="419"/>
        <w:spacing w:after="0" w:line="257" w:lineRule="auto"/>
        <w:tabs>
          <w:tab w:leader="none" w:pos="107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8"/>
          <w:szCs w:val="18"/>
          <w:u w:val="single" w:color="auto"/>
          <w:color w:val="auto"/>
        </w:rPr>
        <w:t>Section 2.13(b)</w:t>
      </w:r>
      <w:r>
        <w:rPr>
          <w:rFonts w:ascii="Arial" w:cs="Arial" w:eastAsia="Arial" w:hAnsi="Arial"/>
          <w:sz w:val="18"/>
          <w:szCs w:val="18"/>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(c) provide any updates or supplements to such notice at the times and in the forms required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40" w:right="80" w:firstLine="419"/>
        <w:spacing w:after="0" w:line="285" w:lineRule="auto"/>
        <w:tabs>
          <w:tab w:leader="none" w:pos="112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Arial" w:cs="Arial" w:eastAsia="Arial" w:hAnsi="Arial"/>
          <w:sz w:val="16"/>
          <w:szCs w:val="16"/>
          <w:u w:val="single" w:color="auto"/>
          <w:color w:val="auto"/>
        </w:rPr>
        <w:t>Section 2.14</w:t>
      </w:r>
      <w:r>
        <w:rPr>
          <w:rFonts w:ascii="Arial" w:cs="Arial" w:eastAsia="Arial" w:hAnsi="Arial"/>
          <w:sz w:val="16"/>
          <w:szCs w:val="16"/>
          <w:color w:val="auto"/>
        </w:rPr>
        <w:t>, and (c) provide any updates or supplements to such notice at the times and in the forms required by this</w:t>
      </w:r>
    </w:p>
    <w:p>
      <w:pPr>
        <w:spacing w:after="0" w:line="1" w:lineRule="exact"/>
        <w:rPr>
          <w:rFonts w:ascii="Arial" w:cs="Arial" w:eastAsia="Arial" w:hAnsi="Arial"/>
          <w:sz w:val="16"/>
          <w:szCs w:val="16"/>
          <w:color w:val="auto"/>
        </w:rPr>
      </w:pPr>
    </w:p>
    <w:p>
      <w:pPr>
        <w:ind w:left="440" w:right="60"/>
        <w:spacing w:after="0" w:line="295" w:lineRule="auto"/>
        <w:rPr>
          <w:rFonts w:ascii="Arial" w:cs="Arial" w:eastAsia="Arial" w:hAnsi="Arial"/>
          <w:sz w:val="16"/>
          <w:szCs w:val="16"/>
          <w:color w:val="auto"/>
        </w:rPr>
      </w:pP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To be timely for purposes of this </w:t>
      </w:r>
      <w:r>
        <w:rPr>
          <w:rFonts w:ascii="Arial" w:cs="Arial" w:eastAsia="Arial" w:hAnsi="Arial"/>
          <w:sz w:val="16"/>
          <w:szCs w:val="16"/>
          <w:u w:val="single" w:color="auto"/>
          <w:color w:val="auto"/>
        </w:rPr>
        <w:t>Section 2.14(b)(ii)</w:t>
      </w:r>
      <w:r>
        <w:rPr>
          <w:rFonts w:ascii="Arial" w:cs="Arial" w:eastAsia="Arial" w:hAnsi="Arial"/>
          <w:sz w:val="16"/>
          <w:szCs w:val="16"/>
          <w:color w:val="auto"/>
        </w:rPr>
        <w:t>, a Stockholder’s notice for nominations to be made at a special meeting must be delivered to, or mailed to and received by the Secretary of the Corporation not earlier than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if later,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disclosure (as defined in </w:t>
      </w:r>
      <w:r>
        <w:rPr>
          <w:rFonts w:ascii="Arial" w:cs="Arial" w:eastAsia="Arial" w:hAnsi="Arial"/>
          <w:sz w:val="16"/>
          <w:szCs w:val="16"/>
          <w:u w:val="single" w:color="auto"/>
          <w:color w:val="auto"/>
        </w:rPr>
        <w:t>Section 2.13(h)</w:t>
      </w:r>
      <w:r>
        <w:rPr>
          <w:rFonts w:ascii="Arial" w:cs="Arial" w:eastAsia="Arial" w:hAnsi="Arial"/>
          <w:sz w:val="16"/>
          <w:szCs w:val="16"/>
          <w:color w:val="auto"/>
        </w:rPr>
        <w:t>) of the date of such special meeting at which directors are to be elected was first made.</w:t>
      </w:r>
    </w:p>
    <w:p>
      <w:pPr>
        <w:spacing w:after="0" w:line="53" w:lineRule="exact"/>
        <w:rPr>
          <w:rFonts w:ascii="Arial" w:cs="Arial" w:eastAsia="Arial" w:hAnsi="Arial"/>
          <w:sz w:val="16"/>
          <w:szCs w:val="16"/>
          <w:color w:val="auto"/>
        </w:rPr>
      </w:pPr>
    </w:p>
    <w:p>
      <w:pPr>
        <w:ind w:left="440" w:right="560" w:firstLine="419"/>
        <w:spacing w:after="0" w:line="308" w:lineRule="auto"/>
        <w:tabs>
          <w:tab w:leader="none" w:pos="1178"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no event shall any adjournment, recess or postponement of an annual meeting or special meeting or the announcement thereof commence a new time period (or extent any time period) for the giving of a Stockholder’s notice as described above.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7" w:name="page38"/>
    <w:bookmarkEnd w:id="37"/>
    <w:p>
      <w:pPr>
        <w:ind w:firstLine="419"/>
        <w:spacing w:after="0" w:line="271" w:lineRule="auto"/>
        <w:tabs>
          <w:tab w:leader="none" w:pos="728"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no event may a Nominating Person (as defined below) provide notice under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otherwise with respect to a greater number of director candidates than are subject to election by Stockholders at the applicable meeting. Notwithstanding anything in Section 2.14(b) (i)(a) to the contrary, if the number of directors subject to election at an annual meeting is increased effective after the time period for which nominations would otherwise be due under Section 2.14(b)(i)(a) and there is no public announcement by the Corporation naming the nominees for the additional directorships at least one hundred (100) days prior to the one-year anniversary of the preceding year’s annual meeting, a Stockholder’s notice required by this Section 2.14 shall also be considered timely, but only with respect to nominees for the additional directorships, if it shall be delivered to the Secretary of the Corporation not later than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disclosure (as defined in </w:t>
      </w:r>
      <w:r>
        <w:rPr>
          <w:rFonts w:ascii="Arial" w:cs="Arial" w:eastAsia="Arial" w:hAnsi="Arial"/>
          <w:sz w:val="17"/>
          <w:szCs w:val="17"/>
          <w:u w:val="single" w:color="auto"/>
          <w:color w:val="auto"/>
        </w:rPr>
        <w:t>Section 2.13(h)</w:t>
      </w:r>
      <w:r>
        <w:rPr>
          <w:rFonts w:ascii="Arial" w:cs="Arial" w:eastAsia="Arial" w:hAnsi="Arial"/>
          <w:sz w:val="17"/>
          <w:szCs w:val="17"/>
          <w:color w:val="auto"/>
        </w:rPr>
        <w:t>) is first made by the Corporation.</w:t>
      </w:r>
    </w:p>
    <w:p>
      <w:pPr>
        <w:spacing w:after="0" w:line="70" w:lineRule="exact"/>
        <w:rPr>
          <w:rFonts w:ascii="Arial" w:cs="Arial" w:eastAsia="Arial" w:hAnsi="Arial"/>
          <w:sz w:val="17"/>
          <w:szCs w:val="17"/>
          <w:color w:val="auto"/>
        </w:rPr>
      </w:pPr>
    </w:p>
    <w:p>
      <w:pPr>
        <w:ind w:left="800" w:hanging="253"/>
        <w:spacing w:after="0"/>
        <w:tabs>
          <w:tab w:leader="none" w:pos="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a Stockholder’s notice to the Secretary shall set forth:</w:t>
      </w:r>
    </w:p>
    <w:p>
      <w:pPr>
        <w:spacing w:after="0" w:line="117" w:lineRule="exact"/>
        <w:rPr>
          <w:rFonts w:ascii="Arial" w:cs="Arial" w:eastAsia="Arial" w:hAnsi="Arial"/>
          <w:sz w:val="18"/>
          <w:szCs w:val="18"/>
          <w:color w:val="auto"/>
        </w:rPr>
      </w:pPr>
    </w:p>
    <w:p>
      <w:pPr>
        <w:ind w:left="540" w:right="20" w:firstLine="408"/>
        <w:spacing w:after="0" w:line="263" w:lineRule="auto"/>
        <w:tabs>
          <w:tab w:leader="none" w:pos="1156"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As to each Nominating Person, the Stockholder Information (as defined in </w:t>
      </w:r>
      <w:r>
        <w:rPr>
          <w:rFonts w:ascii="Arial" w:cs="Arial" w:eastAsia="Arial" w:hAnsi="Arial"/>
          <w:sz w:val="18"/>
          <w:szCs w:val="18"/>
          <w:u w:val="single" w:color="auto"/>
          <w:color w:val="auto"/>
        </w:rPr>
        <w:t>Section 2.13(c)(i)</w:t>
      </w:r>
      <w:r>
        <w:rPr>
          <w:rFonts w:ascii="Arial" w:cs="Arial" w:eastAsia="Arial" w:hAnsi="Arial"/>
          <w:sz w:val="18"/>
          <w:szCs w:val="18"/>
          <w:color w:val="auto"/>
        </w:rPr>
        <w:t xml:space="preserve"> of these Bylaws) except that 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the term “Nominating Person” shall be substituted for the term “Proposing Person” in all places it appears in </w:t>
      </w:r>
      <w:r>
        <w:rPr>
          <w:rFonts w:ascii="Arial" w:cs="Arial" w:eastAsia="Arial" w:hAnsi="Arial"/>
          <w:sz w:val="18"/>
          <w:szCs w:val="18"/>
          <w:u w:val="single" w:color="auto"/>
          <w:color w:val="auto"/>
        </w:rPr>
        <w:t>Section 2.13(c)(i)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right="120" w:firstLine="408"/>
        <w:spacing w:after="0" w:line="291" w:lineRule="auto"/>
        <w:tabs>
          <w:tab w:leader="none" w:pos="1206"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As to each Nominating Person, any Disclosable Interests (as defined in </w:t>
      </w:r>
      <w:r>
        <w:rPr>
          <w:rFonts w:ascii="Arial" w:cs="Arial" w:eastAsia="Arial" w:hAnsi="Arial"/>
          <w:sz w:val="16"/>
          <w:szCs w:val="16"/>
          <w:u w:val="single" w:color="auto"/>
          <w:color w:val="auto"/>
        </w:rPr>
        <w:t>Section 2.13(c)(ii)</w:t>
      </w:r>
      <w:r>
        <w:rPr>
          <w:rFonts w:ascii="Arial" w:cs="Arial" w:eastAsia="Arial" w:hAnsi="Arial"/>
          <w:sz w:val="16"/>
          <w:szCs w:val="16"/>
          <w:color w:val="auto"/>
        </w:rPr>
        <w:t xml:space="preserve">,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term “Nominating Person” shall be substituted for the term “Proposing Person” in all places it appears in </w:t>
      </w:r>
      <w:r>
        <w:rPr>
          <w:rFonts w:ascii="Arial" w:cs="Arial" w:eastAsia="Arial" w:hAnsi="Arial"/>
          <w:sz w:val="16"/>
          <w:szCs w:val="16"/>
          <w:u w:val="single" w:color="auto"/>
          <w:color w:val="auto"/>
        </w:rPr>
        <w:t>Section 2.13(c)</w:t>
      </w:r>
    </w:p>
    <w:p>
      <w:pPr>
        <w:ind w:left="540" w:right="280" w:firstLine="7"/>
        <w:spacing w:after="0" w:line="260" w:lineRule="auto"/>
        <w:tabs>
          <w:tab w:leader="none" w:pos="805" w:val="left"/>
        </w:tabs>
        <w:numPr>
          <w:ilvl w:val="1"/>
          <w:numId w:val="36"/>
        </w:numPr>
        <w:rPr>
          <w:rFonts w:ascii="Arial" w:cs="Arial" w:eastAsia="Arial" w:hAnsi="Arial"/>
          <w:sz w:val="18"/>
          <w:szCs w:val="18"/>
          <w:u w:val="single" w:color="auto"/>
          <w:color w:val="auto"/>
        </w:rPr>
      </w:pPr>
      <w:r>
        <w:rPr>
          <w:rFonts w:ascii="Arial" w:cs="Arial" w:eastAsia="Arial" w:hAnsi="Arial"/>
          <w:sz w:val="18"/>
          <w:szCs w:val="18"/>
          <w:color w:val="auto"/>
        </w:rPr>
        <w:t xml:space="preserve">and the disclosure with respect to the business to be brought before the meeting in </w:t>
      </w:r>
      <w:r>
        <w:rPr>
          <w:rFonts w:ascii="Arial" w:cs="Arial" w:eastAsia="Arial" w:hAnsi="Arial"/>
          <w:sz w:val="18"/>
          <w:szCs w:val="18"/>
          <w:u w:val="single" w:color="auto"/>
          <w:color w:val="auto"/>
        </w:rPr>
        <w:t>Section 2.13(c)(iii)</w:t>
      </w:r>
      <w:r>
        <w:rPr>
          <w:rFonts w:ascii="Arial" w:cs="Arial" w:eastAsia="Arial" w:hAnsi="Arial"/>
          <w:sz w:val="18"/>
          <w:szCs w:val="18"/>
          <w:color w:val="auto"/>
        </w:rPr>
        <w:t xml:space="preserve"> shall be made with respect to nomination of each Person for election as a director at the meeting); and</w:t>
      </w:r>
    </w:p>
    <w:p>
      <w:pPr>
        <w:spacing w:after="0" w:line="77" w:lineRule="exact"/>
        <w:rPr>
          <w:rFonts w:ascii="Arial" w:cs="Arial" w:eastAsia="Arial" w:hAnsi="Arial"/>
          <w:sz w:val="18"/>
          <w:szCs w:val="18"/>
          <w:u w:val="single" w:color="auto"/>
          <w:color w:val="auto"/>
        </w:rPr>
      </w:pPr>
    </w:p>
    <w:p>
      <w:pPr>
        <w:ind w:left="540" w:firstLine="408"/>
        <w:spacing w:after="0" w:line="269" w:lineRule="auto"/>
        <w:tabs>
          <w:tab w:leader="none" w:pos="1256" w:val="left"/>
        </w:tabs>
        <w:numPr>
          <w:ilvl w:val="2"/>
          <w:numId w:val="36"/>
        </w:numPr>
        <w:rPr>
          <w:rFonts w:ascii="Arial" w:cs="Arial" w:eastAsia="Arial" w:hAnsi="Arial"/>
          <w:sz w:val="17"/>
          <w:szCs w:val="17"/>
          <w:color w:val="auto"/>
        </w:rPr>
      </w:pPr>
      <w:r>
        <w:rPr>
          <w:rFonts w:ascii="Arial" w:cs="Arial" w:eastAsia="Arial" w:hAnsi="Arial"/>
          <w:sz w:val="17"/>
          <w:szCs w:val="17"/>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of the Nominating Person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b w:val="1"/>
          <w:bCs w:val="1"/>
          <w:i w:val="1"/>
          <w:iCs w:val="1"/>
          <w:color w:val="auto"/>
        </w:rPr>
        <w:t>Nominee Information</w:t>
      </w:r>
      <w:r>
        <w:rPr>
          <w:rFonts w:ascii="Arial" w:cs="Arial" w:eastAsia="Arial" w:hAnsi="Arial"/>
          <w:sz w:val="17"/>
          <w:szCs w:val="17"/>
          <w:color w:val="auto"/>
        </w:rPr>
        <w:t xml:space="preserve">”), and (D) a completed and signed questionnaire, representation and agreement as provided in </w:t>
      </w:r>
      <w:r>
        <w:rPr>
          <w:rFonts w:ascii="Arial" w:cs="Arial" w:eastAsia="Arial" w:hAnsi="Arial"/>
          <w:sz w:val="17"/>
          <w:szCs w:val="17"/>
          <w:u w:val="single" w:color="auto"/>
          <w:color w:val="auto"/>
        </w:rPr>
        <w:t>Section 2.14(f)</w:t>
      </w:r>
      <w:r>
        <w:rPr>
          <w:rFonts w:ascii="Arial" w:cs="Arial" w:eastAsia="Arial" w:hAnsi="Arial"/>
          <w:sz w:val="17"/>
          <w:szCs w:val="17"/>
          <w:color w:val="auto"/>
        </w:rPr>
        <w: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38" w:name="page39"/>
    <w:bookmarkEnd w:id="38"/>
    <w:p>
      <w:pPr>
        <w:ind w:firstLine="987"/>
        <w:spacing w:after="0" w:line="259"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Nominating Person</w:t>
      </w:r>
      <w:r>
        <w:rPr>
          <w:rFonts w:ascii="Arial" w:cs="Arial" w:eastAsia="Arial" w:hAnsi="Arial"/>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spacing w:after="0" w:line="78" w:lineRule="exact"/>
        <w:rPr>
          <w:rFonts w:ascii="Arial" w:cs="Arial" w:eastAsia="Arial" w:hAnsi="Arial"/>
          <w:sz w:val="18"/>
          <w:szCs w:val="18"/>
          <w:color w:val="auto"/>
        </w:rPr>
      </w:pPr>
    </w:p>
    <w:p>
      <w:pPr>
        <w:ind w:firstLine="987"/>
        <w:spacing w:after="0" w:line="269" w:lineRule="auto"/>
        <w:tabs>
          <w:tab w:leader="none" w:pos="12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70" w:lineRule="exact"/>
        <w:rPr>
          <w:rFonts w:ascii="Arial" w:cs="Arial" w:eastAsia="Arial" w:hAnsi="Arial"/>
          <w:sz w:val="17"/>
          <w:szCs w:val="17"/>
          <w:color w:val="auto"/>
        </w:rPr>
      </w:pPr>
    </w:p>
    <w:p>
      <w:pPr>
        <w:ind w:right="40" w:firstLine="987"/>
        <w:spacing w:after="0" w:line="269" w:lineRule="auto"/>
        <w:tabs>
          <w:tab w:leader="none" w:pos="12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To be eligible to be a candidate for election as a director of the Corporation at an annual or special meeting, a candidate must be nominated in the manner prescribed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the candidate for nomination, whether nominated by the Board of Directors or by a Stockholder of record, must have previously delivered (with respect to candidates nominated by a Stockholder,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with respect to the background, qualifications, stock ownership and independence of such candidate for nomination and (ii) a written representation and agreement (in the form provided by the Corporation upon written request therefor)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(B) has not given and will not (1) give any commitment or assurance to, any person or entity as to how such proposed nominee, if elected as a director of the Corporation, will act or vote on any issue or question that has not been disclosed to the Corporation (a “</w:t>
      </w:r>
      <w:r>
        <w:rPr>
          <w:rFonts w:ascii="Arial" w:cs="Arial" w:eastAsia="Arial" w:hAnsi="Arial"/>
          <w:sz w:val="17"/>
          <w:szCs w:val="17"/>
          <w:b w:val="1"/>
          <w:bCs w:val="1"/>
          <w:i w:val="1"/>
          <w:iCs w:val="1"/>
          <w:color w:val="auto"/>
        </w:rPr>
        <w:t>Voting Commitment</w:t>
      </w:r>
      <w:r>
        <w:rPr>
          <w:rFonts w:ascii="Arial" w:cs="Arial" w:eastAsia="Arial" w:hAnsi="Arial"/>
          <w:sz w:val="17"/>
          <w:szCs w:val="17"/>
          <w:color w:val="auto"/>
        </w:rPr>
        <w:t>”) or (2) enter into any Voting Commitment that could limit or interfere with such proposed nominee’s ability to comply, if elected as a director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9" w:name="page40"/>
    <w:bookmarkEnd w:id="39"/>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with such proposed nominee’s fiduciary duties under applicable law and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63" w:lineRule="exact"/>
        <w:rPr>
          <w:sz w:val="20"/>
          <w:szCs w:val="20"/>
          <w:color w:val="auto"/>
        </w:rPr>
      </w:pPr>
    </w:p>
    <w:p>
      <w:pPr>
        <w:ind w:right="40" w:firstLine="987"/>
        <w:spacing w:after="0" w:line="311"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w:t>
      </w:r>
    </w:p>
    <w:p>
      <w:pPr>
        <w:spacing w:after="0" w:line="40" w:lineRule="exact"/>
        <w:rPr>
          <w:rFonts w:ascii="Arial" w:cs="Arial" w:eastAsia="Arial" w:hAnsi="Arial"/>
          <w:sz w:val="16"/>
          <w:szCs w:val="16"/>
          <w:color w:val="auto"/>
        </w:rPr>
      </w:pPr>
    </w:p>
    <w:p>
      <w:pPr>
        <w:ind w:right="40" w:firstLine="987"/>
        <w:spacing w:after="0" w:line="287" w:lineRule="auto"/>
        <w:tabs>
          <w:tab w:leader="none" w:pos="124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 candidate for nomination as a director shall further update and supplement the materials delivered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if necessary, so that the information provided or required to be provided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59" w:lineRule="exact"/>
        <w:rPr>
          <w:rFonts w:ascii="Arial" w:cs="Arial" w:eastAsia="Arial" w:hAnsi="Arial"/>
          <w:sz w:val="16"/>
          <w:szCs w:val="16"/>
          <w:color w:val="auto"/>
        </w:rPr>
      </w:pPr>
    </w:p>
    <w:p>
      <w:pPr>
        <w:ind w:right="200" w:firstLine="987"/>
        <w:spacing w:after="0" w:line="277" w:lineRule="auto"/>
        <w:tabs>
          <w:tab w:leader="none" w:pos="12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62" w:lineRule="exact"/>
        <w:rPr>
          <w:rFonts w:ascii="Arial" w:cs="Arial" w:eastAsia="Arial" w:hAnsi="Arial"/>
          <w:sz w:val="18"/>
          <w:szCs w:val="18"/>
          <w:color w:val="auto"/>
        </w:rPr>
      </w:pPr>
    </w:p>
    <w:p>
      <w:pPr>
        <w:ind w:firstLine="987"/>
        <w:spacing w:after="0" w:line="255" w:lineRule="auto"/>
        <w:tabs>
          <w:tab w:leader="none" w:pos="120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No candidate proposed by a Nominating Person shall be eligible for nomination as a director of the Corporation unless such candidate for nomination and the Nominating Person seeking to place such candidate’s name in nomination has complied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as applicable. The presiding officer at the meeting shall, if the facts warrant, determine that a nomination was not properly made in accordance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0" w:name="page41"/>
    <w:bookmarkEnd w:id="40"/>
    <w:p>
      <w:pPr>
        <w:ind w:right="60" w:firstLine="987"/>
        <w:spacing w:after="0" w:line="342"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these Bylaws to the contrary, no candidate proposed by a Nominating Person for nomination at an annual or special meeting shall be eligible to be seated as a director of the Corporation unless nominated and elected in accordance with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Delivery to the Corporation</w:t>
      </w:r>
      <w:r>
        <w:rPr>
          <w:rFonts w:ascii="Arial" w:cs="Arial" w:eastAsia="Arial" w:hAnsi="Arial"/>
          <w:sz w:val="18"/>
          <w:szCs w:val="18"/>
          <w:color w:val="auto"/>
        </w:rPr>
        <w:t>. Whenever Section 2.13 or 2.14 of this Article II requires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 2.13 or 2.14 of this Article II, to the fullest extent permitted by law, the Corporation expressly opts out of Section 116 of the DGCL.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Number; Tenure; Qualifications</w:t>
      </w:r>
      <w:r>
        <w:rPr>
          <w:rFonts w:ascii="Arial" w:cs="Arial" w:eastAsia="Arial" w:hAnsi="Arial"/>
          <w:sz w:val="17"/>
          <w:szCs w:val="17"/>
          <w:color w:val="auto"/>
        </w:rPr>
        <w:t>. Subject to the Certificate of Incorporation and the rights of holders of any series of Preferred Stock to elect directors, the total number of directors constituting the entire Board of Directors shall be fixed from time to time exclusively by resolution adopted by a majority of the Whole Board of Directors. Each director shall hold office until his or her death, resignation, disqualification or removal, or as otherwise set forth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w:t>
      </w:r>
    </w:p>
    <w:p>
      <w:pPr>
        <w:spacing w:after="0" w:line="178"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Election; Resignation; Removal; Vacancies</w:t>
      </w:r>
      <w:r>
        <w:rPr>
          <w:rFonts w:ascii="Arial" w:cs="Arial" w:eastAsia="Arial" w:hAnsi="Arial"/>
          <w:sz w:val="18"/>
          <w:szCs w:val="18"/>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his or her successor shall be elected and qualified.</w:t>
      </w:r>
    </w:p>
    <w:p>
      <w:pPr>
        <w:spacing w:after="0" w:line="195"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1" w:name="page42"/>
    <w:bookmarkEnd w:id="41"/>
    <w:p>
      <w:pPr>
        <w:ind w:right="20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7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Telephonic Meetings Permitted</w:t>
      </w:r>
      <w:r>
        <w:rPr>
          <w:rFonts w:ascii="Arial" w:cs="Arial" w:eastAsia="Arial" w:hAnsi="Arial"/>
          <w:sz w:val="17"/>
          <w:szCs w:val="17"/>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constitute presence in person at such meeting.</w:t>
      </w:r>
    </w:p>
    <w:p>
      <w:pPr>
        <w:spacing w:after="0" w:line="16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Quorum; Vote Required for Action</w:t>
      </w:r>
      <w:r>
        <w:rPr>
          <w:rFonts w:ascii="Arial" w:cs="Arial" w:eastAsia="Arial" w:hAnsi="Arial"/>
          <w:sz w:val="18"/>
          <w:szCs w:val="18"/>
          <w:color w:val="auto"/>
        </w:rPr>
        <w:t xml:space="preserve">. At all meetings of the Board of Directors a majority of the Whole Board of Directors shall constitute a quorum for the transaction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the purposes of filling vacancies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9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8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2" w:name="page43"/>
    <w:bookmarkEnd w:id="42"/>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Arial" w:cs="Arial" w:eastAsia="Arial" w:hAnsi="Arial"/>
          <w:sz w:val="17"/>
          <w:szCs w:val="17"/>
          <w:u w:val="single" w:color="auto"/>
          <w:color w:val="auto"/>
        </w:rPr>
        <w:t>Organization</w:t>
      </w:r>
      <w:r>
        <w:rPr>
          <w:rFonts w:ascii="Arial" w:cs="Arial" w:eastAsia="Arial" w:hAnsi="Arial"/>
          <w:sz w:val="17"/>
          <w:szCs w:val="17"/>
          <w:color w:val="auto"/>
        </w:rPr>
        <w:t>. The Board of Directors may appoint from its members a Chairperson or Chairpersons of the Board of Directors. The Board of Directors may, in its sole discretion, from time to time appoint one or more vice chairpersons (each, a “</w:t>
      </w:r>
      <w:r>
        <w:rPr>
          <w:rFonts w:ascii="Arial" w:cs="Arial" w:eastAsia="Arial" w:hAnsi="Arial"/>
          <w:sz w:val="17"/>
          <w:szCs w:val="17"/>
          <w:b w:val="1"/>
          <w:bCs w:val="1"/>
          <w:i w:val="1"/>
          <w:iCs w:val="1"/>
          <w:color w:val="auto"/>
        </w:rPr>
        <w:t>Vice Chairperson</w:t>
      </w:r>
      <w:r>
        <w:rPr>
          <w:rFonts w:ascii="Arial" w:cs="Arial" w:eastAsia="Arial" w:hAnsi="Arial"/>
          <w:sz w:val="17"/>
          <w:szCs w:val="17"/>
          <w:color w:val="auto"/>
        </w:rPr>
        <w:t>”) each of whom as such shall report directly to the Chairperson or Chairpersons, as applicable. If the Chairperson, or at least one of the Chairpersons, appointed by the Board of Directors is not an Independent Director, the Board of Directors shall appoint one of its members who qualifies as an Independent Director to serve as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over each executive session of the Independent Directors and have and perform such other duties as provided herein or as may be from time to time assigned by the Board of Directors. At each meeting of the Board of Directors, the Chairperson(s) of the Board of Directors or, in the Chairperson(s) of the Board of Directors’ absence, the Lead Independent Director, or in the Lead Independent Director’s absence, a director chosen by a majority of the directors present, shall act as chairperson of the meeting. The Secretary shall act as secretary of each meeting of the Board of Directors. In case the Secretary shall be absent from any meeting of the Board of Directors, an assistant secretary shall perform the duties of secretary at such meeting; and in the absence from any such meeting of the Secretary and all assistant secretaries, the chairperson of the meeting may appoint any person to act as secretary of the meeting. “Independent Director” shall mean a director who meets the then current independence standards required by each National Securities Exchange on which the capital stock of the Corporation is listed for trading.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43" w:name="page44"/>
    <w:bookmarkEnd w:id="43"/>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Committee Minutes</w:t>
      </w:r>
      <w:r>
        <w:rPr>
          <w:rFonts w:ascii="Arial" w:cs="Arial" w:eastAsia="Arial" w:hAnsi="Arial"/>
          <w:sz w:val="18"/>
          <w:szCs w:val="18"/>
          <w:color w:val="auto"/>
        </w:rPr>
        <w:t>. Each committee shall keep regular minutes of its meetings and report the same to the Board of Directors when required.</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Committee Rules</w:t>
      </w:r>
      <w:r>
        <w:rPr>
          <w:rFonts w:ascii="Arial" w:cs="Arial" w:eastAsia="Arial" w:hAnsi="Arial"/>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these Bylaws.</w:t>
      </w:r>
    </w:p>
    <w:p>
      <w:pPr>
        <w:spacing w:after="0" w:line="4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Officers</w:t>
      </w:r>
      <w:r>
        <w:rPr>
          <w:rFonts w:ascii="Arial" w:cs="Arial" w:eastAsia="Arial" w:hAnsi="Arial"/>
          <w:sz w:val="16"/>
          <w:szCs w:val="16"/>
          <w:color w:val="auto"/>
        </w:rPr>
        <w:t>. The officers of the Corporation shall be one (1) or more Chief Executive Officers, a President and a Secretary. The Corporation may also have, at the discretion of the Board of Directors, a Chairperson or Chairpersons of the Board of Directors, a Vice Chairperson of the Board of Directors, a President, a Chief Financial Officer, a Treasurer, a General Counsel, one (1) or more Assistant Secretaries, one (1) or more Assistant Treasurers,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64"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 xml:space="preserve">. The Board of Directors shall appoint the officers of the Corporation, except such officers as may be appointed in accordance with the provisions of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Subordinate Officer</w:t>
      </w:r>
      <w:r>
        <w:rPr>
          <w:rFonts w:ascii="Arial" w:cs="Arial" w:eastAsia="Arial" w:hAnsi="Arial"/>
          <w:sz w:val="18"/>
          <w:szCs w:val="18"/>
          <w:color w:val="auto"/>
        </w:rPr>
        <w:t>. The Board of Directors may appoint, or empower a Chief Executive Officer or, in the absence of a Chief Executive Officer, a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subject in each case to the control of the Board of Directors.</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Removal and Resignation of Officers</w:t>
      </w:r>
      <w:r>
        <w:rPr>
          <w:rFonts w:ascii="Arial" w:cs="Arial" w:eastAsia="Arial" w:hAnsi="Arial"/>
          <w:sz w:val="18"/>
          <w:szCs w:val="18"/>
          <w:color w:val="auto"/>
        </w:rPr>
        <w:t>. Any officer may be removed, either with or without cause, by an affirmative vote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44" w:name="page45"/>
    <w:bookmarkEnd w:id="44"/>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 xml:space="preserve">. Any vacancy occurring in any office of the Corporation shall be filled by the Board of Directors or as provided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Chief Executive Officer(s)</w:t>
      </w:r>
      <w:r>
        <w:rPr>
          <w:rFonts w:ascii="Arial" w:cs="Arial" w:eastAsia="Arial" w:hAnsi="Arial"/>
          <w:sz w:val="17"/>
          <w:szCs w:val="17"/>
          <w:color w:val="auto"/>
        </w:rPr>
        <w:t>. Subject to such supervisory powers, if any, as may be given by the Board of Directors to a Chairperson, if any, the Chief Executive Officer (if such officer or officers are appointed) shall, subject to the control of the Board of Directors, have general supervision, direction, and control of the business and the officers of the Corporation. In the absence or nonexistence of a Chairperson or the Chief Executive Officer (if he, she or they are also directors) shall preside at all meetings of the Board of Directors at which he, she or they, as applicable, are present and shall have the general powers and duties of management usually vested in the office of chief executive officer of a corporation and shall have such other powers and duties as may be prescribed by the Board of Directors or these Bylaws.</w:t>
      </w:r>
    </w:p>
    <w:p>
      <w:pPr>
        <w:spacing w:after="0" w:line="17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President</w:t>
      </w:r>
      <w:r>
        <w:rPr>
          <w:rFonts w:ascii="Arial" w:cs="Arial" w:eastAsia="Arial" w:hAnsi="Arial"/>
          <w:sz w:val="17"/>
          <w:szCs w:val="17"/>
          <w:color w:val="auto"/>
        </w:rPr>
        <w:t>. The Board of Directors may appoint a President. Subject to such supervisory powers, if any, as may be given by the Board of Directors to a Chairperson (if any), the Chief Executive Officer,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7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stock ledger, or a duplicate stock ledger, showing the names of all Stockholders and their addresses, the number and classes of shares held by each, the number and date of certificates evidencing such shares (if such shares are to be certificated),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68"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(the “</w:t>
      </w:r>
      <w:r>
        <w:rPr>
          <w:rFonts w:ascii="Arial" w:cs="Arial" w:eastAsia="Arial" w:hAnsi="Arial"/>
          <w:sz w:val="16"/>
          <w:szCs w:val="16"/>
          <w:b w:val="1"/>
          <w:bCs w:val="1"/>
          <w:i w:val="1"/>
          <w:iCs w:val="1"/>
          <w:color w:val="auto"/>
        </w:rPr>
        <w:t>CFO</w:t>
      </w:r>
      <w:r>
        <w:rPr>
          <w:rFonts w:ascii="Arial" w:cs="Arial" w:eastAsia="Arial" w:hAnsi="Arial"/>
          <w:sz w:val="16"/>
          <w:szCs w:val="16"/>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45" w:name="page46"/>
    <w:bookmarkEnd w:id="4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Corporation with such depositories as may be designated by the Board of Directors. He or she shall disburse the funds of the Corporation as may be ordered by the Board of Directors, shall render to the President, if any is appointed, the Chief Executive Officer,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87" w:lineRule="exact"/>
        <w:rPr>
          <w:sz w:val="20"/>
          <w:szCs w:val="20"/>
          <w:color w:val="auto"/>
        </w:rPr>
      </w:pPr>
    </w:p>
    <w:p>
      <w:pPr>
        <w:ind w:right="280" w:firstLine="440"/>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Representation of Equity Interests of Other Entities</w:t>
      </w:r>
      <w:r>
        <w:rPr>
          <w:rFonts w:ascii="Arial" w:cs="Arial" w:eastAsia="Arial" w:hAnsi="Arial"/>
          <w:sz w:val="16"/>
          <w:szCs w:val="16"/>
          <w:color w:val="auto"/>
        </w:rPr>
        <w:t>. Unless otherwise directed by the Board of Directors, the Chief Executive Officer, as applicable, or the President or any other person authorized by the Board of Directors, the Chief Executive Officer,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61"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Certificates</w:t>
      </w:r>
      <w:r>
        <w:rPr>
          <w:rFonts w:ascii="Arial" w:cs="Arial" w:eastAsia="Arial" w:hAnsi="Arial"/>
          <w:sz w:val="17"/>
          <w:szCs w:val="17"/>
          <w:color w:val="auto"/>
        </w:rPr>
        <w:t>. The shares of the Corporation shall be represented by certificates, provided that the Board of Directors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Chief Executive Officer, a President, Vice President, Chief Financial Officer, the Treasurer, any Assistant Treasurer, the General Counsel,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6" w:name="page47"/>
    <w:bookmarkEnd w:id="46"/>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6"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Lost, Stolen or Destroyed Stock Certificates; Issuance of New Certificates</w:t>
      </w:r>
      <w:r>
        <w:rPr>
          <w:rFonts w:ascii="Arial" w:cs="Arial" w:eastAsia="Arial" w:hAnsi="Arial"/>
          <w:sz w:val="16"/>
          <w:szCs w:val="16"/>
          <w:color w:val="auto"/>
        </w:rPr>
        <w:t>. The Corporation may issue a new certificate for shares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16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Shares Without Certificates</w:t>
      </w:r>
      <w:r>
        <w:rPr>
          <w:rFonts w:ascii="Arial" w:cs="Arial" w:eastAsia="Arial" w:hAnsi="Arial"/>
          <w:sz w:val="18"/>
          <w:szCs w:val="18"/>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 OF EXPENSES</w:t>
      </w:r>
    </w:p>
    <w:p>
      <w:pPr>
        <w:spacing w:after="0" w:line="21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7" w:name="page48"/>
    <w:bookmarkEnd w:id="47"/>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7.02 </w:t>
      </w:r>
      <w:r>
        <w:rPr>
          <w:rFonts w:ascii="Arial" w:cs="Arial" w:eastAsia="Arial" w:hAnsi="Arial"/>
          <w:sz w:val="16"/>
          <w:szCs w:val="16"/>
          <w:u w:val="single" w:color="auto"/>
          <w:color w:val="auto"/>
        </w:rPr>
        <w:t>Indemnification of Others</w:t>
      </w:r>
      <w:r>
        <w:rPr>
          <w:rFonts w:ascii="Arial" w:cs="Arial" w:eastAsia="Arial" w:hAnsi="Arial"/>
          <w:sz w:val="16"/>
          <w:szCs w:val="16"/>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If a claim for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(following the final disposition of such proceeding) is not paid in full within sixty (60) days after the Corporation has received a written claim therefor by the Covered Person, or if a claim for any advancement of expenses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9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Covered Person by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8"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48" w:name="page49"/>
    <w:bookmarkEnd w:id="48"/>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7.08 </w:t>
      </w:r>
      <w:r>
        <w:rPr>
          <w:rFonts w:ascii="Arial" w:cs="Arial" w:eastAsia="Arial" w:hAnsi="Arial"/>
          <w:sz w:val="18"/>
          <w:szCs w:val="18"/>
          <w:u w:val="single" w:color="auto"/>
          <w:color w:val="auto"/>
        </w:rPr>
        <w:t>Continuation of Indemnification</w:t>
      </w:r>
      <w:r>
        <w:rPr>
          <w:rFonts w:ascii="Arial" w:cs="Arial" w:eastAsia="Arial" w:hAnsi="Arial"/>
          <w:sz w:val="18"/>
          <w:szCs w:val="18"/>
          <w:color w:val="auto"/>
        </w:rPr>
        <w:t xml:space="preserve">. The rights to indemnification and to advancement of expenses provided by, or granted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continue as to a Person who has ceased to be a director or officer of the Corporation and shall inure to the benefit of the estate, heirs, executors, administrators, legatees and distributees of such Person.</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w:t>
      </w:r>
    </w:p>
    <w:p>
      <w:pPr>
        <w:spacing w:after="0" w:line="16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Execution of Corporate Contracts and Instruments</w:t>
      </w:r>
      <w:r>
        <w:rPr>
          <w:rFonts w:ascii="Arial" w:cs="Arial" w:eastAsia="Arial" w:hAnsi="Arial"/>
          <w:sz w:val="17"/>
          <w:szCs w:val="17"/>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8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subject to any restrictions contained in either (i) the DGCL or (ii) the Certificate of Incorporation, may declare and pay dividends out of funds legally available therefor upon the shares of its Stock. Dividends may be paid in cash, in property or in shares of the Corporation’s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9" w:name="page50"/>
    <w:bookmarkEnd w:id="49"/>
    <w:p>
      <w:pPr>
        <w:jc w:val="both"/>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adopt a corporate seal, which shall be adopted and which may be altered by the Board of</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Directors. The Corporation may use the corporate seal by causing it or a facsimile thereof to be impressed or affixed or in any other manner reproduced.</w:t>
      </w:r>
    </w:p>
    <w:p>
      <w:pPr>
        <w:spacing w:after="0" w:line="234"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Manner of Notice</w:t>
      </w:r>
      <w:r>
        <w:rPr>
          <w:rFonts w:ascii="Arial" w:cs="Arial" w:eastAsia="Arial" w:hAnsi="Arial"/>
          <w:sz w:val="18"/>
          <w:szCs w:val="18"/>
          <w:color w:val="auto"/>
        </w:rPr>
        <w:t>.</w:t>
      </w:r>
    </w:p>
    <w:p>
      <w:pPr>
        <w:spacing w:after="0" w:line="117" w:lineRule="exact"/>
        <w:rPr>
          <w:sz w:val="20"/>
          <w:szCs w:val="20"/>
          <w:color w:val="auto"/>
        </w:rPr>
      </w:pPr>
    </w:p>
    <w:p>
      <w:pPr>
        <w:jc w:val="both"/>
        <w:ind w:right="80" w:firstLine="436"/>
        <w:spacing w:after="0" w:line="311" w:lineRule="auto"/>
        <w:tabs>
          <w:tab w:leader="none" w:pos="68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4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64"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49" w:lineRule="exact"/>
        <w:rPr>
          <w:sz w:val="20"/>
          <w:szCs w:val="20"/>
          <w:color w:val="auto"/>
        </w:rPr>
      </w:pPr>
    </w:p>
    <w:p>
      <w:pPr>
        <w:ind w:firstLine="436"/>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Notice to Stockholders Sharing an Address</w:t>
      </w:r>
      <w:r>
        <w:rPr>
          <w:rFonts w:ascii="Arial" w:cs="Arial" w:eastAsia="Arial" w:hAnsi="Arial"/>
          <w:sz w:val="18"/>
          <w:szCs w:val="18"/>
          <w:color w:val="auto"/>
        </w:rPr>
        <w:t>. Without limiting the manner by which notice otherwise may be given effectively to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50" w:name="page51"/>
    <w:bookmarkEnd w:id="5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Arial" w:cs="Arial" w:eastAsia="Arial" w:hAnsi="Arial"/>
          <w:sz w:val="17"/>
          <w:szCs w:val="17"/>
          <w:u w:val="single" w:color="auto"/>
          <w:color w:val="auto"/>
        </w:rPr>
        <w:t>Section 8.07</w:t>
      </w:r>
      <w:r>
        <w:rPr>
          <w:rFonts w:ascii="Arial" w:cs="Arial" w:eastAsia="Arial" w:hAnsi="Arial"/>
          <w:sz w:val="17"/>
          <w:szCs w:val="17"/>
          <w:color w:val="auto"/>
        </w:rPr>
        <w:t>, shall be deemed to have consented to receiving such single written notice.</w:t>
      </w:r>
    </w:p>
    <w:p>
      <w:pPr>
        <w:spacing w:after="0" w:line="57" w:lineRule="exact"/>
        <w:rPr>
          <w:sz w:val="20"/>
          <w:szCs w:val="20"/>
          <w:color w:val="auto"/>
        </w:rPr>
      </w:pPr>
    </w:p>
    <w:p>
      <w:pPr>
        <w:ind w:firstLine="436"/>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Notice to Directors. </w:t>
      </w:r>
      <w:r>
        <w:rPr>
          <w:rFonts w:ascii="Arial" w:cs="Arial" w:eastAsia="Arial" w:hAnsi="Arial"/>
          <w:sz w:val="18"/>
          <w:szCs w:val="18"/>
          <w:color w:val="auto"/>
        </w:rPr>
        <w:t>Except as otherwise provided herein or permitted by applicable law, notices to any director may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8.08 </w:t>
      </w:r>
      <w:r>
        <w:rPr>
          <w:rFonts w:ascii="Arial" w:cs="Arial" w:eastAsia="Arial" w:hAnsi="Arial"/>
          <w:sz w:val="17"/>
          <w:szCs w:val="17"/>
          <w:u w:val="single" w:color="auto"/>
          <w:color w:val="auto"/>
        </w:rPr>
        <w:t>Waiver of Notice of Meetings of Stockholders, Directors and Committees</w:t>
      </w:r>
      <w:r>
        <w:rPr>
          <w:rFonts w:ascii="Arial" w:cs="Arial" w:eastAsia="Arial" w:hAnsi="Arial"/>
          <w:sz w:val="17"/>
          <w:szCs w:val="17"/>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78"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18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Subject to any additional vote required by the Certificate of Incorporation, in furtherance and not in limitation of the powers conferred by statute, the Board of Directors is expressly authorized to adopt, repeal, alter, amend or rescind these Bylaws. The affirmative vote of at least a majority of the Whole Board of Directors shall be required in order for the Board of Directors to adopt, repeal, alter, amend or rescind these Bylaws. The Stockholders shall also have power to adopt, repeal, alter, amend or rescind these Bylaws. In addition to any vote of the holders of any class or series of stock of the Corporation required by applicable law or by the Certificate of Incorporation, such adoption, repeal, alteration, amendment or rescission of these Bylaws by the Stockholders shall require the affirmative vote of the holders of at least two-thirds of the voting power of the then outstanding shares of capital stock of the Corporation entitled to vote thereon, voting together as a single class.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 *</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STOCKHOLDERS AGREEMENT</w:t>
      </w:r>
      <w:r>
        <w:rPr>
          <w:rFonts w:ascii="Arial" w:cs="Arial" w:eastAsia="Arial" w:hAnsi="Arial"/>
          <w:sz w:val="17"/>
          <w:szCs w:val="17"/>
          <w:color w:val="auto"/>
        </w:rPr>
        <w:t>, dated as of October 29, 2021 (as it may be amended, amended and restated or otherwise modified from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time to time in accordance with the terms hereof,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and among (i) Rent the Runway, Inc., a Delaware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Corporation</w:t>
      </w:r>
      <w:r>
        <w:rPr>
          <w:rFonts w:ascii="Arial" w:cs="Arial" w:eastAsia="Arial" w:hAnsi="Arial"/>
          <w:sz w:val="17"/>
          <w:szCs w:val="17"/>
          <w:color w:val="auto"/>
        </w:rPr>
        <w:t>”), (ii) Jennifer Y. Hyman, the Trust under Article Second UA dtd 9/19/2012 (the “</w:t>
      </w:r>
      <w:r>
        <w:rPr>
          <w:rFonts w:ascii="Arial" w:cs="Arial" w:eastAsia="Arial" w:hAnsi="Arial"/>
          <w:sz w:val="17"/>
          <w:szCs w:val="17"/>
          <w:u w:val="single" w:color="auto"/>
          <w:color w:val="auto"/>
        </w:rPr>
        <w:t>2012 Trust</w:t>
      </w:r>
      <w:r>
        <w:rPr>
          <w:rFonts w:ascii="Arial" w:cs="Arial" w:eastAsia="Arial" w:hAnsi="Arial"/>
          <w:sz w:val="17"/>
          <w:szCs w:val="17"/>
          <w:color w:val="auto"/>
        </w:rPr>
        <w:t>”), the BS 2021 Family Trust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Trust</w:t>
      </w:r>
      <w:r>
        <w:rPr>
          <w:rFonts w:ascii="Arial" w:cs="Arial" w:eastAsia="Arial" w:hAnsi="Arial"/>
          <w:sz w:val="16"/>
          <w:szCs w:val="16"/>
          <w:color w:val="auto"/>
        </w:rPr>
        <w:t>”), the JYH 2021 Children’s Trust (the “</w:t>
      </w:r>
      <w:r>
        <w:rPr>
          <w:rFonts w:ascii="Arial" w:cs="Arial" w:eastAsia="Arial" w:hAnsi="Arial"/>
          <w:sz w:val="16"/>
          <w:szCs w:val="16"/>
          <w:u w:val="single" w:color="auto"/>
          <w:color w:val="auto"/>
        </w:rPr>
        <w:t>Children’s Trust</w:t>
      </w:r>
      <w:r>
        <w:rPr>
          <w:rFonts w:ascii="Arial" w:cs="Arial" w:eastAsia="Arial" w:hAnsi="Arial"/>
          <w:sz w:val="16"/>
          <w:szCs w:val="16"/>
          <w:color w:val="auto"/>
        </w:rPr>
        <w:t>”, and, together with Jennifer Y. Hyman, the 2012 Trust and the Family Trust,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w:t>
      </w:r>
      <w:r>
        <w:rPr>
          <w:rFonts w:ascii="Arial" w:cs="Arial" w:eastAsia="Arial" w:hAnsi="Arial"/>
          <w:sz w:val="18"/>
          <w:szCs w:val="18"/>
          <w:color w:val="auto"/>
        </w:rPr>
        <w:t>”), (iii) Bain Capital Venture Fund 2009, L.P. (“</w:t>
      </w:r>
      <w:r>
        <w:rPr>
          <w:rFonts w:ascii="Arial" w:cs="Arial" w:eastAsia="Arial" w:hAnsi="Arial"/>
          <w:sz w:val="18"/>
          <w:szCs w:val="18"/>
          <w:u w:val="single" w:color="auto"/>
          <w:color w:val="auto"/>
        </w:rPr>
        <w:t>BCV Fund 2009</w:t>
      </w:r>
      <w:r>
        <w:rPr>
          <w:rFonts w:ascii="Arial" w:cs="Arial" w:eastAsia="Arial" w:hAnsi="Arial"/>
          <w:sz w:val="18"/>
          <w:szCs w:val="18"/>
          <w:color w:val="auto"/>
        </w:rPr>
        <w:t>”), BCIP Venture Associates (“</w:t>
      </w:r>
      <w:r>
        <w:rPr>
          <w:rFonts w:ascii="Arial" w:cs="Arial" w:eastAsia="Arial" w:hAnsi="Arial"/>
          <w:sz w:val="18"/>
          <w:szCs w:val="18"/>
          <w:u w:val="single" w:color="auto"/>
          <w:color w:val="auto"/>
        </w:rPr>
        <w:t>BCIP Venture</w:t>
      </w:r>
      <w:r>
        <w:rPr>
          <w:rFonts w:ascii="Arial" w:cs="Arial" w:eastAsia="Arial" w:hAnsi="Arial"/>
          <w:sz w:val="18"/>
          <w:szCs w:val="18"/>
          <w:color w:val="auto"/>
        </w:rPr>
        <w:t>”) and BCIP Venture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Associates-B (“</w:t>
      </w:r>
      <w:r>
        <w:rPr>
          <w:rFonts w:ascii="Arial" w:cs="Arial" w:eastAsia="Arial" w:hAnsi="Arial"/>
          <w:sz w:val="17"/>
          <w:szCs w:val="17"/>
          <w:u w:val="single" w:color="auto"/>
          <w:color w:val="auto"/>
        </w:rPr>
        <w:t>BCIP Venture-B</w:t>
      </w:r>
      <w:r>
        <w:rPr>
          <w:rFonts w:ascii="Arial" w:cs="Arial" w:eastAsia="Arial" w:hAnsi="Arial"/>
          <w:sz w:val="17"/>
          <w:szCs w:val="17"/>
          <w:color w:val="auto"/>
        </w:rPr>
        <w:t>”, and, together with BCV Fund 2009 and BCIP Venture, the “</w:t>
      </w:r>
      <w:r>
        <w:rPr>
          <w:rFonts w:ascii="Arial" w:cs="Arial" w:eastAsia="Arial" w:hAnsi="Arial"/>
          <w:sz w:val="17"/>
          <w:szCs w:val="17"/>
          <w:u w:val="single" w:color="auto"/>
          <w:color w:val="auto"/>
        </w:rPr>
        <w:t>Bain Capital Ventures Entities</w:t>
      </w:r>
      <w:r>
        <w:rPr>
          <w:rFonts w:ascii="Arial" w:cs="Arial" w:eastAsia="Arial" w:hAnsi="Arial"/>
          <w:sz w:val="17"/>
          <w:szCs w:val="17"/>
          <w:color w:val="auto"/>
        </w:rPr>
        <w:t>”), and (iv) Highland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Capital Partners VIII Limited Partnership (“</w:t>
      </w:r>
      <w:r>
        <w:rPr>
          <w:rFonts w:ascii="Arial" w:cs="Arial" w:eastAsia="Arial" w:hAnsi="Arial"/>
          <w:sz w:val="17"/>
          <w:szCs w:val="17"/>
          <w:u w:val="single" w:color="auto"/>
          <w:color w:val="auto"/>
        </w:rPr>
        <w:t>Highland Capital 8</w:t>
      </w:r>
      <w:r>
        <w:rPr>
          <w:rFonts w:ascii="Arial" w:cs="Arial" w:eastAsia="Arial" w:hAnsi="Arial"/>
          <w:sz w:val="17"/>
          <w:szCs w:val="17"/>
          <w:color w:val="auto"/>
        </w:rPr>
        <w:t>”), Highland Capital Partners VIII-B Limited Partnership (“</w:t>
      </w:r>
      <w:r>
        <w:rPr>
          <w:rFonts w:ascii="Arial" w:cs="Arial" w:eastAsia="Arial" w:hAnsi="Arial"/>
          <w:sz w:val="17"/>
          <w:szCs w:val="17"/>
          <w:u w:val="single" w:color="auto"/>
          <w:color w:val="auto"/>
        </w:rPr>
        <w:t>Highland Capital 8-B</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Highland Capital Partners VIII-C Limited Partnership (“</w:t>
      </w:r>
      <w:r>
        <w:rPr>
          <w:rFonts w:ascii="Arial" w:cs="Arial" w:eastAsia="Arial" w:hAnsi="Arial"/>
          <w:sz w:val="17"/>
          <w:szCs w:val="17"/>
          <w:u w:val="single" w:color="auto"/>
          <w:color w:val="auto"/>
        </w:rPr>
        <w:t>Highland Capital 8-C</w:t>
      </w:r>
      <w:r>
        <w:rPr>
          <w:rFonts w:ascii="Arial" w:cs="Arial" w:eastAsia="Arial" w:hAnsi="Arial"/>
          <w:sz w:val="17"/>
          <w:szCs w:val="17"/>
          <w:color w:val="auto"/>
        </w:rPr>
        <w:t>” and, together with Highland Capital 8 and Highland Capital 8-B,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Highland Entities</w:t>
      </w:r>
      <w:r>
        <w:rPr>
          <w:rFonts w:ascii="Arial" w:cs="Arial" w:eastAsia="Arial" w:hAnsi="Arial"/>
          <w:sz w:val="16"/>
          <w:szCs w:val="16"/>
          <w:color w:val="auto"/>
        </w:rPr>
        <w:t>”, and together with the Bain Capital Ventures Entities and the Founder, the “</w:t>
      </w:r>
      <w:r>
        <w:rPr>
          <w:rFonts w:ascii="Arial" w:cs="Arial" w:eastAsia="Arial" w:hAnsi="Arial"/>
          <w:sz w:val="16"/>
          <w:szCs w:val="16"/>
          <w:u w:val="single" w:color="auto"/>
          <w:color w:val="auto"/>
        </w:rPr>
        <w:t>Stockholders</w:t>
      </w:r>
      <w:r>
        <w:rPr>
          <w:rFonts w:ascii="Arial" w:cs="Arial" w:eastAsia="Arial" w:hAnsi="Arial"/>
          <w:sz w:val="16"/>
          <w:szCs w:val="16"/>
          <w:color w:val="auto"/>
        </w:rPr>
        <w:t>”). Certain terms used in this Agreement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defined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contemplating an offering and sale of shares of Class A common stock, par value $0.001 per share,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in an underwritten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62" w:lineRule="exact"/>
        <w:rPr>
          <w:sz w:val="20"/>
          <w:szCs w:val="20"/>
          <w:color w:val="auto"/>
        </w:rPr>
      </w:pPr>
    </w:p>
    <w:p>
      <w:pPr>
        <w:jc w:val="both"/>
        <w:ind w:right="5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IPO, it is anticipated that all of the outstanding series of the Corporation’s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redeemable preferred stock will be converted into Common Stock (as defined in the Corporation’s Eleventh Amended and Restated Certificate of Incorporation) (the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17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IPO and following the Automatic Conversion, the Corporation will amend and restate its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to reclassify the shares of Common Stock (as defined in the Eleventh Amended and Restated Certificate of Incorporation) into Class A Common Stock;</w:t>
      </w:r>
    </w:p>
    <w:p>
      <w:pPr>
        <w:spacing w:after="0" w:line="1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IPO, it is anticipated that the Founder, the Corporation and certain other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enter into a series of related transactions pursuant to which the Founder will exchange all shares of the Founder’s Class A Common Stock for shares of the Corporation’s Class B Common Stock, par value $0.001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set forth their agreement with respect to the matters set forth herein in connection with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the Corporation.</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agreements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Corporation and the Stockholders agree as follows:</w:t>
      </w:r>
    </w:p>
    <w:p>
      <w:pPr>
        <w:sectPr>
          <w:pgSz w:w="11900" w:h="16838" w:orient="portrait"/>
          <w:cols w:equalWidth="0" w:num="1">
            <w:col w:w="11020"/>
          </w:cols>
          <w:pgMar w:left="440" w:top="121" w:right="439" w:bottom="1440" w:gutter="0" w:footer="0" w:header="0"/>
        </w:sectPr>
      </w:pPr>
    </w:p>
    <w:bookmarkStart w:id="52" w:name="page53"/>
    <w:bookmarkEnd w:id="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Election of the Board of Directors</w:t>
      </w:r>
      <w:r>
        <w:rPr>
          <w:rFonts w:ascii="Arial" w:cs="Arial" w:eastAsia="Arial" w:hAnsi="Arial"/>
          <w:sz w:val="18"/>
          <w:szCs w:val="18"/>
          <w:color w:val="auto"/>
        </w:rPr>
        <w:t>.</w:t>
      </w:r>
    </w:p>
    <w:p>
      <w:pPr>
        <w:spacing w:after="0" w:line="117" w:lineRule="exact"/>
        <w:rPr>
          <w:sz w:val="20"/>
          <w:szCs w:val="20"/>
          <w:color w:val="auto"/>
        </w:rPr>
      </w:pPr>
    </w:p>
    <w:p>
      <w:pPr>
        <w:ind w:left="4" w:right="60" w:firstLine="436"/>
        <w:spacing w:after="0" w:line="296" w:lineRule="auto"/>
        <w:tabs>
          <w:tab w:leader="none" w:pos="689"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the Bain Capital Ventures Entities shall be entitled to designate for nomination by the Board one (1) Director from time to time (any Director designated by the Bain Capital Ventures Entities, a “</w:t>
      </w:r>
      <w:r>
        <w:rPr>
          <w:rFonts w:ascii="Arial" w:cs="Arial" w:eastAsia="Arial" w:hAnsi="Arial"/>
          <w:sz w:val="16"/>
          <w:szCs w:val="16"/>
          <w:u w:val="single" w:color="auto"/>
          <w:color w:val="auto"/>
        </w:rPr>
        <w:t>BCV Director</w:t>
      </w:r>
      <w:r>
        <w:rPr>
          <w:rFonts w:ascii="Arial" w:cs="Arial" w:eastAsia="Arial" w:hAnsi="Arial"/>
          <w:sz w:val="16"/>
          <w:szCs w:val="16"/>
          <w:color w:val="auto"/>
        </w:rPr>
        <w:t xml:space="preserve">”). The Bain Capital Ventures Entities shall not be entitled to designate any BCV Director in accordance with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if at any time the Bain Capital Ventures Entities beneficially own, directly or indirectly, in the aggregate less than five percent (5%) of all issued and outstanding shares of Class A Common Stock. The Directors shall be divided into three classes of directors, each of whose members shall serve for staggered three-year terms in accordance with the Charter.</w:t>
      </w:r>
    </w:p>
    <w:p>
      <w:pPr>
        <w:spacing w:after="0" w:line="53" w:lineRule="exact"/>
        <w:rPr>
          <w:rFonts w:ascii="Arial" w:cs="Arial" w:eastAsia="Arial" w:hAnsi="Arial"/>
          <w:sz w:val="16"/>
          <w:szCs w:val="16"/>
          <w:color w:val="auto"/>
        </w:rPr>
      </w:pPr>
    </w:p>
    <w:p>
      <w:pPr>
        <w:ind w:left="4" w:right="40" w:firstLine="436"/>
        <w:spacing w:after="0" w:line="275" w:lineRule="auto"/>
        <w:tabs>
          <w:tab w:leader="none" w:pos="699"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Subject to this </w:t>
      </w:r>
      <w:r>
        <w:rPr>
          <w:rFonts w:ascii="Arial" w:cs="Arial" w:eastAsia="Arial" w:hAnsi="Arial"/>
          <w:sz w:val="17"/>
          <w:szCs w:val="17"/>
          <w:u w:val="single" w:color="auto"/>
          <w:color w:val="auto"/>
        </w:rPr>
        <w:t>Section 1(b)</w:t>
      </w:r>
      <w:r>
        <w:rPr>
          <w:rFonts w:ascii="Arial" w:cs="Arial" w:eastAsia="Arial" w:hAnsi="Arial"/>
          <w:sz w:val="17"/>
          <w:szCs w:val="17"/>
          <w:color w:val="auto"/>
        </w:rPr>
        <w:t>, the Highland Entities shall be entitled to designate for nomination by the Board one (1) Director from time to time (any Director designated by the Highland Entities, a “</w:t>
      </w:r>
      <w:r>
        <w:rPr>
          <w:rFonts w:ascii="Arial" w:cs="Arial" w:eastAsia="Arial" w:hAnsi="Arial"/>
          <w:sz w:val="17"/>
          <w:szCs w:val="17"/>
          <w:u w:val="single" w:color="auto"/>
          <w:color w:val="auto"/>
        </w:rPr>
        <w:t>Highland Director</w:t>
      </w:r>
      <w:r>
        <w:rPr>
          <w:rFonts w:ascii="Arial" w:cs="Arial" w:eastAsia="Arial" w:hAnsi="Arial"/>
          <w:sz w:val="17"/>
          <w:szCs w:val="17"/>
          <w:color w:val="auto"/>
        </w:rPr>
        <w:t xml:space="preserve">”). The Highland Entities shall not be entitled to designate any Highland Director in accordance with this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if at any time the Highland Entities beneficially own, directly or indirectly, in the aggregate less than five percent (5%) of all issued and outstanding shares of Class A Common Stock. The Directors shall be divided into three classes of directors, each of whose members shall serve for staggered three-year terms in accordance with the Charter.</w:t>
      </w:r>
    </w:p>
    <w:p>
      <w:pPr>
        <w:spacing w:after="0" w:line="68" w:lineRule="exact"/>
        <w:rPr>
          <w:rFonts w:ascii="Arial" w:cs="Arial" w:eastAsia="Arial" w:hAnsi="Arial"/>
          <w:sz w:val="17"/>
          <w:szCs w:val="17"/>
          <w:color w:val="auto"/>
        </w:rPr>
      </w:pPr>
    </w:p>
    <w:p>
      <w:pPr>
        <w:ind w:left="4" w:right="180" w:firstLine="436"/>
        <w:spacing w:after="0" w:line="291" w:lineRule="auto"/>
        <w:tabs>
          <w:tab w:leader="none" w:pos="689"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the Founder shall be entitled to designate for nomination by the Board up to the number of Directors specified in this Section 1(c) (any Director designated by the Founder, a “</w:t>
      </w:r>
      <w:r>
        <w:rPr>
          <w:rFonts w:ascii="Arial" w:cs="Arial" w:eastAsia="Arial" w:hAnsi="Arial"/>
          <w:sz w:val="16"/>
          <w:szCs w:val="16"/>
          <w:u w:val="single" w:color="auto"/>
          <w:color w:val="auto"/>
        </w:rPr>
        <w:t>Founder Director</w:t>
      </w:r>
      <w:r>
        <w:rPr>
          <w:rFonts w:ascii="Arial" w:cs="Arial" w:eastAsia="Arial" w:hAnsi="Arial"/>
          <w:sz w:val="16"/>
          <w:szCs w:val="16"/>
          <w:color w:val="auto"/>
        </w:rPr>
        <w:t>”). The Founder Directors shall be apportioned among the three</w:t>
      </w:r>
    </w:p>
    <w:p>
      <w:pPr>
        <w:ind w:left="264" w:hanging="264"/>
        <w:spacing w:after="0"/>
        <w:tabs>
          <w:tab w:leader="none" w:pos="264" w:val="left"/>
        </w:tabs>
        <w:numPr>
          <w:ilvl w:val="0"/>
          <w:numId w:val="44"/>
        </w:numPr>
        <w:rPr>
          <w:rFonts w:ascii="Arial" w:cs="Arial" w:eastAsia="Arial" w:hAnsi="Arial"/>
          <w:sz w:val="17"/>
          <w:szCs w:val="17"/>
          <w:color w:val="auto"/>
        </w:rPr>
      </w:pPr>
      <w:r>
        <w:rPr>
          <w:rFonts w:ascii="Arial" w:cs="Arial" w:eastAsia="Arial" w:hAnsi="Arial"/>
          <w:sz w:val="17"/>
          <w:szCs w:val="17"/>
          <w:color w:val="auto"/>
        </w:rPr>
        <w:t>classes of Directors as nearly equal in number as possible. The right of the Founder to designate the Founders Directors as set forth in this</w:t>
      </w:r>
    </w:p>
    <w:p>
      <w:pPr>
        <w:spacing w:after="0" w:line="21" w:lineRule="exact"/>
        <w:rPr>
          <w:sz w:val="20"/>
          <w:szCs w:val="20"/>
          <w:color w:val="auto"/>
        </w:rPr>
      </w:pPr>
    </w:p>
    <w:p>
      <w:pPr>
        <w:ind w:left="4" w:right="40"/>
        <w:spacing w:after="0" w:line="285" w:lineRule="auto"/>
        <w:rPr>
          <w:sz w:val="20"/>
          <w:szCs w:val="20"/>
          <w:color w:val="auto"/>
        </w:rPr>
      </w:pP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shall be subject to the following: (i) if at any time the Founder beneficially owns, directly or indirectly, in the aggregate shares of Class A Common Stock and Class B Common Stock representing fifteen percent (15%) or more of the total voting power of all issued and outstanding shares of Class A Common Stock and Class B Common Stock, the Founder shall be entitled to designate for nomination nine (9) Founder Directors, and (ii) if at any time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the Founder shall only be entitled to designate for nomination five (5) Founder Directors. The Founder shall not be entitled to designate any Founder Directors in accordance with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if at any time the Founder beneficially owns, directly or indirectly, in the aggregate shares of Class A Common Stock and Class B Common Stock representing less than five percent (5%) of the total voting power of all issued and outstanding shares of Class A Common Stock and Class B Common Stock. Notwithstanding anything to the contrary set forth in this </w:t>
      </w:r>
      <w:r>
        <w:rPr>
          <w:rFonts w:ascii="Arial" w:cs="Arial" w:eastAsia="Arial" w:hAnsi="Arial"/>
          <w:sz w:val="16"/>
          <w:szCs w:val="16"/>
          <w:u w:val="single" w:color="auto"/>
          <w:color w:val="auto"/>
        </w:rPr>
        <w:t>Section 1(c)</w:t>
      </w:r>
      <w:r>
        <w:rPr>
          <w:rFonts w:ascii="Arial" w:cs="Arial" w:eastAsia="Arial" w:hAnsi="Arial"/>
          <w:sz w:val="16"/>
          <w:szCs w:val="16"/>
          <w:color w:val="auto"/>
        </w:rPr>
        <w:t>, so long as Jennifer Y. Hyman serves as the Chief Executive Officer of the Corporation, Ms. Hyman shall be nominated by the Board as a Director and, if so elected, in that capacity she shall serve as one of the Founder Directors.</w:t>
      </w:r>
    </w:p>
    <w:p>
      <w:pPr>
        <w:spacing w:after="0" w:line="66" w:lineRule="exact"/>
        <w:rPr>
          <w:sz w:val="20"/>
          <w:szCs w:val="20"/>
          <w:color w:val="auto"/>
        </w:rPr>
      </w:pPr>
    </w:p>
    <w:p>
      <w:pPr>
        <w:ind w:left="4" w:firstLine="436"/>
        <w:spacing w:after="0" w:line="254"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1(a), Section 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each of the Bain Capital Ventures Entities, Highland Entities and Founder hereby agree, severally and not jointly, with the Corporation (and only with the Corporation), and the Corporation agrees with each of the Bain Capital Ventures Entities, Highland Entities and Founder, to vote, or cause to be voted, all outstanding shares of Class A Common Stock and/or Class B Common Stock, as applicable, held by the Bain Capital Ventures Entities, Highland Entities and Founder, respectively at any annual or special meeting of stockholders of the Corporation at which Directors of the Corporation are to be elected or removed, and to take all Necessary Action to cause the election or removal of each of the BCV Director, the Highland Director and the Founder Directors as a Director, as provided herein and to implement and enforce the provisions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Vacancies and Replacements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88"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If the number of Directors that the Bain Capital Ventures Entities, Highland Entities or Founder have the right to designate to the Board is decreased pursuant to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(each such occurrence, a “</w:t>
      </w:r>
      <w:r>
        <w:rPr>
          <w:rFonts w:ascii="Arial" w:cs="Arial" w:eastAsia="Arial" w:hAnsi="Arial"/>
          <w:sz w:val="16"/>
          <w:szCs w:val="16"/>
          <w:u w:val="single" w:color="auto"/>
          <w:color w:val="auto"/>
        </w:rPr>
        <w:t>Decrease in Designation Rights</w:t>
      </w:r>
      <w:r>
        <w:rPr>
          <w:rFonts w:ascii="Arial" w:cs="Arial" w:eastAsia="Arial" w:hAnsi="Arial"/>
          <w:sz w:val="16"/>
          <w:szCs w:val="16"/>
          <w:color w:val="auto"/>
        </w:rPr>
        <w:t xml:space="preserve">”), then: unless a majority of Directors (with the affected party’s Board designees abstaining) agree in writing that a Director or Directors shall not resign as a result of a Decrease in Designation Rights, each of the Bain Capital Ventures Entities, Highland Entities or Founder, as applicable, agrees with the Corporation (and only with the Corporation) that it shall take all Necessary Action to cause each of (x) the BCV Director that the Bain Capital Ventures Entities cease to have the right to designate for nomination as a BCV Director or (y) the Highland Director that the Highland Entities cease to have the right to designate for nomination as a Highland Director or (z) the appropriate number of Founder Directors that the Founder ceases to have the right to designate for nomination as the Founder Directors, respectively, to tender his, her or their resignation(s) from the Board within thirty (30) days from the date that the Bain Capital Ventures Entities, Highland Entities and/or Founder, as applicable, incurs a Decrease in Designation Rights,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shall not apply to Ms. Hyman as long as she serves as the Chief Executive Officer of the Corporation.</w:t>
      </w:r>
    </w:p>
    <w:p>
      <w:pPr>
        <w:spacing w:after="0" w:line="60" w:lineRule="exact"/>
        <w:rPr>
          <w:rFonts w:ascii="Arial" w:cs="Arial" w:eastAsia="Arial" w:hAnsi="Arial"/>
          <w:sz w:val="16"/>
          <w:szCs w:val="16"/>
          <w:color w:val="auto"/>
        </w:rPr>
      </w:pPr>
    </w:p>
    <w:p>
      <w:pPr>
        <w:ind w:right="60" w:firstLine="436"/>
        <w:spacing w:after="0" w:line="279" w:lineRule="auto"/>
        <w:tabs>
          <w:tab w:leader="none" w:pos="69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than with respect to a Decrease in Designation Rights, each of the Bain Capital Ventures Entities, Highland Entities and Founder shall have the sole right to request that one or more of their respective designated Directors, as applicable, tender their resignations as Directors of the Board (each, a “</w:t>
      </w:r>
      <w:r>
        <w:rPr>
          <w:rFonts w:ascii="Arial" w:cs="Arial" w:eastAsia="Arial" w:hAnsi="Arial"/>
          <w:sz w:val="17"/>
          <w:szCs w:val="17"/>
          <w:u w:val="single" w:color="auto"/>
          <w:color w:val="auto"/>
        </w:rPr>
        <w:t>Removal Right</w:t>
      </w:r>
      <w:r>
        <w:rPr>
          <w:rFonts w:ascii="Arial" w:cs="Arial" w:eastAsia="Arial" w:hAnsi="Arial"/>
          <w:sz w:val="17"/>
          <w:szCs w:val="17"/>
          <w:color w:val="auto"/>
        </w:rPr>
        <w:t>”), in each case, with or without cause at any time, by sending a written notice to such Director and the Corporation’s Secretary stating the name of the Director or Directors whose resignation from the Board is requested.</w:t>
      </w:r>
    </w:p>
    <w:p>
      <w:pPr>
        <w:spacing w:after="0" w:line="63" w:lineRule="exact"/>
        <w:rPr>
          <w:rFonts w:ascii="Arial" w:cs="Arial" w:eastAsia="Arial" w:hAnsi="Arial"/>
          <w:sz w:val="17"/>
          <w:szCs w:val="17"/>
          <w:color w:val="auto"/>
        </w:rPr>
      </w:pPr>
    </w:p>
    <w:p>
      <w:pPr>
        <w:ind w:firstLine="436"/>
        <w:spacing w:after="0" w:line="275" w:lineRule="auto"/>
        <w:tabs>
          <w:tab w:leader="none" w:pos="685"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Except with respect to a Decrease in Designation Rights subject to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each of the Bain Capital Ventures Entities, Highland Entities and Founder, as applicable, shall have the exclusive right to designate a replacement Director for nomination or election by the Board to fill vacancies created as a result of not designating their respective Directors initially or by death, disability, retirement, resignation, removal (with or without cause) of their respective Directors, or otherwise by designating a successor for nomination or election by the Board to fill the vacancy of their respective Directors created thereby on the terms and subject to the conditions of </w:t>
      </w:r>
      <w:r>
        <w:rPr>
          <w:rFonts w:ascii="Arial" w:cs="Arial" w:eastAsia="Arial" w:hAnsi="Arial"/>
          <w:sz w:val="17"/>
          <w:szCs w:val="17"/>
          <w:u w:val="single" w:color="auto"/>
          <w:color w:val="auto"/>
        </w:rPr>
        <w:t>Section 1</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Initial Directors and Corporate Governance</w:t>
      </w:r>
      <w:r>
        <w:rPr>
          <w:rFonts w:ascii="Arial" w:cs="Arial" w:eastAsia="Arial" w:hAnsi="Arial"/>
          <w:sz w:val="18"/>
          <w:szCs w:val="18"/>
          <w:color w:val="auto"/>
        </w:rPr>
        <w:t>.</w:t>
      </w:r>
    </w:p>
    <w:p>
      <w:pPr>
        <w:spacing w:after="0" w:line="117" w:lineRule="exact"/>
        <w:rPr>
          <w:sz w:val="20"/>
          <w:szCs w:val="20"/>
          <w:color w:val="auto"/>
        </w:rPr>
      </w:pPr>
    </w:p>
    <w:p>
      <w:pPr>
        <w:ind w:right="260" w:firstLine="436"/>
        <w:spacing w:after="0" w:line="255" w:lineRule="auto"/>
        <w:tabs>
          <w:tab w:leader="none" w:pos="68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Initial Directors</w:t>
      </w:r>
      <w:r>
        <w:rPr>
          <w:rFonts w:ascii="Arial" w:cs="Arial" w:eastAsia="Arial" w:hAnsi="Arial"/>
          <w:sz w:val="18"/>
          <w:szCs w:val="18"/>
          <w:color w:val="auto"/>
        </w:rPr>
        <w:t>. The initial BCV Director designated for nomination pursuant to Section 1(a) shall initially be Scott Friend (designated for nomination as a Class II Director). The initial Highland Director designated for nomination pursuant to Section 1(b) shall initially be Dan Nova (designated for nomination as a Class II Director). The initial Founders Directors designated for nomination pursuant to Section 1(c) shall initially be Jennifer Y. Hyman (designated for nomination as a Class III Director) and Tim Bixby, Jennifer Fleiss and Carley Roney designated for nomination as Class I Directors; Melanie Harris and Mike Ross designated for nomination as Class II Directors; and Beth Kaplan, Gwyneth Paltrow and Dan Rosenzweig designated for nomination as Class III Directors.</w:t>
      </w:r>
    </w:p>
    <w:p>
      <w:pPr>
        <w:spacing w:after="0" w:line="84" w:lineRule="exact"/>
        <w:rPr>
          <w:rFonts w:ascii="Arial" w:cs="Arial" w:eastAsia="Arial" w:hAnsi="Arial"/>
          <w:sz w:val="18"/>
          <w:szCs w:val="18"/>
          <w:color w:val="auto"/>
        </w:rPr>
      </w:pPr>
    </w:p>
    <w:p>
      <w:pPr>
        <w:ind w:firstLine="436"/>
        <w:spacing w:after="0" w:line="259"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Immediately following the consummation of the IPO, the Chief Executive Officer of the Corporation shall be Jennifer Y. Hyman. Ms. Hyman shall not be removed or terminated as Chief Executive Officer without “Cause” (as such term is defined in Ms. Hyman’s employment agreement with the Corporation in effect as of the date hereof) without the approval of (i) a majority of the Directors comprising the Board and (ii) a majority of the Founder Directors, in each case with Ms. Hyman recusing herself from such vote.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Covenants of the Corporation</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90" w:lineRule="auto"/>
        <w:tabs>
          <w:tab w:leader="none" w:pos="6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Board and the Corporation agree with each of the Stockholders, individually and not jointly, to use their reasonable best efforts to take all Necessary Action (subject to the Board’s fiduciary duties) to (i) cause the Board to be comprised of at least eleven (11) Directors or such other number of Directors as the Board may determine, subject to the terms of this Agreement, the Charter or the Bylaws of the Corporation; (ii) cause the individuals designated in accordance with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to be included in the slate of nominees to be elected to the Board at the next annual or special meeting of stockholders of the Corporation at which Directors are to be elected, in accordance with the Bylaws, Charter and General Corporation Law of the State of Delaware and at each annual meeting of stockholders of the Corporation thereafter at which such Director’s term expires; and (iii) cause the individuals designated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to fill the applicable vacancies on the Board, in accordance with the Bylaws, Charter, Securities Laws, General Corporation Law of the State of Delaware and The Nasdaq Stock Exchange rules.</w:t>
      </w:r>
    </w:p>
    <w:p>
      <w:pPr>
        <w:spacing w:after="0" w:line="57" w:lineRule="exact"/>
        <w:rPr>
          <w:rFonts w:ascii="Arial" w:cs="Arial" w:eastAsia="Arial" w:hAnsi="Arial"/>
          <w:sz w:val="16"/>
          <w:szCs w:val="16"/>
          <w:color w:val="auto"/>
        </w:rPr>
      </w:pPr>
    </w:p>
    <w:p>
      <w:pPr>
        <w:ind w:firstLine="436"/>
        <w:spacing w:after="0" w:line="269" w:lineRule="auto"/>
        <w:tabs>
          <w:tab w:leader="none" w:pos="6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Bain Capital Ventures Entities, Highland Entities and Founder each agrees with the Corporation (and only with the Corporation) that it shall comply with the requirements of the Charter and Bylaws when designating and nominating individuals as Directors, in each case, to the extent such requirements are applicable to Directors generally. Notwithstanding anything to the contrary set forth herein, in the event that the Board determines, within sixty (60) days after compliance with the first sentence of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in good faith, after consultation with outside legal counsel, that its nomination, appointment or election of a particular Director designated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as applicable, would constitute a breach of its fiduciary duties to the Corporation’s stockholders or does not otherwise comply with any requirements of the Charter or Bylaws and Securities Laws, then the Board shall inform the Bain Capital Ventures Entities, Highland Entities and/or Founder, as applicable, of such determination in writing and explain in reasonable detail the basis for such determination and shall, to the fullest extent permitted by law, nominate, appoint or elect another individual designated for nomination, election or appointment to the Board by the Bain Capital Ventures Entities, Highland Entities and/or Founder, as applicable (subject in each case to this Section 4(b)). The Board and the Corporation shall, to the fullest extent permitted by law, take all Necessary Action (subject to the Board’s fiduciary duties) required by this Section 4 with respect to the nomination, appointment or election of such substitute designees to the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terminate upon the earliest to occur of any one of the following events:</w:t>
      </w:r>
    </w:p>
    <w:p>
      <w:pPr>
        <w:spacing w:after="0" w:line="117" w:lineRule="exact"/>
        <w:rPr>
          <w:sz w:val="20"/>
          <w:szCs w:val="20"/>
          <w:color w:val="auto"/>
        </w:rPr>
      </w:pPr>
    </w:p>
    <w:p>
      <w:pPr>
        <w:ind w:right="240" w:firstLine="436"/>
        <w:spacing w:after="0" w:line="277" w:lineRule="auto"/>
        <w:tabs>
          <w:tab w:leader="none" w:pos="6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(i) the Bain Capital Ventures Entities, (ii) the Highland Entities and (iii) the Founder ceasing to own any shares of Class A Common Stock or Class B Common Stock;</w:t>
      </w:r>
    </w:p>
    <w:p>
      <w:pPr>
        <w:spacing w:after="0" w:line="62" w:lineRule="exact"/>
        <w:rPr>
          <w:rFonts w:ascii="Arial" w:cs="Arial" w:eastAsia="Arial" w:hAnsi="Arial"/>
          <w:sz w:val="18"/>
          <w:szCs w:val="18"/>
          <w:color w:val="auto"/>
        </w:rPr>
      </w:pPr>
    </w:p>
    <w:p>
      <w:pPr>
        <w:ind w:right="60" w:firstLine="436"/>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of (i) the Bain Capital Ventures Entities, (ii) Highland Entities and (iii) the Founder ceasing to have any Director designation rights under </w:t>
      </w:r>
      <w:r>
        <w:rPr>
          <w:rFonts w:ascii="Arial" w:cs="Arial" w:eastAsia="Arial" w:hAnsi="Arial"/>
          <w:sz w:val="18"/>
          <w:szCs w:val="18"/>
          <w:u w:val="single" w:color="auto"/>
          <w:color w:val="auto"/>
        </w:rPr>
        <w:t>Section 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unanimous written consent of the parties hereto.</w:t>
      </w:r>
    </w:p>
    <w:p>
      <w:pPr>
        <w:spacing w:after="0" w:line="22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For the avoidance of doubt, the rights and obligations (i) of the Bain Capital Ventures Entities under this Agreement shall terminate upon the earliest to occur of (a) the Bain Capital Ventures Entities ceasing to own any shares of Class A Common Stock or (b) a BCV Director ceasing to serve as a Director, (ii) of the Highland Entities under this Agreement shall terminate upon the earliest to occur of (a) Highland Entities ceasing to own any shares of Class A Common Stock or (b) a Highland Director ceasing to serve as a Director and (iii) of the Founder under this Agreement shall terminate upon the earliest to occur of (a) the Founder ceasing to own any shares of Class A Common Stock or Class B Common Stock or (b) 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5" w:name="page56"/>
    <w:bookmarkEnd w:id="5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Founder Director ceasing to serve as a Director. For the avoidance of doubt, in the event a Stockholder’s rights and obligations under this Agreement terminate as a result of such Stockholder ceasing to have any designee of such Stockholder serve as a Director, such Stockholder may not thereafter seek to reinstate its rights by designating a nominee for election to the Board pursuant to Section 1 hereof. Notwithstanding the foregoing, nothing in this Agreement shall modify, limit or otherwise affect, in any way, any and all rights to indemnification, exculpation and/or contribution owed to any of the parties hereto, to the extent arising out of or relating to events occurring prior to the date of termination of this Agreement or the date the rights and obligations of such party under this Agreement terminates in accordance with this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any term that it is not defined herein, shall have the following meanings: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dated as of the date hereof, as the same may be further amended, restated, amended and restated or otherwise modified from time to time.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amended and restated certificate of incorporation of the Corporation, effective as of the date hereof, as the same may be further amended, restated, amended and restated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Necessary Action</w:t>
      </w:r>
      <w:r>
        <w:rPr>
          <w:rFonts w:ascii="Arial" w:cs="Arial" w:eastAsia="Arial" w:hAnsi="Arial"/>
          <w:sz w:val="17"/>
          <w:szCs w:val="17"/>
          <w:color w:val="auto"/>
        </w:rPr>
        <w:t>” means, with respect to a specified result, all commercially reasonable actions required to cause such result that are within the power of a specified Person, including (i) voting or providing a written consent or proxy with respect to the equity securities owned by the Person obligated to undertake the necessary action, (ii) voting in favor of the adoption of stockholders’ resolutions and amendments to the organizational documents of the Corporation, (iii) executing agreements and instruments, and (iv) making, or causing to be made, with governmental, administrative or regulatory authorities, all filings, registrations or similar actions that are required to achieve such result.</w:t>
      </w:r>
    </w:p>
    <w:p>
      <w:pPr>
        <w:spacing w:after="0" w:line="176"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spacing w:after="0" w:line="124"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as amended, and the Securities Exchange Act of 1934, as amended, and the rules promulgated thereunder.</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 “including” shall mean “including, without limitation”; (vi) each defined term has its defined meaning throughout this Agreement, whether the definition of such term appears before or after such term is used; and (vii) the word “or” shall be disjunctive but not exclusive. References to agreements and other documents shall be deemed to include all subsequent amendments and other modifications thereto.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56" w:name="page57"/>
    <w:bookmarkEnd w:id="5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Choice of Law and Venue; Waiver of Right to Jury Trial</w:t>
      </w:r>
      <w:r>
        <w:rPr>
          <w:rFonts w:ascii="Arial" w:cs="Arial" w:eastAsia="Arial" w:hAnsi="Arial"/>
          <w:sz w:val="18"/>
          <w:szCs w:val="18"/>
          <w:color w:val="auto"/>
        </w:rPr>
        <w:t>.</w:t>
      </w:r>
    </w:p>
    <w:p>
      <w:pPr>
        <w:spacing w:after="0" w:line="117" w:lineRule="exact"/>
        <w:rPr>
          <w:sz w:val="20"/>
          <w:szCs w:val="20"/>
          <w:color w:val="auto"/>
        </w:rPr>
      </w:pPr>
    </w:p>
    <w:p>
      <w:pPr>
        <w:ind w:left="4" w:right="140" w:firstLine="436"/>
        <w:spacing w:after="0" w:line="253" w:lineRule="auto"/>
        <w:tabs>
          <w:tab w:leader="none" w:pos="689"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CORPORATION HEREBY AGREES WITH EACH STOCKHOLDER, SEVERALLY AND NOT JOINTLY, THAT IT WILL ENFORCE THE PROVISIONS OF THIS AGREEMENT AGAINST ANY PARTY IN BREACH.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86" w:lineRule="exact"/>
        <w:rPr>
          <w:rFonts w:ascii="Arial" w:cs="Arial" w:eastAsia="Arial" w:hAnsi="Arial"/>
          <w:sz w:val="18"/>
          <w:szCs w:val="18"/>
          <w:color w:val="auto"/>
        </w:rPr>
      </w:pPr>
    </w:p>
    <w:p>
      <w:pPr>
        <w:ind w:left="4" w:firstLine="436"/>
        <w:spacing w:after="0" w:line="266" w:lineRule="auto"/>
        <w:tabs>
          <w:tab w:leader="none" w:pos="699"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 </w:t>
      </w:r>
      <w:r>
        <w:rPr>
          <w:rFonts w:ascii="Arial" w:cs="Arial" w:eastAsia="Arial" w:hAnsi="Arial"/>
          <w:sz w:val="17"/>
          <w:szCs w:val="17"/>
          <w:u w:val="single" w:color="auto"/>
          <w:color w:val="auto"/>
        </w:rPr>
        <w:t>SECTION 7(b)</w:t>
      </w:r>
      <w:r>
        <w:rPr>
          <w:rFonts w:ascii="Arial" w:cs="Arial" w:eastAsia="Arial" w:hAnsi="Arial"/>
          <w:sz w:val="17"/>
          <w:szCs w:val="17"/>
          <w:color w:val="auto"/>
        </w:rPr>
        <w:t>; (3) AGREE TO WAIVE TO THE FULL EXTENT PERMITTED BY LAW ANY OBJECTION THAT THEY MAY NOW OR HEREAFTER HAVE TO THE VENUE OF ANY SUCH LITIGATION, PROCEEDING OR ACTION IN ANY SUCH COURT OR THAT ANY SUCH LITIGATION, PROCEEDING OR ACTION WAS BROUGHT IN ANY INCONVENIENT FORUM;</w:t>
      </w:r>
    </w:p>
    <w:p>
      <w:pPr>
        <w:spacing w:after="0" w:line="5" w:lineRule="exact"/>
        <w:rPr>
          <w:rFonts w:ascii="Arial" w:cs="Arial" w:eastAsia="Arial" w:hAnsi="Arial"/>
          <w:sz w:val="17"/>
          <w:szCs w:val="17"/>
          <w:color w:val="auto"/>
        </w:rPr>
      </w:pPr>
    </w:p>
    <w:p>
      <w:pPr>
        <w:ind w:left="244" w:hanging="244"/>
        <w:spacing w:after="0"/>
        <w:tabs>
          <w:tab w:leader="none" w:pos="244" w:val="left"/>
        </w:tabs>
        <w:numPr>
          <w:ilvl w:val="0"/>
          <w:numId w:val="51"/>
        </w:numPr>
        <w:rPr>
          <w:rFonts w:ascii="Arial" w:cs="Arial" w:eastAsia="Arial" w:hAnsi="Arial"/>
          <w:sz w:val="17"/>
          <w:szCs w:val="17"/>
          <w:color w:val="auto"/>
        </w:rPr>
      </w:pPr>
      <w:r>
        <w:rPr>
          <w:rFonts w:ascii="Arial" w:cs="Arial" w:eastAsia="Arial" w:hAnsi="Arial"/>
          <w:sz w:val="17"/>
          <w:szCs w:val="17"/>
          <w:color w:val="auto"/>
        </w:rPr>
        <w:t>AGREE TO WAIVE ANY RIGHTS TO A JURY TRIAL TO RESOLVE ANY DISPUTES OR CLAIMS RELATING TO THIS AGREEMENT;</w:t>
      </w:r>
    </w:p>
    <w:p>
      <w:pPr>
        <w:spacing w:after="0" w:line="20" w:lineRule="exact"/>
        <w:rPr>
          <w:rFonts w:ascii="Arial" w:cs="Arial" w:eastAsia="Arial" w:hAnsi="Arial"/>
          <w:sz w:val="17"/>
          <w:szCs w:val="17"/>
          <w:color w:val="auto"/>
        </w:rPr>
      </w:pPr>
    </w:p>
    <w:p>
      <w:pPr>
        <w:jc w:val="both"/>
        <w:ind w:left="4" w:right="540" w:hanging="4"/>
        <w:spacing w:after="0" w:line="273" w:lineRule="auto"/>
        <w:tabs>
          <w:tab w:leader="none" w:pos="249" w:val="left"/>
        </w:tabs>
        <w:numPr>
          <w:ilvl w:val="0"/>
          <w:numId w:val="51"/>
        </w:numPr>
        <w:rPr>
          <w:rFonts w:ascii="Arial" w:cs="Arial" w:eastAsia="Arial" w:hAnsi="Arial"/>
          <w:sz w:val="17"/>
          <w:szCs w:val="17"/>
          <w:color w:val="auto"/>
        </w:rPr>
      </w:pPr>
      <w:r>
        <w:rPr>
          <w:rFonts w:ascii="Arial" w:cs="Arial" w:eastAsia="Arial" w:hAnsi="Arial"/>
          <w:sz w:val="17"/>
          <w:szCs w:val="17"/>
          <w:color w:val="auto"/>
        </w:rPr>
        <w:t>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by electronic mail, or first-class mail, or by Federal Express or other similar courier or other similar means of communication, as follows:</w:t>
      </w:r>
    </w:p>
    <w:p>
      <w:pPr>
        <w:spacing w:after="0" w:line="89" w:lineRule="exact"/>
        <w:rPr>
          <w:sz w:val="20"/>
          <w:szCs w:val="20"/>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Founder,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398 State Street</w:t>
      </w:r>
    </w:p>
    <w:p>
      <w:pPr>
        <w:spacing w:after="0" w:line="23" w:lineRule="exact"/>
        <w:rPr>
          <w:rFonts w:ascii="Arial" w:cs="Arial" w:eastAsia="Arial" w:hAnsi="Arial"/>
          <w:sz w:val="18"/>
          <w:szCs w:val="18"/>
          <w:color w:val="auto"/>
        </w:rPr>
      </w:pPr>
    </w:p>
    <w:p>
      <w:pPr>
        <w:ind w:left="980" w:right="7560"/>
        <w:spacing w:after="0" w:line="302" w:lineRule="auto"/>
        <w:rPr>
          <w:rFonts w:ascii="Arial" w:cs="Arial" w:eastAsia="Arial" w:hAnsi="Arial"/>
          <w:sz w:val="18"/>
          <w:szCs w:val="18"/>
          <w:color w:val="auto"/>
        </w:rPr>
      </w:pPr>
      <w:r>
        <w:rPr>
          <w:rFonts w:ascii="Arial" w:cs="Arial" w:eastAsia="Arial" w:hAnsi="Arial"/>
          <w:sz w:val="16"/>
          <w:szCs w:val="16"/>
          <w:color w:val="auto"/>
        </w:rPr>
        <w:t>Brooklyn, New York 11217 Attention: Jennifer Y. Hyman E-mail: *******@*******</w:t>
      </w:r>
    </w:p>
    <w:p>
      <w:pPr>
        <w:spacing w:after="0" w:line="4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(which copy shall not constitute notice)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Withers Bergman LLP</w:t>
      </w:r>
    </w:p>
    <w:p>
      <w:pPr>
        <w:spacing w:after="0" w:line="23" w:lineRule="exact"/>
        <w:rPr>
          <w:rFonts w:ascii="Arial" w:cs="Arial" w:eastAsia="Arial" w:hAnsi="Arial"/>
          <w:sz w:val="18"/>
          <w:szCs w:val="18"/>
          <w:color w:val="auto"/>
        </w:rPr>
      </w:pPr>
    </w:p>
    <w:p>
      <w:pPr>
        <w:ind w:left="980" w:right="7380"/>
        <w:spacing w:after="0" w:line="295" w:lineRule="auto"/>
        <w:rPr>
          <w:rFonts w:ascii="Arial" w:cs="Arial" w:eastAsia="Arial" w:hAnsi="Arial"/>
          <w:sz w:val="18"/>
          <w:szCs w:val="18"/>
          <w:color w:val="auto"/>
        </w:rPr>
      </w:pPr>
      <w:r>
        <w:rPr>
          <w:rFonts w:ascii="Arial" w:cs="Arial" w:eastAsia="Arial" w:hAnsi="Arial"/>
          <w:sz w:val="16"/>
          <w:szCs w:val="16"/>
          <w:color w:val="auto"/>
        </w:rPr>
        <w:t>505 Sansome Street, 2nd Floor San Francisco, California 94111 Attention: Doug Mandell E-mail: *******@*******</w:t>
      </w:r>
    </w:p>
    <w:p>
      <w:pPr>
        <w:spacing w:after="0" w:line="66"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Bain Capital Ventures Entities, addressed as follows:</w:t>
      </w:r>
    </w:p>
    <w:p>
      <w:pPr>
        <w:spacing w:after="0" w:line="117" w:lineRule="exact"/>
        <w:rPr>
          <w:rFonts w:ascii="Arial" w:cs="Arial" w:eastAsia="Arial" w:hAnsi="Arial"/>
          <w:sz w:val="18"/>
          <w:szCs w:val="18"/>
          <w:color w:val="auto"/>
        </w:rPr>
      </w:pPr>
    </w:p>
    <w:p>
      <w:pPr>
        <w:ind w:left="980" w:right="7560"/>
        <w:spacing w:after="0" w:line="257" w:lineRule="auto"/>
        <w:rPr>
          <w:rFonts w:ascii="Arial" w:cs="Arial" w:eastAsia="Arial" w:hAnsi="Arial"/>
          <w:sz w:val="18"/>
          <w:szCs w:val="18"/>
          <w:color w:val="auto"/>
        </w:rPr>
      </w:pPr>
      <w:r>
        <w:rPr>
          <w:rFonts w:ascii="Arial" w:cs="Arial" w:eastAsia="Arial" w:hAnsi="Arial"/>
          <w:sz w:val="18"/>
          <w:szCs w:val="18"/>
          <w:color w:val="auto"/>
        </w:rPr>
        <w:t>Bain Capital Ventures 200 Clarendon Street Boston, Massachusetts 02116 Attention: David Hutchins E-mail: *******@*******</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Highland Entities, addressed as follows:</w:t>
      </w:r>
    </w:p>
    <w:p>
      <w:pPr>
        <w:spacing w:after="0" w:line="117" w:lineRule="exact"/>
        <w:rPr>
          <w:rFonts w:ascii="Arial" w:cs="Arial" w:eastAsia="Arial" w:hAnsi="Arial"/>
          <w:sz w:val="18"/>
          <w:szCs w:val="18"/>
          <w:color w:val="auto"/>
        </w:rPr>
      </w:pPr>
    </w:p>
    <w:p>
      <w:pPr>
        <w:ind w:left="980" w:right="7260"/>
        <w:spacing w:after="0" w:line="257" w:lineRule="auto"/>
        <w:rPr>
          <w:rFonts w:ascii="Arial" w:cs="Arial" w:eastAsia="Arial" w:hAnsi="Arial"/>
          <w:sz w:val="18"/>
          <w:szCs w:val="18"/>
          <w:color w:val="auto"/>
        </w:rPr>
      </w:pPr>
      <w:r>
        <w:rPr>
          <w:rFonts w:ascii="Arial" w:cs="Arial" w:eastAsia="Arial" w:hAnsi="Arial"/>
          <w:sz w:val="18"/>
          <w:szCs w:val="18"/>
          <w:color w:val="auto"/>
        </w:rPr>
        <w:t>Highland Capital Partners One Broadway, 16th Floor Cambridge, Massachusetts 02142 Attention: Jessica Healey E-mail: *******@*******</w:t>
      </w:r>
    </w:p>
    <w:p>
      <w:pPr>
        <w:spacing w:after="0" w:line="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980" w:right="4860"/>
        <w:spacing w:after="0" w:line="258" w:lineRule="auto"/>
        <w:rPr>
          <w:rFonts w:ascii="Arial" w:cs="Arial" w:eastAsia="Arial" w:hAnsi="Arial"/>
          <w:sz w:val="18"/>
          <w:szCs w:val="18"/>
          <w:color w:val="auto"/>
        </w:rPr>
      </w:pPr>
      <w:r>
        <w:rPr>
          <w:rFonts w:ascii="Arial" w:cs="Arial" w:eastAsia="Arial" w:hAnsi="Arial"/>
          <w:sz w:val="18"/>
          <w:szCs w:val="18"/>
          <w:color w:val="auto"/>
        </w:rPr>
        <w:t>Gunderson Dettmer Stough Villeneuve Franklin &amp; Hachigian, LLP One Marina Park Drive, Suite 900</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Boston, Massachusetts 02210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Jay K. Hachigian and Keith J. Scherer</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to the Corporation,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Rent the Runway, Inc.</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10 Jay Street</w:t>
      </w:r>
    </w:p>
    <w:p>
      <w:pPr>
        <w:spacing w:after="0" w:line="9" w:lineRule="exact"/>
        <w:rPr>
          <w:rFonts w:ascii="Arial" w:cs="Arial" w:eastAsia="Arial" w:hAnsi="Arial"/>
          <w:sz w:val="18"/>
          <w:szCs w:val="18"/>
          <w:color w:val="auto"/>
        </w:rPr>
      </w:pPr>
    </w:p>
    <w:p>
      <w:pPr>
        <w:jc w:val="both"/>
        <w:ind w:left="980" w:right="7700"/>
        <w:spacing w:after="0" w:line="281" w:lineRule="auto"/>
        <w:rPr>
          <w:rFonts w:ascii="Arial" w:cs="Arial" w:eastAsia="Arial" w:hAnsi="Arial"/>
          <w:sz w:val="18"/>
          <w:szCs w:val="18"/>
          <w:color w:val="auto"/>
        </w:rPr>
      </w:pPr>
      <w:r>
        <w:rPr>
          <w:rFonts w:ascii="Arial" w:cs="Arial" w:eastAsia="Arial" w:hAnsi="Arial"/>
          <w:sz w:val="16"/>
          <w:szCs w:val="16"/>
          <w:color w:val="auto"/>
        </w:rPr>
        <w:t>Brooklyn, New York 11201 Telephone: (212) 524-6860</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Cara Schembri, General Counsel</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440" w:top="274" w:right="779" w:bottom="1440" w:gutter="0" w:footer="0" w:header="0"/>
        </w:sectPr>
      </w:pPr>
    </w:p>
    <w:bookmarkStart w:id="58" w:name="page59"/>
    <w:bookmarkEnd w:id="58"/>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copy shall not constitute notice)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Marc Jaffe and Emily Taylor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(212) 906-1623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or, in each case, to such other address or email address as such party may designate in writing to each party by written notice given in the manner specified herein. 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 or in the case of notice by electronic mail, when the relevant email enters the recipient’s server.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Except as otherwise provided herein, all of the terms and provisions of this Agreement shall be binding upon, shall inure to the benefit of and shall be enforceable by the respective successors and permitted assigns of the parties hereto. This Agreement may not be assigned (by operation of law or otherwise) without the express prior written consent of the other parties hereto, and any attempted assignment, without such consents, will be null and void.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Amendment and Modification; Waiver of Compliance</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This Agreement may not be amended, modified, altered or supplemented except by means of a written instrument executed on behalf of each of the Corporation, Bain Capital Ventures Entities, Highland Entities and Founder. Except as otherwise provided in this Agreement, any failure of any of the parties to comply with any obligation, covenant, agreement or condition herein may be waived by the party or parties entitled to the benefits thereof only by a written instrument signed by the party or parties granting such waiver, but such waiver or failure to insist upon strict compliance with such obligation, covenant, agreement or condition shall not operate as a waiver of, or estoppel with respect to, any subsequent or other failure.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No failure on the part of any party hereto to exercise any power, right, privilege or remedy under this Agreement, and no delay on the part of any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0"/>
        <w:spacing w:after="0" w:line="257" w:lineRule="auto"/>
        <w:rPr>
          <w:sz w:val="20"/>
          <w:szCs w:val="20"/>
          <w:color w:val="auto"/>
        </w:rPr>
      </w:pPr>
      <w:r>
        <w:rPr>
          <w:rFonts w:ascii="Arial" w:cs="Arial" w:eastAsia="Arial" w:hAnsi="Arial"/>
          <w:sz w:val="18"/>
          <w:szCs w:val="18"/>
          <w:color w:val="auto"/>
        </w:rPr>
        <w:t>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Agreement may be executed in any number of counterparts and signatures may be delivered by facsimile, each of which may be executed by less than all parties, each of which shall be enforceable against the parties actually executing such counterparts, and all of which together shall constitute one instrument.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descriptive headings of this Agreement are inserted for convenience only and do not constitute a part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93"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color w:val="auto"/>
        </w:rPr>
        <w:t>Each of the Bain Capital Ventures Entities, Highland Entities, Founder and each Person who becomes a party to this Agreement after the date hereof, severally and not jointly and solely with respect to itself, represents and warrants to the Corporation as of the time such party becomes a party to this Agreement that (a) if applicable, it is duly authorized to execute, deliver and perform this Agreement; (b) this Agreement has been duly executed by such party and is a valid and binding agreement of such party, enforceable against such party in accordance with its terms; and (c) the execution, delivery and performance by such party of this Agreement does not violate or conflict with or result in a breach of or constitute (or with notice or lapse of time or both constitute) a default under any agreement to which such party is a party or, if applicable, the organizational documents of such party.</w:t>
      </w:r>
    </w:p>
    <w:p>
      <w:pPr>
        <w:spacing w:after="0" w:line="56" w:lineRule="exact"/>
        <w:rPr>
          <w:rFonts w:ascii="Arial" w:cs="Arial" w:eastAsia="Arial" w:hAnsi="Arial"/>
          <w:sz w:val="16"/>
          <w:szCs w:val="16"/>
          <w:color w:val="auto"/>
        </w:rPr>
      </w:pPr>
    </w:p>
    <w:p>
      <w:pPr>
        <w:ind w:right="100" w:firstLine="436"/>
        <w:spacing w:after="0" w:line="290"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Corporation represents and warrants to each other party hereto that (a) the Corporation is duly authorized to execute, deliver and perform this Agreement; (b) this Agreement has been duly authorized, executed and delivered by the Corporation and is a valid and binding agreement of the Corporation, enforceable against the Corporation in accordance with its terms; and (c) the execution, delivery and performance by the Corporation of this Agreement does not violate or conflict with or result in a breach by the Corporation of or constitute (or with notice or lapse of time or both constitute) a default by the Corporation under the Charter or Bylaws, any existing applicable law, rule, regulation, judgment, order, or decree of any governmental authority exercising any statutory or regulatory authority of any of the foregoing, domestic or foreign, having jurisdiction over the Corporation or any of its Subsidiaries or any of their respective properties or assets, or any agreement or instrument to which the Corporation or any of its Subsidiaries is a party or by which the Corporation or any of its Subsidiaries or any of their respective properties or assets may be bound.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Agreement shall be deemed to be collectively prepared by the parties hereto, and no ambiguity herein shall be construed for or against any party based upon the identity of the author of this Agreement or any provision hereof.</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440" w:top="274" w:right="69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on the day and year first above written.</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RENT THE RUNWAY,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2796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Jennifer Y. Hyman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JENNIFER Y. HYMAN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2796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Jennifer Y. Hyman</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TRUST UNDER ARTICLE SECOND U/A DTD</w:t>
      </w:r>
    </w:p>
    <w:p>
      <w:pPr>
        <w:spacing w:after="0" w:line="3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9/19/2012</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Linda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2815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28155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Linda Hyman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Trustee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BS 2021 FAMILY TRUST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256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2567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Justin Finnegan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Trustee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JYH 2021 CHILDREN’S TRUST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-10160</wp:posOffset>
            </wp:positionV>
            <wp:extent cx="2256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25679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Justin Finnegan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880"/>
          </w:cols>
          <w:pgMar w:left="880" w:top="274" w:right="1139" w:bottom="1440" w:gutter="0" w:footer="0" w:header="0"/>
        </w:sectPr>
      </w:pPr>
    </w:p>
    <w:bookmarkStart w:id="62" w:name="page63"/>
    <w:bookmarkEnd w:id="6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BAIN CAPITAL VENTURE FUND 2009,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Bain Capital Venture Partners,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Bain Capital Venture Investors,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Boylston Coinvestors,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BCIP VENTURE ASSOCIATES-B</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Boylston Coinvestors,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Scott Friend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9180"/>
          </w:cols>
          <w:pgMar w:left="1440" w:top="270" w:right="1279" w:bottom="1440" w:gutter="0" w:footer="0" w:header="0"/>
        </w:sectPr>
      </w:pPr>
    </w:p>
    <w:bookmarkStart w:id="63" w:name="page64"/>
    <w:bookmarkEnd w:id="6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CAPITAL PARTNERS VIII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-10160</wp:posOffset>
            </wp:positionV>
            <wp:extent cx="2230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 Nova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HIGHLAND CAPITAL PARTNERS VIII-B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Highland Management Partners VIII Limited,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-10160</wp:posOffset>
            </wp:positionV>
            <wp:extent cx="22307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 Nova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HIGHLAND CAPITAL PARTNERS VIII-C LIMITED</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 its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Highland Management Partners VIII Limited, its general</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-10160</wp:posOffset>
            </wp:positionV>
            <wp:extent cx="2230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Dan Nova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sectPr>
      <w:pgSz w:w="11900" w:h="16838" w:orient="portrait"/>
      <w:cols w:equalWidth="0" w:num="1">
        <w:col w:w="10000"/>
      </w:cols>
      <w:pgMar w:left="1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Roman"/>
      <w:start w:val="1"/>
    </w:lvl>
  </w:abstractNum>
  <w:abstractNum w:abstractNumId="4">
    <w:nsid w:val="2901D82"/>
    <w:multiLevelType w:val="hybridMultilevel"/>
    <w:lvl w:ilvl="0">
      <w:lvlJc w:val="left"/>
      <w:lvlText w:val="(%1)"/>
      <w:numFmt w:val="lowerLetter"/>
      <w:start w:val="2"/>
    </w:lvl>
  </w:abstractNum>
  <w:abstractNum w:abstractNumId="5">
    <w:nsid w:val="3A95F874"/>
    <w:multiLevelType w:val="hybridMultilevel"/>
    <w:lvl w:ilvl="0">
      <w:lvlJc w:val="left"/>
      <w:lvlText w:val="(%1)"/>
      <w:numFmt w:val="lowerLetter"/>
      <w:start w:val="1"/>
    </w:lvl>
    <w:lvl w:ilvl="1">
      <w:lvlJc w:val="left"/>
      <w:lvlText w:val="(%2)"/>
      <w:numFmt w:val="lowerRoman"/>
      <w:start w:val="1"/>
    </w:lvl>
  </w:abstractNum>
  <w:abstractNum w:abstractNumId="6">
    <w:nsid w:val="8138641"/>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7">
    <w:nsid w:val="1E7FF521"/>
    <w:multiLevelType w:val="hybridMultilevel"/>
    <w:lvl w:ilvl="0">
      <w:lvlJc w:val="left"/>
      <w:lvlText w:val="(%1)"/>
      <w:numFmt w:val="lowerLetter"/>
      <w:start w:val="5"/>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5"/>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2"/>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3"/>
    </w:lvl>
  </w:abstractNum>
  <w:abstractNum w:abstractNumId="16">
    <w:nsid w:val="5577F8E1"/>
    <w:multiLevelType w:val="hybridMultilevel"/>
    <w:lvl w:ilvl="0">
      <w:lvlJc w:val="left"/>
      <w:lvlText w:val="(%1)"/>
      <w:numFmt w:val="upperLetter"/>
      <w:start w:val="1"/>
    </w:lvl>
    <w:lvl w:ilvl="1">
      <w:lvlJc w:val="left"/>
      <w:lvlText w:val="(%2)"/>
      <w:numFmt w:val="lowerLetter"/>
      <w:start w:val="5"/>
    </w:lvl>
  </w:abstractNum>
  <w:abstractNum w:abstractNumId="17">
    <w:nsid w:val="440BADFC"/>
    <w:multiLevelType w:val="hybridMultilevel"/>
    <w:lvl w:ilvl="0">
      <w:lvlJc w:val="left"/>
      <w:lvlText w:val="%1"/>
      <w:numFmt w:val="lowerLetter"/>
      <w:start w:val="1"/>
    </w:lvl>
    <w:lvl w:ilvl="1">
      <w:lvlJc w:val="left"/>
      <w:lvlText w:val="(%2)"/>
      <w:numFmt w:val="lowerRoman"/>
      <w:start w:val="1"/>
    </w:lvl>
  </w:abstractNum>
  <w:abstractNum w:abstractNumId="18">
    <w:nsid w:val="5072367"/>
    <w:multiLevelType w:val="hybridMultilevel"/>
    <w:lvl w:ilvl="0">
      <w:lvlJc w:val="left"/>
      <w:lvlText w:val="(%1)"/>
      <w:numFmt w:val="lowerLetter"/>
      <w:start w:val="12"/>
    </w:lvl>
    <w:lvl w:ilvl="1">
      <w:lvlJc w:val="left"/>
      <w:lvlText w:val="%2"/>
      <w:numFmt w:val="lowerRoman"/>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Roman"/>
      <w:start w:val="1"/>
    </w:lvl>
    <w:lvl w:ilvl="1">
      <w:lvlJc w:val="left"/>
      <w:lvlText w:val="(%2)"/>
      <w:numFmt w:val="lowerLetter"/>
      <w:start w:val="3"/>
    </w:lvl>
  </w:abstractNum>
  <w:abstractNum w:abstractNumId="21">
    <w:nsid w:val="7724C67E"/>
    <w:multiLevelType w:val="hybridMultilevel"/>
    <w:lvl w:ilvl="0">
      <w:lvlJc w:val="left"/>
      <w:lvlText w:val="(%1)"/>
      <w:numFmt w:val="lowerRoman"/>
      <w:start w:val="4"/>
    </w:lvl>
    <w:lvl w:ilvl="1">
      <w:lvlJc w:val="left"/>
      <w:lvlText w:val="(%2)"/>
      <w:numFmt w:val="lowerLetter"/>
      <w:start w:val="8"/>
    </w:lvl>
  </w:abstractNum>
  <w:abstractNum w:abstractNumId="22">
    <w:nsid w:val="5C482A97"/>
    <w:multiLevelType w:val="hybridMultilevel"/>
    <w:lvl w:ilvl="0">
      <w:lvlJc w:val="left"/>
      <w:lvlText w:val="(%1)"/>
      <w:numFmt w:val="lowerLetter"/>
      <w:start w:val="9"/>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2"/>
    </w:lvl>
  </w:abstractNum>
  <w:abstractNum w:abstractNumId="25">
    <w:nsid w:val="51EAD36B"/>
    <w:multiLevelType w:val="hybridMultilevel"/>
    <w:lvl w:ilvl="0">
      <w:lvlJc w:val="left"/>
      <w:lvlText w:val="(%1)"/>
      <w:numFmt w:val="lowerRoman"/>
      <w:start w:val="2"/>
    </w:lvl>
  </w:abstractNum>
  <w:abstractNum w:abstractNumId="26">
    <w:nsid w:val="2D517796"/>
    <w:multiLevelType w:val="hybridMultilevel"/>
    <w:lvl w:ilvl="0">
      <w:lvlJc w:val="left"/>
      <w:lvlText w:val="%1"/>
      <w:numFmt w:val="decimal"/>
      <w:start w:val="1"/>
    </w:lvl>
    <w:lvl w:ilvl="1">
      <w:lvlJc w:val="left"/>
      <w:lvlText w:val="(%2)"/>
      <w:numFmt w:val="lowerLetter"/>
      <w:start w:val="1"/>
    </w:lvl>
  </w:abstractNum>
  <w:abstractNum w:abstractNumId="27">
    <w:nsid w:val="580BD78F"/>
    <w:multiLevelType w:val="hybridMultilevel"/>
    <w:lvl w:ilvl="0">
      <w:lvlJc w:val="left"/>
      <w:lvlText w:val="(%1)"/>
      <w:numFmt w:val="decimal"/>
      <w:start w:val="1"/>
    </w:lvl>
    <w:lvl w:ilvl="1">
      <w:lvlJc w:val="left"/>
      <w:lvlText w:val="%2"/>
      <w:numFmt w:val="lowerLetter"/>
      <w:start w:val="1"/>
    </w:lvl>
  </w:abstractNum>
  <w:abstractNum w:abstractNumId="28">
    <w:nsid w:val="153EA43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3855585C"/>
    <w:multiLevelType w:val="hybridMultilevel"/>
    <w:lvl w:ilvl="0">
      <w:lvlJc w:val="left"/>
      <w:lvlText w:val="(%1)"/>
      <w:numFmt w:val="decimal"/>
      <w:start w:val="90"/>
    </w:lvl>
    <w:lvl w:ilvl="1">
      <w:lvlJc w:val="left"/>
      <w:lvlText w:val="(%2)"/>
      <w:numFmt w:val="lowerLetter"/>
      <w:start w:val="3"/>
    </w:lvl>
    <w:lvl w:ilvl="2">
      <w:lvlJc w:val="left"/>
      <w:lvlText w:val="(%3)"/>
      <w:numFmt w:val="lowerRoman"/>
      <w:start w:val="1"/>
    </w:lvl>
  </w:abstractNum>
  <w:abstractNum w:abstractNumId="30">
    <w:nsid w:val="70A64E2A"/>
    <w:multiLevelType w:val="hybridMultilevel"/>
    <w:lvl w:ilvl="0">
      <w:lvlJc w:val="left"/>
      <w:lvlText w:val="(%1)"/>
      <w:numFmt w:val="upperLetter"/>
      <w:start w:val="7"/>
    </w:lvl>
    <w:lvl w:ilvl="1">
      <w:lvlJc w:val="left"/>
      <w:lvlText w:val="(%2)"/>
      <w:numFmt w:val="lowerRoman"/>
      <w:start w:val="3"/>
    </w:lvl>
  </w:abstractNum>
  <w:abstractNum w:abstractNumId="31">
    <w:nsid w:val="6A2342EC"/>
    <w:multiLevelType w:val="hybridMultilevel"/>
    <w:lvl w:ilvl="0">
      <w:lvlJc w:val="left"/>
      <w:lvlText w:val="(%1)"/>
      <w:numFmt w:val="lowerLetter"/>
      <w:start w:val="4"/>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Roman"/>
      <w:start w:val="1"/>
    </w:lvl>
  </w:abstractNum>
  <w:abstractNum w:abstractNumId="34">
    <w:nsid w:val="725A06FB"/>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35">
    <w:nsid w:val="2CD89A32"/>
    <w:multiLevelType w:val="hybridMultilevel"/>
    <w:lvl w:ilvl="0">
      <w:lvlJc w:val="left"/>
      <w:lvlText w:val="%1"/>
      <w:numFmt w:val="lowerRoman"/>
      <w:start w:val="1"/>
    </w:lvl>
    <w:lvl w:ilvl="1">
      <w:lvlJc w:val="left"/>
      <w:lvlText w:val="(%2)"/>
      <w:numFmt w:val="lowerLetter"/>
      <w:start w:val="35"/>
    </w:lvl>
    <w:lvl w:ilvl="2">
      <w:lvlJc w:val="left"/>
      <w:lvlText w:val="(%3)"/>
      <w:numFmt w:val="lowerRoman"/>
      <w:start w:val="3"/>
    </w:lvl>
  </w:abstractNum>
  <w:abstractNum w:abstractNumId="36">
    <w:nsid w:val="57E4CCAF"/>
    <w:multiLevelType w:val="hybridMultilevel"/>
    <w:lvl w:ilvl="0">
      <w:lvlJc w:val="left"/>
      <w:lvlText w:val="(%1)"/>
      <w:numFmt w:val="lowerLetter"/>
      <w:start w:val="4"/>
    </w:lvl>
  </w:abstractNum>
  <w:abstractNum w:abstractNumId="37">
    <w:nsid w:val="7A6D8D3C"/>
    <w:multiLevelType w:val="hybridMultilevel"/>
    <w:lvl w:ilvl="0">
      <w:lvlJc w:val="left"/>
      <w:lvlText w:val="(%1)"/>
      <w:numFmt w:val="lowerLetter"/>
      <w:start w:val="7"/>
    </w:lvl>
  </w:abstractNum>
  <w:abstractNum w:abstractNumId="38">
    <w:nsid w:val="4B588F54"/>
    <w:multiLevelType w:val="hybridMultilevel"/>
    <w:lvl w:ilvl="0">
      <w:lvlJc w:val="left"/>
      <w:lvlText w:val="(%1)"/>
      <w:numFmt w:val="lowerLetter"/>
      <w:start w:val="1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3"/>
    </w:lvl>
  </w:abstractNum>
  <w:abstractNum w:abstractNumId="42">
    <w:nsid w:val="7644A45C"/>
    <w:multiLevelType w:val="hybridMultilevel"/>
    <w:lvl w:ilvl="0">
      <w:lvlJc w:val="left"/>
      <w:lvlText w:val="%1"/>
      <w:numFmt w:val="decimal"/>
      <w:start w:val="1"/>
    </w:lvl>
    <w:lvl w:ilvl="1">
      <w:lvlJc w:val="left"/>
      <w:lvlText w:val="(%2)"/>
      <w:numFmt w:val="lowerLetter"/>
      <w:start w:val="1"/>
    </w:lvl>
  </w:abstractNum>
  <w:abstractNum w:abstractNumId="43">
    <w:nsid w:val="32FFF902"/>
    <w:multiLevelType w:val="hybridMultilevel"/>
    <w:lvl w:ilvl="0">
      <w:lvlJc w:val="left"/>
      <w:lvlText w:val="(%1)"/>
      <w:numFmt w:val="decimal"/>
      <w:start w:val="3"/>
    </w:lvl>
    <w:lvl w:ilvl="1">
      <w:lvlJc w:val="left"/>
      <w:lvlText w:val="%2"/>
      <w:numFmt w:val="lowerLetter"/>
      <w:start w:val="1"/>
    </w:lvl>
  </w:abstractNum>
  <w:abstractNum w:abstractNumId="44">
    <w:nsid w:val="684A481A"/>
    <w:multiLevelType w:val="hybridMultilevel"/>
    <w:lvl w:ilvl="0">
      <w:lvlJc w:val="left"/>
      <w:lvlText w:val="(%1)"/>
      <w:numFmt w:val="lowerLetter"/>
      <w:start w:val="4"/>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upperLetter"/>
      <w:start w:val="1"/>
    </w:lvl>
    <w:lvl w:ilvl="1">
      <w:lvlJc w:val="left"/>
      <w:lvlText w:val="(%2)"/>
      <w:numFmt w:val="lowerLetter"/>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4"/>
    </w:lvl>
    <w:lvl w:ilvl="1">
      <w:lvlJc w:val="left"/>
      <w:lvlText w:val="%2"/>
      <w:numFmt w:val="lowerLetter"/>
      <w:start w:val="1"/>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19" Type="http://schemas.openxmlformats.org/officeDocument/2006/relationships/hyperlink" Target="http://www.sec.gov/Archives/edgar/data/1468327/000119312521301156/d194411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2021-10-29T15:11:05Z</dcterms:created>
  <dcterms:modified xsi:type="dcterms:W3CDTF">2021-10-29T15:11:05Z</dcterms:modified>
</cp:coreProperties>
</file>