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80"/>
        <w:spacing w:after="0"/>
        <w:rPr>
          <w:sz w:val="20"/>
          <w:szCs w:val="20"/>
          <w:color w:val="auto"/>
        </w:rPr>
      </w:pPr>
      <w:r>
        <w:rPr>
          <w:rFonts w:ascii="Arial" w:cs="Arial" w:eastAsia="Arial" w:hAnsi="Arial"/>
          <w:sz w:val="18"/>
          <w:szCs w:val="18"/>
          <w:b w:val="1"/>
          <w:bCs w:val="1"/>
          <w:color w:val="auto"/>
        </w:rPr>
        <w:t>As filed with the Securities and Exchange Commission on December 15, 2025</w:t>
      </w:r>
    </w:p>
    <w:p>
      <w:pPr>
        <w:spacing w:after="0" w:line="2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xml:space="preserve">Registration </w:t>
      </w:r>
      <w:r>
        <w:rPr>
          <w:rFonts w:ascii="Times New Roman" w:cs="Times New Roman" w:eastAsia="Times New Roman" w:hAnsi="Times New Roman"/>
          <w:sz w:val="21"/>
          <w:szCs w:val="21"/>
          <w:b w:val="1"/>
          <w:bCs w:val="1"/>
          <w:color w:val="auto"/>
        </w:rPr>
        <w:t>No. 333-</w:t>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328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S-8</w:t>
      </w:r>
    </w:p>
    <w:p>
      <w:pPr>
        <w:spacing w:after="0" w:line="1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REGISTRATION STATEMENT</w:t>
      </w:r>
    </w:p>
    <w:p>
      <w:pPr>
        <w:jc w:val="center"/>
        <w:ind w:right="11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0" w:lineRule="exact"/>
        <w:rPr>
          <w:sz w:val="24"/>
          <w:szCs w:val="24"/>
          <w:color w:val="auto"/>
        </w:rPr>
      </w:pP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43"/>
          <w:szCs w:val="43"/>
          <w:b w:val="1"/>
          <w:bCs w:val="1"/>
          <w:color w:val="auto"/>
        </w:rPr>
        <w:t>Rent the Runway, Inc.</w:t>
      </w:r>
    </w:p>
    <w:p>
      <w:pPr>
        <w:spacing w:after="0" w:line="42" w:lineRule="exact"/>
        <w:rPr>
          <w:sz w:val="24"/>
          <w:szCs w:val="24"/>
          <w:color w:val="auto"/>
        </w:rPr>
      </w:pPr>
    </w:p>
    <w:p>
      <w:pPr>
        <w:ind w:left="1800"/>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0120"/>
          </w:cols>
          <w:pgMar w:left="1440" w:top="458" w:right="339" w:bottom="1440" w:gutter="0" w:footer="0" w:header="0"/>
        </w:sectPr>
      </w:pPr>
    </w:p>
    <w:p>
      <w:pPr>
        <w:spacing w:after="0" w:line="319" w:lineRule="exact"/>
        <w:rPr>
          <w:sz w:val="24"/>
          <w:szCs w:val="24"/>
          <w:color w:val="auto"/>
        </w:rPr>
      </w:pPr>
    </w:p>
    <w:p>
      <w:pPr>
        <w:ind w:left="960"/>
        <w:spacing w:after="0"/>
        <w:rPr>
          <w:sz w:val="20"/>
          <w:szCs w:val="20"/>
          <w:color w:val="auto"/>
        </w:rPr>
      </w:pPr>
      <w:r>
        <w:rPr>
          <w:rFonts w:ascii="Arial" w:cs="Arial" w:eastAsia="Arial" w:hAnsi="Arial"/>
          <w:sz w:val="21"/>
          <w:szCs w:val="21"/>
          <w:b w:val="1"/>
          <w:bCs w:val="1"/>
          <w:color w:val="auto"/>
        </w:rPr>
        <w:t>Delaware</w:t>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80-0376379</w:t>
      </w:r>
    </w:p>
    <w:p>
      <w:pPr>
        <w:spacing w:after="0" w:line="61" w:lineRule="exact"/>
        <w:rPr>
          <w:sz w:val="24"/>
          <w:szCs w:val="24"/>
          <w:color w:val="auto"/>
        </w:rPr>
      </w:pPr>
    </w:p>
    <w:p>
      <w:pPr>
        <w:sectPr>
          <w:pgSz w:w="11900" w:h="16838" w:orient="portrait"/>
          <w:cols w:equalWidth="0" w:num="2">
            <w:col w:w="5400" w:space="720"/>
            <w:col w:w="4000"/>
          </w:cols>
          <w:pgMar w:left="1440" w:top="458" w:right="339" w:bottom="1440" w:gutter="0" w:footer="0" w:header="0"/>
          <w:type w:val="continuous"/>
        </w:sectPr>
      </w:pPr>
    </w:p>
    <w:p>
      <w:pPr>
        <w:ind w:left="440"/>
        <w:spacing w:after="0"/>
        <w:rPr>
          <w:sz w:val="20"/>
          <w:szCs w:val="20"/>
          <w:color w:val="auto"/>
        </w:rPr>
      </w:pPr>
      <w:r>
        <w:rPr>
          <w:rFonts w:ascii="Arial" w:cs="Arial" w:eastAsia="Arial" w:hAnsi="Arial"/>
          <w:sz w:val="14"/>
          <w:szCs w:val="14"/>
          <w:b w:val="1"/>
          <w:bCs w:val="1"/>
          <w:color w:val="auto"/>
        </w:rPr>
        <w:t>(State or other jurisdiction of</w:t>
      </w:r>
    </w:p>
    <w:p>
      <w:pPr>
        <w:spacing w:after="0" w:line="15" w:lineRule="exact"/>
        <w:rPr>
          <w:sz w:val="24"/>
          <w:szCs w:val="24"/>
          <w:color w:val="auto"/>
        </w:rPr>
      </w:pPr>
    </w:p>
    <w:p>
      <w:pPr>
        <w:ind w:left="40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820"/>
        <w:spacing w:after="0"/>
        <w:rPr>
          <w:sz w:val="20"/>
          <w:szCs w:val="20"/>
          <w:color w:val="auto"/>
        </w:rPr>
      </w:pPr>
      <w:r>
        <w:rPr>
          <w:rFonts w:ascii="Arial" w:cs="Arial" w:eastAsia="Arial" w:hAnsi="Arial"/>
          <w:sz w:val="14"/>
          <w:szCs w:val="14"/>
          <w:b w:val="1"/>
          <w:bCs w:val="1"/>
          <w:color w:val="auto"/>
        </w:rPr>
        <w:t>(I.R.S. Employer</w:t>
      </w:r>
    </w:p>
    <w:p>
      <w:pPr>
        <w:spacing w:after="0" w:line="15" w:lineRule="exact"/>
        <w:rPr>
          <w:sz w:val="24"/>
          <w:szCs w:val="24"/>
          <w:color w:val="auto"/>
        </w:rPr>
      </w:pPr>
    </w:p>
    <w:p>
      <w:pPr>
        <w:jc w:val="center"/>
        <w:ind w:right="2820"/>
        <w:spacing w:after="0"/>
        <w:rPr>
          <w:sz w:val="20"/>
          <w:szCs w:val="20"/>
          <w:color w:val="auto"/>
        </w:rPr>
      </w:pPr>
      <w:r>
        <w:rPr>
          <w:rFonts w:ascii="Arial" w:cs="Arial" w:eastAsia="Arial" w:hAnsi="Arial"/>
          <w:sz w:val="14"/>
          <w:szCs w:val="14"/>
          <w:b w:val="1"/>
          <w:bCs w:val="1"/>
          <w:color w:val="auto"/>
        </w:rPr>
        <w:t>Identification No.)</w:t>
      </w:r>
    </w:p>
    <w:p>
      <w:pPr>
        <w:spacing w:after="0" w:line="85" w:lineRule="exact"/>
        <w:rPr>
          <w:sz w:val="24"/>
          <w:szCs w:val="24"/>
          <w:color w:val="auto"/>
        </w:rPr>
      </w:pPr>
    </w:p>
    <w:p>
      <w:pPr>
        <w:sectPr>
          <w:pgSz w:w="11900" w:h="16838" w:orient="portrait"/>
          <w:cols w:equalWidth="0" w:num="2">
            <w:col w:w="5360" w:space="720"/>
            <w:col w:w="4040"/>
          </w:cols>
          <w:pgMar w:left="1440" w:top="458" w:right="339" w:bottom="1440" w:gutter="0" w:footer="0" w:header="0"/>
          <w:type w:val="continuous"/>
        </w:sectPr>
      </w:pPr>
    </w:p>
    <w:p>
      <w:pPr>
        <w:jc w:val="center"/>
        <w:ind w:right="1100"/>
        <w:spacing w:after="0"/>
        <w:rPr>
          <w:sz w:val="20"/>
          <w:szCs w:val="20"/>
          <w:color w:val="auto"/>
        </w:rPr>
      </w:pPr>
      <w:r>
        <w:rPr>
          <w:rFonts w:ascii="Arial" w:cs="Arial" w:eastAsia="Arial" w:hAnsi="Arial"/>
          <w:sz w:val="18"/>
          <w:szCs w:val="18"/>
          <w:b w:val="1"/>
          <w:bCs w:val="1"/>
          <w:color w:val="auto"/>
        </w:rPr>
        <w:t>10 Jay Street</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Brooklyn, New York 11201</w:t>
      </w:r>
    </w:p>
    <w:p>
      <w:pPr>
        <w:jc w:val="center"/>
        <w:ind w:right="1100"/>
        <w:spacing w:after="0"/>
        <w:rPr>
          <w:sz w:val="20"/>
          <w:szCs w:val="20"/>
          <w:color w:val="auto"/>
        </w:rPr>
      </w:pPr>
      <w:r>
        <w:rPr>
          <w:rFonts w:ascii="Arial" w:cs="Arial" w:eastAsia="Arial" w:hAnsi="Arial"/>
          <w:sz w:val="18"/>
          <w:szCs w:val="18"/>
          <w:b w:val="1"/>
          <w:bCs w:val="1"/>
          <w:color w:val="auto"/>
        </w:rPr>
        <w:t>Telephone: (212) 524-6860</w:t>
      </w:r>
    </w:p>
    <w:p>
      <w:pPr>
        <w:spacing w:after="0" w:line="1" w:lineRule="exact"/>
        <w:rPr>
          <w:sz w:val="24"/>
          <w:szCs w:val="24"/>
          <w:color w:val="auto"/>
        </w:rPr>
      </w:pPr>
    </w:p>
    <w:p>
      <w:pPr>
        <w:ind w:left="2800"/>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0120"/>
          </w:cols>
          <w:pgMar w:left="1440" w:top="458" w:right="339" w:bottom="1440" w:gutter="0" w:footer="0" w:header="0"/>
          <w:type w:val="continuous"/>
        </w:sectPr>
      </w:pP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Rent the Runway, Inc. Second Amended and Restated 2021 Incentive Award Plan, as Amended</w:t>
      </w:r>
    </w:p>
    <w:p>
      <w:pPr>
        <w:spacing w:after="0" w:line="31" w:lineRule="exact"/>
        <w:rPr>
          <w:sz w:val="24"/>
          <w:szCs w:val="24"/>
          <w:color w:val="auto"/>
        </w:rPr>
      </w:pPr>
    </w:p>
    <w:p>
      <w:pPr>
        <w:ind w:left="3760"/>
        <w:spacing w:after="0"/>
        <w:rPr>
          <w:sz w:val="20"/>
          <w:szCs w:val="20"/>
          <w:color w:val="auto"/>
        </w:rPr>
      </w:pPr>
      <w:r>
        <w:rPr>
          <w:rFonts w:ascii="Arial" w:cs="Arial" w:eastAsia="Arial" w:hAnsi="Arial"/>
          <w:sz w:val="14"/>
          <w:szCs w:val="14"/>
          <w:b w:val="1"/>
          <w:bCs w:val="1"/>
          <w:color w:val="auto"/>
        </w:rPr>
        <w:t>(Full title of the plans)</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Jennifer Y. Hyman, Co-Founder, Chief Executive Officer and President</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Rent the Runway, Inc.</w:t>
      </w:r>
    </w:p>
    <w:p>
      <w:pPr>
        <w:jc w:val="center"/>
        <w:ind w:right="1120"/>
        <w:spacing w:after="0" w:line="234" w:lineRule="auto"/>
        <w:rPr>
          <w:sz w:val="20"/>
          <w:szCs w:val="20"/>
          <w:color w:val="auto"/>
        </w:rPr>
      </w:pPr>
      <w:r>
        <w:rPr>
          <w:rFonts w:ascii="Arial" w:cs="Arial" w:eastAsia="Arial" w:hAnsi="Arial"/>
          <w:sz w:val="18"/>
          <w:szCs w:val="18"/>
          <w:b w:val="1"/>
          <w:bCs w:val="1"/>
          <w:color w:val="auto"/>
        </w:rPr>
        <w:t>10 Jay Street</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Brooklyn, New York 11201</w:t>
      </w:r>
    </w:p>
    <w:p>
      <w:pPr>
        <w:spacing w:after="0" w:line="1" w:lineRule="exact"/>
        <w:rPr>
          <w:sz w:val="24"/>
          <w:szCs w:val="24"/>
          <w:color w:val="auto"/>
        </w:rPr>
      </w:pPr>
    </w:p>
    <w:p>
      <w:pPr>
        <w:ind w:left="314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Telephone: (212) 524-6860</w:t>
      </w:r>
    </w:p>
    <w:p>
      <w:pPr>
        <w:spacing w:after="0" w:line="19"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22" w:lineRule="exact"/>
        <w:rPr>
          <w:sz w:val="24"/>
          <w:szCs w:val="24"/>
          <w:color w:val="auto"/>
        </w:rPr>
      </w:pPr>
    </w:p>
    <w:tbl>
      <w:tblPr>
        <w:tblLayout w:type="fixed"/>
        <w:tblInd w:w="560" w:type="dxa"/>
        <w:tblCellMar>
          <w:top w:w="0" w:type="dxa"/>
          <w:left w:w="0" w:type="dxa"/>
          <w:bottom w:w="0" w:type="dxa"/>
          <w:right w:w="0" w:type="dxa"/>
        </w:tblCellMar>
      </w:tblPr>
      <w:tr>
        <w:trPr>
          <w:trHeight w:val="241"/>
        </w:trPr>
        <w:tc>
          <w:tcPr>
            <w:tcW w:w="2800" w:type="dxa"/>
            <w:vAlign w:val="bottom"/>
          </w:tcPr>
          <w:p>
            <w:pPr>
              <w:spacing w:after="0"/>
              <w:rPr>
                <w:sz w:val="20"/>
                <w:szCs w:val="20"/>
                <w:color w:val="auto"/>
              </w:rPr>
            </w:pPr>
          </w:p>
        </w:tc>
        <w:tc>
          <w:tcPr>
            <w:tcW w:w="5160" w:type="dxa"/>
            <w:vAlign w:val="bottom"/>
          </w:tcPr>
          <w:p>
            <w:pPr>
              <w:ind w:left="50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203"/>
        </w:trPr>
        <w:tc>
          <w:tcPr>
            <w:tcW w:w="2800" w:type="dxa"/>
            <w:vAlign w:val="bottom"/>
          </w:tcPr>
          <w:p>
            <w:pPr>
              <w:jc w:val="center"/>
              <w:ind w:right="450"/>
              <w:spacing w:after="0" w:line="202" w:lineRule="exact"/>
              <w:rPr>
                <w:sz w:val="20"/>
                <w:szCs w:val="20"/>
                <w:color w:val="auto"/>
              </w:rPr>
            </w:pPr>
            <w:r>
              <w:rPr>
                <w:rFonts w:ascii="Arial" w:cs="Arial" w:eastAsia="Arial" w:hAnsi="Arial"/>
                <w:sz w:val="18"/>
                <w:szCs w:val="18"/>
                <w:b w:val="1"/>
                <w:bCs w:val="1"/>
                <w:color w:val="auto"/>
                <w:w w:val="99"/>
              </w:rPr>
              <w:t>Jennifer S. Conway</w:t>
            </w:r>
          </w:p>
        </w:tc>
        <w:tc>
          <w:tcPr>
            <w:tcW w:w="5160" w:type="dxa"/>
            <w:vAlign w:val="bottom"/>
          </w:tcPr>
          <w:p>
            <w:pPr>
              <w:jc w:val="center"/>
              <w:ind w:left="2850"/>
              <w:spacing w:after="0" w:line="202" w:lineRule="exact"/>
              <w:rPr>
                <w:sz w:val="20"/>
                <w:szCs w:val="20"/>
                <w:color w:val="auto"/>
              </w:rPr>
            </w:pPr>
            <w:r>
              <w:rPr>
                <w:rFonts w:ascii="Arial" w:cs="Arial" w:eastAsia="Arial" w:hAnsi="Arial"/>
                <w:sz w:val="18"/>
                <w:szCs w:val="18"/>
                <w:b w:val="1"/>
                <w:bCs w:val="1"/>
                <w:color w:val="auto"/>
                <w:w w:val="99"/>
              </w:rPr>
              <w:t>Cara Schembri</w:t>
            </w: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b w:val="1"/>
                <w:bCs w:val="1"/>
                <w:color w:val="auto"/>
              </w:rPr>
              <w:t>Davis Polk &amp; Wardwell LLP</w:t>
            </w:r>
          </w:p>
        </w:tc>
        <w:tc>
          <w:tcPr>
            <w:tcW w:w="5160" w:type="dxa"/>
            <w:vAlign w:val="bottom"/>
          </w:tcPr>
          <w:p>
            <w:pPr>
              <w:jc w:val="center"/>
              <w:ind w:left="2850"/>
              <w:spacing w:after="0" w:line="202" w:lineRule="exact"/>
              <w:rPr>
                <w:sz w:val="20"/>
                <w:szCs w:val="20"/>
                <w:color w:val="auto"/>
              </w:rPr>
            </w:pPr>
            <w:r>
              <w:rPr>
                <w:rFonts w:ascii="Arial" w:cs="Arial" w:eastAsia="Arial" w:hAnsi="Arial"/>
                <w:sz w:val="18"/>
                <w:szCs w:val="18"/>
                <w:b w:val="1"/>
                <w:bCs w:val="1"/>
                <w:color w:val="auto"/>
                <w:w w:val="99"/>
              </w:rPr>
              <w:t>Rent the Runway, Inc.</w:t>
            </w:r>
          </w:p>
        </w:tc>
      </w:tr>
      <w:tr>
        <w:trPr>
          <w:trHeight w:val="203"/>
        </w:trPr>
        <w:tc>
          <w:tcPr>
            <w:tcW w:w="2800" w:type="dxa"/>
            <w:vAlign w:val="bottom"/>
          </w:tcPr>
          <w:p>
            <w:pPr>
              <w:jc w:val="center"/>
              <w:ind w:right="410"/>
              <w:spacing w:after="0" w:line="202" w:lineRule="exact"/>
              <w:rPr>
                <w:sz w:val="20"/>
                <w:szCs w:val="20"/>
                <w:color w:val="auto"/>
              </w:rPr>
            </w:pPr>
            <w:r>
              <w:rPr>
                <w:rFonts w:ascii="Arial" w:cs="Arial" w:eastAsia="Arial" w:hAnsi="Arial"/>
                <w:sz w:val="18"/>
                <w:szCs w:val="18"/>
                <w:b w:val="1"/>
                <w:bCs w:val="1"/>
                <w:color w:val="auto"/>
                <w:w w:val="99"/>
              </w:rPr>
              <w:t>450 Lexington Avenue</w:t>
            </w:r>
          </w:p>
        </w:tc>
        <w:tc>
          <w:tcPr>
            <w:tcW w:w="5160" w:type="dxa"/>
            <w:vAlign w:val="bottom"/>
          </w:tcPr>
          <w:p>
            <w:pPr>
              <w:jc w:val="center"/>
              <w:ind w:left="2850"/>
              <w:spacing w:after="0" w:line="202" w:lineRule="exact"/>
              <w:rPr>
                <w:sz w:val="20"/>
                <w:szCs w:val="20"/>
                <w:color w:val="auto"/>
              </w:rPr>
            </w:pPr>
            <w:r>
              <w:rPr>
                <w:rFonts w:ascii="Arial" w:cs="Arial" w:eastAsia="Arial" w:hAnsi="Arial"/>
                <w:sz w:val="18"/>
                <w:szCs w:val="18"/>
                <w:b w:val="1"/>
                <w:bCs w:val="1"/>
                <w:color w:val="auto"/>
                <w:w w:val="99"/>
              </w:rPr>
              <w:t>10 Jay Street</w:t>
            </w:r>
          </w:p>
        </w:tc>
      </w:tr>
      <w:tr>
        <w:trPr>
          <w:trHeight w:val="203"/>
        </w:trPr>
        <w:tc>
          <w:tcPr>
            <w:tcW w:w="2800" w:type="dxa"/>
            <w:vAlign w:val="bottom"/>
          </w:tcPr>
          <w:p>
            <w:pPr>
              <w:jc w:val="center"/>
              <w:ind w:right="410"/>
              <w:spacing w:after="0" w:line="202" w:lineRule="exact"/>
              <w:rPr>
                <w:sz w:val="20"/>
                <w:szCs w:val="20"/>
                <w:color w:val="auto"/>
              </w:rPr>
            </w:pPr>
            <w:r>
              <w:rPr>
                <w:rFonts w:ascii="Arial" w:cs="Arial" w:eastAsia="Arial" w:hAnsi="Arial"/>
                <w:sz w:val="18"/>
                <w:szCs w:val="18"/>
                <w:b w:val="1"/>
                <w:bCs w:val="1"/>
                <w:color w:val="auto"/>
                <w:w w:val="98"/>
              </w:rPr>
              <w:t>New York, New York 10017</w:t>
            </w:r>
          </w:p>
        </w:tc>
        <w:tc>
          <w:tcPr>
            <w:tcW w:w="5160" w:type="dxa"/>
            <w:vAlign w:val="bottom"/>
          </w:tcPr>
          <w:p>
            <w:pPr>
              <w:jc w:val="center"/>
              <w:ind w:left="2850"/>
              <w:spacing w:after="0" w:line="202" w:lineRule="exact"/>
              <w:rPr>
                <w:sz w:val="20"/>
                <w:szCs w:val="20"/>
                <w:color w:val="auto"/>
              </w:rPr>
            </w:pPr>
            <w:r>
              <w:rPr>
                <w:rFonts w:ascii="Arial" w:cs="Arial" w:eastAsia="Arial" w:hAnsi="Arial"/>
                <w:sz w:val="18"/>
                <w:szCs w:val="18"/>
                <w:b w:val="1"/>
                <w:bCs w:val="1"/>
                <w:color w:val="auto"/>
                <w:w w:val="98"/>
              </w:rPr>
              <w:t>Brooklyn, New York 11201</w:t>
            </w:r>
          </w:p>
        </w:tc>
      </w:tr>
      <w:tr>
        <w:trPr>
          <w:trHeight w:val="247"/>
        </w:trPr>
        <w:tc>
          <w:tcPr>
            <w:tcW w:w="2800" w:type="dxa"/>
            <w:vAlign w:val="bottom"/>
          </w:tcPr>
          <w:p>
            <w:pPr>
              <w:jc w:val="center"/>
              <w:ind w:right="410"/>
              <w:spacing w:after="0"/>
              <w:rPr>
                <w:sz w:val="20"/>
                <w:szCs w:val="20"/>
                <w:color w:val="auto"/>
              </w:rPr>
            </w:pPr>
            <w:r>
              <w:rPr>
                <w:rFonts w:ascii="Arial" w:cs="Arial" w:eastAsia="Arial" w:hAnsi="Arial"/>
                <w:sz w:val="18"/>
                <w:szCs w:val="18"/>
                <w:b w:val="1"/>
                <w:bCs w:val="1"/>
                <w:color w:val="auto"/>
                <w:w w:val="99"/>
              </w:rPr>
              <w:t>(212) 450-4000</w:t>
            </w:r>
          </w:p>
        </w:tc>
        <w:tc>
          <w:tcPr>
            <w:tcW w:w="5160" w:type="dxa"/>
            <w:vAlign w:val="bottom"/>
          </w:tcPr>
          <w:p>
            <w:pPr>
              <w:jc w:val="center"/>
              <w:ind w:left="2850"/>
              <w:spacing w:after="0"/>
              <w:rPr>
                <w:sz w:val="20"/>
                <w:szCs w:val="20"/>
                <w:color w:val="auto"/>
              </w:rPr>
            </w:pPr>
            <w:r>
              <w:rPr>
                <w:rFonts w:ascii="Arial" w:cs="Arial" w:eastAsia="Arial" w:hAnsi="Arial"/>
                <w:sz w:val="18"/>
                <w:szCs w:val="18"/>
                <w:b w:val="1"/>
                <w:bCs w:val="1"/>
                <w:color w:val="auto"/>
                <w:w w:val="99"/>
              </w:rPr>
              <w:t>(212) 524-6860</w:t>
            </w:r>
          </w:p>
        </w:tc>
      </w:tr>
    </w:tbl>
    <w:p>
      <w:pPr>
        <w:sectPr>
          <w:pgSz w:w="11900" w:h="16838" w:orient="portrait"/>
          <w:cols w:equalWidth="0" w:num="1">
            <w:col w:w="10120"/>
          </w:cols>
          <w:pgMar w:left="1440" w:top="458" w:right="339" w:bottom="1440" w:gutter="0" w:footer="0" w:header="0"/>
          <w:type w:val="continuous"/>
        </w:sectPr>
      </w:pPr>
    </w:p>
    <w:bookmarkStart w:id="1" w:name="page2"/>
    <w:bookmarkEnd w:id="1"/>
    <w:p>
      <w:pPr>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403" w:right="359" w:bottom="1440" w:gutter="0" w:footer="0" w:header="0"/>
        </w:sectPr>
      </w:pPr>
    </w:p>
    <w:p>
      <w:pPr>
        <w:spacing w:after="0" w:line="210" w:lineRule="exact"/>
        <w:rPr>
          <w:sz w:val="20"/>
          <w:szCs w:val="20"/>
          <w:color w:val="auto"/>
        </w:rPr>
      </w:pPr>
    </w:p>
    <w:p>
      <w:pPr>
        <w:ind w:left="20"/>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0"/>
          <w:szCs w:val="20"/>
          <w:color w:val="auto"/>
        </w:rPr>
      </w:pPr>
    </w:p>
    <w:p>
      <w:pPr>
        <w:sectPr>
          <w:pgSz w:w="11900" w:h="16838" w:orient="portrait"/>
          <w:cols w:equalWidth="0" w:num="2">
            <w:col w:w="4120" w:space="720"/>
            <w:col w:w="6380"/>
          </w:cols>
          <w:pgMar w:left="320" w:top="1403" w:right="359" w:bottom="1440" w:gutter="0" w:footer="0" w:header="0"/>
          <w:type w:val="continuous"/>
        </w:sectPr>
      </w:pPr>
    </w:p>
    <w:p>
      <w:pPr>
        <w:ind w:left="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pacing w:after="0" w:line="6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120" w:space="720"/>
            <w:col w:w="6380"/>
          </w:cols>
          <w:pgMar w:left="320" w:top="1403" w:right="359" w:bottom="1440" w:gutter="0" w:footer="0" w:header="0"/>
          <w:type w:val="continuous"/>
        </w:sectPr>
      </w:pPr>
    </w:p>
    <w:p>
      <w:pPr>
        <w:spacing w:after="0" w:line="152" w:lineRule="exact"/>
        <w:rPr>
          <w:sz w:val="20"/>
          <w:szCs w:val="20"/>
          <w:color w:val="auto"/>
        </w:rPr>
      </w:pPr>
    </w:p>
    <w:p>
      <w:pPr>
        <w:ind w:right="18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ectPr>
          <w:pgSz w:w="11900" w:h="16838" w:orient="portrait"/>
          <w:cols w:equalWidth="0" w:num="1">
            <w:col w:w="11220"/>
          </w:cols>
          <w:pgMar w:left="320" w:top="1403" w:right="35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3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Pursuant to General Instruction E of Form S-8, this Registration Statement on Form S-8 is being filed for the purpose of registering an additional 3,899,439 shares of the Registrant’s Class A common stock that may become issuable pursuant to the Rent the Runway, Inc. Second Amended and Restated 2021 Incentive Award Plan, as amended (the “2021 Plan”) if the First Amendment to the 2021 Plan is approved by the Registrant’s stockholders at the Company’s next regular annual meeting and for which a Registration Statement of the Registrant on Form S-8 relating to the same employee benefit plan is effective. In accordance with the instructional note to Part I of Form S-8 as promulgated by the Commission, the information specified by Part I of the Form S-8 has been omitted from this Registration Statement.</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 OF CONTENTS OF REGISTRATION STATEMENT ON FORM S-8</w:t>
      </w:r>
    </w:p>
    <w:p>
      <w:pPr>
        <w:spacing w:after="0" w:line="239" w:lineRule="exact"/>
        <w:rPr>
          <w:sz w:val="20"/>
          <w:szCs w:val="20"/>
          <w:color w:val="auto"/>
        </w:rPr>
      </w:pPr>
    </w:p>
    <w:p>
      <w:pPr>
        <w:ind w:right="300"/>
        <w:spacing w:after="0" w:line="266" w:lineRule="auto"/>
        <w:rPr>
          <w:rFonts w:ascii="Arial" w:cs="Arial" w:eastAsia="Arial" w:hAnsi="Arial"/>
          <w:sz w:val="18"/>
          <w:szCs w:val="18"/>
          <w:color w:val="0000FF"/>
        </w:rPr>
      </w:pPr>
      <w:r>
        <w:rPr>
          <w:rFonts w:ascii="Arial" w:cs="Arial" w:eastAsia="Arial" w:hAnsi="Arial"/>
          <w:sz w:val="18"/>
          <w:szCs w:val="18"/>
          <w:color w:val="auto"/>
        </w:rPr>
        <w:t xml:space="preserve">The contents of the Registration Statement on Form S-8 (File Nos. </w:t>
      </w:r>
      <w:hyperlink r:id="rId8">
        <w:r>
          <w:rPr>
            <w:rFonts w:ascii="Arial" w:cs="Arial" w:eastAsia="Arial" w:hAnsi="Arial"/>
            <w:sz w:val="18"/>
            <w:szCs w:val="18"/>
            <w:u w:val="single" w:color="auto"/>
            <w:color w:val="0000FF"/>
          </w:rPr>
          <w:t>333-260564</w:t>
        </w:r>
      </w:hyperlink>
      <w:r>
        <w:rPr>
          <w:rFonts w:ascii="Arial" w:cs="Arial" w:eastAsia="Arial" w:hAnsi="Arial"/>
          <w:sz w:val="18"/>
          <w:szCs w:val="18"/>
          <w:color w:val="auto"/>
        </w:rPr>
        <w:t xml:space="preserve">, </w:t>
      </w:r>
      <w:hyperlink r:id="rId9">
        <w:r>
          <w:rPr>
            <w:rFonts w:ascii="Arial" w:cs="Arial" w:eastAsia="Arial" w:hAnsi="Arial"/>
            <w:sz w:val="18"/>
            <w:szCs w:val="18"/>
            <w:u w:val="single" w:color="auto"/>
            <w:color w:val="0000FF"/>
          </w:rPr>
          <w:t>333-264295</w:t>
        </w:r>
      </w:hyperlink>
      <w:r>
        <w:rPr>
          <w:rFonts w:ascii="Arial" w:cs="Arial" w:eastAsia="Arial" w:hAnsi="Arial"/>
          <w:sz w:val="18"/>
          <w:szCs w:val="18"/>
          <w:color w:val="auto"/>
        </w:rPr>
        <w:t xml:space="preserve">, </w:t>
      </w:r>
      <w:hyperlink r:id="rId10">
        <w:r>
          <w:rPr>
            <w:rFonts w:ascii="Arial" w:cs="Arial" w:eastAsia="Arial" w:hAnsi="Arial"/>
            <w:sz w:val="18"/>
            <w:szCs w:val="18"/>
            <w:u w:val="single" w:color="auto"/>
            <w:color w:val="0000FF"/>
          </w:rPr>
          <w:t>333-271241</w:t>
        </w:r>
      </w:hyperlink>
      <w:r>
        <w:rPr>
          <w:rFonts w:ascii="Arial" w:cs="Arial" w:eastAsia="Arial" w:hAnsi="Arial"/>
          <w:sz w:val="18"/>
          <w:szCs w:val="18"/>
          <w:color w:val="auto"/>
        </w:rPr>
        <w:t xml:space="preserve">, </w:t>
      </w:r>
      <w:hyperlink r:id="rId11">
        <w:r>
          <w:rPr>
            <w:rFonts w:ascii="Arial" w:cs="Arial" w:eastAsia="Arial" w:hAnsi="Arial"/>
            <w:sz w:val="18"/>
            <w:szCs w:val="18"/>
            <w:u w:val="single" w:color="auto"/>
            <w:color w:val="0000FF"/>
          </w:rPr>
          <w:t>333-278623</w:t>
        </w:r>
      </w:hyperlink>
      <w:r>
        <w:rPr>
          <w:rFonts w:ascii="Arial" w:cs="Arial" w:eastAsia="Arial" w:hAnsi="Arial"/>
          <w:sz w:val="18"/>
          <w:szCs w:val="18"/>
          <w:color w:val="auto"/>
        </w:rPr>
        <w:t xml:space="preserve">, </w:t>
      </w:r>
      <w:hyperlink r:id="rId12">
        <w:r>
          <w:rPr>
            <w:rFonts w:ascii="Arial" w:cs="Arial" w:eastAsia="Arial" w:hAnsi="Arial"/>
            <w:sz w:val="18"/>
            <w:szCs w:val="18"/>
            <w:u w:val="single" w:color="auto"/>
            <w:color w:val="0000FF"/>
          </w:rPr>
          <w:t>333-286549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3">
        <w:r>
          <w:rPr>
            <w:rFonts w:ascii="Arial" w:cs="Arial" w:eastAsia="Arial" w:hAnsi="Arial"/>
            <w:sz w:val="18"/>
            <w:szCs w:val="18"/>
            <w:u w:val="single" w:color="auto"/>
            <w:color w:val="0000FF"/>
          </w:rPr>
          <w:t>333-291155</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filed with the Securities and Exchange Commission, relating to the 2021 Plan, are incorporated herein by reference.</w:t>
      </w:r>
    </w:p>
    <w:p>
      <w:pPr>
        <w:sectPr>
          <w:pgSz w:w="11900" w:h="16838" w:orient="portrait"/>
          <w:cols w:equalWidth="0" w:num="1">
            <w:col w:w="11200"/>
          </w:cols>
          <w:pgMar w:left="320" w:top="917" w:right="379" w:bottom="1440" w:gutter="0" w:footer="0" w:header="0"/>
        </w:sectPr>
      </w:pPr>
    </w:p>
    <w:p>
      <w:pPr>
        <w:ind w:left="240"/>
        <w:spacing w:after="0"/>
        <w:rPr>
          <w:sz w:val="20"/>
          <w:szCs w:val="20"/>
          <w:color w:val="auto"/>
        </w:rPr>
      </w:pPr>
      <w:r>
        <w:rPr>
          <w:rFonts w:ascii="Arial" w:cs="Arial" w:eastAsia="Arial" w:hAnsi="Arial"/>
          <w:sz w:val="18"/>
          <w:szCs w:val="18"/>
          <w:b w:val="1"/>
          <w:bCs w:val="1"/>
          <w:color w:val="auto"/>
        </w:rPr>
        <w:t>Exhibit</w:t>
      </w: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76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28"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4.1</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4.2</w:t>
      </w:r>
    </w:p>
    <w:p>
      <w:pPr>
        <w:spacing w:after="0" w:line="252"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4.3</w:t>
      </w:r>
    </w:p>
    <w:p>
      <w:pPr>
        <w:spacing w:after="0" w:line="5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5.1*</w:t>
      </w:r>
    </w:p>
    <w:p>
      <w:pPr>
        <w:spacing w:after="0" w:line="5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23.1*</w:t>
      </w:r>
    </w:p>
    <w:p>
      <w:pPr>
        <w:spacing w:after="0" w:line="5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23.2*</w:t>
      </w:r>
    </w:p>
    <w:p>
      <w:pPr>
        <w:spacing w:after="0" w:line="5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24.1*</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169"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6395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 w:lineRule="exact"/>
        <w:rPr>
          <w:rFonts w:ascii="Arial" w:cs="Arial" w:eastAsia="Arial" w:hAnsi="Arial"/>
          <w:sz w:val="18"/>
          <w:szCs w:val="18"/>
          <w:color w:val="auto"/>
        </w:rPr>
      </w:pPr>
    </w:p>
    <w:p>
      <w:pPr>
        <w:ind w:right="240"/>
        <w:spacing w:after="0" w:line="263" w:lineRule="auto"/>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Amended and Restated Certificate of Incorporation of the Registrant, dated October 29, 2021 (incorporated by reference to</w:t>
        </w:r>
      </w:hyperlink>
      <w:r>
        <w:rPr>
          <w:rFonts w:ascii="Arial" w:cs="Arial" w:eastAsia="Arial" w:hAnsi="Arial"/>
          <w:sz w:val="18"/>
          <w:szCs w:val="18"/>
          <w:u w:val="single" w:color="auto"/>
          <w:color w:val="0000FF"/>
        </w:rPr>
        <w:t xml:space="preserve"> </w:t>
      </w:r>
      <w:hyperlink r:id="rId16">
        <w:r>
          <w:rPr>
            <w:rFonts w:ascii="Arial" w:cs="Arial" w:eastAsia="Arial" w:hAnsi="Arial"/>
            <w:sz w:val="18"/>
            <w:szCs w:val="18"/>
            <w:u w:val="single" w:color="auto"/>
            <w:color w:val="0000FF"/>
          </w:rPr>
          <w:t>Exhibit 3.1 to the Registrant’s Current Report on Form 8-K (File No. 001-40958) filed on October 29, 2021)</w:t>
        </w:r>
      </w:hyperlink>
    </w:p>
    <w:p>
      <w:pPr>
        <w:spacing w:after="0" w:line="2" w:lineRule="exact"/>
        <w:rPr>
          <w:sz w:val="20"/>
          <w:szCs w:val="20"/>
          <w:color w:val="auto"/>
        </w:rPr>
      </w:pPr>
    </w:p>
    <w:p>
      <w:pPr>
        <w:ind w:right="80"/>
        <w:spacing w:after="0" w:line="253" w:lineRule="auto"/>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Certificate of Amendment to the Amended and Restated Certificate of Incorporation of the Registrant, dated April 2, 2024</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(incorporated by reference to Exhibit 3.1 to the Registrant’s Current Report on Form 8-K (File No. 001-40958) filed on April 2,</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2024)</w:t>
        </w:r>
      </w:hyperlink>
    </w:p>
    <w:p>
      <w:pPr>
        <w:spacing w:after="0" w:line="7" w:lineRule="exact"/>
        <w:rPr>
          <w:rFonts w:ascii="Arial" w:cs="Arial" w:eastAsia="Arial" w:hAnsi="Arial"/>
          <w:sz w:val="18"/>
          <w:szCs w:val="18"/>
          <w:u w:val="single" w:color="auto"/>
          <w:color w:val="0000FF"/>
        </w:rPr>
      </w:pPr>
    </w:p>
    <w:p>
      <w:pPr>
        <w:ind w:right="400"/>
        <w:spacing w:after="0" w:line="266" w:lineRule="auto"/>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Amended and Restated Bylaws of the Registrant, dated October 29, 2021 (incorporated by reference to Exhibit 3.2 to the</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Registrant’s Current Report on Form 8-K (File No. 001-40958) filed on October 29, 2021)</w:t>
        </w:r>
      </w:hyperlink>
    </w:p>
    <w:p>
      <w:pPr>
        <w:spacing w:after="0"/>
        <w:rPr>
          <w:sz w:val="20"/>
          <w:szCs w:val="20"/>
          <w:color w:val="auto"/>
        </w:rPr>
      </w:pPr>
      <w:r>
        <w:rPr>
          <w:rFonts w:ascii="Arial" w:cs="Arial" w:eastAsia="Arial" w:hAnsi="Arial"/>
          <w:sz w:val="18"/>
          <w:szCs w:val="18"/>
          <w:u w:val="single" w:color="auto"/>
          <w:color w:val="0000FF"/>
        </w:rPr>
        <w:t>Opinion of Davis Polk &amp; Wardwell LLP</w:t>
      </w:r>
    </w:p>
    <w:p>
      <w:pPr>
        <w:spacing w:after="0" w:line="50" w:lineRule="exact"/>
        <w:rPr>
          <w:sz w:val="20"/>
          <w:szCs w:val="20"/>
          <w:color w:val="auto"/>
        </w:rPr>
      </w:pPr>
    </w:p>
    <w:p>
      <w:pPr>
        <w:ind w:right="2820"/>
        <w:spacing w:after="0" w:line="301" w:lineRule="auto"/>
        <w:rPr>
          <w:sz w:val="20"/>
          <w:szCs w:val="20"/>
          <w:color w:val="auto"/>
        </w:rPr>
      </w:pPr>
      <w:r>
        <w:rPr>
          <w:rFonts w:ascii="Arial" w:cs="Arial" w:eastAsia="Arial" w:hAnsi="Arial"/>
          <w:sz w:val="18"/>
          <w:szCs w:val="18"/>
          <w:u w:val="single" w:color="auto"/>
          <w:color w:val="0000FF"/>
        </w:rPr>
        <w:t>Consent of PricewaterhouseCoopers LLP, Independent Registered Public Accounting Firm Consent of Davis Polk &amp; Wardwell LLP (included in Exhibit 5.1) Power of Attorney (included on signature page)</w:t>
      </w:r>
    </w:p>
    <w:p>
      <w:pPr>
        <w:spacing w:after="0" w:line="1" w:lineRule="exact"/>
        <w:rPr>
          <w:sz w:val="20"/>
          <w:szCs w:val="20"/>
          <w:color w:val="auto"/>
        </w:rPr>
      </w:pPr>
    </w:p>
    <w:p>
      <w:pPr>
        <w:sectPr>
          <w:pgSz w:w="11900" w:h="16838" w:orient="portrait"/>
          <w:cols w:equalWidth="0" w:num="2">
            <w:col w:w="880" w:space="300"/>
            <w:col w:w="10020"/>
          </w:cols>
          <w:pgMar w:left="320" w:top="917" w:right="379" w:bottom="1440" w:gutter="0" w:footer="0" w:header="0"/>
          <w:type w:val="continuous"/>
        </w:sectPr>
      </w:pPr>
    </w:p>
    <w:tbl>
      <w:tblPr>
        <w:tblLayout w:type="fixed"/>
        <w:tblInd w:w="20" w:type="dxa"/>
        <w:tblCellMar>
          <w:top w:w="0" w:type="dxa"/>
          <w:left w:w="0" w:type="dxa"/>
          <w:bottom w:w="0" w:type="dxa"/>
          <w:right w:w="0" w:type="dxa"/>
        </w:tblCellMar>
      </w:tblPr>
      <w:tr>
        <w:trPr>
          <w:trHeight w:val="185"/>
        </w:trPr>
        <w:tc>
          <w:tcPr>
            <w:tcW w:w="1160" w:type="dxa"/>
            <w:vAlign w:val="bottom"/>
          </w:tcPr>
          <w:p>
            <w:pPr>
              <w:spacing w:after="0" w:line="179" w:lineRule="exact"/>
              <w:rPr>
                <w:sz w:val="20"/>
                <w:szCs w:val="20"/>
                <w:color w:val="auto"/>
              </w:rPr>
            </w:pPr>
            <w:r>
              <w:rPr>
                <w:rFonts w:ascii="Arial" w:cs="Arial" w:eastAsia="Arial" w:hAnsi="Arial"/>
                <w:sz w:val="18"/>
                <w:szCs w:val="18"/>
                <w:color w:val="auto"/>
              </w:rPr>
              <w:t>99.1</w:t>
            </w:r>
          </w:p>
        </w:tc>
        <w:tc>
          <w:tcPr>
            <w:tcW w:w="4740" w:type="dxa"/>
            <w:vAlign w:val="bottom"/>
            <w:tcBorders>
              <w:bottom w:val="single" w:sz="8" w:color="0000FF"/>
            </w:tcBorders>
            <w:gridSpan w:val="2"/>
          </w:tcPr>
          <w:p>
            <w:pPr>
              <w:spacing w:after="0" w:line="165" w:lineRule="exact"/>
              <w:rPr>
                <w:rFonts w:ascii="Arial" w:cs="Arial" w:eastAsia="Arial" w:hAnsi="Arial"/>
                <w:sz w:val="18"/>
                <w:szCs w:val="18"/>
                <w:color w:val="0000FF"/>
                <w:w w:val="99"/>
              </w:rPr>
            </w:pPr>
            <w:hyperlink r:id="rId19">
              <w:r>
                <w:rPr>
                  <w:rFonts w:ascii="Arial" w:cs="Arial" w:eastAsia="Arial" w:hAnsi="Arial"/>
                  <w:sz w:val="18"/>
                  <w:szCs w:val="18"/>
                  <w:color w:val="0000FF"/>
                  <w:w w:val="99"/>
                </w:rPr>
                <w:t>Second Amended and Restated 2021 Incentive Award Plan</w:t>
              </w:r>
            </w:hyperlink>
          </w:p>
        </w:tc>
        <w:tc>
          <w:tcPr>
            <w:tcW w:w="1620" w:type="dxa"/>
            <w:vAlign w:val="bottom"/>
          </w:tcPr>
          <w:p>
            <w:pPr>
              <w:spacing w:after="0"/>
              <w:rPr>
                <w:sz w:val="16"/>
                <w:szCs w:val="16"/>
                <w:color w:val="auto"/>
              </w:rPr>
            </w:pPr>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99.2*</w:t>
            </w:r>
          </w:p>
        </w:tc>
        <w:tc>
          <w:tcPr>
            <w:tcW w:w="63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First Amendment to Second Amended and Restated 2021 Incentive Award Plan</w:t>
            </w: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107.1*</w:t>
            </w:r>
          </w:p>
        </w:tc>
        <w:tc>
          <w:tcPr>
            <w:tcW w:w="12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Filing Fee Table</w:t>
            </w:r>
          </w:p>
        </w:tc>
        <w:tc>
          <w:tcPr>
            <w:tcW w:w="5080" w:type="dxa"/>
            <w:vAlign w:val="bottom"/>
            <w:gridSpan w:val="2"/>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1">
            <w:col w:w="11200"/>
          </w:cols>
          <w:pgMar w:left="320" w:top="917" w:right="379" w:bottom="1440" w:gutter="0" w:footer="0" w:header="0"/>
          <w:type w:val="continuous"/>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December 15, 2025.</w:t>
      </w:r>
    </w:p>
    <w:p>
      <w:pPr>
        <w:spacing w:after="0" w:line="25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RENT THE RUNWAY, INC.</w:t>
      </w:r>
    </w:p>
    <w:p>
      <w:pPr>
        <w:spacing w:after="0" w:line="266" w:lineRule="exact"/>
        <w:rPr>
          <w:sz w:val="20"/>
          <w:szCs w:val="20"/>
          <w:color w:val="auto"/>
        </w:rPr>
      </w:pPr>
    </w:p>
    <w:p>
      <w:pPr>
        <w:ind w:left="20"/>
        <w:spacing w:after="0"/>
        <w:tabs>
          <w:tab w:leader="none" w:pos="4880" w:val="left"/>
          <w:tab w:leader="none" w:pos="5340" w:val="left"/>
        </w:tabs>
        <w:rPr>
          <w:sz w:val="20"/>
          <w:szCs w:val="20"/>
          <w:color w:val="auto"/>
        </w:rPr>
      </w:pPr>
      <w:r>
        <w:rPr>
          <w:rFonts w:ascii="Arial" w:cs="Arial" w:eastAsia="Arial" w:hAnsi="Arial"/>
          <w:sz w:val="18"/>
          <w:szCs w:val="18"/>
          <w:color w:val="auto"/>
        </w:rPr>
        <w:t>Date: December 15,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34925</wp:posOffset>
            </wp:positionV>
            <wp:extent cx="34632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Jennifer Y. Hyman</w:t>
      </w:r>
    </w:p>
    <w:p>
      <w:pPr>
        <w:spacing w:after="0" w:line="5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Co-Founder, Chief Executive Officer and President</w:t>
      </w:r>
    </w:p>
    <w:p>
      <w:pPr>
        <w:sectPr>
          <w:pgSz w:w="11900" w:h="16838" w:orient="portrait"/>
          <w:cols w:equalWidth="0" w:num="1">
            <w:col w:w="11200"/>
          </w:cols>
          <w:pgMar w:left="320" w:top="917" w:right="37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39"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Each person whose signature appears below hereby constitutes and appoints Jennifer Y. Hyman and Siddharth Thacker, or each of them singly, with full power to act without the other, such person’s true and lawful attorneys-in-fact and agents, with full power of substitution and re-substitution, for him or her and in his or her name, place and stead, in any and all capacities, to sign this registration statement and any and all amendments, including post-effective amendments to this registration statement, and to file the same, with exhibits and schedules thereto, and other documents in connection therewith, with the Securities and Exchange Commission, granting unto said attorneys-in-fact</w:t>
      </w:r>
    </w:p>
    <w:p>
      <w:pPr>
        <w:spacing w:after="0" w:line="226" w:lineRule="auto"/>
        <w:rPr>
          <w:sz w:val="20"/>
          <w:szCs w:val="20"/>
          <w:color w:val="auto"/>
        </w:rPr>
      </w:pPr>
      <w:r>
        <w:rPr>
          <w:rFonts w:ascii="Arial" w:cs="Arial" w:eastAsia="Arial" w:hAnsi="Arial"/>
          <w:sz w:val="18"/>
          <w:szCs w:val="18"/>
          <w:color w:val="auto"/>
        </w:rPr>
        <w:t>and agents, and each of them, full power and authority to do and perform each and every act and thing requisite and necessary or desirable to be done in connection therewith as fully to all intents and purposes as he might or could do in person, hereby ratifying and confirming all</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that said attorneys-in-fact and agents, or any of them, or their or his or her substitute or substitutes may lawfully do or cause to be done by virtue hereof.</w:t>
      </w:r>
    </w:p>
    <w:p>
      <w:pPr>
        <w:spacing w:after="0" w:line="199"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120"/>
          </w:cols>
          <w:pgMar w:left="320" w:top="1403" w:right="459" w:bottom="1440" w:gutter="0" w:footer="0" w:header="0"/>
        </w:sectPr>
      </w:pPr>
    </w:p>
    <w:p>
      <w:pPr>
        <w:spacing w:after="0" w:line="235"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9"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Jennifer Y. Hyman</w:t>
      </w:r>
    </w:p>
    <w:p>
      <w:pPr>
        <w:spacing w:after="0" w:line="104"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091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Siddharth Thacker</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 Dhiren Fonseca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Dhiren Fonseca</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Teri Bariquit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Teri Bariquit</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Peter Comisar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Peter Comisar</w:t>
      </w:r>
    </w:p>
    <w:p>
      <w:pPr>
        <w:spacing w:after="0" w:line="117" w:lineRule="exact"/>
        <w:rPr>
          <w:sz w:val="20"/>
          <w:szCs w:val="20"/>
          <w:color w:val="auto"/>
        </w:rPr>
      </w:pPr>
    </w:p>
    <w:p>
      <w:pPr>
        <w:jc w:val="center"/>
        <w:ind w:left="520"/>
        <w:spacing w:after="0"/>
        <w:rPr>
          <w:sz w:val="20"/>
          <w:szCs w:val="20"/>
          <w:color w:val="auto"/>
        </w:rPr>
      </w:pPr>
      <w:r>
        <w:rPr>
          <w:rFonts w:ascii="Arial" w:cs="Arial" w:eastAsia="Arial" w:hAnsi="Arial"/>
          <w:sz w:val="17"/>
          <w:szCs w:val="17"/>
          <w:color w:val="auto"/>
        </w:rPr>
        <w:t>/s/ Damian Giangiacomo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091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5" w:lineRule="exact"/>
        <w:rPr>
          <w:sz w:val="20"/>
          <w:szCs w:val="20"/>
          <w:color w:val="auto"/>
        </w:rPr>
      </w:pPr>
    </w:p>
    <w:p>
      <w:pPr>
        <w:ind w:left="760" w:right="260" w:firstLine="25"/>
        <w:spacing w:after="0" w:line="364" w:lineRule="auto"/>
        <w:rPr>
          <w:sz w:val="20"/>
          <w:szCs w:val="20"/>
          <w:color w:val="auto"/>
        </w:rPr>
      </w:pPr>
      <w:r>
        <w:rPr>
          <w:rFonts w:ascii="Arial" w:cs="Arial" w:eastAsia="Arial" w:hAnsi="Arial"/>
          <w:sz w:val="17"/>
          <w:szCs w:val="17"/>
          <w:color w:val="auto"/>
        </w:rPr>
        <w:t>Damian Giangiacomo /s/ Daniel Rosensweig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0916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Daniel Rosensweig</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17780</wp:posOffset>
            </wp:positionV>
            <wp:extent cx="3180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Co-Founder, Chief Executive Officer, President and Director</w:t>
      </w:r>
    </w:p>
    <w:p>
      <w:pPr>
        <w:ind w:left="1280"/>
        <w:spacing w:after="0"/>
        <w:rPr>
          <w:sz w:val="20"/>
          <w:szCs w:val="20"/>
          <w:color w:val="auto"/>
        </w:rPr>
      </w:pPr>
      <w:r>
        <w:rPr>
          <w:rFonts w:ascii="Arial" w:cs="Arial" w:eastAsia="Arial" w:hAnsi="Arial"/>
          <w:sz w:val="18"/>
          <w:szCs w:val="18"/>
          <w:i w:val="1"/>
          <w:iCs w:val="1"/>
          <w:color w:val="auto"/>
        </w:rPr>
        <w:t>(Principal Executive Officer)</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 and</w:t>
      </w:r>
    </w:p>
    <w:p>
      <w:pPr>
        <w:ind w:left="1240"/>
        <w:spacing w:after="0"/>
        <w:rPr>
          <w:sz w:val="20"/>
          <w:szCs w:val="20"/>
          <w:color w:val="auto"/>
        </w:rPr>
      </w:pPr>
      <w:r>
        <w:rPr>
          <w:rFonts w:ascii="Arial" w:cs="Arial" w:eastAsia="Arial" w:hAnsi="Arial"/>
          <w:sz w:val="18"/>
          <w:szCs w:val="18"/>
          <w:i w:val="1"/>
          <w:iCs w:val="1"/>
          <w:color w:val="auto"/>
        </w:rPr>
        <w:t>Principal Accounting Officer)</w:t>
      </w:r>
    </w:p>
    <w:p>
      <w:pPr>
        <w:spacing w:after="0" w:line="28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Executive Chair and Director</w:t>
      </w:r>
    </w:p>
    <w:p>
      <w:pPr>
        <w:spacing w:after="0" w:line="387"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4141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5" w:lineRule="exact"/>
        <w:rPr>
          <w:sz w:val="20"/>
          <w:szCs w:val="20"/>
          <w:color w:val="auto"/>
        </w:rPr>
      </w:pPr>
    </w:p>
    <w:p>
      <w:pPr>
        <w:jc w:val="center"/>
        <w:ind w:right="720"/>
        <w:spacing w:after="0"/>
        <w:rPr>
          <w:sz w:val="20"/>
          <w:szCs w:val="20"/>
          <w:color w:val="auto"/>
        </w:rPr>
      </w:pPr>
      <w:r>
        <w:rPr>
          <w:rFonts w:ascii="Arial" w:cs="Arial" w:eastAsia="Arial" w:hAnsi="Arial"/>
          <w:sz w:val="17"/>
          <w:szCs w:val="17"/>
          <w:color w:val="auto"/>
        </w:rPr>
        <w:t>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153670</wp:posOffset>
            </wp:positionV>
            <wp:extent cx="1414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153670</wp:posOffset>
            </wp:positionV>
            <wp:extent cx="14141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153670</wp:posOffset>
            </wp:positionV>
            <wp:extent cx="14141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153670</wp:posOffset>
            </wp:positionV>
            <wp:extent cx="14141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153670</wp:posOffset>
            </wp:positionV>
            <wp:extent cx="14141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153670</wp:posOffset>
            </wp:positionV>
            <wp:extent cx="1414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153670</wp:posOffset>
            </wp:positionV>
            <wp:extent cx="14141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ectPr>
          <w:pgSz w:w="11900" w:h="16838" w:orient="portrait"/>
          <w:cols w:equalWidth="0" w:num="3">
            <w:col w:w="2800" w:space="720"/>
            <w:col w:w="4760" w:space="540"/>
            <w:col w:w="2300"/>
          </w:cols>
          <w:pgMar w:left="320" w:top="1403" w:right="45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107.1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 the Runway,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Newly Registered Securities</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1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Security</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Security Class</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Fee</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Amount</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Proposed</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Maximum</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Fee Rate</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Amount of</w:t>
            </w:r>
          </w:p>
        </w:tc>
      </w:tr>
      <w:tr>
        <w:trPr>
          <w:trHeight w:val="208"/>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Type</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Title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Calculation</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to be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Maximum</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Aggregate</w:t>
            </w:r>
          </w:p>
        </w:tc>
        <w:tc>
          <w:tcPr>
            <w:tcW w:w="14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Registration Fee</w:t>
            </w:r>
          </w:p>
        </w:tc>
      </w:tr>
      <w:tr>
        <w:trPr>
          <w:trHeight w:val="215"/>
        </w:trPr>
        <w:tc>
          <w:tcPr>
            <w:tcW w:w="114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Rule</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Registered (1)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Offering Price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Offering Price</w:t>
            </w:r>
          </w:p>
        </w:tc>
        <w:tc>
          <w:tcPr>
            <w:tcW w:w="14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244"/>
        </w:trPr>
        <w:tc>
          <w:tcPr>
            <w:tcW w:w="1140" w:type="dxa"/>
            <w:vAlign w:val="bottom"/>
            <w:tcBorders>
              <w:left w:val="single" w:sz="8" w:color="auto"/>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Per Unit</w:t>
            </w:r>
          </w:p>
        </w:tc>
        <w:tc>
          <w:tcPr>
            <w:tcW w:w="16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r>
      <w:tr>
        <w:trPr>
          <w:trHeight w:val="214"/>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Equity</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Class A</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Rule 457(c) and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3,899,439 (2)</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$5.295 (3)</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$20,647,529.51</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$138.10 per</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$2,851.42</w:t>
            </w:r>
          </w:p>
        </w:tc>
      </w:tr>
      <w:tr>
        <w:trPr>
          <w:trHeight w:val="203"/>
        </w:trPr>
        <w:tc>
          <w:tcPr>
            <w:tcW w:w="114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common stock,</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Rule 457(h)</w:t>
            </w:r>
          </w:p>
        </w:tc>
        <w:tc>
          <w:tcPr>
            <w:tcW w:w="13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$1,000,000</w:t>
            </w:r>
          </w:p>
        </w:tc>
        <w:tc>
          <w:tcPr>
            <w:tcW w:w="1660" w:type="dxa"/>
            <w:vAlign w:val="bottom"/>
            <w:tcBorders>
              <w:right w:val="single" w:sz="8" w:color="auto"/>
            </w:tcBorders>
          </w:tcPr>
          <w:p>
            <w:pPr>
              <w:spacing w:after="0"/>
              <w:rPr>
                <w:sz w:val="17"/>
                <w:szCs w:val="17"/>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$0.001 par</w:t>
            </w:r>
          </w:p>
        </w:tc>
        <w:tc>
          <w:tcPr>
            <w:tcW w:w="1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225"/>
        </w:trPr>
        <w:tc>
          <w:tcPr>
            <w:tcW w:w="1140" w:type="dxa"/>
            <w:vAlign w:val="bottom"/>
            <w:tcBorders>
              <w:left w:val="single" w:sz="8" w:color="auto"/>
              <w:right w:val="single" w:sz="8" w:color="auto"/>
            </w:tcBorders>
          </w:tcPr>
          <w:p>
            <w:pPr>
              <w:spacing w:after="0"/>
              <w:rPr>
                <w:sz w:val="19"/>
                <w:szCs w:val="19"/>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value per share</w:t>
            </w:r>
          </w:p>
        </w:tc>
        <w:tc>
          <w:tcPr>
            <w:tcW w:w="134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r>
      <w:tr>
        <w:trPr>
          <w:trHeight w:val="40"/>
        </w:trPr>
        <w:tc>
          <w:tcPr>
            <w:tcW w:w="11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3"/>
        </w:trPr>
        <w:tc>
          <w:tcPr>
            <w:tcW w:w="1140" w:type="dxa"/>
            <w:vAlign w:val="bottom"/>
            <w:tcBorders>
              <w:left w:val="single" w:sz="8" w:color="auto"/>
            </w:tcBorders>
          </w:tcPr>
          <w:p>
            <w:pPr>
              <w:spacing w:after="0"/>
              <w:rPr>
                <w:sz w:val="20"/>
                <w:szCs w:val="20"/>
                <w:color w:val="auto"/>
              </w:rPr>
            </w:pPr>
          </w:p>
        </w:tc>
        <w:tc>
          <w:tcPr>
            <w:tcW w:w="2660" w:type="dxa"/>
            <w:vAlign w:val="bottom"/>
            <w:gridSpan w:val="2"/>
          </w:tcPr>
          <w:p>
            <w:pPr>
              <w:jc w:val="center"/>
              <w:ind w:left="194"/>
              <w:spacing w:after="0"/>
              <w:rPr>
                <w:sz w:val="20"/>
                <w:szCs w:val="20"/>
                <w:color w:val="auto"/>
              </w:rPr>
            </w:pPr>
            <w:r>
              <w:rPr>
                <w:rFonts w:ascii="Arial" w:cs="Arial" w:eastAsia="Arial" w:hAnsi="Arial"/>
                <w:sz w:val="17"/>
                <w:szCs w:val="17"/>
                <w:b w:val="1"/>
                <w:bCs w:val="1"/>
                <w:color w:val="auto"/>
              </w:rPr>
              <w:t>Total Offering Amounts</w:t>
            </w:r>
          </w:p>
        </w:tc>
        <w:tc>
          <w:tcPr>
            <w:tcW w:w="13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$20,647,529.51</w:t>
            </w:r>
          </w:p>
        </w:tc>
        <w:tc>
          <w:tcPr>
            <w:tcW w:w="14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$2,851.42</w:t>
            </w:r>
          </w:p>
        </w:tc>
      </w:tr>
      <w:tr>
        <w:trPr>
          <w:trHeight w:val="31"/>
        </w:trPr>
        <w:tc>
          <w:tcPr>
            <w:tcW w:w="114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3"/>
        </w:trPr>
        <w:tc>
          <w:tcPr>
            <w:tcW w:w="1140" w:type="dxa"/>
            <w:vAlign w:val="bottom"/>
            <w:tcBorders>
              <w:left w:val="single" w:sz="8" w:color="auto"/>
            </w:tcBorders>
          </w:tcPr>
          <w:p>
            <w:pPr>
              <w:spacing w:after="0"/>
              <w:rPr>
                <w:sz w:val="20"/>
                <w:szCs w:val="20"/>
                <w:color w:val="auto"/>
              </w:rPr>
            </w:pPr>
          </w:p>
        </w:tc>
        <w:tc>
          <w:tcPr>
            <w:tcW w:w="2660" w:type="dxa"/>
            <w:vAlign w:val="bottom"/>
            <w:gridSpan w:val="2"/>
          </w:tcPr>
          <w:p>
            <w:pPr>
              <w:jc w:val="center"/>
              <w:ind w:left="194"/>
              <w:spacing w:after="0"/>
              <w:rPr>
                <w:sz w:val="20"/>
                <w:szCs w:val="20"/>
                <w:color w:val="auto"/>
              </w:rPr>
            </w:pPr>
            <w:r>
              <w:rPr>
                <w:rFonts w:ascii="Arial" w:cs="Arial" w:eastAsia="Arial" w:hAnsi="Arial"/>
                <w:sz w:val="17"/>
                <w:szCs w:val="17"/>
                <w:b w:val="1"/>
                <w:bCs w:val="1"/>
                <w:color w:val="auto"/>
                <w:w w:val="99"/>
              </w:rPr>
              <w:t xml:space="preserve">Total Fee Offsets </w:t>
            </w:r>
            <w:r>
              <w:rPr>
                <w:rFonts w:ascii="Arial" w:cs="Arial" w:eastAsia="Arial" w:hAnsi="Arial"/>
                <w:sz w:val="17"/>
                <w:szCs w:val="17"/>
                <w:color w:val="auto"/>
                <w:w w:val="99"/>
              </w:rPr>
              <w:t>(4)</w:t>
            </w:r>
          </w:p>
        </w:tc>
        <w:tc>
          <w:tcPr>
            <w:tcW w:w="13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r>
      <w:tr>
        <w:trPr>
          <w:trHeight w:val="30"/>
        </w:trPr>
        <w:tc>
          <w:tcPr>
            <w:tcW w:w="114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3"/>
        </w:trPr>
        <w:tc>
          <w:tcPr>
            <w:tcW w:w="1140" w:type="dxa"/>
            <w:vAlign w:val="bottom"/>
            <w:tcBorders>
              <w:left w:val="single" w:sz="8" w:color="auto"/>
            </w:tcBorders>
          </w:tcPr>
          <w:p>
            <w:pPr>
              <w:spacing w:after="0"/>
              <w:rPr>
                <w:sz w:val="20"/>
                <w:szCs w:val="20"/>
                <w:color w:val="auto"/>
              </w:rPr>
            </w:pPr>
          </w:p>
        </w:tc>
        <w:tc>
          <w:tcPr>
            <w:tcW w:w="2660" w:type="dxa"/>
            <w:vAlign w:val="bottom"/>
            <w:gridSpan w:val="2"/>
          </w:tcPr>
          <w:p>
            <w:pPr>
              <w:jc w:val="center"/>
              <w:ind w:left="194"/>
              <w:spacing w:after="0"/>
              <w:rPr>
                <w:sz w:val="20"/>
                <w:szCs w:val="20"/>
                <w:color w:val="auto"/>
              </w:rPr>
            </w:pPr>
            <w:r>
              <w:rPr>
                <w:rFonts w:ascii="Arial" w:cs="Arial" w:eastAsia="Arial" w:hAnsi="Arial"/>
                <w:sz w:val="17"/>
                <w:szCs w:val="17"/>
                <w:b w:val="1"/>
                <w:bCs w:val="1"/>
                <w:color w:val="auto"/>
                <w:w w:val="99"/>
              </w:rPr>
              <w:t>Net Fee Due</w:t>
            </w:r>
          </w:p>
        </w:tc>
        <w:tc>
          <w:tcPr>
            <w:tcW w:w="13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$2,851.42</w:t>
            </w:r>
          </w:p>
        </w:tc>
      </w:tr>
      <w:tr>
        <w:trPr>
          <w:trHeight w:val="30"/>
        </w:trPr>
        <w:tc>
          <w:tcPr>
            <w:tcW w:w="114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89" w:lineRule="exact"/>
        <w:rPr>
          <w:sz w:val="20"/>
          <w:szCs w:val="20"/>
          <w:color w:val="auto"/>
        </w:rPr>
      </w:pPr>
    </w:p>
    <w:p>
      <w:pPr>
        <w:ind w:left="560" w:right="180" w:hanging="366"/>
        <w:spacing w:after="0" w:line="189" w:lineRule="auto"/>
        <w:tabs>
          <w:tab w:leader="none" w:pos="560" w:val="left"/>
        </w:tabs>
        <w:numPr>
          <w:ilvl w:val="0"/>
          <w:numId w:val="1"/>
        </w:numPr>
        <w:rPr>
          <w:rFonts w:ascii="Arial" w:cs="Arial" w:eastAsia="Arial" w:hAnsi="Arial"/>
          <w:sz w:val="37"/>
          <w:szCs w:val="37"/>
          <w:color w:val="auto"/>
          <w:vertAlign w:val="subscript"/>
        </w:rPr>
      </w:pPr>
      <w:r>
        <w:rPr>
          <w:rFonts w:ascii="Arial" w:cs="Arial" w:eastAsia="Arial" w:hAnsi="Arial"/>
          <w:sz w:val="17"/>
          <w:szCs w:val="17"/>
          <w:color w:val="auto"/>
        </w:rPr>
        <w:t>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w:t>
      </w:r>
    </w:p>
    <w:p>
      <w:pPr>
        <w:spacing w:after="0" w:line="86" w:lineRule="exact"/>
        <w:rPr>
          <w:rFonts w:ascii="Arial" w:cs="Arial" w:eastAsia="Arial" w:hAnsi="Arial"/>
          <w:sz w:val="37"/>
          <w:szCs w:val="37"/>
          <w:color w:val="auto"/>
          <w:vertAlign w:val="subscript"/>
        </w:rPr>
      </w:pPr>
    </w:p>
    <w:p>
      <w:pPr>
        <w:ind w:left="560" w:right="100" w:hanging="366"/>
        <w:spacing w:after="0" w:line="263" w:lineRule="auto"/>
        <w:tabs>
          <w:tab w:leader="none" w:pos="560" w:val="left"/>
        </w:tabs>
        <w:numPr>
          <w:ilvl w:val="0"/>
          <w:numId w:val="1"/>
        </w:numPr>
        <w:rPr>
          <w:rFonts w:ascii="Arial" w:cs="Arial" w:eastAsia="Arial" w:hAnsi="Arial"/>
          <w:sz w:val="20"/>
          <w:szCs w:val="20"/>
          <w:color w:val="auto"/>
        </w:rPr>
      </w:pPr>
      <w:r>
        <w:rPr>
          <w:rFonts w:ascii="Arial" w:cs="Arial" w:eastAsia="Arial" w:hAnsi="Arial"/>
          <w:sz w:val="18"/>
          <w:szCs w:val="18"/>
          <w:color w:val="auto"/>
        </w:rPr>
        <w:t>Consists of an additional 3,899,439 shares of Class A common stock that may become issuable under the Second Amended and Restated 2021 Incentive Award Plan, as amended (the “2021 Plan”) of Rent the Runway, Inc. (the “Registrant”) pursuant to the terms of the 2021 Plan if the Registrant’s stockholders approve the First Amendment to the Second Amended and Restated 2021 Incentive Award Plan at the Registrant’s next regular annual meeting.</w:t>
      </w:r>
    </w:p>
    <w:p>
      <w:pPr>
        <w:spacing w:after="0" w:line="80" w:lineRule="exact"/>
        <w:rPr>
          <w:rFonts w:ascii="Arial" w:cs="Arial" w:eastAsia="Arial" w:hAnsi="Arial"/>
          <w:sz w:val="20"/>
          <w:szCs w:val="20"/>
          <w:color w:val="auto"/>
        </w:rPr>
      </w:pPr>
    </w:p>
    <w:p>
      <w:pPr>
        <w:jc w:val="both"/>
        <w:ind w:left="560" w:right="480" w:hanging="366"/>
        <w:spacing w:after="0" w:line="260" w:lineRule="auto"/>
        <w:tabs>
          <w:tab w:leader="none" w:pos="560" w:val="left"/>
        </w:tabs>
        <w:numPr>
          <w:ilvl w:val="0"/>
          <w:numId w:val="1"/>
        </w:numPr>
        <w:rPr>
          <w:rFonts w:ascii="Arial" w:cs="Arial" w:eastAsia="Arial" w:hAnsi="Arial"/>
          <w:sz w:val="20"/>
          <w:szCs w:val="20"/>
          <w:color w:val="auto"/>
        </w:rPr>
      </w:pPr>
      <w:r>
        <w:rPr>
          <w:rFonts w:ascii="Arial" w:cs="Arial" w:eastAsia="Arial" w:hAnsi="Arial"/>
          <w:sz w:val="18"/>
          <w:szCs w:val="18"/>
          <w:color w:val="auto"/>
        </w:rPr>
        <w:t>Estimated solely for the purpose of calculating the registration fee pursuant to Rules 457(c) and 457(h) of the Securities Act, and based upon the average of the high and low prices of the Registrant’s Class A common stock as reported on The Nasdaq Stock Market LLC on December 8, 2025.</w:t>
      </w:r>
    </w:p>
    <w:p>
      <w:pPr>
        <w:ind w:left="560" w:hanging="366"/>
        <w:spacing w:after="0" w:line="180" w:lineRule="auto"/>
        <w:tabs>
          <w:tab w:leader="none" w:pos="560" w:val="left"/>
        </w:tabs>
        <w:numPr>
          <w:ilvl w:val="0"/>
          <w:numId w:val="1"/>
        </w:numPr>
        <w:rPr>
          <w:rFonts w:ascii="Arial" w:cs="Arial" w:eastAsia="Arial" w:hAnsi="Arial"/>
          <w:sz w:val="36"/>
          <w:szCs w:val="36"/>
          <w:color w:val="auto"/>
          <w:vertAlign w:val="subscript"/>
        </w:rPr>
      </w:pPr>
      <w:r>
        <w:rPr>
          <w:rFonts w:ascii="Arial" w:cs="Arial" w:eastAsia="Arial" w:hAnsi="Arial"/>
          <w:sz w:val="17"/>
          <w:szCs w:val="17"/>
          <w:color w:val="auto"/>
        </w:rPr>
        <w:t>The Registrant does not have any fee offsets.</w:t>
      </w:r>
    </w:p>
    <w:p>
      <w:pPr>
        <w:sectPr>
          <w:pgSz w:w="11900" w:h="16838" w:orient="portrait"/>
          <w:cols w:equalWidth="0" w:num="1">
            <w:col w:w="11240"/>
          </w:cols>
          <w:pgMar w:left="320" w:top="917" w:right="339" w:bottom="1440" w:gutter="0" w:footer="0" w:header="0"/>
        </w:sectPr>
      </w:pPr>
    </w:p>
    <w:bookmarkStart w:id="6" w:name="page7"/>
    <w:bookmarkEnd w:id="6"/>
    <w:p>
      <w:pPr>
        <w:ind w:left="2360"/>
        <w:spacing w:after="0"/>
        <w:rPr>
          <w:sz w:val="20"/>
          <w:szCs w:val="20"/>
          <w:color w:val="auto"/>
        </w:rPr>
      </w:pPr>
      <w:r>
        <w:rPr>
          <w:rFonts w:ascii="Arial" w:cs="Arial" w:eastAsia="Arial" w:hAnsi="Arial"/>
          <w:sz w:val="13"/>
          <w:szCs w:val="13"/>
          <w:color w:val="140BE3"/>
        </w:rPr>
        <w:drawing>
          <wp:anchor simplePos="0" relativeHeight="251657728" behindDoc="1" locked="0" layoutInCell="0" allowOverlap="1">
            <wp:simplePos x="0" y="0"/>
            <wp:positionH relativeFrom="page">
              <wp:posOffset>216535</wp:posOffset>
            </wp:positionH>
            <wp:positionV relativeFrom="page">
              <wp:posOffset>440055</wp:posOffset>
            </wp:positionV>
            <wp:extent cx="89154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891540" cy="154305"/>
                    </a:xfrm>
                    <a:prstGeom prst="rect">
                      <a:avLst/>
                    </a:prstGeom>
                    <a:noFill/>
                  </pic:spPr>
                </pic:pic>
              </a:graphicData>
            </a:graphic>
          </wp:anchor>
        </w:drawing>
        <w:t>Davis Polk &amp; Wardwell llp</w:t>
      </w:r>
    </w:p>
    <w:p>
      <w:pPr>
        <w:spacing w:after="0" w:line="16" w:lineRule="exact"/>
        <w:rPr>
          <w:sz w:val="20"/>
          <w:szCs w:val="20"/>
          <w:color w:val="auto"/>
        </w:rPr>
      </w:pPr>
    </w:p>
    <w:p>
      <w:pPr>
        <w:ind w:left="2360"/>
        <w:spacing w:after="0"/>
        <w:rPr>
          <w:sz w:val="20"/>
          <w:szCs w:val="20"/>
          <w:color w:val="auto"/>
        </w:rPr>
      </w:pPr>
      <w:r>
        <w:rPr>
          <w:rFonts w:ascii="Arial" w:cs="Arial" w:eastAsia="Arial" w:hAnsi="Arial"/>
          <w:sz w:val="13"/>
          <w:szCs w:val="13"/>
          <w:color w:val="140BE3"/>
        </w:rPr>
        <w:t>450 Lexington Avenue</w:t>
      </w:r>
    </w:p>
    <w:p>
      <w:pPr>
        <w:spacing w:after="0" w:line="22" w:lineRule="exact"/>
        <w:rPr>
          <w:sz w:val="20"/>
          <w:szCs w:val="20"/>
          <w:color w:val="auto"/>
        </w:rPr>
      </w:pPr>
    </w:p>
    <w:p>
      <w:pPr>
        <w:ind w:left="2360"/>
        <w:spacing w:after="0"/>
        <w:rPr>
          <w:sz w:val="20"/>
          <w:szCs w:val="20"/>
          <w:color w:val="auto"/>
        </w:rPr>
      </w:pPr>
      <w:r>
        <w:rPr>
          <w:rFonts w:ascii="Arial" w:cs="Arial" w:eastAsia="Arial" w:hAnsi="Arial"/>
          <w:sz w:val="13"/>
          <w:szCs w:val="13"/>
          <w:color w:val="140BE3"/>
        </w:rPr>
        <w:t>New York, NY 10017</w:t>
      </w:r>
    </w:p>
    <w:p>
      <w:pPr>
        <w:spacing w:after="0" w:line="26" w:lineRule="exact"/>
        <w:rPr>
          <w:sz w:val="20"/>
          <w:szCs w:val="20"/>
          <w:color w:val="auto"/>
        </w:rPr>
      </w:pPr>
    </w:p>
    <w:p>
      <w:pPr>
        <w:ind w:left="2360"/>
        <w:spacing w:after="0"/>
        <w:rPr>
          <w:sz w:val="20"/>
          <w:szCs w:val="20"/>
          <w:color w:val="auto"/>
        </w:rPr>
      </w:pPr>
      <w:r>
        <w:rPr>
          <w:rFonts w:ascii="Arial" w:cs="Arial" w:eastAsia="Arial" w:hAnsi="Arial"/>
          <w:sz w:val="13"/>
          <w:szCs w:val="13"/>
          <w:color w:val="140BE3"/>
        </w:rPr>
        <w:t>davispolk.com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15, 2025</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 and 23.2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Rent the Runway,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10 Jay Street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Brooklyn, New York 11201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93" w:lineRule="exact"/>
        <w:rPr>
          <w:sz w:val="20"/>
          <w:szCs w:val="20"/>
          <w:color w:val="auto"/>
        </w:rPr>
      </w:pPr>
    </w:p>
    <w:p>
      <w:pPr>
        <w:ind w:right="120"/>
        <w:spacing w:after="0" w:line="313" w:lineRule="auto"/>
        <w:rPr>
          <w:sz w:val="20"/>
          <w:szCs w:val="20"/>
          <w:color w:val="auto"/>
        </w:rPr>
      </w:pPr>
      <w:r>
        <w:rPr>
          <w:rFonts w:ascii="Arial" w:cs="Arial" w:eastAsia="Arial" w:hAnsi="Arial"/>
          <w:sz w:val="18"/>
          <w:szCs w:val="18"/>
          <w:color w:val="auto"/>
        </w:rPr>
        <w:t>We have acted as counsel for Rent the Runway,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preparation and filing of a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with the Securities and Exchange Commission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for the purpose of registering under the Securities Act 3,899,439 shares of the Company’s Class A common stock, par value $0.001 per share (the “</w:t>
      </w:r>
      <w:r>
        <w:rPr>
          <w:rFonts w:ascii="Arial" w:cs="Arial" w:eastAsia="Arial" w:hAnsi="Arial"/>
          <w:sz w:val="18"/>
          <w:szCs w:val="18"/>
          <w:b w:val="1"/>
          <w:bCs w:val="1"/>
          <w:color w:val="auto"/>
        </w:rPr>
        <w:t>Shares</w:t>
      </w:r>
      <w:r>
        <w:rPr>
          <w:rFonts w:ascii="Arial" w:cs="Arial" w:eastAsia="Arial" w:hAnsi="Arial"/>
          <w:sz w:val="18"/>
          <w:szCs w:val="18"/>
          <w:color w:val="auto"/>
        </w:rPr>
        <w:t>”) issuable pursuant to the Rent the Runway, Inc. Second Amended and Restated 2021 Incentive Award Plan (the “</w:t>
      </w:r>
      <w:r>
        <w:rPr>
          <w:rFonts w:ascii="Arial" w:cs="Arial" w:eastAsia="Arial" w:hAnsi="Arial"/>
          <w:sz w:val="18"/>
          <w:szCs w:val="18"/>
          <w:b w:val="1"/>
          <w:bCs w:val="1"/>
          <w:color w:val="auto"/>
        </w:rPr>
        <w:t>Plan</w:t>
      </w:r>
      <w:r>
        <w:rPr>
          <w:rFonts w:ascii="Arial" w:cs="Arial" w:eastAsia="Arial" w:hAnsi="Arial"/>
          <w:sz w:val="18"/>
          <w:szCs w:val="18"/>
          <w:color w:val="auto"/>
        </w:rPr>
        <w:t>”), as amended by the First Amendment to the Plan (the “</w:t>
      </w:r>
      <w:r>
        <w:rPr>
          <w:rFonts w:ascii="Arial" w:cs="Arial" w:eastAsia="Arial" w:hAnsi="Arial"/>
          <w:sz w:val="18"/>
          <w:szCs w:val="18"/>
          <w:b w:val="1"/>
          <w:bCs w:val="1"/>
          <w:color w:val="auto"/>
        </w:rPr>
        <w:t>First Amendment</w:t>
      </w:r>
      <w:r>
        <w:rPr>
          <w:rFonts w:ascii="Arial" w:cs="Arial" w:eastAsia="Arial" w:hAnsi="Arial"/>
          <w:sz w:val="18"/>
          <w:szCs w:val="18"/>
          <w:color w:val="auto"/>
        </w:rPr>
        <w:t>”), provided that the First Amendment is approved by the stockholders of the Company at the Company’s next regular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As such counsel, we have made such legal and factual examination and inquiries as we have deemed necessary or appropriate for purposes of this opinion and have made such additional assumptions as are set forth below. This opinion is furnished pursuant to the requirements of Item 601(b)(5) of Regulation S-K.</w:t>
      </w:r>
    </w:p>
    <w:p>
      <w:pPr>
        <w:spacing w:after="0" w:line="176" w:lineRule="exact"/>
        <w:rPr>
          <w:sz w:val="20"/>
          <w:szCs w:val="20"/>
          <w:color w:val="auto"/>
        </w:rPr>
      </w:pPr>
    </w:p>
    <w:p>
      <w:pPr>
        <w:ind w:right="300"/>
        <w:spacing w:after="0" w:line="350" w:lineRule="auto"/>
        <w:rPr>
          <w:sz w:val="20"/>
          <w:szCs w:val="20"/>
          <w:color w:val="auto"/>
        </w:rPr>
      </w:pPr>
      <w:r>
        <w:rPr>
          <w:rFonts w:ascii="Arial" w:cs="Arial" w:eastAsia="Arial" w:hAnsi="Arial"/>
          <w:sz w:val="18"/>
          <w:szCs w:val="18"/>
          <w:color w:val="auto"/>
        </w:rPr>
        <w:t>We, as the Company’s counsel, have examined originals or copies of such documents, corporate records and other instruments and such matters of fact and law as we have deemed necessary or advisable for the purposes of rendering the opinion expressed herein.</w:t>
      </w:r>
    </w:p>
    <w:p>
      <w:pPr>
        <w:spacing w:after="0" w:line="152"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68" w:lineRule="exact"/>
        <w:rPr>
          <w:sz w:val="20"/>
          <w:szCs w:val="20"/>
          <w:color w:val="auto"/>
        </w:rPr>
      </w:pPr>
    </w:p>
    <w:p>
      <w:pPr>
        <w:ind w:right="60"/>
        <w:spacing w:after="0" w:line="331" w:lineRule="auto"/>
        <w:rPr>
          <w:sz w:val="20"/>
          <w:szCs w:val="20"/>
          <w:color w:val="auto"/>
        </w:rPr>
      </w:pPr>
      <w:r>
        <w:rPr>
          <w:rFonts w:ascii="Arial" w:cs="Arial" w:eastAsia="Arial" w:hAnsi="Arial"/>
          <w:sz w:val="18"/>
          <w:szCs w:val="18"/>
          <w:color w:val="auto"/>
        </w:rPr>
        <w:t>Upon the basis of the foregoing, we are of the opinion that, if the First Amendment is approved by the Company’s stockholders at the Annual Meeting, then the Shares that may become issuable pursuant to the Plan, as amended by the First Amendment (the “</w:t>
      </w:r>
      <w:r>
        <w:rPr>
          <w:rFonts w:ascii="Arial" w:cs="Arial" w:eastAsia="Arial" w:hAnsi="Arial"/>
          <w:sz w:val="18"/>
          <w:szCs w:val="18"/>
          <w:b w:val="1"/>
          <w:bCs w:val="1"/>
          <w:color w:val="auto"/>
        </w:rPr>
        <w:t>Amended Plan</w:t>
      </w:r>
      <w:r>
        <w:rPr>
          <w:rFonts w:ascii="Arial" w:cs="Arial" w:eastAsia="Arial" w:hAnsi="Arial"/>
          <w:sz w:val="18"/>
          <w:szCs w:val="18"/>
          <w:color w:val="auto"/>
        </w:rPr>
        <w:t>”), will be duly authorized and, when and to</w:t>
      </w:r>
    </w:p>
    <w:p>
      <w:pPr>
        <w:sectPr>
          <w:pgSz w:w="11900" w:h="16838" w:orient="portrait"/>
          <w:cols w:equalWidth="0" w:num="1">
            <w:col w:w="11240"/>
          </w:cols>
          <w:pgMar w:left="320" w:top="716"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89154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the extent issued in accordance with the terms of the Amended Plan, will be legally and validly issued, fully paid and non-assessable.</w:t>
      </w:r>
    </w:p>
    <w:p>
      <w:pPr>
        <w:spacing w:after="0" w:line="279" w:lineRule="exact"/>
        <w:rPr>
          <w:sz w:val="20"/>
          <w:szCs w:val="20"/>
          <w:color w:val="auto"/>
        </w:rPr>
      </w:pPr>
    </w:p>
    <w:p>
      <w:pPr>
        <w:ind w:right="1080"/>
        <w:spacing w:after="0" w:line="334" w:lineRule="auto"/>
        <w:rPr>
          <w:sz w:val="20"/>
          <w:szCs w:val="20"/>
          <w:color w:val="auto"/>
        </w:rPr>
      </w:pPr>
      <w:r>
        <w:rPr>
          <w:rFonts w:ascii="Arial" w:cs="Arial" w:eastAsia="Arial" w:hAnsi="Arial"/>
          <w:sz w:val="18"/>
          <w:szCs w:val="18"/>
          <w:color w:val="auto"/>
        </w:rPr>
        <w:t>This opinion is given as of the date hereof. We assume no obligation to update or supplement this opinion to reflect any facts or circumstances which may hereafter come to our attention or any changes in laws which may hereafter occur.</w:t>
      </w:r>
    </w:p>
    <w:p>
      <w:pPr>
        <w:spacing w:after="0" w:line="166"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This opinion letter is provided to the Securities and Exchange Commission for use solely in connection with the transactions contemplated by the Registration Statement and may not be used, circulated, quoted or otherwise relied upon by any other person or for any other purpose without express written consent.</w:t>
      </w:r>
    </w:p>
    <w:p>
      <w:pPr>
        <w:spacing w:after="0" w:line="177" w:lineRule="exact"/>
        <w:rPr>
          <w:sz w:val="20"/>
          <w:szCs w:val="20"/>
          <w:color w:val="auto"/>
        </w:rPr>
      </w:pPr>
    </w:p>
    <w:p>
      <w:pPr>
        <w:ind w:right="580"/>
        <w:spacing w:after="0" w:line="350"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General Corporation Law of the State of Delaware.</w:t>
      </w:r>
    </w:p>
    <w:p>
      <w:pPr>
        <w:spacing w:after="0" w:line="152" w:lineRule="exact"/>
        <w:rPr>
          <w:sz w:val="20"/>
          <w:szCs w:val="20"/>
          <w:color w:val="auto"/>
        </w:rPr>
      </w:pPr>
    </w:p>
    <w:p>
      <w:pPr>
        <w:ind w:right="40"/>
        <w:spacing w:after="0" w:line="334"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this consent, we do not admit that we are in the category of persons whose consent is required under Section 7 of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0"/>
        <w:spacing w:after="0"/>
        <w:tabs>
          <w:tab w:leader="none" w:pos="1300" w:val="left"/>
        </w:tabs>
        <w:rPr>
          <w:sz w:val="20"/>
          <w:szCs w:val="20"/>
          <w:color w:val="auto"/>
        </w:rPr>
      </w:pPr>
      <w:r>
        <w:rPr>
          <w:rFonts w:ascii="Arial" w:cs="Arial" w:eastAsia="Arial" w:hAnsi="Arial"/>
          <w:sz w:val="13"/>
          <w:szCs w:val="13"/>
          <w:color w:val="auto"/>
        </w:rPr>
        <w:t>December 15, 2025</w:t>
        <w:tab/>
        <w:t>2</w:t>
      </w:r>
    </w:p>
    <w:p>
      <w:pPr>
        <w:sectPr>
          <w:pgSz w:w="11900" w:h="16838" w:orient="portrait"/>
          <w:cols w:equalWidth="0" w:num="1">
            <w:col w:w="11200"/>
          </w:cols>
          <w:pgMar w:left="320" w:top="1440" w:right="379" w:bottom="1440" w:gutter="0" w:footer="0" w:header="0"/>
        </w:sectPr>
      </w:pPr>
    </w:p>
    <w:bookmarkStart w:id="8" w:name="page9"/>
    <w:bookmarkEnd w:id="8"/>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Rent the Runway, Inc.</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of our report dated April 15, 2025 relating to the financial statements, which appears in Rent the Runway, Inc. Annual Report on Form 10-K for the year ended January 31,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rPr>
          <w:sz w:val="20"/>
          <w:szCs w:val="20"/>
          <w:color w:val="auto"/>
        </w:rPr>
      </w:pPr>
      <w:r>
        <w:rPr>
          <w:rFonts w:ascii="Times New Roman" w:cs="Times New Roman" w:eastAsia="Times New Roman" w:hAnsi="Times New Roman"/>
          <w:sz w:val="18"/>
          <w:szCs w:val="18"/>
          <w:color w:val="auto"/>
        </w:rPr>
        <w:t>December 15, 2025</w:t>
      </w:r>
    </w:p>
    <w:p>
      <w:pPr>
        <w:sectPr>
          <w:pgSz w:w="11900" w:h="16838" w:orient="portrait"/>
          <w:cols w:equalWidth="0" w:num="1">
            <w:col w:w="10980"/>
          </w:cols>
          <w:pgMar w:left="320" w:top="914" w:right="599" w:bottom="1440" w:gutter="0" w:footer="0" w:header="0"/>
        </w:sectPr>
      </w:pPr>
    </w:p>
    <w:bookmarkStart w:id="9" w:name="page10"/>
    <w:bookmarkEnd w:id="9"/>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15175" cy="462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15175" cy="46291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FIRST AMENDMENT TO THE SECOND AMENDED AND RESTATED 2021 INCENTIVE AWARD PLAN</w:t>
      </w:r>
    </w:p>
    <w:p>
      <w:pPr>
        <w:spacing w:after="0" w:line="3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First Amendment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to the Second Amended and Restated 2021 Incentive Award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Rent the Runway, Inc. a Delaware corporation, or any successor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effective as of December 15, 2025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subject to approval by the Company’s stockholders at the first annual meeting of the Company’s stockholders that is after the Effective Date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This Amendment will not be effective unless this Amendment is approved by the Company’s stockholders at the Annual Meeting. All capitalized terms used but not defined in this Amendment shall have the meaning given to such terms in the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5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September 15, 2025, the Board approved and adopted the Plan, subject to approval by the Company’s stockholders and,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21, 2025, the Company’s stockholders approved the Plan;</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10.4 of the Plan, the Board may amend, suspend or terminate the Plan at any time; provided that no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an increase to the Overall Share Limit, may materially and adversely affect any Award outstanding at the time of such amendment without the affected Participant’s consent; and</w:t>
      </w: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desires to amend Sections 4.1 and 11.30 of the Plan, subject to approval by the Company’s stockholders at the Annual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w:t>
      </w:r>
    </w:p>
    <w:p>
      <w:pPr>
        <w:spacing w:after="0" w:line="23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effective as of the Effective Date, subject to approval by the Company’s stockholders at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the Plan is hereby amended as follows:</w:t>
      </w:r>
    </w:p>
    <w:p>
      <w:pPr>
        <w:spacing w:after="0" w:line="1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tab/>
        <w:t>As of the Effective Date, the first sentence of Section 4.1 of the Plan is hereby deleted in its entirety and replaced with the following:</w:t>
      </w:r>
    </w:p>
    <w:p>
      <w:pPr>
        <w:spacing w:after="0" w:line="225"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“Subject to adjustment under Article VIII and the terms of this Article IV, the maximum number of Shares that may be issued pursuant to Awards under the Plan following the Closing (including Awards outstanding as of the Closing and those granted thereafter) shall be equal to the Overall Share Limit.”</w:t>
      </w:r>
    </w:p>
    <w:p>
      <w:pPr>
        <w:spacing w:after="0" w:line="203" w:lineRule="exact"/>
        <w:rPr>
          <w:sz w:val="20"/>
          <w:szCs w:val="20"/>
          <w:color w:val="auto"/>
        </w:rPr>
      </w:pPr>
    </w:p>
    <w:p>
      <w:pPr>
        <w:ind w:left="180" w:right="2640" w:hanging="172"/>
        <w:spacing w:after="0" w:line="516" w:lineRule="auto"/>
        <w:tabs>
          <w:tab w:leader="none" w:pos="3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Section 11.30 of the Plan is hereby deleted in its entirety and replaced with the following: “‘</w:t>
      </w:r>
      <w:r>
        <w:rPr>
          <w:rFonts w:ascii="Times New Roman" w:cs="Times New Roman" w:eastAsia="Times New Roman" w:hAnsi="Times New Roman"/>
          <w:sz w:val="18"/>
          <w:szCs w:val="18"/>
          <w:b w:val="1"/>
          <w:bCs w:val="1"/>
          <w:i w:val="1"/>
          <w:iCs w:val="1"/>
          <w:color w:val="auto"/>
        </w:rPr>
        <w:t>Overall Share Limit</w:t>
      </w:r>
      <w:r>
        <w:rPr>
          <w:rFonts w:ascii="Times New Roman" w:cs="Times New Roman" w:eastAsia="Times New Roman" w:hAnsi="Times New Roman"/>
          <w:sz w:val="18"/>
          <w:szCs w:val="18"/>
          <w:color w:val="auto"/>
        </w:rPr>
        <w:t>’ means 10,171,225 Shares.”</w:t>
      </w:r>
    </w:p>
    <w:p>
      <w:pPr>
        <w:ind w:right="40" w:firstLine="8"/>
        <w:spacing w:after="0" w:line="266"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for in this Amendment, the Plan and its terms and conditions shall remain in full force and effect and unchanged by this Amendment. This Amendment is to be governed by and construed in accordance with the laws of the State of Delaware without regard to the choice of law principles thereof.</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4" Type="http://schemas.openxmlformats.org/officeDocument/2006/relationships/image" Target="media/image1.png"/><Relationship Id="rId15"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jpeg"/><Relationship Id="rId39" Type="http://schemas.openxmlformats.org/officeDocument/2006/relationships/image" Target="media/image22.jpeg"/><Relationship Id="rId40" Type="http://schemas.openxmlformats.org/officeDocument/2006/relationships/image" Target="media/image23.png"/><Relationship Id="rId41" Type="http://schemas.openxmlformats.org/officeDocument/2006/relationships/image" Target="media/image24.png"/><Relationship Id="rId8" Type="http://schemas.openxmlformats.org/officeDocument/2006/relationships/hyperlink" Target="https://www.sec.gov/Archives/edgar/data/1468327/000119312521311477/d212386ds8.htm" TargetMode="External"/><Relationship Id="rId9" Type="http://schemas.openxmlformats.org/officeDocument/2006/relationships/hyperlink" Target="https://www.sec.gov/Archives/edgar/data/1468327/000146832722000049/s-8xapril142022.htm" TargetMode="External"/><Relationship Id="rId10" Type="http://schemas.openxmlformats.org/officeDocument/2006/relationships/hyperlink" Target="https://www.sec.gov/Archives/edgar/data/1468327/000146832723000053/s-8xapril132023.htm" TargetMode="External"/><Relationship Id="rId11" Type="http://schemas.openxmlformats.org/officeDocument/2006/relationships/hyperlink" Target="https://www.sec.gov/Archives/edgar/data/1468327/000146832724000116/s-8xapril112024.htm" TargetMode="External"/><Relationship Id="rId12" Type="http://schemas.openxmlformats.org/officeDocument/2006/relationships/hyperlink" Target="https://www.sec.gov/Archives/edgar/data/1468327/000146832725000057/s-8xapril152025.htm" TargetMode="External"/><Relationship Id="rId13" Type="http://schemas.openxmlformats.org/officeDocument/2006/relationships/hyperlink" Target="https://www.sec.gov/Archives/edgar/data/1468327/000146832725000213/s-8xoctober282025.htm" TargetMode="External"/><Relationship Id="rId16" Type="http://schemas.openxmlformats.org/officeDocument/2006/relationships/hyperlink" Target="https://www.sec.gov/Archives/edgar/data/0001468327/000119312521313321/d211519dex31.htm" TargetMode="External"/><Relationship Id="rId17" Type="http://schemas.openxmlformats.org/officeDocument/2006/relationships/hyperlink" Target="https://www.sec.gov/Archives/edgar/data/1468327/000146832724000100/exhibit31certificateofam.htm" TargetMode="External"/><Relationship Id="rId18" Type="http://schemas.openxmlformats.org/officeDocument/2006/relationships/hyperlink" Target="https://www.sec.gov/Archives/edgar/data/0001468327/000119312521313321/d211519dex32.htm" TargetMode="External"/><Relationship Id="rId19" Type="http://schemas.openxmlformats.org/officeDocument/2006/relationships/hyperlink" Target="https://www.sec.gov/Archives/edgar/data/1468327/000146832725000213/rtr-second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2025-12-15T20:31:51Z</dcterms:created>
  <dcterms:modified xsi:type="dcterms:W3CDTF">2025-12-15T20:31:51Z</dcterms:modified>
</cp:coreProperties>
</file>