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0001995136</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Becky Case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1032</w:t>
            </w:r>
          </w:p>
        </w:tc>
        <w:tc>
          <w:tcPr>
            <w:tcW w:w="114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w w:val="98"/>
              </w:rPr>
              <w:t>11352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7"/>
              <w:spacing w:after="0"/>
              <w:rPr>
                <w:sz w:val="20"/>
                <w:szCs w:val="20"/>
                <w:color w:val="auto"/>
              </w:rPr>
            </w:pPr>
            <w:r>
              <w:rPr>
                <w:rFonts w:ascii="Times New Roman" w:cs="Times New Roman" w:eastAsia="Times New Roman" w:hAnsi="Times New Roman"/>
                <w:sz w:val="22"/>
                <w:szCs w:val="22"/>
                <w:color w:val="auto"/>
                <w:w w:val="96"/>
              </w:rPr>
              <w:t>3516973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05/01/2024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98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98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50</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06/02/2020 Services Rendered</w:t>
            </w: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03/02/2021 Services Rendered</w:t>
            </w: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469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03/15/2023 Services Rendered</w:t>
            </w: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07/11/2023 Services Rendered</w:t>
            </w: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2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1407</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11/01/2023 Services Rendered</w:t>
            </w: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98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2"/>
        </w:trPr>
        <w:tc>
          <w:tcPr>
            <w:tcW w:w="98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-5073015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-3958590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-2844165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-1729740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-615315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0" w:space="120"/>
            <w:col w:w="9720"/>
          </w:cols>
          <w:pgMar w:left="320" w:top="98" w:right="339" w:bottom="246"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1013</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9843.51</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03/04/2024 189</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1413.36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246"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Shares to be sold to cover withholding taxes upon vesting of restricted stock unit awards pursuant to</w:t>
      </w:r>
    </w:p>
    <w:p>
      <w:pPr>
        <w:spacing w:after="0" w:line="26" w:lineRule="exact"/>
        <w:rPr>
          <w:sz w:val="20"/>
          <w:szCs w:val="20"/>
          <w:color w:val="auto"/>
        </w:rPr>
      </w:pPr>
    </w:p>
    <w:p>
      <w:pPr>
        <w:ind w:left="2240" w:right="140" w:hanging="2199"/>
        <w:spacing w:after="0" w:line="181" w:lineRule="auto"/>
        <w:tabs>
          <w:tab w:leader="none" w:pos="22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standing Rule 10b5-1 sell to cover instruction. Amounts in Table I and II have been adjusted to reflect the 1-for-20 reverse stock split that became effective on April 2, 2024. Exhibit 24.1 - Power of</w:t>
      </w:r>
    </w:p>
    <w:p>
      <w:pPr>
        <w:ind w:left="2240"/>
        <w:spacing w:after="0"/>
        <w:rPr>
          <w:sz w:val="20"/>
          <w:szCs w:val="20"/>
          <w:color w:val="auto"/>
        </w:rPr>
      </w:pPr>
      <w:r>
        <w:rPr>
          <w:rFonts w:ascii="Times New Roman" w:cs="Times New Roman" w:eastAsia="Times New Roman" w:hAnsi="Times New Roman"/>
          <w:sz w:val="22"/>
          <w:szCs w:val="22"/>
          <w:color w:val="auto"/>
        </w:rPr>
        <w:t>Attorney</w:t>
      </w:r>
    </w:p>
    <w:p>
      <w:pPr>
        <w:sectPr>
          <w:pgSz w:w="11900" w:h="16838" w:orient="portrait"/>
          <w:cols w:equalWidth="0" w:num="1">
            <w:col w:w="11200"/>
          </w:cols>
          <w:pgMar w:left="320" w:top="88" w:right="379" w:bottom="1440" w:gutter="0" w:footer="0" w:header="0"/>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01/04/2022</w:t>
      </w:r>
    </w:p>
    <w:p>
      <w:pPr>
        <w:spacing w:after="0" w:line="866" w:lineRule="exact"/>
        <w:rPr>
          <w:sz w:val="20"/>
          <w:szCs w:val="20"/>
          <w:color w:val="auto"/>
        </w:rPr>
      </w:pPr>
    </w:p>
    <w:p>
      <w:pPr>
        <w:sectPr>
          <w:pgSz w:w="11900" w:h="16838" w:orient="portrait"/>
          <w:cols w:equalWidth="0" w:num="2">
            <w:col w:w="2160" w:space="80"/>
            <w:col w:w="8960"/>
          </w:cols>
          <w:pgMar w:left="320" w:top="88"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Becky Case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00"/>
          </w:cols>
          <w:pgMar w:left="320" w:top="88" w:right="379" w:bottom="1440" w:gutter="0" w:footer="0" w:header="0"/>
          <w:type w:val="continuous"/>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144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Rent the Runway,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2" w:lineRule="exact"/>
        <w:rPr>
          <w:sz w:val="20"/>
          <w:szCs w:val="20"/>
          <w:color w:val="auto"/>
        </w:rPr>
      </w:pPr>
    </w:p>
    <w:p>
      <w:pPr>
        <w:jc w:val="both"/>
        <w:ind w:left="1140" w:hanging="484"/>
        <w:spacing w:after="0" w:line="263"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an electronic Notice of Proposed Sale of Securities Pursuant to Rule 144 (</w:t>
      </w:r>
      <w:r>
        <w:rPr>
          <w:rFonts w:ascii="Times New Roman" w:cs="Times New Roman" w:eastAsia="Times New Roman" w:hAnsi="Times New Roman"/>
          <w:sz w:val="20"/>
          <w:szCs w:val="20"/>
          <w:b w:val="1"/>
          <w:bCs w:val="1"/>
          <w:i w:val="1"/>
          <w:iCs w:val="1"/>
          <w:color w:val="auto"/>
        </w:rPr>
        <w:t>“Form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144”</w:t>
      </w:r>
      <w:r>
        <w:rPr>
          <w:rFonts w:ascii="Times New Roman" w:cs="Times New Roman" w:eastAsia="Times New Roman" w:hAnsi="Times New Roman"/>
          <w:sz w:val="20"/>
          <w:szCs w:val="20"/>
          <w:color w:val="auto"/>
        </w:rPr>
        <w:t>) relating to such sales, in accordance with the requirements of Rule 144 under the Securities Act of 1933, as amended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jc w:val="both"/>
        <w:ind w:left="1140" w:hanging="484"/>
        <w:spacing w:after="0" w:line="258"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April, 2024.</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 Becky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-10795</wp:posOffset>
            </wp:positionV>
            <wp:extent cx="1123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Becky Case</w:t>
      </w:r>
    </w:p>
    <w:p>
      <w:pPr>
        <w:sectPr>
          <w:pgSz w:w="11900" w:h="16838" w:orient="portrait"/>
          <w:cols w:equalWidth="0" w:num="1">
            <w:col w:w="11240"/>
          </w:cols>
          <w:pgMar w:left="320" w:top="896" w:right="339" w:bottom="1440" w:gutter="0" w:footer="0" w:header="0"/>
        </w:sectPr>
      </w:pPr>
    </w:p>
    <w:bookmarkStart w:id="4" w:name="page5"/>
    <w:bookmarkEnd w:id="4"/>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tab/>
        <w:t>Cara Schembri, Chief Legal &amp; Administrative Officer and Secretary of the Company</w:t>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2024-05-01T08:18:50Z</dcterms:created>
  <dcterms:modified xsi:type="dcterms:W3CDTF">2024-05-01T08:18:50Z</dcterms:modified>
</cp:coreProperties>
</file>