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0001737388</w:t>
            </w:r>
          </w:p>
        </w:tc>
        <w:tc>
          <w:tcPr>
            <w:tcW w:w="316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0001468327-24-000133</w:t>
            </w:r>
          </w:p>
        </w:tc>
        <w:tc>
          <w:tcPr>
            <w:tcW w:w="3160" w:type="dxa"/>
            <w:vAlign w:val="bottom"/>
          </w:tcPr>
          <w:p>
            <w:pPr>
              <w:spacing w:after="0"/>
              <w:rPr>
                <w:sz w:val="24"/>
                <w:szCs w:val="24"/>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7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160" w:type="dxa"/>
            <w:vAlign w:val="bottom"/>
          </w:tcPr>
          <w:p>
            <w:pPr>
              <w:spacing w:after="0"/>
              <w:rPr>
                <w:sz w:val="24"/>
                <w:szCs w:val="24"/>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4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4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16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16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4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16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4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Jennifer Y. Hyman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 &amp;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4600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56489.72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3516973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05/01/2024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04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05/01/2024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159</w:t>
            </w:r>
          </w:p>
        </w:tc>
        <w:tc>
          <w:tcPr>
            <w:tcW w:w="2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10/29/2021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05/01/2024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7643</w:t>
            </w:r>
          </w:p>
        </w:tc>
        <w:tc>
          <w:tcPr>
            <w:tcW w:w="2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-1257300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under Issuers</w:t>
      </w:r>
    </w:p>
    <w:p>
      <w:pPr>
        <w:ind w:left="2560"/>
        <w:spacing w:after="0" w:line="231" w:lineRule="auto"/>
        <w:rPr>
          <w:sz w:val="20"/>
          <w:szCs w:val="20"/>
          <w:color w:val="auto"/>
        </w:rPr>
      </w:pPr>
      <w:r>
        <w:rPr>
          <w:rFonts w:ascii="Times New Roman" w:cs="Times New Roman" w:eastAsia="Times New Roman" w:hAnsi="Times New Roman"/>
          <w:sz w:val="22"/>
          <w:szCs w:val="22"/>
          <w:color w:val="auto"/>
        </w:rPr>
        <w:t>incentive award</w:t>
      </w: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02/05/2024 3669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35713.56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02/06/2024 464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4538.56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03/18/2024 7771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54018.78</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60"/>
        <w:spacing w:after="0" w:line="238" w:lineRule="auto"/>
        <w:rPr>
          <w:sz w:val="20"/>
          <w:szCs w:val="20"/>
          <w:color w:val="auto"/>
        </w:rPr>
      </w:pPr>
      <w:r>
        <w:rPr>
          <w:rFonts w:ascii="Times New Roman" w:cs="Times New Roman" w:eastAsia="Times New Roman" w:hAnsi="Times New Roman"/>
          <w:sz w:val="22"/>
          <w:szCs w:val="22"/>
          <w:color w:val="auto"/>
        </w:rPr>
        <w:t>The original Form 144, filed on 05/01/2024, is amended and superseded by this Form 144/A to correct the number of Shares sold. Shares were sold to cover withholding taxes upon vesting of restricted stock unit awards pursuant to standing Rule 10b5-1 sell to cover instruction. Amounts in Table I and II have been adjusted to reflect the 1-for-20 reverse stock split that became effective on April 2, 2024. Exhibit 24.1 - Power of Attorney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06/20/2024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45" w:lineRule="exact"/>
        <w:rPr>
          <w:sz w:val="20"/>
          <w:szCs w:val="20"/>
          <w:color w:val="auto"/>
        </w:rPr>
      </w:pPr>
    </w:p>
    <w:p>
      <w:pPr>
        <w:sectPr>
          <w:pgSz w:w="11900" w:h="16838" w:orient="portrait"/>
          <w:cols w:equalWidth="0" w:num="2">
            <w:col w:w="1460" w:space="240"/>
            <w:col w:w="954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Jennifer Y. Hyman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p>
      <w:pPr>
        <w:sectPr>
          <w:pgSz w:w="11900" w:h="16838" w:orient="portrait"/>
          <w:cols w:equalWidth="0" w:num="1">
            <w:col w:w="11160"/>
          </w:cols>
          <w:pgMar w:left="360" w:top="234" w:right="37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FORM 144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Rent the Runway,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the undersigned hereby constitutes and appoints the individuals named on </w:t>
      </w:r>
      <w:r>
        <w:rPr>
          <w:rFonts w:ascii="Times New Roman" w:cs="Times New Roman" w:eastAsia="Times New Roman" w:hAnsi="Times New Roman"/>
          <w:sz w:val="20"/>
          <w:szCs w:val="20"/>
          <w:b w:val="1"/>
          <w:bCs w:val="1"/>
          <w:u w:val="single" w:color="auto"/>
          <w:color w:val="auto"/>
        </w:rPr>
        <w:t>Schedule A</w:t>
      </w:r>
      <w:r>
        <w:rPr>
          <w:rFonts w:ascii="Times New Roman" w:cs="Times New Roman" w:eastAsia="Times New Roman" w:hAnsi="Times New Roman"/>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202" w:lineRule="exact"/>
        <w:rPr>
          <w:sz w:val="20"/>
          <w:szCs w:val="20"/>
          <w:color w:val="auto"/>
        </w:rPr>
      </w:pPr>
    </w:p>
    <w:p>
      <w:pPr>
        <w:jc w:val="both"/>
        <w:ind w:left="1140" w:hanging="484"/>
        <w:spacing w:after="0" w:line="263" w:lineRule="auto"/>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an electronic Notice of Proposed Sale of Securities Pursuant to Rule 144 (</w:t>
      </w:r>
      <w:r>
        <w:rPr>
          <w:rFonts w:ascii="Times New Roman" w:cs="Times New Roman" w:eastAsia="Times New Roman" w:hAnsi="Times New Roman"/>
          <w:sz w:val="20"/>
          <w:szCs w:val="20"/>
          <w:b w:val="1"/>
          <w:bCs w:val="1"/>
          <w:i w:val="1"/>
          <w:iCs w:val="1"/>
          <w:color w:val="auto"/>
        </w:rPr>
        <w:t>“Form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144”</w:t>
      </w:r>
      <w:r>
        <w:rPr>
          <w:rFonts w:ascii="Times New Roman" w:cs="Times New Roman" w:eastAsia="Times New Roman" w:hAnsi="Times New Roman"/>
          <w:sz w:val="20"/>
          <w:szCs w:val="20"/>
          <w:color w:val="auto"/>
        </w:rPr>
        <w:t>) relating to such sales, in accordance with the requirements of Rule 144 under the Securities Act of 1933, as amended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and</w:t>
      </w:r>
    </w:p>
    <w:p>
      <w:pPr>
        <w:spacing w:after="0" w:line="192" w:lineRule="exact"/>
        <w:rPr>
          <w:rFonts w:ascii="Times New Roman" w:cs="Times New Roman" w:eastAsia="Times New Roman" w:hAnsi="Times New Roman"/>
          <w:sz w:val="20"/>
          <w:szCs w:val="20"/>
          <w:color w:val="auto"/>
        </w:rPr>
      </w:pPr>
    </w:p>
    <w:p>
      <w:pPr>
        <w:jc w:val="both"/>
        <w:ind w:left="1140" w:hanging="484"/>
        <w:spacing w:after="0" w:line="258" w:lineRule="auto"/>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1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9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30th day of April, 2024.</w:t>
      </w:r>
    </w:p>
    <w:p>
      <w:pPr>
        <w:spacing w:after="0" w:line="200" w:lineRule="exact"/>
        <w:rPr>
          <w:sz w:val="20"/>
          <w:szCs w:val="20"/>
          <w:color w:val="auto"/>
        </w:rPr>
      </w:pPr>
    </w:p>
    <w:p>
      <w:pPr>
        <w:spacing w:after="0" w:line="2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-10795</wp:posOffset>
            </wp:positionV>
            <wp:extent cx="14700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Jennifer Y. Hyman</w:t>
      </w:r>
    </w:p>
    <w:p>
      <w:pPr>
        <w:sectPr>
          <w:pgSz w:w="11900" w:h="16838" w:orient="portrait"/>
          <w:cols w:equalWidth="0" w:num="1">
            <w:col w:w="11240"/>
          </w:cols>
          <w:pgMar w:left="320" w:top="896" w:right="339" w:bottom="1440" w:gutter="0" w:footer="0" w:header="0"/>
        </w:sectPr>
      </w:pPr>
    </w:p>
    <w:bookmarkStart w:id="4" w:name="page5"/>
    <w:bookmarkEnd w:id="4"/>
    <w:p>
      <w:pPr>
        <w:jc w:val="center"/>
        <w:ind w:right="-1100"/>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WITH FULL POWER OF SUBSTITUTION AND RESUBSTITUTION</w:t>
      </w:r>
    </w:p>
    <w:p>
      <w:pPr>
        <w:spacing w:after="0" w:line="21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1.</w:t>
        <w:tab/>
        <w:t>Cara Schembri, Chief Legal &amp; Administrative Officer and Secretary of the Company</w:t>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2024-06-20T15:40:13Z</dcterms:created>
  <dcterms:modified xsi:type="dcterms:W3CDTF">2024-06-20T15:40:13Z</dcterms:modified>
</cp:coreProperties>
</file>