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516890</wp:posOffset>
            </wp:positionH>
            <wp:positionV relativeFrom="page">
              <wp:posOffset>574040</wp:posOffset>
            </wp:positionV>
            <wp:extent cx="68872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6985"/>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594360</wp:posOffset>
            </wp:positionV>
            <wp:extent cx="6887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721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040" w:right="3520" w:hanging="4016"/>
        <w:spacing w:after="0" w:line="429" w:lineRule="auto"/>
        <w:tabs>
          <w:tab w:leader="none" w:pos="529"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October 31, 2025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1008" w:right="299" w:bottom="1440" w:gutter="0" w:footer="0" w:header="0"/>
        </w:sectPr>
      </w:pPr>
    </w:p>
    <w:p>
      <w:pPr>
        <w:spacing w:after="0" w:line="21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5502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95"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30"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9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10 Jay Street</w:t>
      </w:r>
    </w:p>
    <w:p>
      <w:pPr>
        <w:spacing w:after="0" w:line="23"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Brooklyn,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502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28" w:lineRule="exact"/>
        <w:rPr>
          <w:sz w:val="24"/>
          <w:szCs w:val="24"/>
          <w:color w:val="auto"/>
        </w:rPr>
      </w:pPr>
    </w:p>
    <w:p>
      <w:pPr>
        <w:ind w:left="15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68580</wp:posOffset>
            </wp:positionV>
            <wp:extent cx="35572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9"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82550</wp:posOffset>
            </wp:positionV>
            <wp:extent cx="35572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220" w:space="720"/>
            <w:col w:w="3360"/>
          </w:cols>
          <w:pgMar w:left="300" w:top="1008" w:right="299" w:bottom="1440" w:gutter="0" w:footer="0" w:header="0"/>
          <w:type w:val="continuous"/>
        </w:sectPr>
      </w:pP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(212) 524-6860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5700" w:type="dxa"/>
            <w:vAlign w:val="bottom"/>
          </w:tcPr>
          <w:p>
            <w:pPr>
              <w:jc w:val="right"/>
              <w:spacing w:after="0"/>
              <w:rPr>
                <w:sz w:val="20"/>
                <w:szCs w:val="20"/>
                <w:color w:val="auto"/>
              </w:rPr>
            </w:pPr>
            <w:r>
              <w:rPr>
                <w:rFonts w:ascii="Arial" w:cs="Arial" w:eastAsia="Arial" w:hAnsi="Arial"/>
                <w:sz w:val="14"/>
                <w:szCs w:val="14"/>
                <w:color w:val="auto"/>
              </w:rPr>
              <w:t>months (or for such shorter period that the registrant was required to file such reports); and</w:t>
            </w:r>
          </w:p>
        </w:tc>
        <w:tc>
          <w:tcPr>
            <w:tcW w:w="558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r>
      <w:tr>
        <w:trPr>
          <w:trHeight w:val="553"/>
        </w:trPr>
        <w:tc>
          <w:tcPr>
            <w:tcW w:w="570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tcPr>
          <w:p>
            <w:pPr>
              <w:spacing w:after="0"/>
              <w:rPr>
                <w:sz w:val="24"/>
                <w:szCs w:val="24"/>
                <w:color w:val="auto"/>
              </w:rPr>
            </w:pPr>
          </w:p>
        </w:tc>
      </w:tr>
      <w:tr>
        <w:trPr>
          <w:trHeight w:val="85"/>
        </w:trPr>
        <w:tc>
          <w:tcPr>
            <w:tcW w:w="5700" w:type="dxa"/>
            <w:vAlign w:val="bottom"/>
            <w:tcBorders>
              <w:bottom w:val="single" w:sz="8" w:color="9A9A9A"/>
            </w:tcBorders>
          </w:tcPr>
          <w:p>
            <w:pPr>
              <w:spacing w:after="0"/>
              <w:rPr>
                <w:sz w:val="7"/>
                <w:szCs w:val="7"/>
                <w:color w:val="auto"/>
              </w:rPr>
            </w:pPr>
          </w:p>
        </w:tc>
        <w:tc>
          <w:tcPr>
            <w:tcW w:w="558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type w:val="continuous"/>
        </w:sectPr>
      </w:pPr>
    </w:p>
    <w:bookmarkStart w:id="1" w:name="page2"/>
    <w:bookmarkEnd w:id="1"/>
    <w:p>
      <w:pPr>
        <w:ind w:right="80"/>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9"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5"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7"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1"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899" w:right="319" w:bottom="1440" w:gutter="0" w:footer="0" w:header="0"/>
          <w:type w:val="continuous"/>
        </w:sectPr>
      </w:pPr>
    </w:p>
    <w:p>
      <w:pPr>
        <w:spacing w:after="0" w:line="279" w:lineRule="exact"/>
        <w:rPr>
          <w:sz w:val="20"/>
          <w:szCs w:val="20"/>
          <w:color w:val="auto"/>
        </w:rPr>
      </w:pPr>
    </w:p>
    <w:p>
      <w:pPr>
        <w:ind w:right="54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0"/>
          <w:szCs w:val="20"/>
          <w:color w:val="auto"/>
        </w:rPr>
      </w:pPr>
    </w:p>
    <w:p>
      <w:pPr>
        <w:spacing w:after="0" w:line="176" w:lineRule="exact"/>
        <w:tabs>
          <w:tab w:leader="none" w:pos="724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33,390,904 shares of Class A common stock and 0 shares of Class B common stock as of December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2100" w:type="dxa"/>
            <w:vAlign w:val="bottom"/>
            <w:tcBorders>
              <w:bottom w:val="single" w:sz="8" w:color="0000FF"/>
            </w:tcBorders>
            <w:gridSpan w:val="8"/>
            <w:shd w:val="clear" w:color="auto" w:fill="CCEEFF"/>
          </w:tcPr>
          <w:p>
            <w:pPr>
              <w:spacing w:after="0" w:line="149" w:lineRule="exact"/>
              <w:rPr>
                <w:sz w:val="20"/>
                <w:szCs w:val="20"/>
                <w:color w:val="auto"/>
              </w:rPr>
            </w:pPr>
            <w:r>
              <w:rPr>
                <w:rFonts w:ascii="Arial" w:cs="Arial" w:eastAsia="Arial" w:hAnsi="Arial"/>
                <w:sz w:val="14"/>
                <w:szCs w:val="14"/>
                <w:color w:val="0000FF"/>
              </w:rPr>
              <w:t>Financial Statements (Unaudited)</w:t>
            </w:r>
          </w:p>
        </w:tc>
        <w:tc>
          <w:tcPr>
            <w:tcW w:w="732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2.</w:t>
            </w:r>
          </w:p>
        </w:tc>
        <w:tc>
          <w:tcPr>
            <w:tcW w:w="580" w:type="dxa"/>
            <w:vAlign w:val="bottom"/>
            <w:gridSpan w:val="2"/>
          </w:tcPr>
          <w:p>
            <w:pPr>
              <w:spacing w:after="0"/>
              <w:rPr>
                <w:sz w:val="13"/>
                <w:szCs w:val="13"/>
                <w:color w:val="auto"/>
              </w:rPr>
            </w:pPr>
          </w:p>
        </w:tc>
        <w:tc>
          <w:tcPr>
            <w:tcW w:w="5560" w:type="dxa"/>
            <w:vAlign w:val="bottom"/>
            <w:tcBorders>
              <w:bottom w:val="single" w:sz="8" w:color="0000FF"/>
            </w:tcBorders>
            <w:gridSpan w:val="11"/>
          </w:tcPr>
          <w:p>
            <w:pPr>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3.</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3700" w:type="dxa"/>
            <w:vAlign w:val="bottom"/>
            <w:tcBorders>
              <w:bottom w:val="single" w:sz="8" w:color="0000FF"/>
            </w:tcBorders>
            <w:gridSpan w:val="9"/>
            <w:shd w:val="clear" w:color="auto" w:fill="CCEEFF"/>
          </w:tcPr>
          <w:p>
            <w:pPr>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5720" w:type="dxa"/>
            <w:vAlign w:val="bottom"/>
            <w:tcBorders>
              <w:bottom w:val="single" w:sz="8" w:color="CCEEFF"/>
            </w:tcBorders>
            <w:gridSpan w:val="3"/>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4.</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Controls and Procedures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right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gridSpan w:val="2"/>
            <w:shd w:val="clear" w:color="auto" w:fill="CCEEFF"/>
          </w:tcPr>
          <w:p>
            <w:pPr>
              <w:spacing w:after="0"/>
              <w:rPr>
                <w:sz w:val="12"/>
                <w:szCs w:val="12"/>
                <w:color w:val="auto"/>
              </w:rPr>
            </w:pPr>
          </w:p>
        </w:tc>
        <w:tc>
          <w:tcPr>
            <w:tcW w:w="942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color w:val="0000FF"/>
              </w:rPr>
              <w:t>Legal Proceedings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8"/>
              </w:rPr>
              <w:t>Item 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20" w:type="dxa"/>
            <w:vAlign w:val="bottom"/>
            <w:gridSpan w:val="12"/>
            <w:shd w:val="clear" w:color="auto" w:fill="CCEEFF"/>
          </w:tcPr>
          <w:p>
            <w:pPr>
              <w:spacing w:after="0" w:line="155" w:lineRule="exact"/>
              <w:rPr>
                <w:sz w:val="20"/>
                <w:szCs w:val="20"/>
                <w:color w:val="auto"/>
              </w:rPr>
            </w:pPr>
            <w:r>
              <w:rPr>
                <w:rFonts w:ascii="Arial" w:cs="Arial" w:eastAsia="Arial" w:hAnsi="Arial"/>
                <w:sz w:val="14"/>
                <w:szCs w:val="14"/>
                <w:color w:val="0000FF"/>
              </w:rPr>
              <w:t>Unregistered Sales of Equity Securities and Use of Proceeds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8"/>
              </w:rPr>
              <w:t>Item 3.</w:t>
            </w:r>
          </w:p>
        </w:tc>
        <w:tc>
          <w:tcPr>
            <w:tcW w:w="580" w:type="dxa"/>
            <w:vAlign w:val="bottom"/>
            <w:tcBorders>
              <w:top w:val="single" w:sz="8" w:color="CCEEFF"/>
            </w:tcBorders>
            <w:gridSpan w:val="2"/>
          </w:tcPr>
          <w:p>
            <w:pPr>
              <w:spacing w:after="0"/>
              <w:rPr>
                <w:sz w:val="13"/>
                <w:szCs w:val="13"/>
                <w:color w:val="auto"/>
              </w:rPr>
            </w:pPr>
          </w:p>
        </w:tc>
        <w:tc>
          <w:tcPr>
            <w:tcW w:w="3800" w:type="dxa"/>
            <w:vAlign w:val="bottom"/>
            <w:tcBorders>
              <w:top w:val="single" w:sz="8" w:color="0000FF"/>
            </w:tcBorders>
            <w:gridSpan w:val="10"/>
          </w:tcPr>
          <w:p>
            <w:pPr>
              <w:spacing w:after="0" w:line="149" w:lineRule="exact"/>
              <w:rPr>
                <w:sz w:val="20"/>
                <w:szCs w:val="20"/>
                <w:color w:val="auto"/>
              </w:rPr>
            </w:pPr>
            <w:r>
              <w:rPr>
                <w:rFonts w:ascii="Arial" w:cs="Arial" w:eastAsia="Arial" w:hAnsi="Arial"/>
                <w:sz w:val="14"/>
                <w:szCs w:val="14"/>
                <w:color w:val="0000FF"/>
              </w:rPr>
              <w:t>Defaults Upon Senior Securities</w:t>
            </w:r>
          </w:p>
        </w:tc>
        <w:tc>
          <w:tcPr>
            <w:tcW w:w="5620" w:type="dxa"/>
            <w:vAlign w:val="bottom"/>
            <w:tcBorders>
              <w:top w:val="single" w:sz="8" w:color="CCEEFF"/>
            </w:tcBorders>
            <w:gridSpan w:val="2"/>
          </w:tcPr>
          <w:p>
            <w:pPr>
              <w:spacing w:after="0"/>
              <w:rPr>
                <w:sz w:val="13"/>
                <w:szCs w:val="13"/>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4.</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w w:val="99"/>
              </w:rPr>
              <w:t>Mine Safety Disclosures</w:t>
            </w:r>
          </w:p>
        </w:tc>
        <w:tc>
          <w:tcPr>
            <w:tcW w:w="4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420" w:type="dxa"/>
            <w:vAlign w:val="bottom"/>
            <w:tcBorders>
              <w:bottom w:val="single" w:sz="8" w:color="CCEEFF"/>
            </w:tcBorders>
            <w:gridSpan w:val="5"/>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5.</w:t>
            </w:r>
          </w:p>
        </w:tc>
        <w:tc>
          <w:tcPr>
            <w:tcW w:w="580" w:type="dxa"/>
            <w:vAlign w:val="bottom"/>
            <w:gridSpan w:val="2"/>
          </w:tcPr>
          <w:p>
            <w:pPr>
              <w:spacing w:after="0"/>
              <w:rPr>
                <w:sz w:val="13"/>
                <w:szCs w:val="13"/>
                <w:color w:val="auto"/>
              </w:rPr>
            </w:pPr>
          </w:p>
        </w:tc>
        <w:tc>
          <w:tcPr>
            <w:tcW w:w="1160" w:type="dxa"/>
            <w:vAlign w:val="bottom"/>
            <w:tcBorders>
              <w:bottom w:val="single" w:sz="8" w:color="0000FF"/>
            </w:tcBorders>
            <w:gridSpan w:val="4"/>
          </w:tcPr>
          <w:p>
            <w:pPr>
              <w:spacing w:after="0" w:line="149" w:lineRule="exact"/>
              <w:rPr>
                <w:sz w:val="20"/>
                <w:szCs w:val="20"/>
                <w:color w:val="auto"/>
              </w:rPr>
            </w:pPr>
            <w:r>
              <w:rPr>
                <w:rFonts w:ascii="Arial" w:cs="Arial" w:eastAsia="Arial" w:hAnsi="Arial"/>
                <w:sz w:val="14"/>
                <w:szCs w:val="14"/>
                <w:color w:val="0000FF"/>
              </w:rPr>
              <w:t>Other Information</w:t>
            </w:r>
          </w:p>
        </w:tc>
        <w:tc>
          <w:tcPr>
            <w:tcW w:w="8260" w:type="dxa"/>
            <w:vAlign w:val="bottom"/>
            <w:gridSpan w:val="8"/>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6.</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7"/>
              </w:rPr>
              <w:t>Exhibits</w:t>
            </w:r>
          </w:p>
        </w:tc>
        <w:tc>
          <w:tcPr>
            <w:tcW w:w="8920" w:type="dxa"/>
            <w:vAlign w:val="bottom"/>
            <w:tcBorders>
              <w:bottom w:val="single" w:sz="8" w:color="CCEEFF"/>
            </w:tcBorders>
            <w:gridSpan w:val="11"/>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w w:val="98"/>
              </w:rPr>
              <w:t>Signatures</w:t>
            </w:r>
          </w:p>
        </w:tc>
        <w:tc>
          <w:tcPr>
            <w:tcW w:w="8740" w:type="dxa"/>
            <w:vAlign w:val="bottom"/>
            <w:gridSpan w:val="10"/>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6"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color w:val="auto"/>
        </w:rPr>
        <w:t>We may fail to realize all of the anticipated benefits of the Recapitalization Transactions, or those benefits may be short-lived or insufficient for our future needs.</w:t>
      </w:r>
    </w:p>
    <w:p>
      <w:pPr>
        <w:spacing w:after="0" w:line="10"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4"/>
          <w:szCs w:val="14"/>
          <w:color w:val="auto"/>
        </w:rPr>
        <w:t>Failure to manage our Board transition and related changes could materially adversely affect our business.</w:t>
      </w:r>
    </w:p>
    <w:p>
      <w:pPr>
        <w:ind w:left="520" w:right="60" w:hanging="260"/>
        <w:spacing w:after="0" w:line="26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3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drive future growth or manage our growth effectively, our brand, Company culture, and financial performance may suffer.</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 and developments, including global trade policies and tariffs.</w:t>
      </w:r>
    </w:p>
    <w:p>
      <w:pPr>
        <w:spacing w:after="0" w:line="14"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fluctuate based on our level of investment and success in paid marketing initiatives. If we are unable to cost-effectively grow our customer base, our business, financial condition and results of operations would be harmed.</w:t>
      </w:r>
    </w:p>
    <w:p>
      <w:pPr>
        <w:spacing w:after="0" w:line="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acquire and manage our products effectively and plan for future expenses, our operating results could be adversely affected.</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restructuring of our operations, which could adversely affect our financial condition, results of operations, cash flows, or business reputation.</w:t>
      </w:r>
    </w:p>
    <w:p>
      <w:pPr>
        <w:spacing w:after="0" w:line="61" w:lineRule="exact"/>
        <w:rPr>
          <w:rFonts w:ascii="Arial" w:cs="Arial" w:eastAsia="Arial" w:hAnsi="Arial"/>
          <w:sz w:val="14"/>
          <w:szCs w:val="14"/>
          <w:color w:val="auto"/>
        </w:rPr>
      </w:pPr>
    </w:p>
    <w:p>
      <w:pPr>
        <w:ind w:left="520" w:right="2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14"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spacing w:after="0" w:line="2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61" w:lineRule="exact"/>
        <w:rPr>
          <w:rFonts w:ascii="Arial" w:cs="Arial" w:eastAsia="Arial" w:hAnsi="Arial"/>
          <w:sz w:val="14"/>
          <w:szCs w:val="14"/>
          <w:color w:val="auto"/>
        </w:rPr>
      </w:pPr>
    </w:p>
    <w:p>
      <w:pPr>
        <w:ind w:left="520" w:right="36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4"/>
          <w:szCs w:val="14"/>
          <w:color w:val="auto"/>
        </w:rPr>
      </w:pPr>
    </w:p>
    <w:p>
      <w:pPr>
        <w:ind w:left="520" w:right="3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the experience and expertise of our Co-Founder and Chief Executive Officer, senior management team, key technical and strategic employees and hourly personnel.</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018" w:right="399" w:bottom="1440" w:gutter="0" w:footer="0" w:header="0"/>
        </w:sectPr>
      </w:pPr>
    </w:p>
    <w:bookmarkStart w:id="4" w:name="page5"/>
    <w:bookmarkEnd w:id="4"/>
    <w:p>
      <w:pPr>
        <w:ind w:left="520" w:right="4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adequately obtain, maintain, protect and enforce our intellectual property and proprietary rights could harm our brand, devalue our proprietary content, and adversely affect our ability to compete effectively.</w:t>
      </w:r>
    </w:p>
    <w:p>
      <w:pPr>
        <w:spacing w:after="0" w:line="14"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brand and manufacturing partners from whom our products are sourced or co-manufactured.</w:t>
      </w:r>
    </w:p>
    <w:p>
      <w:pPr>
        <w:spacing w:after="0" w:line="61"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14" w:lineRule="exact"/>
        <w:rPr>
          <w:rFonts w:ascii="Arial" w:cs="Arial" w:eastAsia="Arial" w:hAnsi="Arial"/>
          <w:sz w:val="14"/>
          <w:szCs w:val="14"/>
          <w:color w:val="auto"/>
        </w:rPr>
      </w:pPr>
    </w:p>
    <w:p>
      <w:pPr>
        <w:ind w:left="520" w:right="2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16" w:lineRule="exact"/>
        <w:rPr>
          <w:rFonts w:ascii="Arial" w:cs="Arial" w:eastAsia="Arial" w:hAnsi="Arial"/>
          <w:sz w:val="14"/>
          <w:szCs w:val="14"/>
          <w:color w:val="auto"/>
        </w:rPr>
      </w:pPr>
    </w:p>
    <w:p>
      <w:pPr>
        <w:ind w:left="520" w:right="260" w:hanging="260"/>
        <w:spacing w:after="0" w:line="28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ind w:left="520" w:hanging="260"/>
        <w:spacing w:after="0" w:line="25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6" w:lineRule="exact"/>
        <w:rPr>
          <w:rFonts w:ascii="Arial" w:cs="Arial" w:eastAsia="Arial" w:hAnsi="Arial"/>
          <w:sz w:val="14"/>
          <w:szCs w:val="14"/>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We are currently noncompliant with Nasdaq Marketplace Rule 5605(c)(2)(A), which requires listed companies to have at least three audit committee members.</w:t>
      </w:r>
    </w:p>
    <w:p>
      <w:pPr>
        <w:spacing w:after="0" w:line="47" w:lineRule="exact"/>
        <w:rPr>
          <w:rFonts w:ascii="Arial" w:cs="Arial" w:eastAsia="Arial" w:hAnsi="Arial"/>
          <w:sz w:val="17"/>
          <w:szCs w:val="17"/>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61" w:lineRule="exact"/>
        <w:rPr>
          <w:rFonts w:ascii="Arial" w:cs="Arial" w:eastAsia="Arial" w:hAnsi="Arial"/>
          <w:sz w:val="14"/>
          <w:szCs w:val="14"/>
          <w:color w:val="auto"/>
        </w:rPr>
      </w:pPr>
    </w:p>
    <w:p>
      <w:pPr>
        <w:ind w:left="520" w:right="5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had a material adverse impact on our business. Other future pandemics or public health crises may have a similar adverse impact on our business.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4"/>
          <w:szCs w:val="14"/>
          <w:b w:val="1"/>
          <w:bCs w:val="1"/>
          <w:color w:val="auto"/>
        </w:rPr>
        <w:t>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the anticipated benefits of the Recapitalization Transactions and the Rights Offering, our future results of operations and</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financial position, industry and business trends, share-based compensation, business strategy and initiatives, including rental product depth and availability initiatives, sustainability initiatives, business plans, promotional and marketing strategy, impacts from our cost-savings initiatives, anticipated future expenditures, product acquisition expectations,</w:t>
      </w:r>
    </w:p>
    <w:p>
      <w:pPr>
        <w:spacing w:after="0"/>
        <w:rPr>
          <w:sz w:val="20"/>
          <w:szCs w:val="20"/>
          <w:color w:val="auto"/>
        </w:rPr>
      </w:pPr>
      <w:r>
        <w:rPr>
          <w:rFonts w:ascii="Arial" w:cs="Arial" w:eastAsia="Arial" w:hAnsi="Arial"/>
          <w:sz w:val="14"/>
          <w:szCs w:val="14"/>
          <w:color w:val="auto"/>
        </w:rPr>
        <w:t>compliance with our debt covenants, market growth and our objectives for future operations.</w:t>
      </w:r>
    </w:p>
    <w:p>
      <w:pPr>
        <w:spacing w:after="0" w:line="8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October 31, 2025.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8"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60" w:type="dxa"/>
            <w:vAlign w:val="bottom"/>
            <w:gridSpan w:val="5"/>
          </w:tcPr>
          <w:p>
            <w:pPr>
              <w:ind w:left="140"/>
              <w:spacing w:after="0"/>
              <w:rPr>
                <w:sz w:val="20"/>
                <w:szCs w:val="20"/>
                <w:color w:val="auto"/>
              </w:rPr>
            </w:pPr>
            <w:r>
              <w:rPr>
                <w:rFonts w:ascii="Arial" w:cs="Arial" w:eastAsia="Arial" w:hAnsi="Arial"/>
                <w:sz w:val="14"/>
                <w:szCs w:val="14"/>
                <w:b w:val="1"/>
                <w:bCs w:val="1"/>
                <w:color w:val="auto"/>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0200" w:type="dxa"/>
            <w:vAlign w:val="bottom"/>
            <w:gridSpan w:val="23"/>
          </w:tcPr>
          <w:p>
            <w:pPr>
              <w:spacing w:after="0"/>
              <w:rPr>
                <w:sz w:val="20"/>
                <w:szCs w:val="20"/>
                <w:color w:val="auto"/>
              </w:rPr>
            </w:pPr>
            <w:r>
              <w:rPr>
                <w:rFonts w:ascii="Arial" w:cs="Arial" w:eastAsia="Arial" w:hAnsi="Arial"/>
                <w:sz w:val="14"/>
                <w:szCs w:val="14"/>
                <w:b w:val="1"/>
                <w:bCs w:val="1"/>
                <w:color w:val="auto"/>
              </w:rPr>
              <w:t>Item 1.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7140" w:type="dxa"/>
            <w:vAlign w:val="bottom"/>
            <w:gridSpan w:val="18"/>
            <w:vMerge w:val="restart"/>
          </w:tcPr>
          <w:p>
            <w:pPr>
              <w:spacing w:after="0"/>
              <w:rPr>
                <w:sz w:val="20"/>
                <w:szCs w:val="20"/>
                <w:color w:val="auto"/>
              </w:rPr>
            </w:pPr>
            <w:r>
              <w:rPr>
                <w:rFonts w:ascii="Arial" w:cs="Arial" w:eastAsia="Arial" w:hAnsi="Arial"/>
                <w:sz w:val="14"/>
                <w:szCs w:val="14"/>
                <w:color w:val="0000FF"/>
              </w:rPr>
              <w:t>Condensed Consolidated Balance Sheets - Unaudited as of October 31, 2025 and Audited as of January 31, 2025</w:t>
            </w:r>
          </w:p>
        </w:tc>
        <w:tc>
          <w:tcPr>
            <w:tcW w:w="3040" w:type="dxa"/>
            <w:vAlign w:val="bottom"/>
            <w:gridSpan w:val="4"/>
            <w:vMerge w:val="restart"/>
          </w:tcPr>
          <w:p>
            <w:pPr>
              <w:spacing w:after="0"/>
              <w:rPr>
                <w:sz w:val="24"/>
                <w:szCs w:val="24"/>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40" w:type="dxa"/>
            <w:vAlign w:val="bottom"/>
            <w:tcBorders>
              <w:bottom w:val="single" w:sz="8" w:color="0000FF"/>
            </w:tcBorders>
            <w:gridSpan w:val="18"/>
            <w:vMerge w:val="continue"/>
          </w:tcPr>
          <w:p>
            <w:pPr>
              <w:spacing w:after="0"/>
              <w:rPr>
                <w:sz w:val="12"/>
                <w:szCs w:val="12"/>
                <w:color w:val="auto"/>
              </w:rPr>
            </w:pPr>
          </w:p>
        </w:tc>
        <w:tc>
          <w:tcPr>
            <w:tcW w:w="3040" w:type="dxa"/>
            <w:vAlign w:val="bottom"/>
            <w:gridSpan w:val="4"/>
            <w:vMerge w:val="continue"/>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180" w:type="dxa"/>
            <w:vAlign w:val="bottom"/>
            <w:gridSpan w:val="22"/>
          </w:tcPr>
          <w:p>
            <w:pPr>
              <w:spacing w:after="0"/>
              <w:rPr>
                <w:sz w:val="20"/>
                <w:szCs w:val="20"/>
                <w:color w:val="auto"/>
              </w:rPr>
            </w:pPr>
            <w:r>
              <w:rPr>
                <w:rFonts w:ascii="Arial" w:cs="Arial" w:eastAsia="Arial" w:hAnsi="Arial"/>
                <w:sz w:val="14"/>
                <w:szCs w:val="14"/>
                <w:color w:val="0000FF"/>
              </w:rPr>
              <w:t>Condensed Consolidated Statements of Operations - Unaudited for the three and nine months ended October 31, 2025 and 2024</w:t>
            </w: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60" w:type="dxa"/>
            <w:vAlign w:val="bottom"/>
            <w:tcBorders>
              <w:bottom w:val="single" w:sz="8" w:color="0000FF"/>
            </w:tcBorders>
            <w:gridSpan w:val="21"/>
          </w:tcPr>
          <w:p>
            <w:pPr>
              <w:spacing w:after="0"/>
              <w:rPr>
                <w:sz w:val="20"/>
                <w:szCs w:val="20"/>
                <w:color w:val="auto"/>
              </w:rPr>
            </w:pPr>
            <w:r>
              <w:rPr>
                <w:rFonts w:ascii="Arial" w:cs="Arial" w:eastAsia="Arial" w:hAnsi="Arial"/>
                <w:sz w:val="14"/>
                <w:szCs w:val="14"/>
                <w:color w:val="0000FF"/>
              </w:rPr>
              <w:t>Condensed Consolidated Statements of Changes in Stockholders’ Equity (Deficit) - Unaudited for the three and nine months ended October 31, 2025 and 2024</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0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Condensed Consolidated Statements of Cash Flows - Unaudited for the nine months ended October 31, 2025 and 2024</w:t>
            </w:r>
          </w:p>
        </w:tc>
        <w:tc>
          <w:tcPr>
            <w:tcW w:w="2680" w:type="dxa"/>
            <w:vAlign w:val="bottom"/>
            <w:gridSpan w:val="3"/>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80" w:type="dxa"/>
            <w:vAlign w:val="bottom"/>
            <w:gridSpan w:val="22"/>
          </w:tcPr>
          <w:p>
            <w:pPr>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9360" w:type="dxa"/>
            <w:vAlign w:val="bottom"/>
            <w:gridSpan w:val="17"/>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9960" w:type="dxa"/>
            <w:vAlign w:val="bottom"/>
            <w:gridSpan w:val="20"/>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11"/>
          </w:tcPr>
          <w:p>
            <w:pPr>
              <w:spacing w:after="0"/>
              <w:rPr>
                <w:sz w:val="13"/>
                <w:szCs w:val="13"/>
                <w:color w:val="auto"/>
              </w:rPr>
            </w:pPr>
          </w:p>
        </w:tc>
        <w:tc>
          <w:tcPr>
            <w:tcW w:w="7220" w:type="dxa"/>
            <w:vAlign w:val="bottom"/>
            <w:gridSpan w:val="7"/>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4.</w:t>
            </w:r>
          </w:p>
        </w:tc>
        <w:tc>
          <w:tcPr>
            <w:tcW w:w="9960" w:type="dxa"/>
            <w:vAlign w:val="bottom"/>
            <w:gridSpan w:val="20"/>
          </w:tcPr>
          <w:p>
            <w:pPr>
              <w:ind w:left="20"/>
              <w:spacing w:after="0"/>
              <w:rPr>
                <w:sz w:val="20"/>
                <w:szCs w:val="20"/>
                <w:color w:val="auto"/>
              </w:rPr>
            </w:pPr>
            <w:r>
              <w:rPr>
                <w:rFonts w:ascii="Arial" w:cs="Arial" w:eastAsia="Arial" w:hAnsi="Arial"/>
                <w:sz w:val="14"/>
                <w:szCs w:val="14"/>
                <w:color w:val="0000FF"/>
              </w:rPr>
              <w:t>Recapitalization Transactions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224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Restructuring and Related Charges</w:t>
            </w:r>
          </w:p>
        </w:tc>
        <w:tc>
          <w:tcPr>
            <w:tcW w:w="7720" w:type="dxa"/>
            <w:vAlign w:val="bottom"/>
            <w:gridSpan w:val="9"/>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860" w:type="dxa"/>
            <w:vAlign w:val="bottom"/>
            <w:tcBorders>
              <w:bottom w:val="single" w:sz="8" w:color="0000FF"/>
            </w:tcBorders>
            <w:gridSpan w:val="9"/>
          </w:tcPr>
          <w:p>
            <w:pPr>
              <w:ind w:left="20"/>
              <w:spacing w:after="0"/>
              <w:rPr>
                <w:sz w:val="20"/>
                <w:szCs w:val="20"/>
                <w:color w:val="auto"/>
              </w:rPr>
            </w:pPr>
            <w:r>
              <w:rPr>
                <w:rFonts w:ascii="Arial" w:cs="Arial" w:eastAsia="Arial" w:hAnsi="Arial"/>
                <w:sz w:val="14"/>
                <w:szCs w:val="14"/>
                <w:color w:val="0000FF"/>
              </w:rPr>
              <w:t>Leases - Lessee Accounting</w:t>
            </w:r>
          </w:p>
        </w:tc>
        <w:tc>
          <w:tcPr>
            <w:tcW w:w="8100" w:type="dxa"/>
            <w:vAlign w:val="bottom"/>
            <w:gridSpan w:val="11"/>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126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w w:val="99"/>
              </w:rPr>
              <w:t>Rental Product, Net</w:t>
            </w:r>
          </w:p>
        </w:tc>
        <w:tc>
          <w:tcPr>
            <w:tcW w:w="8700" w:type="dxa"/>
            <w:vAlign w:val="bottom"/>
            <w:gridSpan w:val="14"/>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10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8"/>
              </w:rPr>
              <w:t>Long-Term Debt</w:t>
            </w:r>
          </w:p>
        </w:tc>
        <w:tc>
          <w:tcPr>
            <w:tcW w:w="8920" w:type="dxa"/>
            <w:vAlign w:val="bottom"/>
            <w:gridSpan w:val="1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9.</w:t>
            </w:r>
          </w:p>
        </w:tc>
        <w:tc>
          <w:tcPr>
            <w:tcW w:w="9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7"/>
              </w:rPr>
              <w:t>Income Taxes</w:t>
            </w:r>
          </w:p>
        </w:tc>
        <w:tc>
          <w:tcPr>
            <w:tcW w:w="9060" w:type="dxa"/>
            <w:vAlign w:val="bottom"/>
            <w:gridSpan w:val="1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10.</w:t>
            </w:r>
          </w:p>
        </w:tc>
        <w:tc>
          <w:tcPr>
            <w:tcW w:w="3000" w:type="dxa"/>
            <w:vAlign w:val="bottom"/>
            <w:tcBorders>
              <w:bottom w:val="single" w:sz="8" w:color="0000FF"/>
            </w:tcBorders>
            <w:gridSpan w:val="13"/>
          </w:tcPr>
          <w:p>
            <w:pPr>
              <w:ind w:left="20"/>
              <w:spacing w:after="0"/>
              <w:rPr>
                <w:sz w:val="20"/>
                <w:szCs w:val="20"/>
                <w:color w:val="auto"/>
              </w:rPr>
            </w:pPr>
            <w:r>
              <w:rPr>
                <w:rFonts w:ascii="Arial" w:cs="Arial" w:eastAsia="Arial" w:hAnsi="Arial"/>
                <w:sz w:val="14"/>
                <w:szCs w:val="14"/>
                <w:color w:val="0000FF"/>
              </w:rPr>
              <w:t>Accrued Expenses and Other Current Liabilities</w:t>
            </w:r>
          </w:p>
        </w:tc>
        <w:tc>
          <w:tcPr>
            <w:tcW w:w="6880" w:type="dxa"/>
            <w:vAlign w:val="bottom"/>
            <w:gridSpan w:val="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w w:val="99"/>
              </w:rPr>
              <w:t>11. Fair Value Measurements</w:t>
            </w:r>
          </w:p>
        </w:tc>
        <w:tc>
          <w:tcPr>
            <w:tcW w:w="8260" w:type="dxa"/>
            <w:vAlign w:val="bottom"/>
            <w:gridSpan w:val="12"/>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12.</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Stockholders’ Equity</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218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Share-based Compensation Plans</w:t>
            </w:r>
          </w:p>
        </w:tc>
        <w:tc>
          <w:tcPr>
            <w:tcW w:w="7700" w:type="dxa"/>
            <w:vAlign w:val="bottom"/>
            <w:gridSpan w:val="8"/>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14.</w:t>
            </w:r>
          </w:p>
        </w:tc>
        <w:tc>
          <w:tcPr>
            <w:tcW w:w="422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Net Income (Loss) per Share Attributable to Common Stockholders</w:t>
            </w:r>
          </w:p>
        </w:tc>
        <w:tc>
          <w:tcPr>
            <w:tcW w:w="5660" w:type="dxa"/>
            <w:vAlign w:val="bottom"/>
            <w:gridSpan w:val="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1780" w:type="dxa"/>
            <w:vAlign w:val="bottom"/>
            <w:tcBorders>
              <w:bottom w:val="single" w:sz="8" w:color="0000FF"/>
            </w:tcBorders>
            <w:gridSpan w:val="8"/>
          </w:tcPr>
          <w:p>
            <w:pPr>
              <w:ind w:left="20"/>
              <w:spacing w:after="0"/>
              <w:rPr>
                <w:sz w:val="20"/>
                <w:szCs w:val="20"/>
                <w:color w:val="auto"/>
              </w:rPr>
            </w:pPr>
            <w:r>
              <w:rPr>
                <w:rFonts w:ascii="Arial" w:cs="Arial" w:eastAsia="Arial" w:hAnsi="Arial"/>
                <w:sz w:val="14"/>
                <w:szCs w:val="14"/>
                <w:color w:val="0000FF"/>
              </w:rPr>
              <w:t>Related Party Transactions</w:t>
            </w:r>
          </w:p>
        </w:tc>
        <w:tc>
          <w:tcPr>
            <w:tcW w:w="8100" w:type="dxa"/>
            <w:vAlign w:val="bottom"/>
            <w:gridSpan w:val="11"/>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16.</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 w:name="page8"/>
    <w:bookmarkEnd w:id="7"/>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1060" w:type="dxa"/>
            <w:vAlign w:val="bottom"/>
            <w:shd w:val="clear" w:color="auto" w:fill="CCEEFF"/>
          </w:tcPr>
          <w:p>
            <w:pPr>
              <w:jc w:val="right"/>
              <w:ind w:right="923"/>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106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10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76"/>
        </w:trPr>
        <w:tc>
          <w:tcPr>
            <w:tcW w:w="836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60" w:type="dxa"/>
            <w:vAlign w:val="bottom"/>
          </w:tcPr>
          <w:p>
            <w:pPr>
              <w:spacing w:after="0"/>
              <w:rPr>
                <w:sz w:val="15"/>
                <w:szCs w:val="15"/>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66.7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93.9</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1060" w:type="dxa"/>
            <w:vAlign w:val="bottom"/>
          </w:tcPr>
          <w:p>
            <w:pPr>
              <w:spacing w:after="0"/>
              <w:rPr>
                <w:sz w:val="15"/>
                <w:szCs w:val="15"/>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94.9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1060" w:type="dxa"/>
            <w:vAlign w:val="bottom"/>
          </w:tcPr>
          <w:p>
            <w:pPr>
              <w:spacing w:after="0"/>
              <w:rPr>
                <w:sz w:val="15"/>
                <w:szCs w:val="15"/>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106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231.0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240.0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1060" w:type="dxa"/>
            <w:vAlign w:val="bottom"/>
          </w:tcPr>
          <w:p>
            <w:pPr>
              <w:jc w:val="right"/>
              <w:ind w:right="923"/>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12.6</w:t>
            </w:r>
          </w:p>
        </w:tc>
        <w:tc>
          <w:tcPr>
            <w:tcW w:w="8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106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12.9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106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159.1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333.7</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10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266.1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0" w:type="dxa"/>
            <w:vAlign w:val="bottom"/>
          </w:tcPr>
          <w:p>
            <w:pPr>
              <w:spacing w:after="0"/>
              <w:rPr>
                <w:sz w:val="1"/>
                <w:szCs w:val="1"/>
                <w:color w:val="auto"/>
              </w:rPr>
            </w:pPr>
          </w:p>
        </w:tc>
      </w:tr>
      <w:tr>
        <w:trPr>
          <w:trHeight w:val="152"/>
        </w:trPr>
        <w:tc>
          <w:tcPr>
            <w:tcW w:w="8360" w:type="dxa"/>
            <w:vAlign w:val="bottom"/>
          </w:tcPr>
          <w:p>
            <w:pPr>
              <w:ind w:left="20"/>
              <w:spacing w:after="0"/>
              <w:rPr>
                <w:sz w:val="20"/>
                <w:szCs w:val="20"/>
                <w:color w:val="auto"/>
              </w:rPr>
            </w:pPr>
            <w:r>
              <w:rPr>
                <w:rFonts w:ascii="Arial" w:cs="Arial" w:eastAsia="Arial" w:hAnsi="Arial"/>
                <w:sz w:val="11"/>
                <w:szCs w:val="11"/>
                <w:color w:val="auto"/>
              </w:rPr>
              <w:t>Commitments and Contingencies (Note 16)</w:t>
            </w: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360" w:type="dxa"/>
            <w:vAlign w:val="bottom"/>
          </w:tcPr>
          <w:p>
            <w:pPr>
              <w:ind w:left="280"/>
              <w:spacing w:after="0" w:line="121" w:lineRule="exact"/>
              <w:rPr>
                <w:sz w:val="20"/>
                <w:szCs w:val="20"/>
                <w:color w:val="auto"/>
              </w:rPr>
            </w:pPr>
            <w:r>
              <w:rPr>
                <w:rFonts w:ascii="Arial" w:cs="Arial" w:eastAsia="Arial" w:hAnsi="Arial"/>
                <w:sz w:val="11"/>
                <w:szCs w:val="11"/>
                <w:color w:val="auto"/>
              </w:rPr>
              <w:t>Class A common stock, $0.001 par value; 300,000,000 shares authorized as of October 31, 2025 and January 31, 2025; 33,367,134 and 3,761,469 shares</w:t>
            </w:r>
          </w:p>
        </w:tc>
        <w:tc>
          <w:tcPr>
            <w:tcW w:w="1060" w:type="dxa"/>
            <w:vAlign w:val="bottom"/>
          </w:tcPr>
          <w:p>
            <w:pPr>
              <w:spacing w:after="0"/>
              <w:rPr>
                <w:sz w:val="10"/>
                <w:szCs w:val="10"/>
                <w:color w:val="auto"/>
              </w:rPr>
            </w:pPr>
          </w:p>
        </w:tc>
        <w:tc>
          <w:tcPr>
            <w:tcW w:w="44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1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8360" w:type="dxa"/>
            <w:vAlign w:val="bottom"/>
          </w:tcPr>
          <w:p>
            <w:pPr>
              <w:ind w:left="400"/>
              <w:spacing w:after="0"/>
              <w:rPr>
                <w:sz w:val="20"/>
                <w:szCs w:val="20"/>
                <w:color w:val="auto"/>
              </w:rPr>
            </w:pPr>
            <w:r>
              <w:rPr>
                <w:rFonts w:ascii="Arial" w:cs="Arial" w:eastAsia="Arial" w:hAnsi="Arial"/>
                <w:sz w:val="11"/>
                <w:szCs w:val="11"/>
                <w:color w:val="auto"/>
              </w:rPr>
              <w:t>issued and outstanding as of October 31, 2025 and January 31, 2025, respectively</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p>
      <w:pPr>
        <w:spacing w:after="0" w:line="1" w:lineRule="exact"/>
        <w:rPr>
          <w:sz w:val="20"/>
          <w:szCs w:val="20"/>
          <w:color w:val="auto"/>
        </w:rPr>
      </w:pPr>
    </w:p>
    <w:p>
      <w:pPr>
        <w:ind w:left="400" w:right="660" w:hanging="126"/>
        <w:spacing w:after="0" w:line="242" w:lineRule="auto"/>
        <w:rPr>
          <w:sz w:val="20"/>
          <w:szCs w:val="20"/>
          <w:color w:val="auto"/>
        </w:rPr>
      </w:pPr>
      <w:r>
        <w:rPr>
          <w:rFonts w:ascii="Arial" w:cs="Arial" w:eastAsia="Arial" w:hAnsi="Arial"/>
          <w:sz w:val="11"/>
          <w:szCs w:val="11"/>
          <w:color w:val="auto"/>
        </w:rPr>
        <w:t>Class B common stock, $0.001 par value; 50,000,000 shares authorized as of October 31, 2025 and January 31, 2025; 0 and 155,463 shares issued and outstanding as of October 31, 2025 and January 31, 2025, respectively</w:t>
      </w:r>
    </w:p>
    <w:p>
      <w:pPr>
        <w:spacing w:after="0" w:line="10" w:lineRule="exact"/>
        <w:rPr>
          <w:sz w:val="20"/>
          <w:szCs w:val="20"/>
          <w:color w:val="auto"/>
        </w:rPr>
      </w:pPr>
    </w:p>
    <w:p>
      <w:pPr>
        <w:ind w:left="400" w:right="800" w:hanging="126"/>
        <w:spacing w:after="0" w:line="242" w:lineRule="auto"/>
        <w:rPr>
          <w:sz w:val="20"/>
          <w:szCs w:val="20"/>
          <w:color w:val="auto"/>
        </w:rPr>
      </w:pPr>
      <w:r>
        <w:rPr>
          <w:rFonts w:ascii="Arial" w:cs="Arial" w:eastAsia="Arial" w:hAnsi="Arial"/>
          <w:sz w:val="11"/>
          <w:szCs w:val="11"/>
          <w:color w:val="auto"/>
        </w:rPr>
        <w:t>Preferred stock, $0.001 par value; 10,000,000 shares authorized as of October 31, 2025 and January 31, 2025; 0 shares issued and outstanding as of October 31, 2025 and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Additional paid-in capital</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Accumulated deficit</w:t>
      </w:r>
    </w:p>
    <w:p>
      <w:pPr>
        <w:spacing w:after="0" w:line="20" w:lineRule="exact"/>
        <w:rPr>
          <w:sz w:val="20"/>
          <w:szCs w:val="20"/>
          <w:color w:val="auto"/>
        </w:rPr>
      </w:pPr>
      <w:r>
        <w:rPr>
          <w:sz w:val="20"/>
          <w:szCs w:val="20"/>
          <w:color w:val="auto"/>
        </w:rPr>
        <w:br w:type="column"/>
      </w:r>
    </w:p>
    <w:p>
      <w:pPr>
        <w:ind w:left="320"/>
        <w:spacing w:after="0"/>
        <w:tabs>
          <w:tab w:leader="none" w:pos="18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p>
    <w:p>
      <w:pPr>
        <w:spacing w:after="0" w:line="209" w:lineRule="exact"/>
        <w:rPr>
          <w:sz w:val="20"/>
          <w:szCs w:val="20"/>
          <w:color w:val="auto"/>
        </w:rPr>
      </w:pPr>
    </w:p>
    <w:p>
      <w:pPr>
        <w:ind w:left="300"/>
        <w:spacing w:after="0"/>
        <w:tabs>
          <w:tab w:leader="none" w:pos="17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46"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1"/>
          <w:szCs w:val="11"/>
          <w:color w:val="auto"/>
        </w:rPr>
        <w:t>1,063.9</w:t>
      </w:r>
      <w:r>
        <w:rPr>
          <w:sz w:val="20"/>
          <w:szCs w:val="20"/>
          <w:color w:val="auto"/>
        </w:rPr>
        <w:tab/>
      </w:r>
      <w:r>
        <w:rPr>
          <w:rFonts w:ascii="Arial" w:cs="Arial" w:eastAsia="Arial" w:hAnsi="Arial"/>
          <w:sz w:val="11"/>
          <w:szCs w:val="11"/>
          <w:color w:val="auto"/>
        </w:rPr>
        <w:t>940.5</w:t>
      </w:r>
    </w:p>
    <w:p>
      <w:pPr>
        <w:spacing w:after="0" w:line="54" w:lineRule="exact"/>
        <w:rPr>
          <w:sz w:val="20"/>
          <w:szCs w:val="20"/>
          <w:color w:val="auto"/>
        </w:rPr>
      </w:pPr>
    </w:p>
    <w:p>
      <w:pPr>
        <w:spacing w:after="0"/>
        <w:tabs>
          <w:tab w:leader="none" w:pos="1480" w:val="left"/>
        </w:tabs>
        <w:rPr>
          <w:sz w:val="20"/>
          <w:szCs w:val="20"/>
          <w:color w:val="auto"/>
        </w:rPr>
      </w:pPr>
      <w:r>
        <w:rPr>
          <w:rFonts w:ascii="Arial" w:cs="Arial" w:eastAsia="Arial" w:hAnsi="Arial"/>
          <w:sz w:val="11"/>
          <w:szCs w:val="11"/>
          <w:color w:val="auto"/>
        </w:rPr>
        <w:t>(1,099.0)</w:t>
      </w:r>
      <w:r>
        <w:rPr>
          <w:sz w:val="20"/>
          <w:szCs w:val="20"/>
          <w:color w:val="auto"/>
        </w:rPr>
        <w:tab/>
      </w:r>
      <w:r>
        <w:rPr>
          <w:rFonts w:ascii="Arial" w:cs="Arial" w:eastAsia="Arial" w:hAnsi="Arial"/>
          <w:sz w:val="11"/>
          <w:szCs w:val="11"/>
          <w:color w:val="auto"/>
        </w:rPr>
        <w:t>(1,123.0)</w:t>
      </w:r>
    </w:p>
    <w:p>
      <w:pPr>
        <w:spacing w:after="0" w:line="32" w:lineRule="exact"/>
        <w:rPr>
          <w:sz w:val="20"/>
          <w:szCs w:val="20"/>
          <w:color w:val="auto"/>
        </w:rPr>
      </w:pPr>
    </w:p>
    <w:p>
      <w:pPr>
        <w:sectPr>
          <w:pgSz w:w="11900" w:h="16838" w:orient="portrait"/>
          <w:cols w:equalWidth="0" w:num="2">
            <w:col w:w="8580" w:space="720"/>
            <w:col w:w="1980"/>
          </w:cols>
          <w:pgMar w:left="300" w:top="1440"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equity (deficit)</w:t>
            </w: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(182.5)</w:t>
            </w:r>
          </w:p>
        </w:tc>
      </w:tr>
      <w:tr>
        <w:trPr>
          <w:trHeight w:val="180"/>
        </w:trPr>
        <w:tc>
          <w:tcPr>
            <w:tcW w:w="836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231.0</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240.0</w:t>
            </w:r>
          </w:p>
        </w:tc>
      </w:tr>
      <w:tr>
        <w:trPr>
          <w:trHeight w:val="20"/>
        </w:trPr>
        <w:tc>
          <w:tcPr>
            <w:tcW w:w="8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ind w:left="160"/>
              <w:spacing w:after="0"/>
              <w:rPr>
                <w:sz w:val="20"/>
                <w:szCs w:val="20"/>
                <w:color w:val="auto"/>
              </w:rPr>
            </w:pPr>
            <w:r>
              <w:rPr>
                <w:rFonts w:ascii="Arial" w:cs="Arial" w:eastAsia="Arial" w:hAnsi="Arial"/>
                <w:sz w:val="11"/>
                <w:szCs w:val="11"/>
                <w:b w:val="1"/>
                <w:bCs w:val="1"/>
                <w:color w:val="auto"/>
              </w:rPr>
              <w:t>Three Months Ended October 31,</w:t>
            </w:r>
          </w:p>
        </w:tc>
        <w:tc>
          <w:tcPr>
            <w:tcW w:w="260" w:type="dxa"/>
            <w:vAlign w:val="bottom"/>
          </w:tcPr>
          <w:p>
            <w:pPr>
              <w:spacing w:after="0"/>
              <w:rPr>
                <w:sz w:val="14"/>
                <w:szCs w:val="14"/>
                <w:color w:val="auto"/>
              </w:rPr>
            </w:pPr>
          </w:p>
        </w:tc>
        <w:tc>
          <w:tcPr>
            <w:tcW w:w="2320" w:type="dxa"/>
            <w:vAlign w:val="bottom"/>
            <w:gridSpan w:val="4"/>
          </w:tcPr>
          <w:p>
            <w:pPr>
              <w:jc w:val="right"/>
              <w:ind w:right="377"/>
              <w:spacing w:after="0"/>
              <w:rPr>
                <w:sz w:val="20"/>
                <w:szCs w:val="20"/>
                <w:color w:val="auto"/>
              </w:rPr>
            </w:pPr>
            <w:r>
              <w:rPr>
                <w:rFonts w:ascii="Arial" w:cs="Arial" w:eastAsia="Arial" w:hAnsi="Arial"/>
                <w:sz w:val="11"/>
                <w:szCs w:val="11"/>
                <w:b w:val="1"/>
                <w:bCs w:val="1"/>
                <w:color w:val="auto"/>
              </w:rPr>
              <w:t>Nine Months Ended October 31,</w:t>
            </w:r>
          </w:p>
        </w:tc>
        <w:tc>
          <w:tcPr>
            <w:tcW w:w="0" w:type="dxa"/>
            <w:vAlign w:val="bottom"/>
          </w:tcPr>
          <w:p>
            <w:pPr>
              <w:spacing w:after="0"/>
              <w:rPr>
                <w:sz w:val="1"/>
                <w:szCs w:val="1"/>
                <w:color w:val="auto"/>
              </w:rPr>
            </w:pPr>
          </w:p>
        </w:tc>
      </w:tr>
      <w:tr>
        <w:trPr>
          <w:trHeight w:val="166"/>
        </w:trPr>
        <w:tc>
          <w:tcPr>
            <w:tcW w:w="59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7"/>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00" w:type="dxa"/>
            <w:vAlign w:val="bottom"/>
          </w:tcPr>
          <w:p>
            <w:pPr>
              <w:ind w:left="280"/>
              <w:spacing w:after="0"/>
              <w:rPr>
                <w:sz w:val="20"/>
                <w:szCs w:val="20"/>
                <w:color w:val="auto"/>
              </w:rPr>
            </w:pPr>
            <w:r>
              <w:rPr>
                <w:rFonts w:ascii="Arial" w:cs="Arial" w:eastAsia="Arial" w:hAnsi="Arial"/>
                <w:sz w:val="13"/>
                <w:szCs w:val="13"/>
                <w:color w:val="auto"/>
              </w:rPr>
              <w:t>Subscription and Reserve rental revenue</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77.0</w:t>
            </w:r>
          </w:p>
        </w:tc>
        <w:tc>
          <w:tcPr>
            <w:tcW w:w="10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66.3</w:t>
            </w:r>
          </w:p>
        </w:tc>
        <w:tc>
          <w:tcPr>
            <w:tcW w:w="80" w:type="dxa"/>
            <w:vAlign w:val="bottom"/>
          </w:tcPr>
          <w:p>
            <w:pPr>
              <w:spacing w:after="0"/>
              <w:rPr>
                <w:sz w:val="16"/>
                <w:szCs w:val="16"/>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208.2</w:t>
            </w:r>
          </w:p>
        </w:tc>
        <w:tc>
          <w:tcPr>
            <w:tcW w:w="10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92"/>
        </w:trPr>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70"/>
        </w:trPr>
        <w:tc>
          <w:tcPr>
            <w:tcW w:w="590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revenue, net</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229.8</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00" w:type="dxa"/>
            <w:vAlign w:val="bottom"/>
          </w:tcPr>
          <w:p>
            <w:pPr>
              <w:ind w:left="280"/>
              <w:spacing w:after="0"/>
              <w:rPr>
                <w:sz w:val="20"/>
                <w:szCs w:val="20"/>
                <w:color w:val="auto"/>
              </w:rPr>
            </w:pPr>
            <w:r>
              <w:rPr>
                <w:rFonts w:ascii="Arial" w:cs="Arial" w:eastAsia="Arial" w:hAnsi="Arial"/>
                <w:sz w:val="13"/>
                <w:szCs w:val="13"/>
                <w:color w:val="auto"/>
              </w:rPr>
              <w:t>Fulfillment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Technology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84"/>
        </w:trPr>
        <w:tc>
          <w:tcPr>
            <w:tcW w:w="5900" w:type="dxa"/>
            <w:vAlign w:val="bottom"/>
          </w:tcPr>
          <w:p>
            <w:pPr>
              <w:ind w:left="280"/>
              <w:spacing w:after="0"/>
              <w:rPr>
                <w:sz w:val="20"/>
                <w:szCs w:val="20"/>
                <w:color w:val="auto"/>
              </w:rPr>
            </w:pPr>
            <w:r>
              <w:rPr>
                <w:rFonts w:ascii="Arial" w:cs="Arial" w:eastAsia="Arial" w:hAnsi="Arial"/>
                <w:sz w:val="13"/>
                <w:szCs w:val="13"/>
                <w:color w:val="auto"/>
              </w:rPr>
              <w:t>Marketing</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84"/>
        </w:trPr>
        <w:tc>
          <w:tcPr>
            <w:tcW w:w="5900" w:type="dxa"/>
            <w:vAlign w:val="bottom"/>
          </w:tcPr>
          <w:p>
            <w:pPr>
              <w:ind w:left="280"/>
              <w:spacing w:after="0"/>
              <w:rPr>
                <w:sz w:val="20"/>
                <w:szCs w:val="20"/>
                <w:color w:val="auto"/>
              </w:rPr>
            </w:pPr>
            <w:r>
              <w:rPr>
                <w:rFonts w:ascii="Arial" w:cs="Arial" w:eastAsia="Arial" w:hAnsi="Arial"/>
                <w:sz w:val="13"/>
                <w:szCs w:val="13"/>
                <w:color w:val="auto"/>
              </w:rPr>
              <w:t>Rental product depreciation and revenue share</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depreciation and amortization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90"/>
        </w:trPr>
        <w:tc>
          <w:tcPr>
            <w:tcW w:w="5900" w:type="dxa"/>
            <w:vAlign w:val="bottom"/>
          </w:tcPr>
          <w:p>
            <w:pPr>
              <w:ind w:left="280"/>
              <w:spacing w:after="0"/>
              <w:rPr>
                <w:sz w:val="20"/>
                <w:szCs w:val="20"/>
                <w:color w:val="auto"/>
              </w:rPr>
            </w:pPr>
            <w:r>
              <w:rPr>
                <w:rFonts w:ascii="Arial" w:cs="Arial" w:eastAsia="Arial" w:hAnsi="Arial"/>
                <w:sz w:val="13"/>
                <w:szCs w:val="13"/>
                <w:color w:val="auto"/>
              </w:rPr>
              <w:t>Restructuring charges</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2"/>
        </w:trPr>
        <w:tc>
          <w:tcPr>
            <w:tcW w:w="59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0" w:type="dxa"/>
            <w:vAlign w:val="bottom"/>
          </w:tcPr>
          <w:p>
            <w:pPr>
              <w:spacing w:after="0"/>
              <w:rPr>
                <w:sz w:val="1"/>
                <w:szCs w:val="1"/>
                <w:color w:val="auto"/>
              </w:rPr>
            </w:pPr>
          </w:p>
        </w:tc>
      </w:tr>
      <w:tr>
        <w:trPr>
          <w:trHeight w:val="170"/>
        </w:trPr>
        <w:tc>
          <w:tcPr>
            <w:tcW w:w="5900" w:type="dxa"/>
            <w:vAlign w:val="bottom"/>
          </w:tcPr>
          <w:p>
            <w:pPr>
              <w:ind w:left="780"/>
              <w:spacing w:after="0"/>
              <w:rPr>
                <w:sz w:val="20"/>
                <w:szCs w:val="20"/>
                <w:color w:val="auto"/>
              </w:rPr>
            </w:pPr>
            <w:r>
              <w:rPr>
                <w:rFonts w:ascii="Arial" w:cs="Arial" w:eastAsia="Arial" w:hAnsi="Arial"/>
                <w:sz w:val="13"/>
                <w:szCs w:val="13"/>
                <w:color w:val="auto"/>
              </w:rPr>
              <w:t>Operating loss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92"/>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Debt Restructuring</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5900" w:type="dxa"/>
            <w:vAlign w:val="bottom"/>
          </w:tcPr>
          <w:p>
            <w:pPr>
              <w:ind w:left="20"/>
              <w:spacing w:after="0"/>
              <w:rPr>
                <w:sz w:val="20"/>
                <w:szCs w:val="20"/>
                <w:color w:val="auto"/>
              </w:rPr>
            </w:pPr>
            <w:r>
              <w:rPr>
                <w:rFonts w:ascii="Arial" w:cs="Arial" w:eastAsia="Arial" w:hAnsi="Arial"/>
                <w:sz w:val="13"/>
                <w:szCs w:val="13"/>
                <w:color w:val="auto"/>
              </w:rPr>
              <w:t>Interest income / (expense), net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income / (expense), net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0"/>
        </w:trPr>
        <w:tc>
          <w:tcPr>
            <w:tcW w:w="5900" w:type="dxa"/>
            <w:vAlign w:val="bottom"/>
          </w:tcPr>
          <w:p>
            <w:pPr>
              <w:ind w:left="700"/>
              <w:spacing w:after="0"/>
              <w:rPr>
                <w:sz w:val="20"/>
                <w:szCs w:val="20"/>
                <w:color w:val="auto"/>
              </w:rPr>
            </w:pPr>
            <w:r>
              <w:rPr>
                <w:rFonts w:ascii="Arial" w:cs="Arial" w:eastAsia="Arial" w:hAnsi="Arial"/>
                <w:sz w:val="13"/>
                <w:szCs w:val="13"/>
                <w:color w:val="auto"/>
              </w:rPr>
              <w:t>Net income (loss) before income tax benefit / (expense)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86"/>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 (expense)</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7"/>
        </w:trPr>
        <w:tc>
          <w:tcPr>
            <w:tcW w:w="5900" w:type="dxa"/>
            <w:vAlign w:val="bottom"/>
          </w:tcPr>
          <w:p>
            <w:pPr>
              <w:ind w:left="780"/>
              <w:spacing w:after="0"/>
              <w:rPr>
                <w:sz w:val="20"/>
                <w:szCs w:val="20"/>
                <w:color w:val="auto"/>
              </w:rPr>
            </w:pPr>
            <w:r>
              <w:rPr>
                <w:rFonts w:ascii="Arial" w:cs="Arial" w:eastAsia="Arial" w:hAnsi="Arial"/>
                <w:sz w:val="13"/>
                <w:szCs w:val="13"/>
                <w:color w:val="auto"/>
              </w:rPr>
              <w:t>Net income (loss)</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per share attributable to common stockholders, basic</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900" w:type="dxa"/>
            <w:vAlign w:val="bottom"/>
          </w:tcPr>
          <w:p>
            <w:pPr>
              <w:ind w:left="20"/>
              <w:spacing w:after="0"/>
              <w:rPr>
                <w:sz w:val="20"/>
                <w:szCs w:val="20"/>
                <w:color w:val="auto"/>
              </w:rPr>
            </w:pPr>
            <w:r>
              <w:rPr>
                <w:rFonts w:ascii="Arial" w:cs="Arial" w:eastAsia="Arial" w:hAnsi="Arial"/>
                <w:sz w:val="13"/>
                <w:szCs w:val="13"/>
                <w:color w:val="auto"/>
              </w:rPr>
              <w:t>Net income (loss) per share attributable to common stockholders, diluted</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Weighted-average shares used in computing net income (loss) per share attributable to common</w:t>
            </w:r>
          </w:p>
        </w:tc>
        <w:tc>
          <w:tcPr>
            <w:tcW w:w="2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5,586,257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4,017,222</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4,669,517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3,925,414</w:t>
            </w:r>
          </w:p>
        </w:tc>
        <w:tc>
          <w:tcPr>
            <w:tcW w:w="0" w:type="dxa"/>
            <w:vAlign w:val="bottom"/>
          </w:tcPr>
          <w:p>
            <w:pPr>
              <w:spacing w:after="0"/>
              <w:rPr>
                <w:sz w:val="1"/>
                <w:szCs w:val="1"/>
                <w:color w:val="auto"/>
              </w:rPr>
            </w:pPr>
          </w:p>
        </w:tc>
      </w:tr>
      <w:tr>
        <w:trPr>
          <w:trHeight w:val="188"/>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stockholders, basic</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3"/>
                <w:szCs w:val="13"/>
                <w:color w:val="auto"/>
              </w:rPr>
              <w:t>Weighted-average shares used in computing net income (loss) per share attributable to common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5,602,571</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4,017,222</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4,702,107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3,925,414</w:t>
            </w:r>
          </w:p>
        </w:tc>
        <w:tc>
          <w:tcPr>
            <w:tcW w:w="0" w:type="dxa"/>
            <w:vAlign w:val="bottom"/>
          </w:tcPr>
          <w:p>
            <w:pPr>
              <w:spacing w:after="0"/>
              <w:rPr>
                <w:sz w:val="1"/>
                <w:szCs w:val="1"/>
                <w:color w:val="auto"/>
              </w:rPr>
            </w:pPr>
          </w:p>
        </w:tc>
      </w:tr>
      <w:tr>
        <w:trPr>
          <w:trHeight w:val="168"/>
        </w:trPr>
        <w:tc>
          <w:tcPr>
            <w:tcW w:w="5900" w:type="dxa"/>
            <w:vAlign w:val="bottom"/>
          </w:tcPr>
          <w:p>
            <w:pPr>
              <w:ind w:left="140"/>
              <w:spacing w:after="0"/>
              <w:rPr>
                <w:sz w:val="20"/>
                <w:szCs w:val="20"/>
                <w:color w:val="auto"/>
              </w:rPr>
            </w:pPr>
            <w:r>
              <w:rPr>
                <w:rFonts w:ascii="Arial" w:cs="Arial" w:eastAsia="Arial" w:hAnsi="Arial"/>
                <w:sz w:val="13"/>
                <w:szCs w:val="13"/>
                <w:color w:val="auto"/>
              </w:rPr>
              <w:t>stockholders, diluted</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9" w:right="47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580" w:type="dxa"/>
            <w:vAlign w:val="bottom"/>
          </w:tcPr>
          <w:p>
            <w:pPr>
              <w:spacing w:after="0"/>
              <w:rPr>
                <w:sz w:val="7"/>
                <w:szCs w:val="7"/>
                <w:color w:val="auto"/>
              </w:rPr>
            </w:pPr>
          </w:p>
        </w:tc>
        <w:tc>
          <w:tcPr>
            <w:tcW w:w="2000" w:type="dxa"/>
            <w:vAlign w:val="bottom"/>
            <w:gridSpan w:val="3"/>
          </w:tcPr>
          <w:p>
            <w:pPr>
              <w:jc w:val="right"/>
              <w:ind w:right="512"/>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restart"/>
          </w:tcPr>
          <w:p>
            <w:pPr>
              <w:jc w:val="center"/>
              <w:ind w:right="280"/>
              <w:spacing w:after="0" w:line="85" w:lineRule="exact"/>
              <w:rPr>
                <w:sz w:val="20"/>
                <w:szCs w:val="20"/>
                <w:color w:val="auto"/>
              </w:rPr>
            </w:pPr>
            <w:r>
              <w:rPr>
                <w:rFonts w:ascii="Arial" w:cs="Arial" w:eastAsia="Arial" w:hAnsi="Arial"/>
                <w:sz w:val="8"/>
                <w:szCs w:val="8"/>
                <w:b w:val="1"/>
                <w:bCs w:val="1"/>
                <w:color w:val="auto"/>
              </w:rPr>
              <w:t>Paid-in</w:t>
            </w:r>
          </w:p>
        </w:tc>
        <w:tc>
          <w:tcPr>
            <w:tcW w:w="140" w:type="dxa"/>
            <w:vAlign w:val="bottom"/>
          </w:tcPr>
          <w:p>
            <w:pPr>
              <w:spacing w:after="0"/>
              <w:rPr>
                <w:sz w:val="3"/>
                <w:szCs w:val="3"/>
                <w:color w:val="auto"/>
              </w:rPr>
            </w:pPr>
          </w:p>
        </w:tc>
        <w:tc>
          <w:tcPr>
            <w:tcW w:w="960" w:type="dxa"/>
            <w:vAlign w:val="bottom"/>
            <w:gridSpan w:val="2"/>
            <w:vMerge w:val="restart"/>
          </w:tcPr>
          <w:p>
            <w:pPr>
              <w:jc w:val="center"/>
              <w:ind w:right="240"/>
              <w:spacing w:after="0" w:line="8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3"/>
                <w:szCs w:val="3"/>
                <w:color w:val="auto"/>
              </w:rPr>
            </w:pPr>
          </w:p>
        </w:tc>
        <w:tc>
          <w:tcPr>
            <w:tcW w:w="980" w:type="dxa"/>
            <w:vAlign w:val="bottom"/>
            <w:vMerge w:val="restart"/>
          </w:tcPr>
          <w:p>
            <w:pPr>
              <w:jc w:val="center"/>
              <w:ind w:right="112"/>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5580" w:type="dxa"/>
            <w:vAlign w:val="bottom"/>
          </w:tcPr>
          <w:p>
            <w:pPr>
              <w:spacing w:after="0" w:line="20" w:lineRule="exact"/>
              <w:rPr>
                <w:sz w:val="1"/>
                <w:szCs w:val="1"/>
                <w:color w:val="auto"/>
              </w:rPr>
            </w:pPr>
          </w:p>
        </w:tc>
        <w:tc>
          <w:tcPr>
            <w:tcW w:w="1180" w:type="dxa"/>
            <w:vAlign w:val="bottom"/>
            <w:gridSpan w:val="2"/>
            <w:vMerge w:val="restart"/>
          </w:tcPr>
          <w:p>
            <w:pPr>
              <w:ind w:left="400"/>
              <w:spacing w:after="0"/>
              <w:rPr>
                <w:sz w:val="20"/>
                <w:szCs w:val="20"/>
                <w:color w:val="auto"/>
              </w:rPr>
            </w:pPr>
            <w:r>
              <w:rPr>
                <w:rFonts w:ascii="Arial" w:cs="Arial" w:eastAsia="Arial" w:hAnsi="Arial"/>
                <w:sz w:val="8"/>
                <w:szCs w:val="8"/>
                <w:b w:val="1"/>
                <w:bCs w:val="1"/>
                <w:color w:val="auto"/>
              </w:rPr>
              <w:t>Shares</w:t>
            </w:r>
          </w:p>
        </w:tc>
        <w:tc>
          <w:tcPr>
            <w:tcW w:w="820" w:type="dxa"/>
            <w:vAlign w:val="bottom"/>
            <w:vMerge w:val="restart"/>
          </w:tcPr>
          <w:p>
            <w:pPr>
              <w:jc w:val="right"/>
              <w:ind w:right="72"/>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Capital</w:t>
            </w:r>
          </w:p>
        </w:tc>
        <w:tc>
          <w:tcPr>
            <w:tcW w:w="14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0"/>
                <w:szCs w:val="10"/>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rPr>
              <w:t>Equity (Deficit)</w:t>
            </w:r>
          </w:p>
        </w:tc>
        <w:tc>
          <w:tcPr>
            <w:tcW w:w="0" w:type="dxa"/>
            <w:vAlign w:val="bottom"/>
          </w:tcPr>
          <w:p>
            <w:pPr>
              <w:spacing w:after="0"/>
              <w:rPr>
                <w:sz w:val="1"/>
                <w:szCs w:val="1"/>
                <w:color w:val="auto"/>
              </w:rPr>
            </w:pP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July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4,054,758</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943.4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(1,175.5)</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(232.1)</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73,458</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Stock issued related to debt-for-equity exchange, net 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26,175,193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107.5</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related to the rights offering, net of issuance costs</w:t>
            </w:r>
          </w:p>
        </w:tc>
        <w:tc>
          <w:tcPr>
            <w:tcW w:w="1080" w:type="dxa"/>
            <w:vAlign w:val="bottom"/>
          </w:tcPr>
          <w:p>
            <w:pPr>
              <w:jc w:val="right"/>
              <w:spacing w:after="0"/>
              <w:rPr>
                <w:sz w:val="20"/>
                <w:szCs w:val="20"/>
                <w:color w:val="auto"/>
              </w:rPr>
            </w:pPr>
            <w:r>
              <w:rPr>
                <w:rFonts w:ascii="Arial" w:cs="Arial" w:eastAsia="Arial" w:hAnsi="Arial"/>
                <w:sz w:val="10"/>
                <w:szCs w:val="10"/>
                <w:color w:val="auto"/>
              </w:rPr>
              <w:t>3,063,725</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income</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76.5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76.5</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33,367,134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(1,099.0)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July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3,760,860</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936.2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(1,090.7)</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(154.5)</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79,416</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(18.9)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3,840,276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(1,109.6)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(171.2)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5580" w:type="dxa"/>
            <w:vAlign w:val="bottom"/>
          </w:tcPr>
          <w:p>
            <w:pPr>
              <w:spacing w:after="0"/>
              <w:rPr>
                <w:sz w:val="8"/>
                <w:szCs w:val="8"/>
                <w:color w:val="auto"/>
              </w:rPr>
            </w:pPr>
          </w:p>
        </w:tc>
        <w:tc>
          <w:tcPr>
            <w:tcW w:w="2000" w:type="dxa"/>
            <w:vAlign w:val="bottom"/>
            <w:gridSpan w:val="3"/>
          </w:tcPr>
          <w:p>
            <w:pPr>
              <w:jc w:val="right"/>
              <w:ind w:right="512"/>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center"/>
              <w:ind w:right="113"/>
              <w:spacing w:after="0"/>
              <w:rPr>
                <w:sz w:val="20"/>
                <w:szCs w:val="20"/>
                <w:color w:val="auto"/>
              </w:rPr>
            </w:pPr>
            <w:r>
              <w:rPr>
                <w:rFonts w:ascii="Arial" w:cs="Arial" w:eastAsia="Arial" w:hAnsi="Arial"/>
                <w:sz w:val="8"/>
                <w:szCs w:val="8"/>
                <w:b w:val="1"/>
                <w:bCs w:val="1"/>
                <w:color w:val="auto"/>
                <w:w w:val="93"/>
              </w:rPr>
              <w:t>Total</w:t>
            </w: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jc w:val="center"/>
              <w:ind w:right="280"/>
              <w:spacing w:after="0" w:line="43" w:lineRule="exact"/>
              <w:rPr>
                <w:sz w:val="20"/>
                <w:szCs w:val="20"/>
                <w:color w:val="auto"/>
              </w:rPr>
            </w:pPr>
            <w:r>
              <w:rPr>
                <w:rFonts w:ascii="Arial" w:cs="Arial" w:eastAsia="Arial" w:hAnsi="Arial"/>
                <w:sz w:val="4"/>
                <w:szCs w:val="4"/>
                <w:b w:val="1"/>
                <w:bCs w:val="1"/>
                <w:color w:val="auto"/>
              </w:rPr>
              <w:t>Paid-in</w:t>
            </w:r>
          </w:p>
        </w:tc>
        <w:tc>
          <w:tcPr>
            <w:tcW w:w="140" w:type="dxa"/>
            <w:vAlign w:val="bottom"/>
          </w:tcPr>
          <w:p>
            <w:pPr>
              <w:spacing w:after="0"/>
              <w:rPr>
                <w:sz w:val="3"/>
                <w:szCs w:val="3"/>
                <w:color w:val="auto"/>
              </w:rPr>
            </w:pPr>
          </w:p>
        </w:tc>
        <w:tc>
          <w:tcPr>
            <w:tcW w:w="960" w:type="dxa"/>
            <w:vAlign w:val="bottom"/>
            <w:gridSpan w:val="2"/>
          </w:tcPr>
          <w:p>
            <w:pPr>
              <w:jc w:val="center"/>
              <w:ind w:right="240"/>
              <w:spacing w:after="0" w:line="43" w:lineRule="exact"/>
              <w:rPr>
                <w:sz w:val="20"/>
                <w:szCs w:val="20"/>
                <w:color w:val="auto"/>
              </w:rPr>
            </w:pPr>
            <w:r>
              <w:rPr>
                <w:rFonts w:ascii="Arial" w:cs="Arial" w:eastAsia="Arial" w:hAnsi="Arial"/>
                <w:sz w:val="4"/>
                <w:szCs w:val="4"/>
                <w:b w:val="1"/>
                <w:bCs w:val="1"/>
                <w:color w:val="auto"/>
              </w:rPr>
              <w:t>Accumulated</w:t>
            </w:r>
          </w:p>
        </w:tc>
        <w:tc>
          <w:tcPr>
            <w:tcW w:w="160" w:type="dxa"/>
            <w:vAlign w:val="bottom"/>
          </w:tcPr>
          <w:p>
            <w:pPr>
              <w:spacing w:after="0"/>
              <w:rPr>
                <w:sz w:val="3"/>
                <w:szCs w:val="3"/>
                <w:color w:val="auto"/>
              </w:rPr>
            </w:pPr>
          </w:p>
        </w:tc>
        <w:tc>
          <w:tcPr>
            <w:tcW w:w="980" w:type="dxa"/>
            <w:vAlign w:val="bottom"/>
          </w:tcPr>
          <w:p>
            <w:pPr>
              <w:jc w:val="center"/>
              <w:ind w:right="113"/>
              <w:spacing w:after="0" w:line="43" w:lineRule="exact"/>
              <w:rPr>
                <w:sz w:val="20"/>
                <w:szCs w:val="20"/>
                <w:color w:val="auto"/>
              </w:rPr>
            </w:pPr>
            <w:r>
              <w:rPr>
                <w:rFonts w:ascii="Arial" w:cs="Arial" w:eastAsia="Arial" w:hAnsi="Arial"/>
                <w:sz w:val="4"/>
                <w:szCs w:val="4"/>
                <w:b w:val="1"/>
                <w:bCs w:val="1"/>
                <w:color w:val="auto"/>
              </w:rPr>
              <w:t>Stockholders’</w:t>
            </w:r>
          </w:p>
        </w:tc>
      </w:tr>
      <w:tr>
        <w:trPr>
          <w:trHeight w:val="133"/>
        </w:trPr>
        <w:tc>
          <w:tcPr>
            <w:tcW w:w="5580" w:type="dxa"/>
            <w:vAlign w:val="bottom"/>
          </w:tcPr>
          <w:p>
            <w:pPr>
              <w:spacing w:after="0"/>
              <w:rPr>
                <w:sz w:val="11"/>
                <w:szCs w:val="11"/>
                <w:color w:val="auto"/>
              </w:rPr>
            </w:pPr>
          </w:p>
        </w:tc>
        <w:tc>
          <w:tcPr>
            <w:tcW w:w="1180" w:type="dxa"/>
            <w:vAlign w:val="bottom"/>
            <w:gridSpan w:val="2"/>
          </w:tcPr>
          <w:p>
            <w:pPr>
              <w:ind w:left="400"/>
              <w:spacing w:after="0"/>
              <w:rPr>
                <w:sz w:val="20"/>
                <w:szCs w:val="20"/>
                <w:color w:val="auto"/>
              </w:rPr>
            </w:pPr>
            <w:r>
              <w:rPr>
                <w:rFonts w:ascii="Arial" w:cs="Arial" w:eastAsia="Arial" w:hAnsi="Arial"/>
                <w:sz w:val="8"/>
                <w:szCs w:val="8"/>
                <w:b w:val="1"/>
                <w:bCs w:val="1"/>
                <w:color w:val="auto"/>
              </w:rPr>
              <w:t>Shares</w:t>
            </w:r>
          </w:p>
        </w:tc>
        <w:tc>
          <w:tcPr>
            <w:tcW w:w="820" w:type="dxa"/>
            <w:vAlign w:val="bottom"/>
          </w:tcPr>
          <w:p>
            <w:pPr>
              <w:jc w:val="right"/>
              <w:ind w:right="72"/>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Capital</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1"/>
                <w:szCs w:val="11"/>
                <w:color w:val="auto"/>
              </w:rPr>
            </w:pPr>
          </w:p>
        </w:tc>
        <w:tc>
          <w:tcPr>
            <w:tcW w:w="980" w:type="dxa"/>
            <w:vAlign w:val="bottom"/>
          </w:tcPr>
          <w:p>
            <w:pPr>
              <w:jc w:val="center"/>
              <w:ind w:right="113"/>
              <w:spacing w:after="0"/>
              <w:rPr>
                <w:sz w:val="20"/>
                <w:szCs w:val="20"/>
                <w:color w:val="auto"/>
              </w:rPr>
            </w:pPr>
            <w:r>
              <w:rPr>
                <w:rFonts w:ascii="Arial" w:cs="Arial" w:eastAsia="Arial" w:hAnsi="Arial"/>
                <w:sz w:val="8"/>
                <w:szCs w:val="8"/>
                <w:b w:val="1"/>
                <w:bCs w:val="1"/>
                <w:color w:val="auto"/>
              </w:rPr>
              <w:t>Equity (Deficit)</w:t>
            </w: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3,916,932</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940.5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(1,123.0)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(182.5)</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211,284</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Stock issued related to debt-for-equity exchange, net 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26,175,193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107.5</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related to the rights offering, net of issuance costs</w:t>
            </w:r>
          </w:p>
        </w:tc>
        <w:tc>
          <w:tcPr>
            <w:tcW w:w="1080" w:type="dxa"/>
            <w:vAlign w:val="bottom"/>
          </w:tcPr>
          <w:p>
            <w:pPr>
              <w:jc w:val="right"/>
              <w:spacing w:after="0"/>
              <w:rPr>
                <w:sz w:val="20"/>
                <w:szCs w:val="20"/>
                <w:color w:val="auto"/>
              </w:rPr>
            </w:pPr>
            <w:r>
              <w:rPr>
                <w:rFonts w:ascii="Arial" w:cs="Arial" w:eastAsia="Arial" w:hAnsi="Arial"/>
                <w:sz w:val="10"/>
                <w:szCs w:val="10"/>
                <w:color w:val="auto"/>
              </w:rPr>
              <w:t>3,063,725</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12.1</w:t>
            </w: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income</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ind w:right="13"/>
              <w:spacing w:after="0"/>
              <w:rPr>
                <w:sz w:val="20"/>
                <w:szCs w:val="20"/>
                <w:color w:val="auto"/>
              </w:rPr>
            </w:pPr>
            <w:r>
              <w:rPr>
                <w:rFonts w:ascii="Arial" w:cs="Arial" w:eastAsia="Arial" w:hAnsi="Arial"/>
                <w:sz w:val="10"/>
                <w:szCs w:val="10"/>
                <w:color w:val="auto"/>
              </w:rPr>
              <w:t>24.0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24.0</w:t>
            </w: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33,367,134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(1,099.0)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3,545,515</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930.8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(1,053.1)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(122.3)</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294,761</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(56.5)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(56.5)</w:t>
            </w: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3,840,276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(1,109.6)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(171.2)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02"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Nine Months Ended</w:t>
      </w:r>
    </w:p>
    <w:p>
      <w:pPr>
        <w:jc w:val="center"/>
        <w:ind w:left="8320"/>
        <w:spacing w:after="0"/>
        <w:rPr>
          <w:sz w:val="20"/>
          <w:szCs w:val="20"/>
          <w:color w:val="auto"/>
        </w:rPr>
      </w:pPr>
      <w:r>
        <w:rPr>
          <w:rFonts w:ascii="Arial" w:cs="Arial" w:eastAsia="Arial" w:hAnsi="Arial"/>
          <w:sz w:val="13"/>
          <w:szCs w:val="13"/>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5080</wp:posOffset>
            </wp:positionV>
            <wp:extent cx="187325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17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(56.5)</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(used in) provided by operating activities: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Rental product depreciation and write-offs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35.5</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Write-off of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Other depreciation and amortization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from write-off of fixed and intangible assets and lease termination</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Proceeds from rental product sold</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(20.1)</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 loss from liquidation of rental product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Gain on Debt Restructuring</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Accrual of paid-in-kind interest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Amortization of debt discount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 expense</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Operating lease right-of-use assets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Accounts payable, accrued expenses and other current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Deferred revenue and customer credit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Operating lease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liabilities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70"/>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operating activities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Purchases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(41.4)</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liquidation of rental product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Proceeds from sale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20.1</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fixed and intangible assets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70"/>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investing activities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r>
      <w:tr>
        <w:trPr>
          <w:trHeight w:val="15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bl>
    <w:p>
      <w:pPr>
        <w:spacing w:after="0" w:line="11" w:lineRule="exact"/>
        <w:rPr>
          <w:sz w:val="20"/>
          <w:szCs w:val="20"/>
          <w:color w:val="auto"/>
        </w:rPr>
      </w:pPr>
    </w:p>
    <w:p>
      <w:pPr>
        <w:sectPr>
          <w:pgSz w:w="11900" w:h="16838" w:orient="portrait"/>
          <w:cols w:equalWidth="0" w:num="1">
            <w:col w:w="11280"/>
          </w:cols>
          <w:pgMar w:left="300" w:top="129" w:right="319" w:bottom="1440" w:gutter="0" w:footer="0" w:header="0"/>
        </w:sectPr>
      </w:pPr>
    </w:p>
    <w:p>
      <w:pPr>
        <w:ind w:left="20"/>
        <w:spacing w:after="0"/>
        <w:rPr>
          <w:sz w:val="20"/>
          <w:szCs w:val="20"/>
          <w:color w:val="auto"/>
        </w:rPr>
      </w:pPr>
      <w:r>
        <w:rPr>
          <w:rFonts w:ascii="Arial" w:cs="Arial" w:eastAsia="Arial" w:hAnsi="Arial"/>
          <w:sz w:val="13"/>
          <w:szCs w:val="13"/>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long-term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restructuring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financing costs paid</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equity issuance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short-term financing agreements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financing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960" w:type="dxa"/>
            <w:vAlign w:val="bottom"/>
          </w:tcPr>
          <w:p>
            <w:pPr>
              <w:jc w:val="right"/>
              <w:ind w:right="616"/>
              <w:spacing w:after="0"/>
              <w:rPr>
                <w:sz w:val="20"/>
                <w:szCs w:val="20"/>
                <w:color w:val="auto"/>
              </w:rPr>
            </w:pPr>
            <w:r>
              <w:rPr>
                <w:rFonts w:ascii="Arial" w:cs="Arial" w:eastAsia="Arial" w:hAnsi="Arial"/>
                <w:sz w:val="13"/>
                <w:szCs w:val="13"/>
                <w:color w:val="auto"/>
              </w:rPr>
              <w:t>12.5</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91"/>
        </w:trPr>
        <w:tc>
          <w:tcPr>
            <w:tcW w:w="960" w:type="dxa"/>
            <w:vAlign w:val="bottom"/>
          </w:tcPr>
          <w:p>
            <w:pPr>
              <w:jc w:val="right"/>
              <w:ind w:right="616"/>
              <w:spacing w:after="0"/>
              <w:rPr>
                <w:sz w:val="20"/>
                <w:szCs w:val="20"/>
                <w:color w:val="auto"/>
              </w:rPr>
            </w:pPr>
            <w:r>
              <w:rPr>
                <w:rFonts w:ascii="Arial" w:cs="Arial" w:eastAsia="Arial" w:hAnsi="Arial"/>
                <w:sz w:val="13"/>
                <w:szCs w:val="13"/>
                <w:color w:val="auto"/>
              </w:rPr>
              <w:t>20.0</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91"/>
        </w:trPr>
        <w:tc>
          <w:tcPr>
            <w:tcW w:w="960" w:type="dxa"/>
            <w:vAlign w:val="bottom"/>
          </w:tcPr>
          <w:p>
            <w:pPr>
              <w:jc w:val="right"/>
              <w:ind w:right="576"/>
              <w:spacing w:after="0"/>
              <w:rPr>
                <w:sz w:val="20"/>
                <w:szCs w:val="20"/>
                <w:color w:val="auto"/>
              </w:rPr>
            </w:pPr>
            <w:r>
              <w:rPr>
                <w:rFonts w:ascii="Arial" w:cs="Arial" w:eastAsia="Arial" w:hAnsi="Arial"/>
                <w:sz w:val="13"/>
                <w:szCs w:val="13"/>
                <w:color w:val="auto"/>
                <w:w w:val="88"/>
              </w:rPr>
              <w:t>(11.6)</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91"/>
        </w:trPr>
        <w:tc>
          <w:tcPr>
            <w:tcW w:w="960" w:type="dxa"/>
            <w:vAlign w:val="bottom"/>
          </w:tcPr>
          <w:p>
            <w:pPr>
              <w:jc w:val="right"/>
              <w:ind w:right="576"/>
              <w:spacing w:after="0"/>
              <w:rPr>
                <w:sz w:val="20"/>
                <w:szCs w:val="20"/>
                <w:color w:val="auto"/>
              </w:rPr>
            </w:pPr>
            <w:r>
              <w:rPr>
                <w:rFonts w:ascii="Arial" w:cs="Arial" w:eastAsia="Arial" w:hAnsi="Arial"/>
                <w:sz w:val="13"/>
                <w:szCs w:val="13"/>
                <w:color w:val="auto"/>
              </w:rPr>
              <w:t>(0.4)</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91"/>
        </w:trPr>
        <w:tc>
          <w:tcPr>
            <w:tcW w:w="960" w:type="dxa"/>
            <w:vAlign w:val="bottom"/>
          </w:tcPr>
          <w:p>
            <w:pPr>
              <w:jc w:val="right"/>
              <w:ind w:right="576"/>
              <w:spacing w:after="0"/>
              <w:rPr>
                <w:sz w:val="20"/>
                <w:szCs w:val="20"/>
                <w:color w:val="auto"/>
              </w:rPr>
            </w:pPr>
            <w:r>
              <w:rPr>
                <w:rFonts w:ascii="Arial" w:cs="Arial" w:eastAsia="Arial" w:hAnsi="Arial"/>
                <w:sz w:val="13"/>
                <w:szCs w:val="13"/>
                <w:color w:val="auto"/>
              </w:rPr>
              <w:t>(0.2)</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91"/>
        </w:trPr>
        <w:tc>
          <w:tcPr>
            <w:tcW w:w="960" w:type="dxa"/>
            <w:vAlign w:val="bottom"/>
          </w:tcPr>
          <w:p>
            <w:pPr>
              <w:jc w:val="right"/>
              <w:ind w:right="616"/>
              <w:spacing w:after="0"/>
              <w:rPr>
                <w:sz w:val="20"/>
                <w:szCs w:val="20"/>
                <w:color w:val="auto"/>
              </w:rPr>
            </w:pPr>
            <w:r>
              <w:rPr>
                <w:rFonts w:ascii="Arial" w:cs="Arial" w:eastAsia="Arial" w:hAnsi="Arial"/>
                <w:sz w:val="13"/>
                <w:szCs w:val="13"/>
                <w:color w:val="auto"/>
              </w:rPr>
              <w:t>1.1</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70"/>
        </w:trPr>
        <w:tc>
          <w:tcPr>
            <w:tcW w:w="960" w:type="dxa"/>
            <w:vAlign w:val="bottom"/>
          </w:tcPr>
          <w:p>
            <w:pPr>
              <w:jc w:val="right"/>
              <w:ind w:right="576"/>
              <w:spacing w:after="0"/>
              <w:rPr>
                <w:sz w:val="20"/>
                <w:szCs w:val="20"/>
                <w:color w:val="auto"/>
              </w:rPr>
            </w:pPr>
            <w:r>
              <w:rPr>
                <w:rFonts w:ascii="Arial" w:cs="Arial" w:eastAsia="Arial" w:hAnsi="Arial"/>
                <w:sz w:val="13"/>
                <w:szCs w:val="13"/>
                <w:color w:val="auto"/>
              </w:rPr>
              <w:t>(2.0)</w:t>
            </w:r>
          </w:p>
        </w:tc>
        <w:tc>
          <w:tcPr>
            <w:tcW w:w="880" w:type="dxa"/>
            <w:vAlign w:val="bottom"/>
          </w:tcPr>
          <w:p>
            <w:pPr>
              <w:ind w:left="620"/>
              <w:spacing w:after="0"/>
              <w:rPr>
                <w:sz w:val="20"/>
                <w:szCs w:val="20"/>
                <w:color w:val="auto"/>
              </w:rPr>
            </w:pPr>
            <w:r>
              <w:rPr>
                <w:rFonts w:ascii="Arial" w:cs="Arial" w:eastAsia="Arial" w:hAnsi="Arial"/>
                <w:sz w:val="13"/>
                <w:szCs w:val="13"/>
                <w:color w:val="auto"/>
                <w:w w:val="89"/>
              </w:rPr>
              <w:t>(1.6)</w:t>
            </w:r>
          </w:p>
        </w:tc>
      </w:tr>
    </w:tbl>
    <w:p>
      <w:pPr>
        <w:spacing w:after="0" w:line="1" w:lineRule="exact"/>
        <w:rPr>
          <w:sz w:val="20"/>
          <w:szCs w:val="20"/>
          <w:color w:val="auto"/>
        </w:rPr>
      </w:pPr>
    </w:p>
    <w:p>
      <w:pPr>
        <w:sectPr>
          <w:pgSz w:w="11900" w:h="16838" w:orient="portrait"/>
          <w:cols w:equalWidth="0" w:num="2">
            <w:col w:w="8700" w:space="720"/>
            <w:col w:w="186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834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Net cash (used in) provided by financing activities</w:t>
            </w: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center"/>
              <w:ind w:left="416"/>
              <w:spacing w:after="0"/>
              <w:rPr>
                <w:sz w:val="20"/>
                <w:szCs w:val="20"/>
                <w:color w:val="auto"/>
              </w:rPr>
            </w:pPr>
            <w:r>
              <w:rPr>
                <w:rFonts w:ascii="Arial" w:cs="Arial" w:eastAsia="Arial" w:hAnsi="Arial"/>
                <w:sz w:val="13"/>
                <w:szCs w:val="13"/>
                <w:color w:val="auto"/>
                <w:w w:val="94"/>
              </w:rPr>
              <w:t>19.4</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59"/>
        </w:trPr>
        <w:tc>
          <w:tcPr>
            <w:tcW w:w="8340" w:type="dxa"/>
            <w:vAlign w:val="bottom"/>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580" w:type="dxa"/>
            <w:vAlign w:val="bottom"/>
          </w:tcPr>
          <w:p>
            <w:pPr>
              <w:spacing w:after="0"/>
              <w:rPr>
                <w:sz w:val="13"/>
                <w:szCs w:val="13"/>
                <w:color w:val="auto"/>
              </w:rPr>
            </w:pPr>
          </w:p>
        </w:tc>
        <w:tc>
          <w:tcPr>
            <w:tcW w:w="840" w:type="dxa"/>
            <w:vAlign w:val="bottom"/>
          </w:tcPr>
          <w:p>
            <w:pPr>
              <w:jc w:val="center"/>
              <w:ind w:left="416"/>
              <w:spacing w:after="0"/>
              <w:rPr>
                <w:sz w:val="20"/>
                <w:szCs w:val="20"/>
                <w:color w:val="auto"/>
              </w:rPr>
            </w:pPr>
            <w:r>
              <w:rPr>
                <w:rFonts w:ascii="Arial" w:cs="Arial" w:eastAsia="Arial" w:hAnsi="Arial"/>
                <w:sz w:val="13"/>
                <w:szCs w:val="13"/>
                <w:color w:val="auto"/>
                <w:w w:val="94"/>
              </w:rPr>
              <w:t>(27.1)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3"/>
                <w:szCs w:val="13"/>
                <w:color w:val="auto"/>
                <w:w w:val="94"/>
              </w:rPr>
              <w:t>86.5</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94.0</w:t>
            </w:r>
          </w:p>
        </w:tc>
      </w:tr>
      <w:tr>
        <w:trPr>
          <w:trHeight w:val="162"/>
        </w:trPr>
        <w:tc>
          <w:tcPr>
            <w:tcW w:w="834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at end of period</w:t>
            </w: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w w:val="94"/>
              </w:rPr>
              <w:t>59.4</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83.1</w:t>
            </w:r>
          </w:p>
        </w:tc>
      </w:tr>
      <w:tr>
        <w:trPr>
          <w:trHeight w:val="20"/>
        </w:trPr>
        <w:tc>
          <w:tcPr>
            <w:tcW w:w="8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23"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Nine Months Ended</w:t>
      </w:r>
    </w:p>
    <w:p>
      <w:pPr>
        <w:spacing w:after="0" w:line="11"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October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17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and Cash Equivalents and Restricted Cash to the Condensed Consolidated Balance Sheets: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50.7</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74.1</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current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84"/>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noncurrent</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r>
      <w:tr>
        <w:trPr>
          <w:trHeight w:val="19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cash equivalents and restricted cash</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8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payments (receipts) for:</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operating lease payments, net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Fixed assets and intangibles received in the prior period</w:t>
            </w:r>
          </w:p>
        </w:tc>
        <w:tc>
          <w:tcPr>
            <w:tcW w:w="9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Rental product received in the prior period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8340" w:type="dxa"/>
            <w:vAlign w:val="bottom"/>
          </w:tcPr>
          <w:p>
            <w:pPr>
              <w:ind w:left="180"/>
              <w:spacing w:after="0"/>
              <w:rPr>
                <w:sz w:val="20"/>
                <w:szCs w:val="20"/>
                <w:color w:val="auto"/>
              </w:rPr>
            </w:pPr>
            <w:r>
              <w:rPr>
                <w:rFonts w:ascii="Arial" w:cs="Arial" w:eastAsia="Arial" w:hAnsi="Arial"/>
                <w:sz w:val="13"/>
                <w:szCs w:val="13"/>
                <w:color w:val="auto"/>
              </w:rPr>
              <w:t>Non-cash financing and investing activities: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Financing lease right-of-use asset amortization</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ROU assets obtained in exchange for lease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Adjustments to ROU assets or lease liabilities due to modification or other reassessment events to operating and finance leases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Purchases of fixed assets and intangibles not yet settled</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rental product not yet settled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Debt and rights offering costs not yet settled</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Change in common stock related to debt restructuring</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0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color w:val="auto"/>
        </w:rPr>
      </w:pPr>
    </w:p>
    <w:p>
      <w:pPr>
        <w:ind w:left="380" w:right="6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w:t>
      </w:r>
    </w:p>
    <w:p>
      <w:pPr>
        <w:spacing w:after="0" w:line="54" w:lineRule="exact"/>
        <w:rPr>
          <w:rFonts w:ascii="Arial" w:cs="Arial" w:eastAsia="Arial" w:hAnsi="Arial"/>
          <w:sz w:val="14"/>
          <w:szCs w:val="14"/>
          <w:b w:val="1"/>
          <w:bCs w:val="1"/>
          <w:color w:val="auto"/>
        </w:rPr>
      </w:pPr>
    </w:p>
    <w:p>
      <w:pPr>
        <w:ind w:left="380" w:right="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20" w:lineRule="exact"/>
        <w:rPr>
          <w:rFonts w:ascii="Arial" w:cs="Arial" w:eastAsia="Arial" w:hAnsi="Arial"/>
          <w:sz w:val="14"/>
          <w:szCs w:val="14"/>
          <w:b w:val="1"/>
          <w:bCs w:val="1"/>
          <w:color w:val="auto"/>
        </w:rPr>
      </w:pPr>
    </w:p>
    <w:p>
      <w:pPr>
        <w:ind w:left="380" w:right="7920" w:hanging="375"/>
        <w:spacing w:after="0" w:line="379" w:lineRule="auto"/>
        <w:tabs>
          <w:tab w:leader="none" w:pos="37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40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w:t>
      </w:r>
    </w:p>
    <w:p>
      <w:pPr>
        <w:spacing w:after="0" w:line="48" w:lineRule="exact"/>
        <w:rPr>
          <w:rFonts w:ascii="Arial" w:cs="Arial" w:eastAsia="Arial" w:hAnsi="Arial"/>
          <w:sz w:val="14"/>
          <w:szCs w:val="14"/>
          <w:b w:val="1"/>
          <w:bCs w:val="1"/>
          <w:color w:val="auto"/>
        </w:rPr>
      </w:pPr>
    </w:p>
    <w:p>
      <w:pPr>
        <w:ind w:left="380" w:right="2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 For the three and nine months ended October 31, 2025 and 2024, comprehensive loss is equal to net income (loss) as the Company had no items of other comprehensive loss in these periods.</w:t>
      </w:r>
    </w:p>
    <w:p>
      <w:pPr>
        <w:spacing w:after="0" w:line="52" w:lineRule="exact"/>
        <w:rPr>
          <w:rFonts w:ascii="Arial" w:cs="Arial" w:eastAsia="Arial" w:hAnsi="Arial"/>
          <w:sz w:val="14"/>
          <w:szCs w:val="14"/>
          <w:b w:val="1"/>
          <w:bCs w:val="1"/>
          <w:color w:val="auto"/>
        </w:rPr>
      </w:pPr>
    </w:p>
    <w:p>
      <w:pPr>
        <w:ind w:left="3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results for the three and nine months ended October 31, 2025 are not necessarily indicative of the operating results expected for the year ending January 31, 2026 or any future period. The condensed consolidated balance sheet as of January 31, 2025 is derived from the audited consolidated financial statements. Accordingly, the unaudited condensed consolidated financial statements and notes included herein should be read in conjunction with the Company’s audited consolidated financial statements and notes for the year ended January 31, 2025, which can be found in the Company’s Annual Report on Form 10-K filed with the SEC on April 15, 2025.</w:t>
      </w:r>
    </w:p>
    <w:p>
      <w:pPr>
        <w:spacing w:after="0" w:line="52"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93" w:lineRule="exact"/>
        <w:rPr>
          <w:rFonts w:ascii="Arial" w:cs="Arial" w:eastAsia="Arial" w:hAnsi="Arial"/>
          <w:sz w:val="14"/>
          <w:szCs w:val="14"/>
          <w:b w:val="1"/>
          <w:bCs w:val="1"/>
          <w:color w:val="auto"/>
        </w:rPr>
      </w:pPr>
    </w:p>
    <w:p>
      <w:pPr>
        <w:ind w:left="380" w:right="4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Company’s fiscal year ends on January 31 of the next calendar year. For example, references to “fiscal year 2025” refer to the fiscal year ending January 31, 2026, references to “fiscal year 2024” refer to the fiscal year ended January 31, 2025, and references to “fiscal year 2023” refer to the fiscal year ended January 31, 2024.</w:t>
      </w:r>
    </w:p>
    <w:p>
      <w:pPr>
        <w:spacing w:after="0" w:line="35"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93" w:lineRule="exact"/>
        <w:rPr>
          <w:rFonts w:ascii="Arial" w:cs="Arial" w:eastAsia="Arial" w:hAnsi="Arial"/>
          <w:sz w:val="14"/>
          <w:szCs w:val="14"/>
          <w:b w:val="1"/>
          <w:bCs w:val="1"/>
          <w:color w:val="auto"/>
        </w:rPr>
      </w:pPr>
    </w:p>
    <w:p>
      <w:pPr>
        <w:ind w:left="380" w:right="14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83" w:lineRule="exact"/>
        <w:rPr>
          <w:sz w:val="20"/>
          <w:szCs w:val="20"/>
          <w:color w:val="auto"/>
        </w:rPr>
      </w:pPr>
    </w:p>
    <w:p>
      <w:pPr>
        <w:ind w:left="380" w:right="260"/>
        <w:spacing w:after="0" w:line="274" w:lineRule="auto"/>
        <w:rPr>
          <w:sz w:val="20"/>
          <w:szCs w:val="20"/>
          <w:color w:val="auto"/>
        </w:rPr>
      </w:pPr>
      <w:r>
        <w:rPr>
          <w:rFonts w:ascii="Arial" w:cs="Arial" w:eastAsia="Arial" w:hAnsi="Arial"/>
          <w:sz w:val="14"/>
          <w:szCs w:val="14"/>
          <w:color w:val="auto"/>
        </w:rPr>
        <w:t>The key measure of segment profit or loss that the CODM uses to make operating decisions, allocate resources, and evaluate financial performance is the Company’s net income (loss) as reported in the Company’s condensed consolidated statements of operations.</w:t>
      </w:r>
    </w:p>
    <w:p>
      <w:pPr>
        <w:spacing w:after="0" w:line="142" w:lineRule="exact"/>
        <w:rPr>
          <w:sz w:val="20"/>
          <w:szCs w:val="20"/>
          <w:color w:val="auto"/>
        </w:rPr>
      </w:pPr>
    </w:p>
    <w:p>
      <w:pPr>
        <w:ind w:left="380" w:right="100"/>
        <w:spacing w:after="0" w:line="249" w:lineRule="auto"/>
        <w:rPr>
          <w:sz w:val="20"/>
          <w:szCs w:val="20"/>
          <w:color w:val="auto"/>
        </w:rPr>
      </w:pPr>
      <w:r>
        <w:rPr>
          <w:rFonts w:ascii="Arial" w:cs="Arial" w:eastAsia="Arial" w:hAnsi="Arial"/>
          <w:sz w:val="14"/>
          <w:szCs w:val="14"/>
          <w:color w:val="auto"/>
        </w:rPr>
        <w:t>Significant expenses within net income (loss) include fulfillment, technology, marketing, and general and administrative expenses, rental product depreciation and revenue share, and other depreciation and amortization. These operating expenses are each separately presented in the condensed consolidated statements of operations. Other segment items within net income (loss) include a Gain on Debt Restructuring, interest income (expense), net, other income (expense), net and income tax benefit (expense). The CODM evaluates financial performance by comparing consolidated expenses against the budget and forecasted expenses to inform decision-making.</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All revenue is attributed to customers based in the United States and substantially all the Company’s long-lived assets are located in the United States.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warrants, and recoverability of long-lived assets.</w:t>
      </w:r>
    </w:p>
    <w:p>
      <w:pPr>
        <w:spacing w:after="0" w:line="55" w:lineRule="exact"/>
        <w:rPr>
          <w:sz w:val="20"/>
          <w:szCs w:val="20"/>
          <w:color w:val="auto"/>
        </w:rPr>
      </w:pPr>
    </w:p>
    <w:p>
      <w:pPr>
        <w:ind w:left="380" w:right="320"/>
        <w:spacing w:after="0" w:line="271" w:lineRule="auto"/>
        <w:rPr>
          <w:sz w:val="20"/>
          <w:szCs w:val="20"/>
          <w:color w:val="auto"/>
        </w:rPr>
      </w:pPr>
      <w:r>
        <w:rPr>
          <w:rFonts w:ascii="Arial" w:cs="Arial" w:eastAsia="Arial" w:hAnsi="Arial"/>
          <w:sz w:val="14"/>
          <w:szCs w:val="14"/>
          <w:color w:val="auto"/>
        </w:rPr>
        <w:t>As of October 31, 2025,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8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three or nine months ended October 31, 2025 and 2024.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Prepaid expenses and other current assets consist primarily of accounts receivable, net, interest receivable, prepaid insurance, prepaid technology expenses and prepaid taxes.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Condensed Consolidated Balance Sheets.</w:t>
      </w:r>
    </w:p>
    <w:p>
      <w:pPr>
        <w:spacing w:after="0" w:line="94" w:lineRule="exact"/>
        <w:rPr>
          <w:sz w:val="20"/>
          <w:szCs w:val="20"/>
          <w:color w:val="auto"/>
        </w:rPr>
      </w:pPr>
    </w:p>
    <w:p>
      <w:pPr>
        <w:jc w:val="both"/>
        <w:ind w:left="380" w:right="20"/>
        <w:spacing w:after="0" w:line="271"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154"/>
        </w:trPr>
        <w:tc>
          <w:tcPr>
            <w:tcW w:w="712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1560" w:type="dxa"/>
            <w:vAlign w:val="bottom"/>
          </w:tcPr>
          <w:p>
            <w:pPr>
              <w:jc w:val="right"/>
              <w:ind w:right="334"/>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7120" w:type="dxa"/>
            <w:vAlign w:val="bottom"/>
          </w:tcPr>
          <w:p>
            <w:pPr>
              <w:spacing w:after="0"/>
              <w:rPr>
                <w:sz w:val="20"/>
                <w:szCs w:val="20"/>
                <w:color w:val="auto"/>
              </w:rPr>
            </w:pPr>
            <w:r>
              <w:rPr>
                <w:rFonts w:ascii="Arial" w:cs="Arial" w:eastAsia="Arial" w:hAnsi="Arial"/>
                <w:sz w:val="14"/>
                <w:szCs w:val="14"/>
                <w:color w:val="auto"/>
              </w:rPr>
              <w:t>Apparel</w:t>
            </w: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7120" w:type="dxa"/>
            <w:vAlign w:val="bottom"/>
          </w:tcPr>
          <w:p>
            <w:pPr>
              <w:spacing w:after="0"/>
              <w:rPr>
                <w:sz w:val="20"/>
                <w:szCs w:val="20"/>
                <w:color w:val="auto"/>
              </w:rPr>
            </w:pPr>
            <w:r>
              <w:rPr>
                <w:rFonts w:ascii="Arial" w:cs="Arial" w:eastAsia="Arial" w:hAnsi="Arial"/>
                <w:sz w:val="14"/>
                <w:szCs w:val="14"/>
                <w:color w:val="auto"/>
              </w:rPr>
              <w:t>Accessories</w:t>
            </w: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94" w:lineRule="exact"/>
        <w:rPr>
          <w:sz w:val="20"/>
          <w:szCs w:val="20"/>
          <w:color w:val="auto"/>
        </w:rPr>
      </w:pPr>
    </w:p>
    <w:p>
      <w:pPr>
        <w:ind w:left="380" w:right="220"/>
        <w:spacing w:after="0" w:line="265" w:lineRule="auto"/>
        <w:rPr>
          <w:sz w:val="20"/>
          <w:szCs w:val="20"/>
          <w:color w:val="auto"/>
        </w:rPr>
      </w:pPr>
      <w:r>
        <w:rPr>
          <w:rFonts w:ascii="Arial" w:cs="Arial" w:eastAsia="Arial" w:hAnsi="Arial"/>
          <w:sz w:val="14"/>
          <w:szCs w:val="14"/>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53"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October 31, 2025 and January 31, 2025 was $2.3 million and $2.0 million, respectively. The accelerated depreciation related to rental product held for sale was $1.5 million and $1.8 million for the three months ended October 31, 2025 and 2024, respectively, and $ 4.5 million and $4.2 million for the nine months ended October 31, 2025 and 2024, respectively. The accelerated depreciation is presented on the condensed consolidated statements of operations within Rental product depreciation and revenue share.</w:t>
      </w:r>
    </w:p>
    <w:p>
      <w:pPr>
        <w:spacing w:after="0" w:line="55" w:lineRule="exact"/>
        <w:rPr>
          <w:sz w:val="20"/>
          <w:szCs w:val="20"/>
          <w:color w:val="auto"/>
        </w:rPr>
      </w:pPr>
    </w:p>
    <w:p>
      <w:pPr>
        <w:ind w:left="380" w:right="34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income (loss) to net cash used by operating activities in the condensed consolidated statements of cash flows.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$19.7 million and $20.1 million for the nine months ended October 31, 2025 and 2024, respectively. Proceeds from the liquidation of rental product were $2.2 million and $3.4 million for the nine months ended October 31, 2025 and 2024, respectively.</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 xml:space="preserve">Subscription and a-la-carte rental fees (“Subscription and Reserve rental revenue”) are recognized in accordance with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(“ASC 842”). Other revenue, primarily related to the sale of rental product, is recognized under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(“ASC 606”) at the date of delivery of the product to the customer. Other revenue represented 12% and 13% of total revenue for the three months ended October 31, 2025 and 2024, respectively, and 13% and 13% of total revenue for the nine months ended October 31, 2025 and 2024, respectively. Sales of rental product to customers within Other revenue represented 11% and 12% of total revenue for the three and nine months ended October 31, 2025, respectively.</w:t>
      </w:r>
    </w:p>
    <w:p>
      <w:pPr>
        <w:spacing w:after="0" w:line="55"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49" w:lineRule="exact"/>
        <w:rPr>
          <w:sz w:val="20"/>
          <w:szCs w:val="20"/>
          <w:color w:val="auto"/>
        </w:rPr>
      </w:pPr>
    </w:p>
    <w:p>
      <w:pPr>
        <w:ind w:left="380" w:right="60"/>
        <w:spacing w:after="0" w:line="257" w:lineRule="auto"/>
        <w:rPr>
          <w:sz w:val="20"/>
          <w:szCs w:val="20"/>
          <w:color w:val="auto"/>
        </w:rPr>
      </w:pPr>
      <w:r>
        <w:rPr>
          <w:rFonts w:ascii="Arial" w:cs="Arial" w:eastAsia="Arial" w:hAnsi="Arial"/>
          <w:sz w:val="14"/>
          <w:szCs w:val="14"/>
          <w:color w:val="auto"/>
        </w:rPr>
        <w:t>The Company issued gift cards during the nine months ended October 31, 2025 and the year ended January 31, 2025. The new gift cards issued were immaterial to the Company’s condensed consolidated financial statements. During the year ended January 31, 2024, the Company did not issue any new gift cards but customers were able to redeem gift cards sold in previous years. The Company recognizes a liability at the time a gift card or customer credit is issued. Upon redemption of the gift card or credit, revenue is recognized in line with the customer’s rental or item purchase. The Company’s gift card liability is presented within Accrued expenses and other current liabilities on the Condensed Consolidated Balance Sheets and the Company’s customer credit liability is presented on the Condensed Consolidated Balance Sheets. During the three months ended October 31, 2025 and 2024, $0.4 million and $0.4 million of credits included in the customer credit liability as of July 31, 2025 and 2024, respectively, were redeemed. During the nine months ended October 31, 2025 and 2024, $ 0.8 million and $1.0 million of credits included in the customer credit liability as of January 31, 2025 and 2024, respectively, were redeemed. Gift cards and customer credits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gift cards and credits when the Company has any legal obligation to remit such credits to government authorities in relevant jurisdictions.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49" w:lineRule="exact"/>
        <w:rPr>
          <w:sz w:val="20"/>
          <w:szCs w:val="20"/>
          <w:color w:val="auto"/>
        </w:rPr>
      </w:pPr>
    </w:p>
    <w:p>
      <w:pPr>
        <w:ind w:left="380" w:right="200"/>
        <w:spacing w:after="0" w:line="262"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(increased from two months prior to the rental start date beginning in June 2024) and the customer’s payment form is charged upon order confirmation. The Company defers recognizing the fees and any related promotions for a-la-carte rentals until the date of delivery, and then recognizes those fees ratably over the four- or eight-day rental period. Additionally, the Company receives consideration from late fees associated with its Subscription and Reserve rental programs, which are considered variable lease payments.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right="30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October 31, 2025 and January 31, 2025.</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220"/>
        <w:spacing w:after="0" w:line="262"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October 31, 2025 and January 31, 2025.</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Nasdaq. Upon grant of awards, the Company also estimates an amount of forfeitures that will occur prior to vesting. There were no stock options granted during the three and nine months ended October 31, 2025 and 2024.</w:t>
      </w:r>
    </w:p>
    <w:p>
      <w:pPr>
        <w:spacing w:after="0" w:line="152" w:lineRule="exact"/>
        <w:rPr>
          <w:sz w:val="20"/>
          <w:szCs w:val="20"/>
          <w:color w:val="auto"/>
        </w:rPr>
      </w:pPr>
    </w:p>
    <w:p>
      <w:pPr>
        <w:ind w:left="380" w:right="140"/>
        <w:spacing w:after="0" w:line="249" w:lineRule="auto"/>
        <w:rPr>
          <w:sz w:val="20"/>
          <w:szCs w:val="20"/>
          <w:color w:val="auto"/>
        </w:rPr>
      </w:pPr>
      <w:r>
        <w:rPr>
          <w:rFonts w:ascii="Arial" w:cs="Arial" w:eastAsia="Arial" w:hAnsi="Arial"/>
          <w:sz w:val="14"/>
          <w:szCs w:val="14"/>
          <w:color w:val="auto"/>
        </w:rPr>
        <w:t>The Company has granted two types of restricted stock units (“RSUs”).RSUs denominated in shares of Class A common stock and RSUs denominated in shares of Class B common stock. The Company has granted RSUs which vest upon satisfaction of time-based service conditions. The Company records share-based compensation expense for these RSUs on a straight-line basis over the requisite service period. See “Note 13 — Share-based Compensation Plans” for a description of the accounting for share-based awards.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Interest Income and Expense</w:t>
      </w:r>
    </w:p>
    <w:p>
      <w:pPr>
        <w:spacing w:after="0" w:line="94" w:lineRule="exact"/>
        <w:rPr>
          <w:sz w:val="20"/>
          <w:szCs w:val="20"/>
          <w:color w:val="auto"/>
        </w:rPr>
      </w:pPr>
    </w:p>
    <w:p>
      <w:pPr>
        <w:ind w:left="380" w:right="180"/>
        <w:spacing w:after="0" w:line="271" w:lineRule="auto"/>
        <w:rPr>
          <w:sz w:val="20"/>
          <w:szCs w:val="20"/>
          <w:color w:val="auto"/>
        </w:rPr>
      </w:pPr>
      <w:r>
        <w:rPr>
          <w:rFonts w:ascii="Arial" w:cs="Arial" w:eastAsia="Arial" w:hAnsi="Arial"/>
          <w:sz w:val="14"/>
          <w:szCs w:val="14"/>
          <w:color w:val="auto"/>
        </w:rPr>
        <w:t>Interest income and expense consist primarily of interest on the Company’s debt facility, debt discount amortization, and financing lease interest expense offset by interest income earned. The Company recognized interest and debt discount amortization expense of $7.3 million and $ 6.9 million during the three months ended October 31, 2025 and 2024, respectively, and $21.5 million and $20.1 million during the nine months ended October 31, 2025 and 2024, respectively.</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Interim Impairment Evaluation</w:t>
      </w:r>
    </w:p>
    <w:p>
      <w:pPr>
        <w:spacing w:after="0" w:line="94" w:lineRule="exact"/>
        <w:rPr>
          <w:sz w:val="20"/>
          <w:szCs w:val="20"/>
          <w:color w:val="auto"/>
        </w:rPr>
      </w:pPr>
    </w:p>
    <w:p>
      <w:pPr>
        <w:ind w:left="380" w:right="80"/>
        <w:spacing w:after="0" w:line="262" w:lineRule="auto"/>
        <w:rPr>
          <w:sz w:val="20"/>
          <w:szCs w:val="20"/>
          <w:color w:val="auto"/>
        </w:rPr>
      </w:pPr>
      <w:r>
        <w:rPr>
          <w:rFonts w:ascii="Arial" w:cs="Arial" w:eastAsia="Arial" w:hAnsi="Arial"/>
          <w:sz w:val="14"/>
          <w:szCs w:val="14"/>
          <w:color w:val="auto"/>
        </w:rPr>
        <w:t>During the nine months ended October 31, 2025 and year ended January 31, 2025, the Company concluded a triggering event had occurred during the first three quarters of fiscal year 2025 and the fourth quarter of fiscal year 2024 due to a decline in the Company’s stock price. As of October 31, 2025 and year ended January 31, 2025, the Company performed a quantitative assessment and concluded the undiscounted cash flows expected to be generated by the use and/or eventual disposition of the Company’s long-lived assets exceeded their carrying values. Therefore, no impairment was recognized for the nine months ended October 31, 2025 and year ended January 31,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Recently Issued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Intangibles—Goodwill and Other—Internal-Use Software</w:t>
      </w:r>
    </w:p>
    <w:p>
      <w:pPr>
        <w:spacing w:after="0" w:line="92"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Intangibles—Goodwill and Other—Internal-Use Software (Subtopic 350-40): Targeted Improvements to the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for Internal-Use Software</w:t>
      </w:r>
      <w:r>
        <w:rPr>
          <w:rFonts w:ascii="Arial" w:cs="Arial" w:eastAsia="Arial" w:hAnsi="Arial"/>
          <w:sz w:val="14"/>
          <w:szCs w:val="14"/>
          <w:color w:val="auto"/>
        </w:rPr>
        <w:t>. The amendments modernize the accounting for software costs accounted for under ASC 350-40. The amendments remove all references to</w:t>
      </w:r>
      <w:r>
        <w:rPr>
          <w:rFonts w:ascii="Arial" w:cs="Arial" w:eastAsia="Arial" w:hAnsi="Arial"/>
          <w:sz w:val="14"/>
          <w:szCs w:val="14"/>
          <w:i w:val="1"/>
          <w:iCs w:val="1"/>
          <w:color w:val="auto"/>
        </w:rPr>
        <w:t xml:space="preserve"> </w:t>
      </w:r>
      <w:r>
        <w:rPr>
          <w:rFonts w:ascii="Arial" w:cs="Arial" w:eastAsia="Arial" w:hAnsi="Arial"/>
          <w:sz w:val="14"/>
          <w:szCs w:val="14"/>
          <w:color w:val="auto"/>
        </w:rPr>
        <w:t>software development stages and require entities to start capitalizing software costs when management has authorized and committed to funding the software project and it is probable that the project will be completed and the software will be used to perform the intended function.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The Company is currently evaluating the impact that the adoption of this standard will have on the consolidated financial statements.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Statement - Reporting Comprehensive Income - Expense Disaggregation Disclosures</w:t>
      </w:r>
    </w:p>
    <w:p>
      <w:pPr>
        <w:spacing w:after="0" w:line="92" w:lineRule="exact"/>
        <w:rPr>
          <w:sz w:val="20"/>
          <w:szCs w:val="20"/>
          <w:color w:val="auto"/>
        </w:rPr>
      </w:pPr>
    </w:p>
    <w:p>
      <w:pPr>
        <w:ind w:left="380" w:right="60"/>
        <w:spacing w:after="0" w:line="259"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w:t>
      </w:r>
      <w:r>
        <w:rPr>
          <w:rFonts w:ascii="Arial" w:cs="Arial" w:eastAsia="Arial" w:hAnsi="Arial"/>
          <w:sz w:val="14"/>
          <w:szCs w:val="14"/>
          <w:color w:val="auto"/>
        </w:rPr>
        <w:t xml:space="preserve">. In January 2025, the FASB issued ASU 2025-01, </w:t>
      </w:r>
      <w:r>
        <w:rPr>
          <w:rFonts w:ascii="Arial" w:cs="Arial" w:eastAsia="Arial" w:hAnsi="Arial"/>
          <w:sz w:val="14"/>
          <w:szCs w:val="14"/>
          <w:i w:val="1"/>
          <w:iCs w:val="1"/>
          <w:color w:val="auto"/>
        </w:rPr>
        <w:t>Income Statement—Reporting Comprehensive Income—Expense Disaggregation Disclosures (Subtopic 220-40): Clarifying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the Effective Date </w:t>
      </w:r>
      <w:r>
        <w:rPr>
          <w:rFonts w:ascii="Arial" w:cs="Arial" w:eastAsia="Arial" w:hAnsi="Arial"/>
          <w:sz w:val="14"/>
          <w:szCs w:val="14"/>
          <w:color w:val="auto"/>
        </w:rPr>
        <w:t>to clarify the effective date of ASU 2024-03. The amendments require disclosure of additional information about specific expense categories in the notes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financial statements. This standard is effective for annual reporting periods beginning after December 15, 2026, and interim reporting periods within annual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Taxes (Topic 740): Improvements to Income Tax Disclosures</w:t>
      </w:r>
    </w:p>
    <w:p>
      <w:pPr>
        <w:spacing w:after="0" w:line="92"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p>
    <w:p>
      <w:pPr>
        <w:spacing w:after="0" w:line="223"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right="4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Company has experienced year-over-year revenue growth during the three and nine months ended October 31, 2025. The Company recognized net income from operations of $76.5 million and $24.0 million for the three and nine months ended October 31, 2025, respectively, due to the recognition of a Gain on Debt Restructuring of $96.3 million during the three months ended October 31, 2025. Prior to the third quarter of fiscal year 2025, the Company incurred significant recurring net losses since inception and has an accumulated deficit of $(1,099.0) million as of October 31, 2025. The Company has historically relied on debt and equity financing to fund its operations. The Company’s cash flows (used in) from operations for the nine months ended October 31, 2025 were $(3.6) million compared to $11.5 million for the nine months ended October 31, 2024. Cash out flows from investing activities for the nine months ended October 31, 2025 were $(42.9) million compared to $(20.8) million for the nine months ended October 31, 2024. As of October 31, 2025, the Company held cash and cash equivalents of $50.7 million and long-term debt of $159.1 million with a maturity date in October 2029.</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right="60"/>
        <w:spacing w:after="0" w:line="258" w:lineRule="auto"/>
        <w:rPr>
          <w:sz w:val="20"/>
          <w:szCs w:val="20"/>
          <w:color w:val="auto"/>
        </w:rPr>
      </w:pPr>
      <w:r>
        <w:rPr>
          <w:rFonts w:ascii="Arial" w:cs="Arial" w:eastAsia="Arial" w:hAnsi="Arial"/>
          <w:sz w:val="14"/>
          <w:szCs w:val="14"/>
          <w:color w:val="auto"/>
        </w:rPr>
        <w:t>The Company experienced year-over-year revenue growth and a reduction in net losses in fiscal years 2024 and 2023 and significantly reduced its cash outflows from operations plus cash outflows generated (used) in investing during the year ended January 31, 2025. Excluding the Gain on Debt Restructuring discussed above, the Company experienced an increase in net loss during the three and nine months ended October 31, 2025 as compared to the three and nine months ended October 31, 2024. The Company also experienced an increase in cash outflows as measured by cash flows from operations plus cash flows generated (used) in investing during the nine months ended October 31, 2025 as compared to the nine months ended October 31, 2024 due to a strategic, intentional increase in its investment in rental product and unit purchases for fiscal year 2025. To the extent the Company is impacted by macroeconomic trends, or other factors, including, but not limited to, lower demand for our business, increased rental product spend, or tariffs, the Company plans to preserve liquidity by reducing fixed and variable costs, which may include additional reductions to labor, operating expenses, and/or capital expenditures. However, these actions may not provide sufficient incremental liquidity to fund the Company’s long-term obligations.</w:t>
      </w:r>
    </w:p>
    <w:p>
      <w:pPr>
        <w:spacing w:after="0" w:line="154" w:lineRule="exact"/>
        <w:rPr>
          <w:sz w:val="20"/>
          <w:szCs w:val="20"/>
          <w:color w:val="auto"/>
        </w:rPr>
      </w:pPr>
    </w:p>
    <w:p>
      <w:pPr>
        <w:ind w:left="380"/>
        <w:spacing w:after="0" w:line="244" w:lineRule="auto"/>
        <w:rPr>
          <w:sz w:val="20"/>
          <w:szCs w:val="20"/>
          <w:color w:val="auto"/>
        </w:rPr>
      </w:pPr>
      <w:r>
        <w:rPr>
          <w:rFonts w:ascii="Arial" w:cs="Arial" w:eastAsia="Arial" w:hAnsi="Arial"/>
          <w:sz w:val="14"/>
          <w:szCs w:val="14"/>
          <w:color w:val="auto"/>
        </w:rPr>
        <w:t>On August 20, 2025, concurrent with the Company’s entry into the Exchange Agreement (as defined below), the Company entered into a Fourteenth Amendment to the Credit Agreement with CHS (US) Management LLC, as administrative agent, and CHS US Investments LLC, as lender (the “Fourteenth Amendment”) (the 2023 Amended Temasek Facility, as amended by the Eleventh Amendment, Twelfth Amendment, Thirteenth Amendment and Fourteenth Amendment, the “2025 Amended Facility”). The Fourteenth Amendment provided that, among other things, (i) interest that would otherwise be payable in cash will be capitalized, (ii) the liquidity financial covenant level will temporarily be reduced from $30 million to $15 million until the closing of the transactions contemplated by the Recapitalization Transactions (as defined below), and (iii) the spend levels for fiscal year 2025 are eliminated.</w:t>
      </w:r>
    </w:p>
    <w:p>
      <w:pPr>
        <w:spacing w:after="0" w:line="164" w:lineRule="exact"/>
        <w:rPr>
          <w:sz w:val="20"/>
          <w:szCs w:val="20"/>
          <w:color w:val="auto"/>
        </w:rPr>
      </w:pPr>
    </w:p>
    <w:p>
      <w:pPr>
        <w:ind w:left="380" w:right="80"/>
        <w:spacing w:after="0" w:line="239" w:lineRule="auto"/>
        <w:rPr>
          <w:sz w:val="20"/>
          <w:szCs w:val="20"/>
          <w:color w:val="auto"/>
        </w:rPr>
      </w:pPr>
      <w:r>
        <w:rPr>
          <w:rFonts w:ascii="Arial" w:cs="Arial" w:eastAsia="Arial" w:hAnsi="Arial"/>
          <w:sz w:val="14"/>
          <w:szCs w:val="14"/>
          <w:color w:val="auto"/>
        </w:rPr>
        <w:t>On October 28, 2025, the Company completed the previously announced Recapitalization Transactions to enhance the Company’s financial position and flexibility by significantly reducing its existing indebtedness, improving its borrowing rate and extending the maturity of its remaining indebtedness. Under the terms of the Recapitalization</w:t>
      </w:r>
    </w:p>
    <w:p>
      <w:pPr>
        <w:spacing w:after="0" w:line="1" w:lineRule="exact"/>
        <w:rPr>
          <w:sz w:val="20"/>
          <w:szCs w:val="20"/>
          <w:color w:val="auto"/>
        </w:rPr>
      </w:pPr>
    </w:p>
    <w:p>
      <w:pPr>
        <w:ind w:left="380" w:right="60"/>
        <w:spacing w:after="0" w:line="239" w:lineRule="auto"/>
        <w:rPr>
          <w:sz w:val="20"/>
          <w:szCs w:val="20"/>
          <w:color w:val="auto"/>
        </w:rPr>
      </w:pPr>
      <w:r>
        <w:rPr>
          <w:rFonts w:ascii="Arial" w:cs="Arial" w:eastAsia="Arial" w:hAnsi="Arial"/>
          <w:sz w:val="14"/>
          <w:szCs w:val="14"/>
          <w:color w:val="auto"/>
        </w:rPr>
        <w:t>Transactions, the Company entered into the New Credit Agreement (as defined below). The Company’s lender exchanged $100 million of existing outstanding indebtedness on a dollar-for-dollar cashless basis for new term loans and exchanged the remaining indebtedness for 26,175,193 newly issued shares of the Company’s Class A Common Stock. The Company also received an additional $20 million of new term loans excluding direct costs related to the transactions, resulting in an aggregate principal amount of $120 million. The Company also received $12.5 million in proceeds from a concurrent Rights Offering (as defined below). Additionally, the Company’s minimum liquidity maintenance covenant was also reduced from $30 million to $15 million until February 20, 2027. See “Note 4 - Recapitalization Transactions” for additional information. The Company believes that it will have sufficient liquidity from cash on-hand and future operations to sustain its business operations, to satisfy its debt service obligations, and to comply with its debt covenants for at least the next twelve months from the date these financial statements are issued.</w:t>
      </w:r>
    </w:p>
    <w:p>
      <w:pPr>
        <w:spacing w:after="0" w:line="349"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Recapitalization Transactions</w:t>
      </w:r>
    </w:p>
    <w:p>
      <w:pPr>
        <w:spacing w:after="0" w:line="83" w:lineRule="exact"/>
        <w:rPr>
          <w:rFonts w:ascii="Arial" w:cs="Arial" w:eastAsia="Arial" w:hAnsi="Arial"/>
          <w:sz w:val="14"/>
          <w:szCs w:val="14"/>
          <w:b w:val="1"/>
          <w:bCs w:val="1"/>
          <w:color w:val="auto"/>
        </w:rPr>
      </w:pPr>
    </w:p>
    <w:p>
      <w:pPr>
        <w:ind w:left="380" w:right="120"/>
        <w:spacing w:after="0" w:line="274" w:lineRule="auto"/>
        <w:rPr>
          <w:rFonts w:ascii="Arial" w:cs="Arial" w:eastAsia="Arial" w:hAnsi="Arial"/>
          <w:sz w:val="14"/>
          <w:szCs w:val="14"/>
          <w:b w:val="1"/>
          <w:bCs w:val="1"/>
          <w:color w:val="auto"/>
        </w:rPr>
      </w:pPr>
      <w:r>
        <w:rPr>
          <w:rFonts w:ascii="Arial" w:cs="Arial" w:eastAsia="Arial" w:hAnsi="Arial"/>
          <w:sz w:val="14"/>
          <w:szCs w:val="14"/>
          <w:color w:val="auto"/>
        </w:rPr>
        <w:t>On October 28, 2025, the Company completed the previously announced recapitalization transactions to enhance the Company’s financial position and financial flexibility by significantly reducing its existing indebtedness, improving its borrowing rate and extending the maturity of its remaining indebtedness (the “Recapitalization Transactions”).</w:t>
      </w:r>
    </w:p>
    <w:p>
      <w:pPr>
        <w:spacing w:after="0" w:line="35" w:lineRule="exact"/>
        <w:rPr>
          <w:rFonts w:ascii="Arial" w:cs="Arial" w:eastAsia="Arial" w:hAnsi="Arial"/>
          <w:sz w:val="14"/>
          <w:szCs w:val="14"/>
          <w:b w:val="1"/>
          <w:bCs w:val="1"/>
          <w:color w:val="auto"/>
        </w:rPr>
      </w:pPr>
    </w:p>
    <w:p>
      <w:pPr>
        <w:ind w:left="380" w:right="120"/>
        <w:spacing w:after="0" w:line="255" w:lineRule="auto"/>
        <w:rPr>
          <w:rFonts w:ascii="Arial" w:cs="Arial" w:eastAsia="Arial" w:hAnsi="Arial"/>
          <w:sz w:val="14"/>
          <w:szCs w:val="14"/>
          <w:b w:val="1"/>
          <w:bCs w:val="1"/>
          <w:color w:val="auto"/>
        </w:rPr>
      </w:pPr>
      <w:r>
        <w:rPr>
          <w:rFonts w:ascii="Arial" w:cs="Arial" w:eastAsia="Arial" w:hAnsi="Arial"/>
          <w:sz w:val="14"/>
          <w:szCs w:val="14"/>
          <w:color w:val="auto"/>
        </w:rPr>
        <w:t>Upon the closing of the Recapitalization Transactions, the Company entered into an amended and restated credit agreement, dated as of October 28, 2025 (the “New Credit Agreement”), by and among the Company, as borrower, CHS (US) Management LLC, as administrative agent (the “Agent”), and CHS US Investments LLC (“Lender”), Gateway Runway, LLC (“Nexus”) and S3 RR Aggregator, LLC, as lenders (“STORY3” and, collectively with Lender and Nexus, the “Investor Group”).</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67" w:lineRule="exact"/>
        <w:rPr>
          <w:sz w:val="20"/>
          <w:szCs w:val="20"/>
          <w:color w:val="auto"/>
        </w:rPr>
      </w:pPr>
    </w:p>
    <w:p>
      <w:pPr>
        <w:ind w:left="380"/>
        <w:spacing w:after="0" w:line="244" w:lineRule="auto"/>
        <w:rPr>
          <w:sz w:val="20"/>
          <w:szCs w:val="20"/>
          <w:color w:val="auto"/>
        </w:rPr>
      </w:pPr>
      <w:r>
        <w:rPr>
          <w:rFonts w:ascii="Arial" w:cs="Arial" w:eastAsia="Arial" w:hAnsi="Arial"/>
          <w:sz w:val="14"/>
          <w:szCs w:val="14"/>
          <w:color w:val="auto"/>
        </w:rPr>
        <w:t>On October 28, 2025, Lender exchanged $100 million of existing outstanding indebtedness owing to Lender under the Company’s credit agreement, dated as of July 23, 2018 (the “Existing Credit Agreement”), by and among the Company, as borrower, the lenders from time to time party thereto and the Agent (as successor-in-interest to Double Helix Pte Ltd.), on a dollar-for-dollar cashless basis for new term loans under the New Credit Agreement. Lender contributed the remaining indebtedness owing to Lender under the Existing Credit Agreement to the Company in exchange for 26,175,193 newly issued shares of the Company’s Class A Common Stock, par value $0.001 per share (the “Class A Common Stock”), and the Existing Credit Agreement was amended and restated. The Investor Group also provided an additional $20 million of new term loans under the New Credit Agreement, resulting in a total aggregate principal amount of $120 million as of the closing of the Recapitalization Transactions.</w:t>
      </w:r>
    </w:p>
    <w:p>
      <w:pPr>
        <w:spacing w:after="0" w:line="58" w:lineRule="exact"/>
        <w:rPr>
          <w:sz w:val="20"/>
          <w:szCs w:val="20"/>
          <w:color w:val="auto"/>
        </w:rPr>
      </w:pPr>
    </w:p>
    <w:p>
      <w:pPr>
        <w:ind w:left="380" w:right="280"/>
        <w:spacing w:after="0" w:line="239" w:lineRule="auto"/>
        <w:rPr>
          <w:sz w:val="20"/>
          <w:szCs w:val="20"/>
          <w:color w:val="auto"/>
        </w:rPr>
      </w:pPr>
      <w:r>
        <w:rPr>
          <w:rFonts w:ascii="Arial" w:cs="Arial" w:eastAsia="Arial" w:hAnsi="Arial"/>
          <w:sz w:val="14"/>
          <w:szCs w:val="14"/>
          <w:color w:val="auto"/>
        </w:rPr>
        <w:t>The New Credit Agreement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Term</w:t>
      </w:r>
    </w:p>
    <w:p>
      <w:pPr>
        <w:spacing w:after="0" w:line="1" w:lineRule="exact"/>
        <w:rPr>
          <w:sz w:val="20"/>
          <w:szCs w:val="20"/>
          <w:color w:val="auto"/>
        </w:rPr>
      </w:pPr>
    </w:p>
    <w:p>
      <w:pPr>
        <w:ind w:left="380" w:right="140"/>
        <w:spacing w:after="0" w:line="242" w:lineRule="auto"/>
        <w:rPr>
          <w:sz w:val="20"/>
          <w:szCs w:val="20"/>
          <w:color w:val="auto"/>
        </w:rPr>
      </w:pPr>
      <w:r>
        <w:rPr>
          <w:rFonts w:ascii="Arial" w:cs="Arial" w:eastAsia="Arial" w:hAnsi="Arial"/>
          <w:sz w:val="14"/>
          <w:szCs w:val="14"/>
          <w:color w:val="auto"/>
        </w:rPr>
        <w:t>loans under the New Credit Agreement will mature on October 28, 2029, and will bear interest, at the Company’s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modifies the Existing Credit Agreement in certain respects, including by temporarily reducing the minimum liquidity maintenance covenant from $30 million to $15 million during the period from October 28, 2025 until February 20, 2027, which reverts thereafter to $30 million.</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Rights Offering Backstop Commitment</w:t>
      </w:r>
    </w:p>
    <w:p>
      <w:pPr>
        <w:spacing w:after="0" w:line="81" w:lineRule="exact"/>
        <w:rPr>
          <w:sz w:val="20"/>
          <w:szCs w:val="20"/>
          <w:color w:val="auto"/>
        </w:rPr>
      </w:pPr>
    </w:p>
    <w:p>
      <w:pPr>
        <w:ind w:left="380" w:right="100"/>
        <w:spacing w:after="0" w:line="249" w:lineRule="auto"/>
        <w:rPr>
          <w:sz w:val="20"/>
          <w:szCs w:val="20"/>
          <w:color w:val="auto"/>
        </w:rPr>
      </w:pPr>
      <w:r>
        <w:rPr>
          <w:rFonts w:ascii="Arial" w:cs="Arial" w:eastAsia="Arial" w:hAnsi="Arial"/>
          <w:sz w:val="14"/>
          <w:szCs w:val="14"/>
          <w:color w:val="auto"/>
        </w:rPr>
        <w:t>In October 2025, the Company gave its stockholders subscription rights to purchase up to an aggregate of 3,063,725 of the Company’s Class A Common Stock at a price of $4.08 per share, totaling $12,500,000 (the “Rights Offering”). On October 21, 2025, the subscription period for the Rights Offering expired. Subscribers in the Rights Offering exercised rights to purchase an aggregate of 742,956 shares of Class A Common Stock, and the gross proceeds received from subscribers in the Rights Offering was approximately $3.0 million.</w:t>
      </w:r>
    </w:p>
    <w:p>
      <w:pPr>
        <w:spacing w:after="0" w:line="53" w:lineRule="exact"/>
        <w:rPr>
          <w:sz w:val="20"/>
          <w:szCs w:val="20"/>
          <w:color w:val="auto"/>
        </w:rPr>
      </w:pPr>
    </w:p>
    <w:p>
      <w:pPr>
        <w:ind w:left="380"/>
        <w:spacing w:after="0" w:line="247" w:lineRule="auto"/>
        <w:rPr>
          <w:sz w:val="20"/>
          <w:szCs w:val="20"/>
          <w:color w:val="auto"/>
        </w:rPr>
      </w:pPr>
      <w:r>
        <w:rPr>
          <w:rFonts w:ascii="Arial" w:cs="Arial" w:eastAsia="Arial" w:hAnsi="Arial"/>
          <w:sz w:val="14"/>
          <w:szCs w:val="14"/>
          <w:color w:val="auto"/>
        </w:rPr>
        <w:t>Pursuant to the Rights Offering Backstop Agreement, dated as of August 20, 2025, by and among the Company and the Investor Group, the Investor Group agreed to purchase all unsubscribed shares of Class A Common Stock to be issued in connection with the Rights Offering at a price of $4.08 per share (the “Backstop Commitment”). In</w:t>
      </w:r>
    </w:p>
    <w:p>
      <w:pPr>
        <w:spacing w:after="0" w:line="1" w:lineRule="exact"/>
        <w:rPr>
          <w:sz w:val="20"/>
          <w:szCs w:val="20"/>
          <w:color w:val="auto"/>
        </w:rPr>
      </w:pPr>
    </w:p>
    <w:p>
      <w:pPr>
        <w:ind w:left="380"/>
        <w:spacing w:after="0" w:line="229" w:lineRule="auto"/>
        <w:rPr>
          <w:sz w:val="20"/>
          <w:szCs w:val="20"/>
          <w:color w:val="auto"/>
        </w:rPr>
      </w:pPr>
      <w:r>
        <w:rPr>
          <w:rFonts w:ascii="Arial" w:cs="Arial" w:eastAsia="Arial" w:hAnsi="Arial"/>
          <w:sz w:val="14"/>
          <w:szCs w:val="14"/>
          <w:color w:val="auto"/>
        </w:rPr>
        <w:t>satisfaction of the Backstop Commitment, the Company issued an aggregate of 2,320,769 shares of Class A Common Stock to the Investor Group, of which 1,624,539 shares were purchased by Lender, 348,115 shares were purchased by Nexus and 348,115 shares were purchased by STORY3. The gross proceeds received by the Company from</w:t>
      </w:r>
    </w:p>
    <w:p>
      <w:pPr>
        <w:ind w:left="380" w:right="240"/>
        <w:spacing w:after="0" w:line="253" w:lineRule="auto"/>
        <w:rPr>
          <w:sz w:val="20"/>
          <w:szCs w:val="20"/>
          <w:color w:val="auto"/>
        </w:rPr>
      </w:pPr>
      <w:r>
        <w:rPr>
          <w:rFonts w:ascii="Arial" w:cs="Arial" w:eastAsia="Arial" w:hAnsi="Arial"/>
          <w:sz w:val="14"/>
          <w:szCs w:val="14"/>
          <w:color w:val="auto"/>
        </w:rPr>
        <w:t>the Backstop Commitment were approximately $9.5 million. All shares issued in satisfaction of the Backstop Commitment were issued in a transaction pursuant to Section 4(a)(2) of the Securities Act.</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Term Loan Equitization</w:t>
      </w:r>
    </w:p>
    <w:p>
      <w:pPr>
        <w:spacing w:after="0" w:line="81" w:lineRule="exact"/>
        <w:rPr>
          <w:sz w:val="20"/>
          <w:szCs w:val="20"/>
          <w:color w:val="auto"/>
        </w:rPr>
      </w:pPr>
    </w:p>
    <w:p>
      <w:pPr>
        <w:ind w:left="380" w:right="20"/>
        <w:spacing w:after="0" w:line="244" w:lineRule="auto"/>
        <w:rPr>
          <w:sz w:val="20"/>
          <w:szCs w:val="20"/>
          <w:color w:val="auto"/>
        </w:rPr>
      </w:pPr>
      <w:r>
        <w:rPr>
          <w:rFonts w:ascii="Arial" w:cs="Arial" w:eastAsia="Arial" w:hAnsi="Arial"/>
          <w:sz w:val="14"/>
          <w:szCs w:val="14"/>
          <w:color w:val="auto"/>
        </w:rPr>
        <w:t>On October 28, 2025, in connection with the closing of the Recapitalization Transactions, pursuant to the terms of the Exchange Agreement, dated as of August 20, 2025 (the “Exchange Agreement”), by and between the Company and Lender, Lender contributed all amounts owing to Lender under the Existing Credit Agreement in excess of $100 million in exchange for 26,175,193 shares of Class A Common Stock (the “Term Loan Equitization”), of which 7,852,558 shares and $30.0 million of existing debt were subsequently sold by Lender to Nexus and STORY3 for gross proceeds of $ 30.0 million. The Company did not receive any proceeds from the transaction and the transaction did not impact the Company’s condensed consolidated financial statements. All shares issued in connection with the Term Loan Equitization were issued in a transaction pursuant to Section 4(a)(2) of the Securities Act.</w:t>
      </w:r>
    </w:p>
    <w:p>
      <w:pPr>
        <w:spacing w:after="0" w:line="58" w:lineRule="exact"/>
        <w:rPr>
          <w:sz w:val="20"/>
          <w:szCs w:val="20"/>
          <w:color w:val="auto"/>
        </w:rPr>
      </w:pPr>
    </w:p>
    <w:p>
      <w:pPr>
        <w:ind w:left="380" w:right="180"/>
        <w:spacing w:after="0" w:line="247" w:lineRule="auto"/>
        <w:rPr>
          <w:sz w:val="20"/>
          <w:szCs w:val="20"/>
          <w:color w:val="auto"/>
        </w:rPr>
      </w:pPr>
      <w:r>
        <w:rPr>
          <w:rFonts w:ascii="Arial" w:cs="Arial" w:eastAsia="Arial" w:hAnsi="Arial"/>
          <w:sz w:val="14"/>
          <w:szCs w:val="14"/>
          <w:color w:val="auto"/>
        </w:rPr>
        <w:t>As a result of the consummation of the Recapitalization Transactions and the other transactions described herein, a change of control of the Company occurred on October 28, 2025. As of such date, Lender held 19,983,656 shares of Class A Common Stock, representing approximately 59.9% of the voting power of the Company’s outstanding</w:t>
      </w:r>
    </w:p>
    <w:p>
      <w:pPr>
        <w:spacing w:after="0" w:line="1" w:lineRule="exact"/>
        <w:rPr>
          <w:sz w:val="20"/>
          <w:szCs w:val="20"/>
          <w:color w:val="auto"/>
        </w:rPr>
      </w:pPr>
    </w:p>
    <w:p>
      <w:pPr>
        <w:ind w:left="380" w:right="20"/>
        <w:spacing w:after="0" w:line="229" w:lineRule="auto"/>
        <w:rPr>
          <w:sz w:val="20"/>
          <w:szCs w:val="20"/>
          <w:color w:val="auto"/>
        </w:rPr>
      </w:pPr>
      <w:r>
        <w:rPr>
          <w:rFonts w:ascii="Arial" w:cs="Arial" w:eastAsia="Arial" w:hAnsi="Arial"/>
          <w:sz w:val="14"/>
          <w:szCs w:val="14"/>
          <w:color w:val="auto"/>
        </w:rPr>
        <w:t>Class A Common Stock. On October 28, 2025, in connection with the closing of the Recapitalization Transactions, all outstanding shares of the Company’s Class B Common Stock, par value $0.001 per share (the “Class B Common Stock”), were converted into shares of Class A Common Stock on a one-for-one basis, such that no shares of Class</w:t>
      </w:r>
    </w:p>
    <w:p>
      <w:pPr>
        <w:ind w:left="380"/>
        <w:spacing w:after="0"/>
        <w:rPr>
          <w:sz w:val="20"/>
          <w:szCs w:val="20"/>
          <w:color w:val="auto"/>
        </w:rPr>
      </w:pPr>
      <w:r>
        <w:rPr>
          <w:rFonts w:ascii="Arial" w:cs="Arial" w:eastAsia="Arial" w:hAnsi="Arial"/>
          <w:sz w:val="14"/>
          <w:szCs w:val="14"/>
          <w:color w:val="auto"/>
        </w:rPr>
        <w:t>B Common Stock remain outstanding.</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67" w:lineRule="exact"/>
        <w:rPr>
          <w:sz w:val="20"/>
          <w:szCs w:val="20"/>
          <w:color w:val="auto"/>
        </w:rPr>
      </w:pPr>
    </w:p>
    <w:p>
      <w:pPr>
        <w:jc w:val="both"/>
        <w:ind w:left="380"/>
        <w:spacing w:after="0" w:line="274" w:lineRule="auto"/>
        <w:rPr>
          <w:sz w:val="20"/>
          <w:szCs w:val="20"/>
          <w:color w:val="auto"/>
        </w:rPr>
      </w:pPr>
      <w:r>
        <w:rPr>
          <w:rFonts w:ascii="Arial" w:cs="Arial" w:eastAsia="Arial" w:hAnsi="Arial"/>
          <w:sz w:val="14"/>
          <w:szCs w:val="14"/>
          <w:color w:val="auto"/>
        </w:rPr>
        <w:t>Lender, Nexus, STORY3, Jennifer Y. Hyman, the Chief Executive Officer of the Company, and certain other parties are party to an investor rights agreement, dated August 20, 2025 (the “Investor Rights Agreement”).</w:t>
      </w:r>
    </w:p>
    <w:p>
      <w:pPr>
        <w:spacing w:after="0" w:line="36" w:lineRule="exact"/>
        <w:rPr>
          <w:sz w:val="20"/>
          <w:szCs w:val="20"/>
          <w:color w:val="auto"/>
        </w:rPr>
      </w:pPr>
    </w:p>
    <w:p>
      <w:pPr>
        <w:jc w:val="both"/>
        <w:ind w:left="380" w:right="20"/>
        <w:spacing w:after="0" w:line="249" w:lineRule="auto"/>
        <w:rPr>
          <w:sz w:val="20"/>
          <w:szCs w:val="20"/>
          <w:color w:val="auto"/>
        </w:rPr>
      </w:pPr>
      <w:r>
        <w:rPr>
          <w:rFonts w:ascii="Arial" w:cs="Arial" w:eastAsia="Arial" w:hAnsi="Arial"/>
          <w:sz w:val="14"/>
          <w:szCs w:val="14"/>
          <w:color w:val="auto"/>
        </w:rPr>
        <w:t>Pursuant to the Investor Rights Agreement and the Exchange Agreement, the Company and Lender agreed to take all commercially reasonable actions as may be necessary to cause, as of the closing of the Recapitalization Transactions, the board of directors of the Company (the “Board”) to consist of seven members, including Jennifer Hyman, a director selected by Ms. Hyman and approved by the Investor Group, a director designated by Nexus, a director designated by STORY3 and three directors designated by the Board (such three directors, the “Investor Directors”).</w:t>
      </w:r>
    </w:p>
    <w:p>
      <w:pPr>
        <w:spacing w:after="0" w:line="53" w:lineRule="exact"/>
        <w:rPr>
          <w:sz w:val="20"/>
          <w:szCs w:val="20"/>
          <w:color w:val="auto"/>
        </w:rPr>
      </w:pPr>
    </w:p>
    <w:p>
      <w:pPr>
        <w:jc w:val="both"/>
        <w:ind w:left="380"/>
        <w:spacing w:after="0" w:line="239" w:lineRule="auto"/>
        <w:rPr>
          <w:sz w:val="20"/>
          <w:szCs w:val="20"/>
          <w:color w:val="auto"/>
        </w:rPr>
      </w:pPr>
      <w:r>
        <w:rPr>
          <w:rFonts w:ascii="Arial" w:cs="Arial" w:eastAsia="Arial" w:hAnsi="Arial"/>
          <w:sz w:val="14"/>
          <w:szCs w:val="14"/>
          <w:color w:val="auto"/>
        </w:rPr>
        <w:t>On August 20, 2025, Tim Bixby, Jennifer Fleiss, Scott Friend, Beth Kaplan, Daniel Rosensweig and Michael Roth tendered their resignation from the Board and all committees on which they serve, contingent upon the consummation of the Recapitalization Transactions and the Board accepting such resignations, to be effective upon acceptance (the</w:t>
      </w:r>
    </w:p>
    <w:p>
      <w:pPr>
        <w:spacing w:after="0" w:line="1" w:lineRule="exact"/>
        <w:rPr>
          <w:sz w:val="20"/>
          <w:szCs w:val="20"/>
          <w:color w:val="auto"/>
        </w:rPr>
      </w:pPr>
    </w:p>
    <w:p>
      <w:pPr>
        <w:ind w:left="380" w:right="180"/>
        <w:spacing w:after="0" w:line="245" w:lineRule="auto"/>
        <w:rPr>
          <w:sz w:val="20"/>
          <w:szCs w:val="20"/>
          <w:color w:val="auto"/>
        </w:rPr>
      </w:pPr>
      <w:r>
        <w:rPr>
          <w:rFonts w:ascii="Arial" w:cs="Arial" w:eastAsia="Arial" w:hAnsi="Arial"/>
          <w:sz w:val="14"/>
          <w:szCs w:val="14"/>
          <w:color w:val="auto"/>
        </w:rPr>
        <w:t>“Resignations”). On October 28, 2025, the Board accepted the Resignations, effective immediately. The Resignations were not a result of any disagreement with the Company on any matter relating to the Company’s operations, policies or practices, and were tendered solely to facilitate the Recapitalization Transactions and reconstitute the Board pursuant to the terms of the Exchange Agreement and Investor Rights Agreement, as described above.</w:t>
      </w:r>
    </w:p>
    <w:p>
      <w:pPr>
        <w:spacing w:after="0" w:line="55" w:lineRule="exact"/>
        <w:rPr>
          <w:sz w:val="20"/>
          <w:szCs w:val="20"/>
          <w:color w:val="auto"/>
        </w:rPr>
      </w:pPr>
    </w:p>
    <w:p>
      <w:pPr>
        <w:ind w:left="380" w:right="20"/>
        <w:spacing w:after="0" w:line="244" w:lineRule="auto"/>
        <w:rPr>
          <w:sz w:val="20"/>
          <w:szCs w:val="20"/>
          <w:color w:val="auto"/>
        </w:rPr>
      </w:pPr>
      <w:r>
        <w:rPr>
          <w:rFonts w:ascii="Arial" w:cs="Arial" w:eastAsia="Arial" w:hAnsi="Arial"/>
          <w:sz w:val="14"/>
          <w:szCs w:val="14"/>
          <w:color w:val="auto"/>
        </w:rPr>
        <w:t>On October 28, 2025, the Board appointed Teri Bariquit, Peter Comisar, Dhiren Fonseca, Damian Giangiacomo and Daniel Rosensweig to serve as directors pursuant to the Exchange Agreement, effective immediately. Mr. Comisar and Mr. Giangiacomo were appointed to serve as Class I directors, Ms. Bariquit and Mr. Rosensweig were appointed to serve as Class II directors and Mr. Fonseca was appointed to serve as a Class III director, with Ms. Hyman remaining on the Board as a Class III director. While as of the closing of the Recapitalization Transactions the Board consists of six directors, the Investor Group has advised the Company that it is continuing to use commercially reasonable efforts to identify and designate a third Investor Director to the Board and intends to do so as promptly as practicable. Concurrently with their appointments to the Board, Mr. Giangiacomo and Mr. Rosensweig were appointed to the Audit Committee, and Mr. Fonseca was appointed to serve as Executive Chair of the Board.</w:t>
      </w:r>
    </w:p>
    <w:p>
      <w:pPr>
        <w:spacing w:after="0" w:line="58" w:lineRule="exact"/>
        <w:rPr>
          <w:sz w:val="20"/>
          <w:szCs w:val="20"/>
          <w:color w:val="auto"/>
        </w:rPr>
      </w:pPr>
    </w:p>
    <w:p>
      <w:pPr>
        <w:ind w:left="380" w:right="80"/>
        <w:spacing w:after="0" w:line="247" w:lineRule="auto"/>
        <w:rPr>
          <w:sz w:val="20"/>
          <w:szCs w:val="20"/>
          <w:color w:val="auto"/>
        </w:rPr>
      </w:pPr>
      <w:r>
        <w:rPr>
          <w:rFonts w:ascii="Arial" w:cs="Arial" w:eastAsia="Arial" w:hAnsi="Arial"/>
          <w:sz w:val="14"/>
          <w:szCs w:val="14"/>
          <w:color w:val="auto"/>
        </w:rPr>
        <w:t>As a result of the Resignations, the Audit Committee will consist of two members. On October 28, 2025, the Company notified the Nasdaq of its non-compliance with Nasdaq Rule 5605(c)(2)(A), which requires that the Audit Committee be comprised of three independent directors, and its intent to rely on the cure period provided by Nasdaq Rule</w:t>
      </w:r>
    </w:p>
    <w:p>
      <w:pPr>
        <w:spacing w:after="0" w:line="1" w:lineRule="exact"/>
        <w:rPr>
          <w:sz w:val="20"/>
          <w:szCs w:val="20"/>
          <w:color w:val="auto"/>
        </w:rPr>
      </w:pPr>
    </w:p>
    <w:p>
      <w:pPr>
        <w:ind w:left="380" w:right="540"/>
        <w:spacing w:after="0" w:line="238" w:lineRule="auto"/>
        <w:rPr>
          <w:sz w:val="20"/>
          <w:szCs w:val="20"/>
          <w:color w:val="auto"/>
        </w:rPr>
      </w:pPr>
      <w:r>
        <w:rPr>
          <w:rFonts w:ascii="Arial" w:cs="Arial" w:eastAsia="Arial" w:hAnsi="Arial"/>
          <w:sz w:val="14"/>
          <w:szCs w:val="14"/>
          <w:color w:val="auto"/>
        </w:rPr>
        <w:t>5605(c)(4)(B). The Company intends to appoint an independent director to the Audit Committee no later than the Company’s 2026 annual meeting of stockholders, as provided by Nasdaq Rule 5605(c)(4)(B).</w:t>
      </w:r>
    </w:p>
    <w:p>
      <w:pPr>
        <w:spacing w:after="0" w:line="59" w:lineRule="exact"/>
        <w:rPr>
          <w:sz w:val="20"/>
          <w:szCs w:val="20"/>
          <w:color w:val="auto"/>
        </w:rPr>
      </w:pPr>
    </w:p>
    <w:p>
      <w:pPr>
        <w:ind w:left="380" w:right="400"/>
        <w:spacing w:after="0" w:line="249" w:lineRule="auto"/>
        <w:rPr>
          <w:sz w:val="20"/>
          <w:szCs w:val="20"/>
          <w:color w:val="auto"/>
        </w:rPr>
      </w:pPr>
      <w:r>
        <w:rPr>
          <w:rFonts w:ascii="Arial" w:cs="Arial" w:eastAsia="Arial" w:hAnsi="Arial"/>
          <w:sz w:val="14"/>
          <w:szCs w:val="14"/>
          <w:color w:val="auto"/>
        </w:rPr>
        <w:t>The Board determined that each of Ms. Bariquit, Mr. Giangiacomo and Mr. Rosensweig meets all of the applicable standards of independence for members of the Board established by (i) the laws, rules and regulations of the Securities and Exchange Commission and (ii) the listing standards of the Nasdaq. There are no arrangements or understandings between Ms. Bariquit, Mr. Comisar, Mr. Fonseca, Mr. Giangiacomo or Mr. Rosensweig and any other persons pursuant to which they were selected as directors, except as described herein with respect to the Exchange Agreement and the Investor Rights Agreement.</w:t>
      </w:r>
    </w:p>
    <w:p>
      <w:pPr>
        <w:spacing w:after="0" w:line="53" w:lineRule="exact"/>
        <w:rPr>
          <w:sz w:val="20"/>
          <w:szCs w:val="20"/>
          <w:color w:val="auto"/>
        </w:rPr>
      </w:pPr>
    </w:p>
    <w:p>
      <w:pPr>
        <w:ind w:left="380" w:right="360"/>
        <w:spacing w:after="0" w:line="274" w:lineRule="auto"/>
        <w:rPr>
          <w:sz w:val="20"/>
          <w:szCs w:val="20"/>
          <w:color w:val="auto"/>
        </w:rPr>
      </w:pPr>
      <w:r>
        <w:rPr>
          <w:rFonts w:ascii="Arial" w:cs="Arial" w:eastAsia="Arial" w:hAnsi="Arial"/>
          <w:sz w:val="14"/>
          <w:szCs w:val="14"/>
          <w:color w:val="auto"/>
        </w:rPr>
        <w:t>In connection with their appointments, each of Ms. Bariquit, Mr. Comisar, Mr. Fonseca and Mr. Giangiacomo will enter into a standard indemnification agreement with the Company in the form previously approved by the Board.</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October 28, 2025, the Board amended and restated the Company’s bylaws (the “Second Amended &amp; Restated Bylaws”), effective as of such date. The Second Amended</w:t>
      </w:r>
    </w:p>
    <w:p>
      <w:pPr>
        <w:spacing w:after="0" w:line="12" w:lineRule="exact"/>
        <w:rPr>
          <w:sz w:val="20"/>
          <w:szCs w:val="20"/>
          <w:color w:val="auto"/>
        </w:rPr>
      </w:pPr>
    </w:p>
    <w:p>
      <w:pPr>
        <w:ind w:left="380" w:right="40" w:firstLine="7"/>
        <w:spacing w:after="0" w:line="245" w:lineRule="auto"/>
        <w:tabs>
          <w:tab w:leader="none" w:pos="514"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Restated Bylaws were amended to (i) remove provisions related to the appointment of a lead independent director, (ii) add provisions to clarify that Lender will not be subject to certain notice procedures so long as the Investor Rights Agreement remains in effect and (iii) include certain technical amendments with respect to the adjournment of stockholder meetings and the availability of stockholder lists, among other matters.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8 — Long-Term Debt” and “Note 12 — Stockholders’ Equity” for additional information.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right="8520" w:hanging="375"/>
        <w:spacing w:after="0" w:line="371" w:lineRule="auto"/>
        <w:tabs>
          <w:tab w:leader="none" w:pos="371"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Restructuring and Related Charges </w:t>
      </w:r>
      <w:r>
        <w:rPr>
          <w:rFonts w:ascii="Arial" w:cs="Arial" w:eastAsia="Arial" w:hAnsi="Arial"/>
          <w:sz w:val="14"/>
          <w:szCs w:val="14"/>
          <w:b w:val="1"/>
          <w:bCs w:val="1"/>
          <w:i w:val="1"/>
          <w:iCs w:val="1"/>
          <w:color w:val="auto"/>
        </w:rPr>
        <w:t>January 2024 Restructuring Plan</w:t>
      </w:r>
    </w:p>
    <w:p>
      <w:pPr>
        <w:ind w:left="380" w:right="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January 9, 2024, the Company announced a restructuring plan to focus its workforce and cost structure on key growth opportunities and support its profitability goals. The plan included a reduction in workforce of approximately 10% of its corporate employees (primarily a reduction in force, with some open role closures/reduced backfills, and excludes potential hiring of new employees or other additions to the Company’s costs and expenses).</w:t>
      </w:r>
    </w:p>
    <w:p>
      <w:pPr>
        <w:spacing w:after="0" w:line="48" w:lineRule="exact"/>
        <w:rPr>
          <w:rFonts w:ascii="Arial" w:cs="Arial" w:eastAsia="Arial" w:hAnsi="Arial"/>
          <w:sz w:val="14"/>
          <w:szCs w:val="14"/>
          <w:b w:val="1"/>
          <w:bCs w:val="1"/>
          <w:color w:val="auto"/>
        </w:rPr>
      </w:pPr>
    </w:p>
    <w:p>
      <w:pPr>
        <w:ind w:left="380" w:right="1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Restructuring charges of $0.2 million for severance and related costs were recognized during the nine months ended October 31, 2024, and are reflected in Restructuring charges on the Company’s Condensed Consolidated Statements of Operations. No restructuring charges were recognized during the three and nine months ended October 31, 2025. Restructuring charges of $0.2 million for severance and related costs were recognized during the year ended January 31, 2025 and were reflected in Restructuring charges on the Company’s Condensed Consolidated Statements of Operations. Cumulative charges related to severance and related costs incurred to date in connection with the January 2024 restructuring plan were $2.2 million. Accrued restructuring charges were none and $0.2 million as of October 31, 2025 and January 31, 2025, respectively. The restructuring plan was completed during the first quarter of fiscal year 2025.</w:t>
      </w:r>
    </w:p>
    <w:p>
      <w:pPr>
        <w:spacing w:after="0" w:line="226" w:lineRule="exact"/>
        <w:rPr>
          <w:rFonts w:ascii="Arial" w:cs="Arial" w:eastAsia="Arial" w:hAnsi="Arial"/>
          <w:sz w:val="14"/>
          <w:szCs w:val="14"/>
          <w:b w:val="1"/>
          <w:bCs w:val="1"/>
          <w:color w:val="auto"/>
        </w:rPr>
      </w:pPr>
    </w:p>
    <w:p>
      <w:pPr>
        <w:ind w:left="380" w:hanging="375"/>
        <w:spacing w:after="0"/>
        <w:tabs>
          <w:tab w:leader="none" w:pos="3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199" w:lineRule="exact"/>
        <w:rPr>
          <w:rFonts w:ascii="Arial" w:cs="Arial" w:eastAsia="Arial" w:hAnsi="Arial"/>
          <w:sz w:val="14"/>
          <w:szCs w:val="14"/>
          <w:b w:val="1"/>
          <w:bCs w:val="1"/>
          <w:color w:val="auto"/>
        </w:rPr>
      </w:pPr>
    </w:p>
    <w:p>
      <w:pPr>
        <w:ind w:left="380" w:right="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2025, the Company entered into a sublease agreement for the ninth floor of its corporate headquarters in Brooklyn, NY for the remainder of the lease term through November 2032. The sublease commenced in December 2024 and does not relieve the Company of its primary lease obligations. The Company recorded immaterial additional assets for the sublease and the net amount received from the sublease is recorded in general and administrative expenses on the Condensed Consolidated Statements of Operations.</w:t>
      </w:r>
    </w:p>
    <w:p>
      <w:pPr>
        <w:spacing w:after="0" w:line="137" w:lineRule="exact"/>
        <w:rPr>
          <w:rFonts w:ascii="Arial" w:cs="Arial" w:eastAsia="Arial" w:hAnsi="Arial"/>
          <w:sz w:val="14"/>
          <w:szCs w:val="14"/>
          <w:b w:val="1"/>
          <w:bCs w:val="1"/>
          <w:color w:val="auto"/>
        </w:rPr>
      </w:pPr>
    </w:p>
    <w:p>
      <w:pPr>
        <w:ind w:left="380" w:right="2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October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Operating</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200"/>
              <w:spacing w:after="0"/>
              <w:rPr>
                <w:sz w:val="20"/>
                <w:szCs w:val="20"/>
                <w:color w:val="auto"/>
              </w:rPr>
            </w:pPr>
            <w:r>
              <w:rPr>
                <w:rFonts w:ascii="Arial" w:cs="Arial" w:eastAsia="Arial" w:hAnsi="Arial"/>
                <w:sz w:val="11"/>
                <w:szCs w:val="11"/>
                <w:b w:val="1"/>
                <w:bCs w:val="1"/>
                <w:color w:val="auto"/>
              </w:rPr>
              <w:t>Financing</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year:</w:t>
            </w:r>
          </w:p>
        </w:tc>
        <w:tc>
          <w:tcPr>
            <w:tcW w:w="366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2025</w:t>
            </w:r>
          </w:p>
        </w:tc>
        <w:tc>
          <w:tcPr>
            <w:tcW w:w="4720" w:type="dxa"/>
            <w:vAlign w:val="bottom"/>
            <w:gridSpan w:val="2"/>
          </w:tcPr>
          <w:p>
            <w:pPr>
              <w:jc w:val="right"/>
              <w:ind w:right="896"/>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2026</w:t>
            </w:r>
          </w:p>
        </w:tc>
        <w:tc>
          <w:tcPr>
            <w:tcW w:w="3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2027</w:t>
            </w:r>
          </w:p>
        </w:tc>
        <w:tc>
          <w:tcPr>
            <w:tcW w:w="3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2028</w:t>
            </w:r>
          </w:p>
        </w:tc>
        <w:tc>
          <w:tcPr>
            <w:tcW w:w="3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2029</w:t>
            </w:r>
          </w:p>
        </w:tc>
        <w:tc>
          <w:tcPr>
            <w:tcW w:w="3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Thereafter</w:t>
            </w:r>
          </w:p>
        </w:tc>
        <w:tc>
          <w:tcPr>
            <w:tcW w:w="366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11"/>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960" w:type="dxa"/>
            <w:vAlign w:val="bottom"/>
          </w:tcPr>
          <w:p>
            <w:pPr>
              <w:ind w:left="280"/>
              <w:spacing w:after="0"/>
              <w:rPr>
                <w:sz w:val="20"/>
                <w:szCs w:val="20"/>
                <w:color w:val="auto"/>
              </w:rPr>
            </w:pPr>
            <w:r>
              <w:rPr>
                <w:rFonts w:ascii="Arial" w:cs="Arial" w:eastAsia="Arial" w:hAnsi="Arial"/>
                <w:sz w:val="14"/>
                <w:szCs w:val="14"/>
                <w:color w:val="auto"/>
              </w:rPr>
              <w:t>Total minimum lease payments</w:t>
            </w:r>
          </w:p>
        </w:tc>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65.8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Imputed interest</w:t>
            </w:r>
          </w:p>
        </w:tc>
        <w:tc>
          <w:tcPr>
            <w:tcW w:w="366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791"/>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960" w:type="dxa"/>
            <w:vAlign w:val="bottom"/>
          </w:tcPr>
          <w:p>
            <w:pPr>
              <w:ind w:left="300"/>
              <w:spacing w:after="0"/>
              <w:rPr>
                <w:sz w:val="20"/>
                <w:szCs w:val="20"/>
                <w:color w:val="auto"/>
              </w:rPr>
            </w:pPr>
            <w:r>
              <w:rPr>
                <w:rFonts w:ascii="Arial" w:cs="Arial" w:eastAsia="Arial" w:hAnsi="Arial"/>
                <w:sz w:val="14"/>
                <w:szCs w:val="14"/>
                <w:color w:val="auto"/>
              </w:rPr>
              <w:t>Lease liabilities as of October 31, 2025</w:t>
            </w:r>
          </w:p>
        </w:tc>
        <w:tc>
          <w:tcPr>
            <w:tcW w:w="3660" w:type="dxa"/>
            <w:vAlign w:val="bottom"/>
          </w:tcPr>
          <w:p>
            <w:pPr>
              <w:spacing w:after="0"/>
              <w:rPr>
                <w:sz w:val="14"/>
                <w:szCs w:val="14"/>
                <w:color w:val="auto"/>
              </w:rPr>
            </w:pPr>
          </w:p>
        </w:tc>
        <w:tc>
          <w:tcPr>
            <w:tcW w:w="106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center"/>
              <w:ind w:left="811"/>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60" w:type="dxa"/>
            <w:vAlign w:val="bottom"/>
            <w:vMerge w:val="restart"/>
          </w:tcPr>
          <w:p>
            <w:pPr>
              <w:jc w:val="right"/>
              <w:ind w:right="2209"/>
              <w:spacing w:after="0"/>
              <w:rPr>
                <w:sz w:val="20"/>
                <w:szCs w:val="20"/>
                <w:color w:val="auto"/>
              </w:rPr>
            </w:pPr>
            <w:r>
              <w:rPr>
                <w:rFonts w:ascii="Arial" w:cs="Arial" w:eastAsia="Arial" w:hAnsi="Arial"/>
                <w:sz w:val="14"/>
                <w:szCs w:val="14"/>
                <w:color w:val="auto"/>
              </w:rPr>
              <w:t>20</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396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October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r>
      <w:tr>
        <w:trPr>
          <w:trHeight w:val="150"/>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71"/>
        </w:trPr>
        <w:tc>
          <w:tcPr>
            <w:tcW w:w="7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r>
      <w:tr>
        <w:trPr>
          <w:trHeight w:val="196"/>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$15.5 million and $16.5 million for the three months ended October 31, 2025 and 2024, respectively, and $44.6 million and $47.6 million for the nine months ended October 31, 2025 and 2024, respectively.</w:t>
      </w:r>
    </w:p>
    <w:p>
      <w:pPr>
        <w:spacing w:after="0" w:line="205" w:lineRule="exact"/>
        <w:rPr>
          <w:sz w:val="20"/>
          <w:szCs w:val="20"/>
          <w:color w:val="auto"/>
        </w:rPr>
      </w:pPr>
    </w:p>
    <w:p>
      <w:pPr>
        <w:ind w:left="380" w:right="9820" w:hanging="375"/>
        <w:spacing w:after="0" w:line="379" w:lineRule="auto"/>
        <w:tabs>
          <w:tab w:leader="none" w:pos="371"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long-term debt outstanding as of October 31, 2025 and January 31, 2025:</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October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r>
      <w:tr>
        <w:trPr>
          <w:trHeight w:val="362"/>
        </w:trPr>
        <w:tc>
          <w:tcPr>
            <w:tcW w:w="7380" w:type="dxa"/>
            <w:vAlign w:val="bottom"/>
          </w:tcPr>
          <w:p>
            <w:pPr>
              <w:ind w:left="200"/>
              <w:spacing w:after="0"/>
              <w:rPr>
                <w:sz w:val="20"/>
                <w:szCs w:val="20"/>
                <w:color w:val="auto"/>
              </w:rPr>
            </w:pPr>
            <w:r>
              <w:rPr>
                <w:rFonts w:ascii="Arial" w:cs="Arial" w:eastAsia="Arial" w:hAnsi="Arial"/>
                <w:sz w:val="14"/>
                <w:szCs w:val="14"/>
                <w:color w:val="auto"/>
              </w:rPr>
              <w:t>Debt Facility principal outstanding</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12"/>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 payment-in-kind interest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212"/>
        </w:trPr>
        <w:tc>
          <w:tcPr>
            <w:tcW w:w="7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Add: unamortized debt premium</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192"/>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Facility, net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212"/>
        </w:trPr>
        <w:tc>
          <w:tcPr>
            <w:tcW w:w="7380" w:type="dxa"/>
            <w:vAlign w:val="bottom"/>
          </w:tcPr>
          <w:p>
            <w:pPr>
              <w:ind w:left="28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noncurrent long-term debt</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Debt Facility</w:t>
      </w:r>
    </w:p>
    <w:p>
      <w:pPr>
        <w:spacing w:after="0" w:line="94" w:lineRule="exact"/>
        <w:rPr>
          <w:sz w:val="20"/>
          <w:szCs w:val="20"/>
          <w:color w:val="auto"/>
        </w:rPr>
      </w:pPr>
    </w:p>
    <w:p>
      <w:pPr>
        <w:ind w:left="380"/>
        <w:spacing w:after="0" w:line="258" w:lineRule="auto"/>
        <w:rPr>
          <w:sz w:val="20"/>
          <w:szCs w:val="20"/>
          <w:color w:val="auto"/>
        </w:rPr>
      </w:pPr>
      <w:r>
        <w:rPr>
          <w:rFonts w:ascii="Arial" w:cs="Arial" w:eastAsia="Arial" w:hAnsi="Arial"/>
          <w:sz w:val="14"/>
          <w:szCs w:val="14"/>
          <w:color w:val="auto"/>
        </w:rPr>
        <w:t>In January 2023, the Company entered into an amendment to the 2021 Amended Temasek Facility (the “2022 Temasek Facility Amendment”). The 2021 Amended Temasek Facility as further amended by the 2022 Temasek Facility Amendment is referred to as the “2022 Amended Temasek Facility”. 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right="260"/>
        <w:spacing w:after="0" w:line="290" w:lineRule="auto"/>
        <w:rPr>
          <w:sz w:val="20"/>
          <w:szCs w:val="20"/>
          <w:color w:val="auto"/>
        </w:rPr>
      </w:pPr>
      <w:r>
        <w:rPr>
          <w:rFonts w:ascii="Arial" w:cs="Arial" w:eastAsia="Arial" w:hAnsi="Arial"/>
          <w:sz w:val="14"/>
          <w:szCs w:val="14"/>
          <w:color w:val="auto"/>
        </w:rPr>
        <w:t>In January 2023, in connection with the 2022 Amended Temasek Facility, the Company recorded a debt discount of $ 6.9 million related to the allocation of proceeds to warrants issued. These amounts were being accreted to the principal amount of the 2022 Amended Temasek Facility through the recognition of noncash interest expense.</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December 2023, the Company entered into an amendment to the 2022 Amended Temasek Facility (the “2023 Amended Temasek Facility”). This transaction was accounted for as a troubled debt restructuring. The terms of the amendment provided for (i) elimination of all interest (both payment-in-kind and cash interest) for a period of six full fiscal quarters beginning with the fourth quarter of fiscal year 2023; (ii) reduction of the minimum liquidity maintenance covenant from $50 million to $30 million; and (iii) additional covenants requiring the Company to comply with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The Company amortized the debt discount</w:t>
      </w:r>
    </w:p>
    <w:p>
      <w:pPr>
        <w:spacing w:after="0" w:line="3" w:lineRule="exact"/>
        <w:rPr>
          <w:sz w:val="20"/>
          <w:szCs w:val="20"/>
          <w:color w:val="auto"/>
        </w:rPr>
      </w:pPr>
    </w:p>
    <w:p>
      <w:pPr>
        <w:ind w:left="380" w:right="100"/>
        <w:spacing w:after="0" w:line="238" w:lineRule="auto"/>
        <w:rPr>
          <w:sz w:val="20"/>
          <w:szCs w:val="20"/>
          <w:color w:val="auto"/>
        </w:rPr>
      </w:pPr>
      <w:r>
        <w:rPr>
          <w:rFonts w:ascii="Arial" w:cs="Arial" w:eastAsia="Arial" w:hAnsi="Arial"/>
          <w:sz w:val="14"/>
          <w:szCs w:val="14"/>
          <w:color w:val="auto"/>
        </w:rPr>
        <w:t>or premium using the effective interest method over the remaining term of the facility including the six full fiscal quarters during which payment-in-kind and cash interest were eliminated.</w:t>
      </w:r>
    </w:p>
    <w:p>
      <w:pPr>
        <w:spacing w:after="0" w:line="176" w:lineRule="exact"/>
        <w:rPr>
          <w:sz w:val="20"/>
          <w:szCs w:val="20"/>
          <w:color w:val="auto"/>
        </w:rPr>
      </w:pPr>
    </w:p>
    <w:p>
      <w:pPr>
        <w:ind w:left="380" w:right="80"/>
        <w:spacing w:after="0" w:line="262" w:lineRule="auto"/>
        <w:rPr>
          <w:sz w:val="20"/>
          <w:szCs w:val="20"/>
          <w:color w:val="auto"/>
        </w:rPr>
      </w:pPr>
      <w:r>
        <w:rPr>
          <w:rFonts w:ascii="Arial" w:cs="Arial" w:eastAsia="Arial" w:hAnsi="Arial"/>
          <w:sz w:val="14"/>
          <w:szCs w:val="14"/>
          <w:color w:val="auto"/>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contained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spacing w:after="0" w:line="161" w:lineRule="exact"/>
        <w:rPr>
          <w:sz w:val="20"/>
          <w:szCs w:val="20"/>
          <w:color w:val="auto"/>
        </w:rPr>
      </w:pPr>
    </w:p>
    <w:p>
      <w:pPr>
        <w:ind w:left="380" w:right="200"/>
        <w:spacing w:after="0" w:line="271" w:lineRule="auto"/>
        <w:rPr>
          <w:sz w:val="20"/>
          <w:szCs w:val="20"/>
          <w:color w:val="auto"/>
        </w:rPr>
      </w:pPr>
      <w:r>
        <w:rPr>
          <w:rFonts w:ascii="Arial" w:cs="Arial" w:eastAsia="Arial" w:hAnsi="Arial"/>
          <w:sz w:val="14"/>
          <w:szCs w:val="14"/>
          <w:color w:val="auto"/>
        </w:rPr>
        <w:t>In January 2025, CHS (US) Management LLC replaced Double Helix Pte Ltd. as administrative agent for Temasek Holdings.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w:t>
      </w:r>
    </w:p>
    <w:p>
      <w:pPr>
        <w:spacing w:after="0" w:line="144" w:lineRule="exact"/>
        <w:rPr>
          <w:sz w:val="20"/>
          <w:szCs w:val="20"/>
          <w:color w:val="auto"/>
        </w:rPr>
      </w:pPr>
    </w:p>
    <w:p>
      <w:pPr>
        <w:ind w:left="380" w:right="80"/>
        <w:spacing w:after="0" w:line="241" w:lineRule="auto"/>
        <w:rPr>
          <w:sz w:val="20"/>
          <w:szCs w:val="20"/>
          <w:color w:val="auto"/>
        </w:rPr>
      </w:pPr>
      <w:r>
        <w:rPr>
          <w:rFonts w:ascii="Arial" w:cs="Arial" w:eastAsia="Arial" w:hAnsi="Arial"/>
          <w:sz w:val="14"/>
          <w:szCs w:val="14"/>
          <w:color w:val="auto"/>
        </w:rPr>
        <w:t>In March 2025, May 2025, and July 2025, the Company entered into an Eleventh Amendment, Twelfth Amendment, and Thirteenth Amendment to the 2023 Amended Temasek Facility to extend the deadline to mutually agree upon the Company’s fiscal year 2025 spend levels - covering rental product capital expenditures, fixed operating expenditures and marketing expenditures - from March 31, 2025 to May 30, 2025, from May 30, 2025 to July 31, 2025, and then from July 31, 2025 to August 29, 2025, respectively. The Thirteenth Amendment also extended the due date of the cash interest payment due on August 1, 2025 to August 29, 2025. In August 2025, concurrently with the Exchange Agreement, the Company entered into a Fourteenth Amendment to the Credit Agreement. The Fourteenth Amendment provided that, among other things,</w:t>
      </w:r>
    </w:p>
    <w:p>
      <w:pPr>
        <w:spacing w:after="0" w:line="1" w:lineRule="exact"/>
        <w:rPr>
          <w:sz w:val="20"/>
          <w:szCs w:val="20"/>
          <w:color w:val="auto"/>
        </w:rPr>
      </w:pPr>
    </w:p>
    <w:p>
      <w:pPr>
        <w:ind w:left="380" w:right="400" w:firstLine="7"/>
        <w:spacing w:after="0" w:line="253" w:lineRule="auto"/>
        <w:tabs>
          <w:tab w:leader="none" w:pos="545"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interest that would otherwise be payable in cash will be capitalized; and (ii) the liquidity financial covenant level will be reduced from $30 million to $15 million until the closing of the Recapitalization Transactions. The Fourteenth Amendment also eliminated the spend levels for fiscal year 2025.</w:t>
      </w:r>
    </w:p>
    <w:p>
      <w:pPr>
        <w:spacing w:after="0" w:line="156" w:lineRule="exact"/>
        <w:rPr>
          <w:sz w:val="20"/>
          <w:szCs w:val="20"/>
          <w:color w:val="auto"/>
        </w:rPr>
      </w:pPr>
    </w:p>
    <w:p>
      <w:pPr>
        <w:ind w:left="380" w:right="220"/>
        <w:spacing w:after="0" w:line="246" w:lineRule="auto"/>
        <w:rPr>
          <w:sz w:val="20"/>
          <w:szCs w:val="20"/>
          <w:color w:val="auto"/>
        </w:rPr>
      </w:pPr>
      <w:r>
        <w:rPr>
          <w:rFonts w:ascii="Arial" w:cs="Arial" w:eastAsia="Arial" w:hAnsi="Arial"/>
          <w:sz w:val="14"/>
          <w:szCs w:val="14"/>
          <w:color w:val="auto"/>
        </w:rPr>
        <w:t>On October 28, 2025, the Company’s lender exchanged $100 million of existing outstanding indebtedness owed under the Existing Credit Agreement on a dollar-for-dollar cashless basis for new term loans under the New Credit Agreement and exchanged the remaining indebtedness under the Existing Credit Agreement for 26,175,193 newly issued shares of the Company’s Class A Common Stock. The Existing Credit Agreement was amended and restated. The Investor Group also provided an additional $20 million of new term loans under the New Credit Agreement, resulting in a total aggregate principal amount of $120 million as of the closing of the Recapitalization Transactions.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83" w:lineRule="exact"/>
        <w:rPr>
          <w:sz w:val="20"/>
          <w:szCs w:val="20"/>
          <w:color w:val="auto"/>
        </w:rPr>
      </w:pPr>
    </w:p>
    <w:p>
      <w:pPr>
        <w:ind w:left="380" w:right="120"/>
        <w:spacing w:after="0" w:line="244" w:lineRule="auto"/>
        <w:rPr>
          <w:sz w:val="20"/>
          <w:szCs w:val="20"/>
          <w:color w:val="auto"/>
        </w:rPr>
      </w:pPr>
      <w:r>
        <w:rPr>
          <w:rFonts w:ascii="Arial" w:cs="Arial" w:eastAsia="Arial" w:hAnsi="Arial"/>
          <w:sz w:val="14"/>
          <w:szCs w:val="14"/>
          <w:color w:val="auto"/>
        </w:rPr>
        <w:t>The New Credit Agreement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Term loans under the New Credit Agreement will mature on October 28, 2029, and will bear interest, at the Company’s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modifies the Existing Credit Agreement in certain respects, including by temporarily reducing the minimum liquidity maintenance covenant from $30 million to $15 million during the period from October 28, 2025 until February 20, 2027, which reverts thereafter to $30 million.</w:t>
      </w:r>
    </w:p>
    <w:p>
      <w:pPr>
        <w:spacing w:after="0" w:line="164" w:lineRule="exact"/>
        <w:rPr>
          <w:sz w:val="20"/>
          <w:szCs w:val="20"/>
          <w:color w:val="auto"/>
        </w:rPr>
      </w:pPr>
    </w:p>
    <w:p>
      <w:pPr>
        <w:ind w:left="380" w:right="60"/>
        <w:spacing w:after="0" w:line="239" w:lineRule="auto"/>
        <w:rPr>
          <w:sz w:val="20"/>
          <w:szCs w:val="20"/>
          <w:color w:val="auto"/>
        </w:rPr>
      </w:pPr>
      <w:r>
        <w:rPr>
          <w:rFonts w:ascii="Arial" w:cs="Arial" w:eastAsia="Arial" w:hAnsi="Arial"/>
          <w:sz w:val="14"/>
          <w:szCs w:val="14"/>
          <w:color w:val="auto"/>
        </w:rPr>
        <w:t>The exchange transaction with the existing lender was accounted for as a troubled debt restructuring of $334.2 million of existing outstanding debt excluding the remaining unamortized debt premium and $10.0 million of additional cash from the Lender in exchange for $110.0 million of new term loans. The Company exchanged $234.2 million of</w:t>
      </w:r>
    </w:p>
    <w:p>
      <w:pPr>
        <w:spacing w:after="0" w:line="1" w:lineRule="exact"/>
        <w:rPr>
          <w:sz w:val="20"/>
          <w:szCs w:val="20"/>
          <w:color w:val="auto"/>
        </w:rPr>
      </w:pPr>
    </w:p>
    <w:p>
      <w:pPr>
        <w:ind w:left="380" w:right="60"/>
        <w:spacing w:after="0" w:line="242" w:lineRule="auto"/>
        <w:rPr>
          <w:sz w:val="20"/>
          <w:szCs w:val="20"/>
          <w:color w:val="auto"/>
        </w:rPr>
      </w:pPr>
      <w:r>
        <w:rPr>
          <w:rFonts w:ascii="Arial" w:cs="Arial" w:eastAsia="Arial" w:hAnsi="Arial"/>
          <w:sz w:val="14"/>
          <w:szCs w:val="14"/>
          <w:color w:val="auto"/>
        </w:rPr>
        <w:t>existing indebtedness for 26,175,193 newly issued shares of the Company’s Class A Common Stock to the lender. As the carrying value of debt reduced by the fair value of the equity issued exceeded the total undiscounted future cash payments, the Company recognized a gain on troubled debt restructuring, net of allocated transaction costs of $11.6 million incurred, of $96.3 million during the three and nine months ended October 31, 2025. The gain was reflected in Gain on Debt Restructuring on the Company’s Condensed Consolidated Statements of Operations.</w:t>
      </w:r>
    </w:p>
    <w:p>
      <w:pPr>
        <w:spacing w:after="0" w:line="164" w:lineRule="exact"/>
        <w:rPr>
          <w:sz w:val="20"/>
          <w:szCs w:val="20"/>
          <w:color w:val="auto"/>
        </w:rPr>
      </w:pPr>
    </w:p>
    <w:p>
      <w:pPr>
        <w:ind w:left="380" w:right="60"/>
        <w:spacing w:after="0" w:line="274" w:lineRule="auto"/>
        <w:rPr>
          <w:sz w:val="20"/>
          <w:szCs w:val="20"/>
          <w:color w:val="auto"/>
        </w:rPr>
      </w:pPr>
      <w:r>
        <w:rPr>
          <w:rFonts w:ascii="Arial" w:cs="Arial" w:eastAsia="Arial" w:hAnsi="Arial"/>
          <w:sz w:val="14"/>
          <w:szCs w:val="14"/>
          <w:color w:val="auto"/>
        </w:rPr>
        <w:t>The gain increased net income (loss) per share - basic by $17.23 and net income (loss) per share - diluted by $ 17.18 for the three months ended October 31, 2025. The gain increased net income (loss) per share - basic by $20.61 and net income (loss) per share - diluted by $20.47 for the nine months ended October 31, 2025.</w:t>
      </w:r>
    </w:p>
    <w:p>
      <w:pPr>
        <w:spacing w:after="0" w:line="152" w:lineRule="exact"/>
        <w:rPr>
          <w:sz w:val="20"/>
          <w:szCs w:val="20"/>
          <w:color w:val="auto"/>
        </w:rPr>
      </w:pPr>
    </w:p>
    <w:p>
      <w:pPr>
        <w:ind w:left="380" w:right="40"/>
        <w:spacing w:after="0" w:line="263" w:lineRule="auto"/>
        <w:rPr>
          <w:sz w:val="20"/>
          <w:szCs w:val="20"/>
          <w:color w:val="auto"/>
        </w:rPr>
      </w:pPr>
      <w:r>
        <w:rPr>
          <w:rFonts w:ascii="Arial" w:cs="Arial" w:eastAsia="Arial" w:hAnsi="Arial"/>
          <w:sz w:val="14"/>
          <w:szCs w:val="14"/>
          <w:color w:val="auto"/>
        </w:rPr>
        <w:t>Upon completion of the exchange transaction, the carrying value of the debt with the Lender was $149.5 million, comprised of the total future undiscounted cash payments to the Lender. The Company recorded a debt premium as a result of the troubled debt restructuring of $39.5 million which will be amortized over the term of the loan. The Company will not recognize any interest expense between the transaction date and the maturity of the debt.</w:t>
      </w:r>
    </w:p>
    <w:p>
      <w:pPr>
        <w:spacing w:after="0" w:line="150" w:lineRule="exact"/>
        <w:rPr>
          <w:sz w:val="20"/>
          <w:szCs w:val="20"/>
          <w:color w:val="auto"/>
        </w:rPr>
      </w:pPr>
    </w:p>
    <w:p>
      <w:pPr>
        <w:ind w:left="380"/>
        <w:spacing w:after="0" w:line="263" w:lineRule="auto"/>
        <w:rPr>
          <w:sz w:val="20"/>
          <w:szCs w:val="20"/>
          <w:color w:val="auto"/>
        </w:rPr>
      </w:pPr>
      <w:r>
        <w:rPr>
          <w:rFonts w:ascii="Arial" w:cs="Arial" w:eastAsia="Arial" w:hAnsi="Arial"/>
          <w:sz w:val="14"/>
          <w:szCs w:val="14"/>
          <w:color w:val="auto"/>
        </w:rPr>
        <w:t>The Company accounted for the $10.0 million of new term loans issued to Nexus and STORY3 as a new issuance of debt and recorded a debt discount of $0.4 million related to allocated issuance costs. The debt discount will be accreted to the principal amount of the debt through the recognition of noncash interest expense using the effective interest method. The effective interest rate of the debt facility as of October 31, 2025 was 9.83%.</w:t>
      </w:r>
    </w:p>
    <w:p>
      <w:pPr>
        <w:spacing w:after="0" w:line="12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The Company determined that all of the embedded features of the New Credit Agreement were clearly and closely related to the debt host and did not require bifurcation as a derivative liability, or the fair value of the feature was immaterial to the Company’s condensed consolidated financial statements.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covenants as of October 31, 2025 and through the date of this filing.</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9" w:lineRule="exact"/>
        <w:rPr>
          <w:rFonts w:ascii="Arial" w:cs="Arial" w:eastAsia="Arial" w:hAnsi="Arial"/>
          <w:sz w:val="14"/>
          <w:szCs w:val="14"/>
          <w:b w:val="1"/>
          <w:bCs w:val="1"/>
          <w:color w:val="auto"/>
        </w:rPr>
      </w:pPr>
    </w:p>
    <w:p>
      <w:pPr>
        <w:ind w:left="380" w:right="1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52"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continues to maintain a full valuation allowance on all United States net deferred tax assets for all periods presented.</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amount of unrecognized tax benefits as of October 31, 2025 and January 31, 2025 was $1.3 million and $1.2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p>
    <w:p>
      <w:pPr>
        <w:spacing w:after="0" w:line="161" w:lineRule="exact"/>
        <w:rPr>
          <w:rFonts w:ascii="Arial" w:cs="Arial" w:eastAsia="Arial" w:hAnsi="Arial"/>
          <w:sz w:val="14"/>
          <w:szCs w:val="14"/>
          <w:b w:val="1"/>
          <w:bCs w:val="1"/>
          <w:color w:val="auto"/>
        </w:rPr>
      </w:pPr>
    </w:p>
    <w:p>
      <w:pPr>
        <w:ind w:left="380"/>
        <w:spacing w:after="0" w:line="248" w:lineRule="auto"/>
        <w:rPr>
          <w:rFonts w:ascii="Arial" w:cs="Arial" w:eastAsia="Arial" w:hAnsi="Arial"/>
          <w:sz w:val="14"/>
          <w:szCs w:val="14"/>
          <w:b w:val="1"/>
          <w:bCs w:val="1"/>
          <w:color w:val="auto"/>
        </w:rPr>
      </w:pPr>
      <w:r>
        <w:rPr>
          <w:rFonts w:ascii="Arial" w:cs="Arial" w:eastAsia="Arial" w:hAnsi="Arial"/>
          <w:sz w:val="14"/>
          <w:szCs w:val="14"/>
          <w:color w:val="auto"/>
        </w:rPr>
        <w:t xml:space="preserve">On July 4, 2025, the U.S. government enacted the One Big Beautiful Bill Act of 2025 (the “Act”) which includes, among other provisions, changes to the federal corporate income tax system, such as the immediate expensing of qualifying domestic research and development expenses and extensions of certain provisions within the Tax Cuts and Jobs Act. ASC 740, </w:t>
      </w:r>
      <w:r>
        <w:rPr>
          <w:rFonts w:ascii="Arial" w:cs="Arial" w:eastAsia="Arial" w:hAnsi="Arial"/>
          <w:sz w:val="14"/>
          <w:szCs w:val="14"/>
          <w:i w:val="1"/>
          <w:iCs w:val="1"/>
          <w:color w:val="auto"/>
        </w:rPr>
        <w:t>Income Taxes</w:t>
      </w:r>
      <w:r>
        <w:rPr>
          <w:rFonts w:ascii="Arial" w:cs="Arial" w:eastAsia="Arial" w:hAnsi="Arial"/>
          <w:sz w:val="14"/>
          <w:szCs w:val="14"/>
          <w:color w:val="auto"/>
        </w:rPr>
        <w:t>, requires the effects of changes in tax laws on deferred tax balances to be recognized in the period in which legislation is enacted, which occurred during the Company’s second fiscal quarter ended July 31, 2025. The Company has evaluated the provisions of the Act and reflected the impact during the three months ended July 31, 2025, which the impact was not material. Based on the Company's current financial position and results of operations, along with available information, the Company does not expect the Act to have a material impact on its financial statements. However, if our business operations or financial results change, or as additional regulations and administrative guidance are issued, we will evaluate any further impacts to our consolidated financial statements.</w:t>
      </w:r>
    </w:p>
    <w:p>
      <w:pPr>
        <w:spacing w:after="0" w:line="161" w:lineRule="exact"/>
        <w:rPr>
          <w:rFonts w:ascii="Arial" w:cs="Arial" w:eastAsia="Arial" w:hAnsi="Arial"/>
          <w:sz w:val="14"/>
          <w:szCs w:val="14"/>
          <w:b w:val="1"/>
          <w:bCs w:val="1"/>
          <w:color w:val="auto"/>
        </w:rPr>
      </w:pPr>
    </w:p>
    <w:p>
      <w:pPr>
        <w:ind w:left="380" w:right="2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On October 28, 2025, the Company completed the previously announced recapitalization transactions. The Company does not expect the transaction to result in a material income tax expense or benefit, as the Company maintains a full valuation allowance in the U.S.</w:t>
      </w:r>
    </w:p>
    <w:p>
      <w:pPr>
        <w:spacing w:after="0" w:line="194" w:lineRule="exact"/>
        <w:rPr>
          <w:rFonts w:ascii="Arial" w:cs="Arial" w:eastAsia="Arial" w:hAnsi="Arial"/>
          <w:sz w:val="14"/>
          <w:szCs w:val="14"/>
          <w:b w:val="1"/>
          <w:bCs w:val="1"/>
          <w:color w:val="auto"/>
        </w:rPr>
      </w:pPr>
    </w:p>
    <w:p>
      <w:pPr>
        <w:ind w:left="380" w:hanging="375"/>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January 31,</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402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2025</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operating and general expenses</w:t>
            </w:r>
          </w:p>
        </w:tc>
        <w:tc>
          <w:tcPr>
            <w:tcW w:w="4400" w:type="dxa"/>
            <w:vAlign w:val="bottom"/>
            <w:gridSpan w:val="2"/>
            <w:shd w:val="clear" w:color="auto" w:fill="CCEEFF"/>
          </w:tcPr>
          <w:p>
            <w:pPr>
              <w:jc w:val="right"/>
              <w:ind w:right="923"/>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Revenue share payable</w:t>
            </w:r>
          </w:p>
        </w:tc>
        <w:tc>
          <w:tcPr>
            <w:tcW w:w="3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related expenses</w:t>
            </w:r>
          </w:p>
        </w:tc>
        <w:tc>
          <w:tcPr>
            <w:tcW w:w="3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3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other taxes</w:t>
            </w:r>
          </w:p>
        </w:tc>
        <w:tc>
          <w:tcPr>
            <w:tcW w:w="3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Short-term financing</w:t>
            </w:r>
          </w:p>
        </w:tc>
        <w:tc>
          <w:tcPr>
            <w:tcW w:w="3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Gift card liability</w:t>
            </w:r>
          </w:p>
        </w:tc>
        <w:tc>
          <w:tcPr>
            <w:tcW w:w="33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4400" w:type="dxa"/>
            <w:vAlign w:val="bottom"/>
            <w:gridSpan w:val="2"/>
          </w:tcPr>
          <w:p>
            <w:pPr>
              <w:jc w:val="right"/>
              <w:ind w:right="923"/>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31.7</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20" w:type="dxa"/>
            <w:vAlign w:val="bottom"/>
            <w:vMerge w:val="restart"/>
          </w:tcPr>
          <w:p>
            <w:pPr>
              <w:jc w:val="right"/>
              <w:ind w:right="1929"/>
              <w:spacing w:after="0"/>
              <w:rPr>
                <w:sz w:val="20"/>
                <w:szCs w:val="20"/>
                <w:color w:val="auto"/>
              </w:rPr>
            </w:pPr>
            <w:r>
              <w:rPr>
                <w:rFonts w:ascii="Arial" w:cs="Arial" w:eastAsia="Arial" w:hAnsi="Arial"/>
                <w:sz w:val="14"/>
                <w:szCs w:val="14"/>
                <w:color w:val="auto"/>
              </w:rPr>
              <w:t>24</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402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borrowing rate for the short-term financing obligation was 8.00% as of October 31, 2025 and 5.50% as of January 31, 2025.</w:t>
      </w:r>
    </w:p>
    <w:p>
      <w:pPr>
        <w:spacing w:after="0" w:line="179"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78" w:lineRule="exact"/>
        <w:rPr>
          <w:rFonts w:ascii="Arial" w:cs="Arial" w:eastAsia="Arial" w:hAnsi="Arial"/>
          <w:sz w:val="14"/>
          <w:szCs w:val="14"/>
          <w:b w:val="1"/>
          <w:bCs w:val="1"/>
          <w:color w:val="auto"/>
        </w:rPr>
      </w:pPr>
    </w:p>
    <w:p>
      <w:pPr>
        <w:jc w:val="both"/>
        <w:ind w:left="380" w:right="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October 31, 2025 and January 31, 2025,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35" w:lineRule="exact"/>
        <w:rPr>
          <w:rFonts w:ascii="Arial" w:cs="Arial" w:eastAsia="Arial" w:hAnsi="Arial"/>
          <w:sz w:val="14"/>
          <w:szCs w:val="14"/>
          <w:b w:val="1"/>
          <w:bCs w:val="1"/>
          <w:color w:val="auto"/>
        </w:rPr>
      </w:pPr>
    </w:p>
    <w:p>
      <w:pPr>
        <w:ind w:left="3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Company’s Condensed Consolidated Balance Sheets. See “Note 8 — Long-Term Debt”. The Company estimates the fair value of its long-term debt using a discounted cash flow approach based on the Company’s implied credit spread using the median of option adjusted spreads for similar financial instruments with similar credit ratings, and, as such, long-term debt is classified as Level 3 within the fair value hierarchy. As of October 31, 2025, the estimated fair value of the Company’s long-term debt approximates its principal amount.</w:t>
      </w:r>
    </w:p>
    <w:p>
      <w:pPr>
        <w:spacing w:after="0" w:line="222" w:lineRule="exact"/>
        <w:rPr>
          <w:rFonts w:ascii="Arial" w:cs="Arial" w:eastAsia="Arial" w:hAnsi="Arial"/>
          <w:sz w:val="14"/>
          <w:szCs w:val="14"/>
          <w:b w:val="1"/>
          <w:bCs w:val="1"/>
          <w:color w:val="auto"/>
        </w:rPr>
      </w:pPr>
    </w:p>
    <w:p>
      <w:pPr>
        <w:ind w:left="380" w:right="9420" w:hanging="375"/>
        <w:spacing w:after="0" w:line="412" w:lineRule="auto"/>
        <w:tabs>
          <w:tab w:leader="none" w:pos="375"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Rights Offering</w:t>
      </w:r>
    </w:p>
    <w:p>
      <w:pPr>
        <w:spacing w:after="0" w:line="52"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See “Note 4 - Recapitalization Transactions” for information regarding the rights offering.</w:t>
      </w:r>
    </w:p>
    <w:p>
      <w:pPr>
        <w:spacing w:after="0" w:line="20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Common Stock</w:t>
      </w:r>
    </w:p>
    <w:p>
      <w:pPr>
        <w:spacing w:after="0" w:line="91" w:lineRule="exact"/>
        <w:rPr>
          <w:rFonts w:ascii="Arial" w:cs="Arial" w:eastAsia="Arial" w:hAnsi="Arial"/>
          <w:sz w:val="14"/>
          <w:szCs w:val="14"/>
          <w:b w:val="1"/>
          <w:bCs w:val="1"/>
          <w:color w:val="auto"/>
        </w:rPr>
      </w:pPr>
    </w:p>
    <w:p>
      <w:pPr>
        <w:ind w:left="380" w:right="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and, upon liquidation, dissolution, winding up or other liquidation event of the Company, all assets available for distribution to common stockholders. There are no redemption provisions with respect to common stock.</w:t>
      </w:r>
    </w:p>
    <w:p>
      <w:pPr>
        <w:spacing w:after="0" w:line="144" w:lineRule="exact"/>
        <w:rPr>
          <w:rFonts w:ascii="Arial" w:cs="Arial" w:eastAsia="Arial" w:hAnsi="Arial"/>
          <w:sz w:val="14"/>
          <w:szCs w:val="14"/>
          <w:b w:val="1"/>
          <w:bCs w:val="1"/>
          <w:color w:val="auto"/>
        </w:rPr>
      </w:pPr>
    </w:p>
    <w:p>
      <w:pPr>
        <w:ind w:left="380" w:right="20"/>
        <w:spacing w:after="0" w:line="244" w:lineRule="auto"/>
        <w:rPr>
          <w:rFonts w:ascii="Arial" w:cs="Arial" w:eastAsia="Arial" w:hAnsi="Arial"/>
          <w:sz w:val="14"/>
          <w:szCs w:val="14"/>
          <w:b w:val="1"/>
          <w:bCs w:val="1"/>
          <w:color w:val="auto"/>
        </w:rPr>
      </w:pPr>
      <w:r>
        <w:rPr>
          <w:rFonts w:ascii="Arial" w:cs="Arial" w:eastAsia="Arial" w:hAnsi="Arial"/>
          <w:sz w:val="14"/>
          <w:szCs w:val="14"/>
          <w:color w:val="auto"/>
        </w:rPr>
        <w:t>In connection with the closing of the Recapitalization Transactions, all outstanding shares of the Company’s Class B common stock were converted into shares of Class A common stock on a one-for-one basis, such that no shares of Class B common stock remain outstanding. However, Ms. Hyman holds a RSU award relating to 159 shares of Class B common stock that is subject to delayed settlement in connection with the Recapitalization Transactions. See “Note 4 — Recapitalization Transactions” and Note 13</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 “Share-based Compensation Plans” in the Notes to the Condensed Consolidated Financial Statements for more information.</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Preferred Stock</w:t>
      </w:r>
    </w:p>
    <w:p>
      <w:pPr>
        <w:spacing w:after="0" w:line="92" w:lineRule="exact"/>
        <w:rPr>
          <w:sz w:val="20"/>
          <w:szCs w:val="20"/>
          <w:color w:val="auto"/>
        </w:rPr>
      </w:pPr>
    </w:p>
    <w:p>
      <w:pPr>
        <w:ind w:left="380" w:right="80"/>
        <w:spacing w:after="0" w:line="290" w:lineRule="auto"/>
        <w:rPr>
          <w:sz w:val="20"/>
          <w:szCs w:val="20"/>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October 31,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October 31, 2025 and January 31, 2025,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840" w:type="dxa"/>
            <w:vAlign w:val="bottom"/>
          </w:tcPr>
          <w:p>
            <w:pPr>
              <w:spacing w:after="0"/>
              <w:rPr>
                <w:sz w:val="11"/>
                <w:szCs w:val="11"/>
                <w:color w:val="auto"/>
              </w:rPr>
            </w:pPr>
          </w:p>
        </w:tc>
        <w:tc>
          <w:tcPr>
            <w:tcW w:w="1080" w:type="dxa"/>
            <w:vAlign w:val="bottom"/>
          </w:tcPr>
          <w:p>
            <w:pPr>
              <w:jc w:val="center"/>
              <w:ind w:left="643"/>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33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1580" w:type="dxa"/>
            <w:vAlign w:val="bottom"/>
            <w:gridSpan w:val="3"/>
          </w:tcPr>
          <w:p>
            <w:pPr>
              <w:ind w:left="460"/>
              <w:spacing w:after="0"/>
              <w:rPr>
                <w:sz w:val="20"/>
                <w:szCs w:val="20"/>
                <w:color w:val="auto"/>
              </w:rPr>
            </w:pPr>
            <w:r>
              <w:rPr>
                <w:rFonts w:ascii="Arial" w:cs="Arial" w:eastAsia="Arial" w:hAnsi="Arial"/>
                <w:sz w:val="11"/>
                <w:szCs w:val="11"/>
                <w:b w:val="1"/>
                <w:bCs w:val="1"/>
                <w:color w:val="auto"/>
              </w:rPr>
              <w:t>Class of</w:t>
            </w: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Exercise</w:t>
            </w:r>
          </w:p>
        </w:tc>
        <w:tc>
          <w:tcPr>
            <w:tcW w:w="220" w:type="dxa"/>
            <w:vAlign w:val="bottom"/>
          </w:tcPr>
          <w:p>
            <w:pPr>
              <w:spacing w:after="0"/>
              <w:rPr>
                <w:sz w:val="11"/>
                <w:szCs w:val="11"/>
                <w:color w:val="auto"/>
              </w:rPr>
            </w:pPr>
          </w:p>
        </w:tc>
        <w:tc>
          <w:tcPr>
            <w:tcW w:w="1140" w:type="dxa"/>
            <w:vAlign w:val="bottom"/>
          </w:tcPr>
          <w:p>
            <w:pPr>
              <w:jc w:val="right"/>
              <w:ind w:right="351"/>
              <w:spacing w:after="0"/>
              <w:rPr>
                <w:sz w:val="20"/>
                <w:szCs w:val="20"/>
                <w:color w:val="auto"/>
              </w:rPr>
            </w:pPr>
            <w:r>
              <w:rPr>
                <w:rFonts w:ascii="Arial" w:cs="Arial" w:eastAsia="Arial" w:hAnsi="Arial"/>
                <w:sz w:val="11"/>
                <w:szCs w:val="11"/>
                <w:b w:val="1"/>
                <w:bCs w:val="1"/>
                <w:color w:val="auto"/>
              </w:rPr>
              <w:t>Fair Value</w:t>
            </w:r>
          </w:p>
        </w:tc>
      </w:tr>
      <w:tr>
        <w:trPr>
          <w:trHeight w:val="165"/>
        </w:trPr>
        <w:tc>
          <w:tcPr>
            <w:tcW w:w="2840" w:type="dxa"/>
            <w:vAlign w:val="bottom"/>
          </w:tcPr>
          <w:p>
            <w:pPr>
              <w:ind w:left="940"/>
              <w:spacing w:after="0"/>
              <w:rPr>
                <w:sz w:val="20"/>
                <w:szCs w:val="20"/>
                <w:color w:val="auto"/>
              </w:rPr>
            </w:pPr>
            <w:r>
              <w:rPr>
                <w:rFonts w:ascii="Arial" w:cs="Arial" w:eastAsia="Arial" w:hAnsi="Arial"/>
                <w:sz w:val="11"/>
                <w:szCs w:val="11"/>
                <w:b w:val="1"/>
                <w:bCs w:val="1"/>
                <w:color w:val="auto"/>
              </w:rPr>
              <w:t>Outstanding Warrants</w:t>
            </w:r>
          </w:p>
        </w:tc>
        <w:tc>
          <w:tcPr>
            <w:tcW w:w="1080" w:type="dxa"/>
            <w:vAlign w:val="bottom"/>
          </w:tcPr>
          <w:p>
            <w:pPr>
              <w:jc w:val="center"/>
              <w:ind w:left="663"/>
              <w:spacing w:after="0"/>
              <w:rPr>
                <w:sz w:val="20"/>
                <w:szCs w:val="20"/>
                <w:color w:val="auto"/>
              </w:rPr>
            </w:pPr>
            <w:r>
              <w:rPr>
                <w:rFonts w:ascii="Arial" w:cs="Arial" w:eastAsia="Arial" w:hAnsi="Arial"/>
                <w:sz w:val="11"/>
                <w:szCs w:val="11"/>
                <w:b w:val="1"/>
                <w:bCs w:val="1"/>
                <w:color w:val="auto"/>
              </w:rPr>
              <w:t>Issued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43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1580" w:type="dxa"/>
            <w:vAlign w:val="bottom"/>
            <w:gridSpan w:val="3"/>
          </w:tcPr>
          <w:p>
            <w:pPr>
              <w:ind w:left="500"/>
              <w:spacing w:after="0"/>
              <w:rPr>
                <w:sz w:val="20"/>
                <w:szCs w:val="20"/>
                <w:color w:val="auto"/>
              </w:rPr>
            </w:pPr>
            <w:r>
              <w:rPr>
                <w:rFonts w:ascii="Arial" w:cs="Arial" w:eastAsia="Arial" w:hAnsi="Arial"/>
                <w:sz w:val="11"/>
                <w:szCs w:val="11"/>
                <w:b w:val="1"/>
                <w:bCs w:val="1"/>
                <w:color w:val="auto"/>
              </w:rPr>
              <w:t>Shares</w:t>
            </w: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Price (Per Warrant)</w:t>
            </w:r>
          </w:p>
        </w:tc>
        <w:tc>
          <w:tcPr>
            <w:tcW w:w="220" w:type="dxa"/>
            <w:vAlign w:val="bottom"/>
          </w:tcPr>
          <w:p>
            <w:pPr>
              <w:spacing w:after="0"/>
              <w:rPr>
                <w:sz w:val="14"/>
                <w:szCs w:val="14"/>
                <w:color w:val="auto"/>
              </w:rPr>
            </w:pPr>
          </w:p>
        </w:tc>
        <w:tc>
          <w:tcPr>
            <w:tcW w:w="1140" w:type="dxa"/>
            <w:vAlign w:val="bottom"/>
          </w:tcPr>
          <w:p>
            <w:pPr>
              <w:jc w:val="right"/>
              <w:ind w:right="311"/>
              <w:spacing w:after="0"/>
              <w:rPr>
                <w:sz w:val="20"/>
                <w:szCs w:val="20"/>
                <w:color w:val="auto"/>
              </w:rPr>
            </w:pPr>
            <w:r>
              <w:rPr>
                <w:rFonts w:ascii="Arial" w:cs="Arial" w:eastAsia="Arial" w:hAnsi="Arial"/>
                <w:sz w:val="11"/>
                <w:szCs w:val="11"/>
                <w:b w:val="1"/>
                <w:bCs w:val="1"/>
                <w:color w:val="auto"/>
              </w:rPr>
              <w:t>at Issuance</w:t>
            </w:r>
          </w:p>
        </w:tc>
      </w:tr>
      <w:tr>
        <w:trPr>
          <w:trHeight w:val="203"/>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10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360" w:type="dxa"/>
            <w:vAlign w:val="bottom"/>
          </w:tcPr>
          <w:p>
            <w:pPr>
              <w:jc w:val="right"/>
              <w:spacing w:after="0"/>
              <w:rPr>
                <w:sz w:val="20"/>
                <w:szCs w:val="20"/>
                <w:color w:val="auto"/>
              </w:rPr>
            </w:pPr>
            <w:r>
              <w:rPr>
                <w:rFonts w:ascii="Arial" w:cs="Arial" w:eastAsia="Arial" w:hAnsi="Arial"/>
                <w:sz w:val="14"/>
                <w:szCs w:val="14"/>
                <w:color w:val="auto"/>
              </w:rPr>
              <w:t>4,144</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  $</w:t>
            </w: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360" w:type="dxa"/>
            <w:vAlign w:val="bottom"/>
          </w:tcPr>
          <w:p>
            <w:pPr>
              <w:jc w:val="right"/>
              <w:spacing w:after="0"/>
              <w:rPr>
                <w:sz w:val="20"/>
                <w:szCs w:val="20"/>
                <w:color w:val="auto"/>
              </w:rPr>
            </w:pPr>
            <w:r>
              <w:rPr>
                <w:rFonts w:ascii="Arial" w:cs="Arial" w:eastAsia="Arial" w:hAnsi="Arial"/>
                <w:sz w:val="14"/>
                <w:szCs w:val="14"/>
                <w:color w:val="auto"/>
              </w:rPr>
              <w:t>746</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360" w:type="dxa"/>
            <w:vAlign w:val="bottom"/>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360" w:type="dxa"/>
            <w:vAlign w:val="bottom"/>
          </w:tcPr>
          <w:p>
            <w:pPr>
              <w:jc w:val="right"/>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40" w:type="dxa"/>
            <w:vAlign w:val="bottom"/>
          </w:tcPr>
          <w:p>
            <w:pPr>
              <w:ind w:left="20"/>
              <w:spacing w:after="0"/>
              <w:rPr>
                <w:sz w:val="20"/>
                <w:szCs w:val="20"/>
                <w:color w:val="auto"/>
              </w:rPr>
            </w:pPr>
            <w:r>
              <w:rPr>
                <w:rFonts w:ascii="Arial" w:cs="Arial" w:eastAsia="Arial" w:hAnsi="Arial"/>
                <w:sz w:val="14"/>
                <w:szCs w:val="14"/>
                <w:color w:val="auto"/>
              </w:rPr>
              <w:t>CHS (US) Management LLC</w:t>
            </w:r>
          </w:p>
        </w:tc>
        <w:tc>
          <w:tcPr>
            <w:tcW w:w="10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Oct-21</w:t>
            </w:r>
          </w:p>
        </w:tc>
        <w:tc>
          <w:tcPr>
            <w:tcW w:w="1360" w:type="dxa"/>
            <w:vAlign w:val="bottom"/>
          </w:tcPr>
          <w:p>
            <w:pPr>
              <w:jc w:val="right"/>
              <w:spacing w:after="0"/>
              <w:rPr>
                <w:sz w:val="20"/>
                <w:szCs w:val="20"/>
                <w:color w:val="auto"/>
              </w:rPr>
            </w:pPr>
            <w:r>
              <w:rPr>
                <w:rFonts w:ascii="Arial" w:cs="Arial" w:eastAsia="Arial" w:hAnsi="Arial"/>
                <w:sz w:val="14"/>
                <w:szCs w:val="14"/>
                <w:color w:val="auto"/>
              </w:rPr>
              <w:t>19,717</w:t>
            </w:r>
          </w:p>
        </w:tc>
        <w:tc>
          <w:tcPr>
            <w:tcW w:w="80" w:type="dxa"/>
            <w:vAlign w:val="bottom"/>
          </w:tcPr>
          <w:p>
            <w:pPr>
              <w:spacing w:after="0"/>
              <w:rPr>
                <w:sz w:val="17"/>
                <w:szCs w:val="17"/>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420.00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CHS (US) Management LLC</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93"/>
        </w:trPr>
        <w:tc>
          <w:tcPr>
            <w:tcW w:w="2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
        </w:trPr>
        <w:tc>
          <w:tcPr>
            <w:tcW w:w="2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240"/>
        <w:spacing w:after="0" w:line="290" w:lineRule="auto"/>
        <w:rPr>
          <w:sz w:val="20"/>
          <w:szCs w:val="20"/>
          <w:color w:val="auto"/>
        </w:rPr>
      </w:pPr>
      <w:r>
        <w:rPr>
          <w:rFonts w:ascii="Arial" w:cs="Arial" w:eastAsia="Arial" w:hAnsi="Arial"/>
          <w:sz w:val="14"/>
          <w:szCs w:val="14"/>
          <w:color w:val="auto"/>
        </w:rPr>
        <w:t>As of October 31, 2025 and January 31, 2025, all outstanding warrants were equity-classified and recorded as additional paid-in capital. Equity-classified contracts are not subsequently remeasured unless reclassification is required from equity to liability classification.</w:t>
      </w:r>
    </w:p>
    <w:p>
      <w:pPr>
        <w:spacing w:after="0" w:line="35"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19"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4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91" w:lineRule="exact"/>
        <w:rPr>
          <w:rFonts w:ascii="Arial" w:cs="Arial" w:eastAsia="Arial" w:hAnsi="Arial"/>
          <w:sz w:val="14"/>
          <w:szCs w:val="14"/>
          <w:b w:val="1"/>
          <w:bCs w:val="1"/>
          <w:color w:val="auto"/>
        </w:rPr>
      </w:pPr>
    </w:p>
    <w:p>
      <w:pPr>
        <w:ind w:left="380" w:right="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There are no outstanding RSUs under the 2009 Plan and 2019 Plan. There will not be any further equity grants under the 2009 and 2019 Plans.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Amended and Restated 2021 Incentive Award Plan</w:t>
      </w:r>
    </w:p>
    <w:p>
      <w:pPr>
        <w:spacing w:after="0" w:line="10" w:lineRule="exact"/>
        <w:rPr>
          <w:sz w:val="20"/>
          <w:szCs w:val="20"/>
          <w:color w:val="auto"/>
        </w:rPr>
      </w:pPr>
    </w:p>
    <w:p>
      <w:pPr>
        <w:ind w:left="380" w:right="20"/>
        <w:spacing w:after="0"/>
        <w:rPr>
          <w:sz w:val="20"/>
          <w:szCs w:val="20"/>
          <w:color w:val="auto"/>
        </w:rPr>
      </w:pPr>
      <w:r>
        <w:rPr>
          <w:rFonts w:ascii="Arial" w:cs="Arial" w:eastAsia="Arial" w:hAnsi="Arial"/>
          <w:sz w:val="14"/>
          <w:szCs w:val="14"/>
          <w:color w:val="auto"/>
        </w:rPr>
        <w:t>The Company's Amended and Restated 2021 Incentive Award Plan (the "2021 Plan") was adopted by the Board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nine months ended October 31, 2025 and 2024 have a shorter vesting period of one to two years. There will not be any further equity grants under the 2021 Plan. See below for details of the Second Amended and Restated 2021 Incentive Award Plan.</w:t>
      </w:r>
    </w:p>
    <w:p>
      <w:pPr>
        <w:spacing w:after="0" w:line="177" w:lineRule="exact"/>
        <w:rPr>
          <w:sz w:val="20"/>
          <w:szCs w:val="20"/>
          <w:color w:val="auto"/>
        </w:rPr>
      </w:pPr>
    </w:p>
    <w:p>
      <w:pPr>
        <w:ind w:left="380"/>
        <w:spacing w:after="0" w:line="261" w:lineRule="auto"/>
        <w:rPr>
          <w:sz w:val="20"/>
          <w:szCs w:val="20"/>
          <w:color w:val="auto"/>
        </w:rPr>
      </w:pPr>
      <w:r>
        <w:rPr>
          <w:rFonts w:ascii="Arial" w:cs="Arial" w:eastAsia="Arial" w:hAnsi="Arial"/>
          <w:sz w:val="14"/>
          <w:szCs w:val="14"/>
          <w:color w:val="auto"/>
        </w:rPr>
        <w:t>In October 2025, the Company’s stockholders approved the Second Amended and Restated 2021 Incentive Award Plan (the “Amended 2021 Plan”), which the Board approved, subject to stockholder approval, in September 2025, to increase the number of shares of Class A common stock reserved for issuance thereunder by the number of shares equal to 18.3% of the shares of Class A common stock outstanding immediately the closing of the Recapitalization Transactions and extend the expiration date to the tenth anniversary of the closing date, October 28, 2035. As of October 31, 2025, there were 6,130,499 shares of Class A common stock available for issuance under the Amended 2021 Plan. There will not be any further equity grants of Class B common stock. Shares of Class B common stock are not available for issuance under the Amended 2021 Plan.</w:t>
      </w:r>
    </w:p>
    <w:p>
      <w:pPr>
        <w:spacing w:after="0" w:line="228"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The risk-free rate for the expected term of the option is based on the U.S. Treasury yield curve at the date of grant. There were no stock options granted during the nine months ended October 31, 2025 or year ended January 31, 2025.</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27"/>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Average</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w:t>
            </w:r>
          </w:p>
        </w:tc>
        <w:tc>
          <w:tcPr>
            <w:tcW w:w="260" w:type="dxa"/>
            <w:vAlign w:val="bottom"/>
          </w:tcPr>
          <w:p>
            <w:pPr>
              <w:spacing w:after="0"/>
              <w:rPr>
                <w:sz w:val="11"/>
                <w:szCs w:val="11"/>
                <w:color w:val="auto"/>
              </w:rPr>
            </w:pPr>
          </w:p>
        </w:tc>
        <w:tc>
          <w:tcPr>
            <w:tcW w:w="1120" w:type="dxa"/>
            <w:vAlign w:val="bottom"/>
          </w:tcPr>
          <w:p>
            <w:pPr>
              <w:jc w:val="center"/>
              <w:ind w:right="196"/>
              <w:spacing w:after="0"/>
              <w:rPr>
                <w:sz w:val="20"/>
                <w:szCs w:val="20"/>
                <w:color w:val="auto"/>
              </w:rPr>
            </w:pPr>
            <w:r>
              <w:rPr>
                <w:rFonts w:ascii="Arial" w:cs="Arial" w:eastAsia="Arial" w:hAnsi="Arial"/>
                <w:sz w:val="11"/>
                <w:szCs w:val="11"/>
                <w:b w:val="1"/>
                <w:bCs w:val="1"/>
                <w:color w:val="auto"/>
                <w:w w:val="99"/>
              </w:rPr>
              <w:t>Aggregate</w:t>
            </w:r>
          </w:p>
        </w:tc>
      </w:tr>
      <w:tr>
        <w:trPr>
          <w:trHeight w:val="127"/>
        </w:trPr>
        <w:tc>
          <w:tcPr>
            <w:tcW w:w="4320" w:type="dxa"/>
            <w:vAlign w:val="bottom"/>
          </w:tcPr>
          <w:p>
            <w:pPr>
              <w:spacing w:after="0"/>
              <w:rPr>
                <w:sz w:val="11"/>
                <w:szCs w:val="11"/>
                <w:color w:val="auto"/>
              </w:rPr>
            </w:pPr>
          </w:p>
        </w:tc>
        <w:tc>
          <w:tcPr>
            <w:tcW w:w="1380" w:type="dxa"/>
            <w:vAlign w:val="bottom"/>
          </w:tcPr>
          <w:p>
            <w:pPr>
              <w:jc w:val="right"/>
              <w:ind w:right="33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Exercise</w:t>
            </w:r>
          </w:p>
        </w:tc>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Term</w:t>
            </w:r>
          </w:p>
        </w:tc>
        <w:tc>
          <w:tcPr>
            <w:tcW w:w="260" w:type="dxa"/>
            <w:vAlign w:val="bottom"/>
          </w:tcPr>
          <w:p>
            <w:pPr>
              <w:spacing w:after="0"/>
              <w:rPr>
                <w:sz w:val="11"/>
                <w:szCs w:val="11"/>
                <w:color w:val="auto"/>
              </w:rPr>
            </w:pPr>
          </w:p>
        </w:tc>
        <w:tc>
          <w:tcPr>
            <w:tcW w:w="1120" w:type="dxa"/>
            <w:vAlign w:val="bottom"/>
          </w:tcPr>
          <w:p>
            <w:pPr>
              <w:jc w:val="center"/>
              <w:ind w:right="176"/>
              <w:spacing w:after="0"/>
              <w:rPr>
                <w:sz w:val="20"/>
                <w:szCs w:val="20"/>
                <w:color w:val="auto"/>
              </w:rPr>
            </w:pPr>
            <w:r>
              <w:rPr>
                <w:rFonts w:ascii="Arial" w:cs="Arial" w:eastAsia="Arial" w:hAnsi="Arial"/>
                <w:sz w:val="11"/>
                <w:szCs w:val="11"/>
                <w:b w:val="1"/>
                <w:bCs w:val="1"/>
                <w:color w:val="auto"/>
              </w:rPr>
              <w:t>Intrinsic</w:t>
            </w:r>
          </w:p>
        </w:tc>
      </w:tr>
      <w:tr>
        <w:trPr>
          <w:trHeight w:val="170"/>
        </w:trPr>
        <w:tc>
          <w:tcPr>
            <w:tcW w:w="43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rPr>
              <w:t>Price</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r>
      <w:tr>
        <w:trPr>
          <w:trHeight w:val="208"/>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2025</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33,538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t>
            </w:r>
          </w:p>
        </w:tc>
      </w:tr>
      <w:tr>
        <w:trPr>
          <w:trHeight w:val="212"/>
        </w:trPr>
        <w:tc>
          <w:tcPr>
            <w:tcW w:w="43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(16,534)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153.65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r>
      <w:tr>
        <w:trPr>
          <w:trHeight w:val="22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October 31, 2025</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17,004</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167.83</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76"/>
        </w:trPr>
        <w:tc>
          <w:tcPr>
            <w:tcW w:w="4320" w:type="dxa"/>
            <w:vAlign w:val="bottom"/>
          </w:tcPr>
          <w:p>
            <w:pPr>
              <w:ind w:left="20"/>
              <w:spacing w:after="0"/>
              <w:rPr>
                <w:sz w:val="20"/>
                <w:szCs w:val="20"/>
                <w:color w:val="auto"/>
              </w:rPr>
            </w:pPr>
            <w:r>
              <w:rPr>
                <w:rFonts w:ascii="Arial" w:cs="Arial" w:eastAsia="Arial" w:hAnsi="Arial"/>
                <w:sz w:val="14"/>
                <w:szCs w:val="14"/>
                <w:color w:val="auto"/>
              </w:rPr>
              <w:t>Exercisable as of October 31, 2025</w:t>
            </w:r>
          </w:p>
        </w:tc>
        <w:tc>
          <w:tcPr>
            <w:tcW w:w="1380" w:type="dxa"/>
            <w:vAlign w:val="bottom"/>
          </w:tcPr>
          <w:p>
            <w:pPr>
              <w:jc w:val="right"/>
              <w:ind w:right="33"/>
              <w:spacing w:after="0"/>
              <w:rPr>
                <w:sz w:val="20"/>
                <w:szCs w:val="20"/>
                <w:color w:val="auto"/>
              </w:rPr>
            </w:pPr>
            <w:r>
              <w:rPr>
                <w:rFonts w:ascii="Arial" w:cs="Arial" w:eastAsia="Arial" w:hAnsi="Arial"/>
                <w:sz w:val="14"/>
                <w:szCs w:val="14"/>
                <w:color w:val="auto"/>
              </w:rPr>
              <w:t>16,966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167.73</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Pr>
          <w:p>
            <w:pPr>
              <w:ind w:left="920"/>
              <w:spacing w:after="0"/>
              <w:rPr>
                <w:sz w:val="20"/>
                <w:szCs w:val="20"/>
                <w:color w:val="auto"/>
              </w:rPr>
            </w:pPr>
            <w:r>
              <w:rPr>
                <w:rFonts w:ascii="Arial" w:cs="Arial" w:eastAsia="Arial" w:hAnsi="Arial"/>
                <w:sz w:val="14"/>
                <w:szCs w:val="14"/>
                <w:color w:val="auto"/>
              </w:rPr>
              <w:t>—</w:t>
            </w:r>
          </w:p>
        </w:tc>
      </w:tr>
    </w:tbl>
    <w:p>
      <w:pPr>
        <w:spacing w:after="0" w:line="238"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October 31, 2025, unrecognized compensation cost related to stock options granted was immaterial and is expected to be recognized over a weighted average period of 0.65 years.</w:t>
      </w:r>
    </w:p>
    <w:p>
      <w:pPr>
        <w:spacing w:after="0" w:line="141" w:lineRule="exact"/>
        <w:rPr>
          <w:sz w:val="20"/>
          <w:szCs w:val="20"/>
          <w:color w:val="auto"/>
        </w:rPr>
      </w:pPr>
    </w:p>
    <w:p>
      <w:pPr>
        <w:ind w:left="380" w:right="60"/>
        <w:spacing w:after="0" w:line="290" w:lineRule="auto"/>
        <w:rPr>
          <w:sz w:val="20"/>
          <w:szCs w:val="20"/>
          <w:color w:val="auto"/>
        </w:rPr>
      </w:pPr>
      <w:r>
        <w:rPr>
          <w:rFonts w:ascii="Arial" w:cs="Arial" w:eastAsia="Arial" w:hAnsi="Arial"/>
          <w:sz w:val="14"/>
          <w:szCs w:val="14"/>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 receive Class A common stock.</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options relating to 331,370 shares of Class A and Class B common stock were forfeited in exchange for 132,546 RSUs which generally vest over two years.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Weighted</w:t>
            </w:r>
          </w:p>
        </w:tc>
      </w:t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r>
      <w:tr>
        <w:trPr>
          <w:trHeight w:val="127"/>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Grant-Date</w:t>
            </w:r>
          </w:p>
        </w:tc>
      </w:tr>
      <w:tr>
        <w:trPr>
          <w:trHeight w:val="138"/>
        </w:trPr>
        <w:tc>
          <w:tcPr>
            <w:tcW w:w="73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w w:val="98"/>
              </w:rPr>
              <w:t>Fair Value</w:t>
            </w:r>
          </w:p>
        </w:tc>
      </w:tr>
      <w:tr>
        <w:trPr>
          <w:trHeight w:val="160"/>
        </w:trPr>
        <w:tc>
          <w:tcPr>
            <w:tcW w:w="73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r>
      <w:tr>
        <w:trPr>
          <w:trHeight w:val="208"/>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2025</w:t>
            </w:r>
          </w:p>
        </w:tc>
        <w:tc>
          <w:tcPr>
            <w:tcW w:w="1380" w:type="dxa"/>
            <w:vAlign w:val="bottom"/>
            <w:shd w:val="clear" w:color="auto" w:fill="CCEEFF"/>
          </w:tcPr>
          <w:p>
            <w:pPr>
              <w:jc w:val="center"/>
              <w:ind w:left="673"/>
              <w:spacing w:after="0"/>
              <w:rPr>
                <w:sz w:val="20"/>
                <w:szCs w:val="20"/>
                <w:color w:val="auto"/>
              </w:rPr>
            </w:pPr>
            <w:r>
              <w:rPr>
                <w:rFonts w:ascii="Arial" w:cs="Arial" w:eastAsia="Arial" w:hAnsi="Arial"/>
                <w:sz w:val="14"/>
                <w:szCs w:val="14"/>
                <w:color w:val="auto"/>
              </w:rPr>
              <w:t>333,899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r>
      <w:tr>
        <w:trPr>
          <w:trHeight w:val="202"/>
        </w:trPr>
        <w:tc>
          <w:tcPr>
            <w:tcW w:w="738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80" w:type="dxa"/>
            <w:vAlign w:val="bottom"/>
          </w:tcPr>
          <w:p>
            <w:pPr>
              <w:jc w:val="center"/>
              <w:ind w:left="673"/>
              <w:spacing w:after="0"/>
              <w:rPr>
                <w:sz w:val="20"/>
                <w:szCs w:val="20"/>
                <w:color w:val="auto"/>
              </w:rPr>
            </w:pPr>
            <w:r>
              <w:rPr>
                <w:rFonts w:ascii="Arial" w:cs="Arial" w:eastAsia="Arial" w:hAnsi="Arial"/>
                <w:sz w:val="14"/>
                <w:szCs w:val="14"/>
                <w:color w:val="auto"/>
              </w:rPr>
              <w:t>125,386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222"/>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Vested/Released</w:t>
            </w:r>
          </w:p>
        </w:tc>
        <w:tc>
          <w:tcPr>
            <w:tcW w:w="1380" w:type="dxa"/>
            <w:vAlign w:val="bottom"/>
            <w:shd w:val="clear" w:color="auto" w:fill="CCEEFF"/>
          </w:tcPr>
          <w:p>
            <w:pPr>
              <w:jc w:val="center"/>
              <w:ind w:left="673"/>
              <w:spacing w:after="0"/>
              <w:rPr>
                <w:sz w:val="20"/>
                <w:szCs w:val="20"/>
                <w:color w:val="auto"/>
              </w:rPr>
            </w:pPr>
            <w:r>
              <w:rPr>
                <w:rFonts w:ascii="Arial" w:cs="Arial" w:eastAsia="Arial" w:hAnsi="Arial"/>
                <w:sz w:val="14"/>
                <w:szCs w:val="14"/>
                <w:color w:val="auto"/>
              </w:rPr>
              <w:t>(211,284)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w:t>
            </w:r>
          </w:p>
        </w:tc>
      </w:tr>
      <w:tr>
        <w:trPr>
          <w:trHeight w:val="20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(70,998)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9.10</w:t>
            </w: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October 31, 2025</w:t>
            </w:r>
          </w:p>
        </w:tc>
        <w:tc>
          <w:tcPr>
            <w:tcW w:w="1380" w:type="dxa"/>
            <w:vAlign w:val="bottom"/>
            <w:tcBorders>
              <w:bottom w:val="single" w:sz="8" w:color="auto"/>
            </w:tcBorders>
            <w:shd w:val="clear" w:color="auto" w:fill="CCEEFF"/>
          </w:tcPr>
          <w:p>
            <w:pPr>
              <w:jc w:val="center"/>
              <w:ind w:left="673"/>
              <w:spacing w:after="0"/>
              <w:rPr>
                <w:sz w:val="20"/>
                <w:szCs w:val="20"/>
                <w:color w:val="auto"/>
              </w:rPr>
            </w:pPr>
            <w:r>
              <w:rPr>
                <w:rFonts w:ascii="Arial" w:cs="Arial" w:eastAsia="Arial" w:hAnsi="Arial"/>
                <w:sz w:val="14"/>
                <w:szCs w:val="14"/>
                <w:color w:val="auto"/>
              </w:rPr>
              <w:t>177,003</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October 31, 2025, there was $1.5 million of unrecognized compensation cost related to RSUs granted that is expected to be recognized over a weighted average period of 0.67 years. Of the total unrecognized compensation cost, an immaterial amount related to RSUs granted as a result of the option exchange.</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classification of share-based compensation for the three and nine months ended October 31, 2025 and 2024, respectively, presented within each line item of the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Condensed Consolidated Statements of Operations is as follows:</w:t>
      </w:r>
    </w:p>
    <w:p>
      <w:pPr>
        <w:spacing w:after="0" w:line="215"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428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1"/>
                <w:szCs w:val="11"/>
                <w:b w:val="1"/>
                <w:bCs w:val="1"/>
                <w:color w:val="auto"/>
              </w:rPr>
              <w:t>Three Months Ended October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1"/>
                <w:szCs w:val="11"/>
                <w:b w:val="1"/>
                <w:bCs w:val="1"/>
                <w:color w:val="auto"/>
              </w:rPr>
              <w:t>Nine Months Ended October 31,</w:t>
            </w:r>
          </w:p>
        </w:tc>
        <w:tc>
          <w:tcPr>
            <w:tcW w:w="400" w:type="dxa"/>
            <w:vAlign w:val="bottom"/>
            <w:tcBorders>
              <w:bottom w:val="single" w:sz="8" w:color="auto"/>
            </w:tcBorders>
          </w:tcPr>
          <w:p>
            <w:pPr>
              <w:spacing w:after="0"/>
              <w:rPr>
                <w:sz w:val="13"/>
                <w:szCs w:val="13"/>
                <w:color w:val="auto"/>
              </w:rPr>
            </w:pPr>
          </w:p>
        </w:tc>
      </w:tr>
      <w:tr>
        <w:trPr>
          <w:trHeight w:val="155"/>
        </w:trPr>
        <w:tc>
          <w:tcPr>
            <w:tcW w:w="42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shd w:val="clear" w:color="auto" w:fill="CCEEFF"/>
          </w:tcPr>
          <w:p>
            <w:pPr>
              <w:spacing w:after="0"/>
              <w:rPr>
                <w:sz w:val="13"/>
                <w:szCs w:val="13"/>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tcPr>
          <w:p>
            <w:pPr>
              <w:jc w:val="right"/>
              <w:ind w:right="856"/>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3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980" w:type="dxa"/>
            <w:vAlign w:val="bottom"/>
          </w:tcPr>
          <w:p>
            <w:pPr>
              <w:jc w:val="right"/>
              <w:ind w:right="816"/>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7"/>
                <w:szCs w:val="17"/>
                <w:color w:val="auto"/>
              </w:rPr>
            </w:pP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22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right="100"/>
        <w:spacing w:after="0" w:line="239" w:lineRule="auto"/>
        <w:rPr>
          <w:sz w:val="20"/>
          <w:szCs w:val="20"/>
          <w:color w:val="auto"/>
        </w:rPr>
      </w:pPr>
      <w:r>
        <w:rPr>
          <w:rFonts w:ascii="Arial" w:cs="Arial" w:eastAsia="Arial" w:hAnsi="Arial"/>
          <w:sz w:val="14"/>
          <w:szCs w:val="14"/>
          <w:color w:val="auto"/>
        </w:rPr>
        <w:t>The Company recognized an immaterial amount and $0.7 million of share-based compensation expense during the three and nine months ended October 31, 2025, respectively, of incremental share-based compensation expense as a result of the option exchange discussed above. The Company recognized $0.4 million and $1.2 million</w:t>
      </w:r>
    </w:p>
    <w:p>
      <w:pPr>
        <w:spacing w:after="0" w:line="1"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of share-based compensation expense during the three and nine months ended October 31, 2024, respectively, including incremental share-based compensation expense as a result of the option exchange discussed above.</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(Loss) per Share Attributable to Common Stockholders</w:t>
      </w:r>
    </w:p>
    <w:p>
      <w:pPr>
        <w:spacing w:after="0" w:line="93" w:lineRule="exact"/>
        <w:rPr>
          <w:rFonts w:ascii="Arial" w:cs="Arial" w:eastAsia="Arial" w:hAnsi="Arial"/>
          <w:sz w:val="14"/>
          <w:szCs w:val="14"/>
          <w:b w:val="1"/>
          <w:bCs w:val="1"/>
          <w:color w:val="auto"/>
        </w:rPr>
      </w:pPr>
    </w:p>
    <w:p>
      <w:pPr>
        <w:ind w:left="380" w:right="12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income (loss) per share attributable to common stockholders under the two-class method required for multiple classes of common stock and participating securities. The rights of the Class A common stock and Class B common stock were substantially identical, other than voting rights. Accordingly, the net income (loss) per share attributable to common stockholders will be the same for Class A and Class B common stock on an individual or combined basis. The dilutive effect of the Company’s securities was calculated using the treasury stock method. As discussed above, the Company completed a rights offering in October 2025. As the exercise price for the rights offering was lower than the Company’s stock price, the rights offering contained a bonus element similar to a stock dividend. The Company adjusted the weighted-average shares used in computing net income (loss) per share for all periods presented to reflect the bonus element. The Company’s computation of weighted-average shares also reflects the 26,175,193 shares issued to the Company’s lender in exchange for debt for the period as of and following the completion of the Recapitalization Transactions. See “Note 4 - Recapitalization Transactions” for additional information.</w:t>
      </w:r>
    </w:p>
    <w:p>
      <w:pPr>
        <w:spacing w:after="0" w:line="5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the computation of basic and diluted net income (loss) per share attributable to common stockholders: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5"/>
          </w:tcPr>
          <w:p>
            <w:pPr>
              <w:ind w:left="160"/>
              <w:spacing w:after="0"/>
              <w:rPr>
                <w:sz w:val="20"/>
                <w:szCs w:val="20"/>
                <w:color w:val="auto"/>
              </w:rPr>
            </w:pPr>
            <w:r>
              <w:rPr>
                <w:rFonts w:ascii="Arial" w:cs="Arial" w:eastAsia="Arial" w:hAnsi="Arial"/>
                <w:sz w:val="11"/>
                <w:szCs w:val="11"/>
                <w:b w:val="1"/>
                <w:bCs w:val="1"/>
                <w:color w:val="auto"/>
              </w:rPr>
              <w:t>Three Months Ended October 31,</w:t>
            </w:r>
          </w:p>
        </w:tc>
        <w:tc>
          <w:tcPr>
            <w:tcW w:w="240" w:type="dxa"/>
            <w:vAlign w:val="bottom"/>
          </w:tcPr>
          <w:p>
            <w:pPr>
              <w:spacing w:after="0"/>
              <w:rPr>
                <w:sz w:val="13"/>
                <w:szCs w:val="13"/>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1"/>
                <w:szCs w:val="11"/>
                <w:b w:val="1"/>
                <w:bCs w:val="1"/>
                <w:color w:val="auto"/>
              </w:rPr>
              <w:t>Nine Months Ended October 31,</w:t>
            </w:r>
          </w:p>
        </w:tc>
      </w:tr>
      <w:tr>
        <w:trPr>
          <w:trHeight w:val="155"/>
        </w:trPr>
        <w:tc>
          <w:tcPr>
            <w:tcW w:w="53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2024</w:t>
            </w:r>
          </w:p>
        </w:tc>
      </w:tr>
      <w:tr>
        <w:trPr>
          <w:trHeight w:val="19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2"/>
        </w:trPr>
        <w:tc>
          <w:tcPr>
            <w:tcW w:w="5380" w:type="dxa"/>
            <w:vAlign w:val="bottom"/>
          </w:tcPr>
          <w:p>
            <w:pPr>
              <w:ind w:left="360"/>
              <w:spacing w:after="0"/>
              <w:rPr>
                <w:sz w:val="20"/>
                <w:szCs w:val="20"/>
                <w:color w:val="auto"/>
              </w:rPr>
            </w:pPr>
            <w:r>
              <w:rPr>
                <w:rFonts w:ascii="Arial" w:cs="Arial" w:eastAsia="Arial" w:hAnsi="Arial"/>
                <w:sz w:val="14"/>
                <w:szCs w:val="14"/>
                <w:color w:val="auto"/>
              </w:rPr>
              <w:t>Net income (loss) attributable to common stockholders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538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income (loss) per share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5380" w:type="dxa"/>
            <w:vAlign w:val="bottom"/>
          </w:tcPr>
          <w:p>
            <w:pPr>
              <w:ind w:left="540"/>
              <w:spacing w:after="0"/>
              <w:rPr>
                <w:sz w:val="20"/>
                <w:szCs w:val="20"/>
                <w:color w:val="auto"/>
              </w:rPr>
            </w:pPr>
            <w:r>
              <w:rPr>
                <w:rFonts w:ascii="Arial" w:cs="Arial" w:eastAsia="Arial" w:hAnsi="Arial"/>
                <w:sz w:val="14"/>
                <w:szCs w:val="14"/>
                <w:color w:val="auto"/>
              </w:rPr>
              <w:t>attributable to common stockholders, basic</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5,586,257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4,017,222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4,669,517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3,925,414</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options, warrants and RSUs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5380" w:type="dxa"/>
            <w:vAlign w:val="bottom"/>
          </w:tcPr>
          <w:p>
            <w:pPr>
              <w:ind w:left="360"/>
              <w:spacing w:after="0" w:line="157" w:lineRule="exact"/>
              <w:rPr>
                <w:sz w:val="20"/>
                <w:szCs w:val="20"/>
                <w:color w:val="auto"/>
              </w:rPr>
            </w:pPr>
            <w:r>
              <w:rPr>
                <w:rFonts w:ascii="Arial" w:cs="Arial" w:eastAsia="Arial" w:hAnsi="Arial"/>
                <w:sz w:val="14"/>
                <w:szCs w:val="14"/>
                <w:color w:val="auto"/>
              </w:rPr>
              <w:t>Weighted-average shares used in computing net income (loss) per share</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06"/>
        </w:trPr>
        <w:tc>
          <w:tcPr>
            <w:tcW w:w="538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attributable to common stockholders, diluted</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5,602,571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4,017,222</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4,702,107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3,925,414</w:t>
            </w: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share attributable to common stockholders, basic</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4"/>
                <w:szCs w:val="14"/>
                <w:color w:val="auto"/>
              </w:rPr>
              <w:t>Net income (loss) per share attributable to common stockholders, diluted</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260"/>
        <w:spacing w:after="0" w:line="290"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were excluded from the computation of diluted income (loss) per share attributable to common stockholders because including them would have been anti-dilutive:</w:t>
      </w:r>
    </w:p>
    <w:p>
      <w:pPr>
        <w:spacing w:after="0" w:line="171" w:lineRule="exact"/>
        <w:rPr>
          <w:sz w:val="20"/>
          <w:szCs w:val="20"/>
          <w:color w:val="auto"/>
        </w:rPr>
      </w:pPr>
    </w:p>
    <w:p>
      <w:pPr>
        <w:ind w:left="8140"/>
        <w:spacing w:after="0"/>
        <w:rPr>
          <w:sz w:val="20"/>
          <w:szCs w:val="20"/>
          <w:color w:val="auto"/>
        </w:rPr>
      </w:pPr>
      <w:r>
        <w:rPr>
          <w:rFonts w:ascii="Arial" w:cs="Arial" w:eastAsia="Arial" w:hAnsi="Arial"/>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24765</wp:posOffset>
            </wp:positionV>
            <wp:extent cx="212915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0" w:type="dxa"/>
            <w:vAlign w:val="bottom"/>
          </w:tcPr>
          <w:p>
            <w:pPr>
              <w:spacing w:after="0"/>
              <w:rPr>
                <w:sz w:val="13"/>
                <w:szCs w:val="13"/>
                <w:color w:val="auto"/>
              </w:rPr>
            </w:pPr>
          </w:p>
        </w:tc>
        <w:tc>
          <w:tcPr>
            <w:tcW w:w="69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17,004</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794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640" w:type="dxa"/>
            <w:vAlign w:val="bottom"/>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131,574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105,110</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389,526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94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color w:val="auto"/>
              </w:rPr>
              <w:t>253,688</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555,434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1529"/>
              <w:spacing w:after="0"/>
              <w:rPr>
                <w:sz w:val="20"/>
                <w:szCs w:val="20"/>
                <w:color w:val="auto"/>
              </w:rPr>
            </w:pPr>
            <w:r>
              <w:rPr>
                <w:rFonts w:ascii="Arial" w:cs="Arial" w:eastAsia="Arial" w:hAnsi="Arial"/>
                <w:sz w:val="14"/>
                <w:szCs w:val="14"/>
                <w:color w:val="auto"/>
              </w:rPr>
              <w:t>29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73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69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93" w:lineRule="exact"/>
        <w:rPr>
          <w:rFonts w:ascii="Arial" w:cs="Arial" w:eastAsia="Arial" w:hAnsi="Arial"/>
          <w:sz w:val="14"/>
          <w:szCs w:val="14"/>
          <w:b w:val="1"/>
          <w:bCs w:val="1"/>
          <w:color w:val="auto"/>
        </w:rPr>
      </w:pPr>
    </w:p>
    <w:p>
      <w:pPr>
        <w:ind w:left="3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As of October 31, 2025, the Company had outstanding long-term debt of $149.4 million with CHS US Investments LLC. The Lender held 59.9% of the voting power of the Company’s outstanding Class A Common Stock as of October 31, 2025. The Company recognized interest and debt discount amortization expense related to the debt of $7.2 million and $6.9 million during the three months ended October 31, 2025 and 2024, respectively, and $21.4 million and $20.0 million during the nine months ended</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October 31, 2025 and 2024, respectively. See “Note 4 - Recapitalization Transactions” and Note 8 - “Long-Term Debt” for additional information.</w:t>
      </w:r>
    </w:p>
    <w:p>
      <w:pPr>
        <w:spacing w:after="0" w:line="249" w:lineRule="exact"/>
        <w:rPr>
          <w:rFonts w:ascii="Arial" w:cs="Arial" w:eastAsia="Arial" w:hAnsi="Arial"/>
          <w:sz w:val="14"/>
          <w:szCs w:val="14"/>
          <w:b w:val="1"/>
          <w:bCs w:val="1"/>
          <w:color w:val="auto"/>
        </w:rPr>
      </w:pPr>
    </w:p>
    <w:p>
      <w:pPr>
        <w:ind w:left="380" w:hanging="375"/>
        <w:spacing w:after="0"/>
        <w:tabs>
          <w:tab w:leader="none" w:pos="38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3" w:lineRule="exact"/>
        <w:rPr>
          <w:rFonts w:ascii="Arial" w:cs="Arial" w:eastAsia="Arial" w:hAnsi="Arial"/>
          <w:sz w:val="14"/>
          <w:szCs w:val="14"/>
          <w:b w:val="1"/>
          <w:bCs w:val="1"/>
          <w:color w:val="auto"/>
        </w:rPr>
      </w:pPr>
    </w:p>
    <w:p>
      <w:pPr>
        <w:ind w:left="380" w:right="20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had restricted cash balances for cash collateralized standby letters of credit as of October 31, 2025 and January 31, 2025 of $8.7 million and $9.1 million, respectively, primarily to satisfy security deposit requirements on its leases. The restricted cash balances also consisted of letters of credit for rental product purchases and credit card transactions.</w:t>
      </w:r>
    </w:p>
    <w:p>
      <w:pPr>
        <w:spacing w:after="0" w:line="15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had the following non-cancelable minimum purchase commitments related to technology services as of October 31, 2025:</w:t>
      </w:r>
    </w:p>
    <w:p>
      <w:pPr>
        <w:spacing w:after="0" w:line="240"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Commitment</w:t>
            </w:r>
          </w:p>
        </w:tc>
      </w:tr>
      <w:tr>
        <w:trPr>
          <w:trHeight w:val="161"/>
        </w:trPr>
        <w:tc>
          <w:tcPr>
            <w:tcW w:w="7640" w:type="dxa"/>
            <w:vAlign w:val="bottom"/>
            <w:shd w:val="clear" w:color="auto" w:fill="CCEEFF"/>
          </w:tcPr>
          <w:p>
            <w:pPr>
              <w:jc w:val="right"/>
              <w:ind w:right="6829"/>
              <w:spacing w:after="0"/>
              <w:rPr>
                <w:sz w:val="20"/>
                <w:szCs w:val="20"/>
                <w:color w:val="auto"/>
              </w:rPr>
            </w:pPr>
            <w:r>
              <w:rPr>
                <w:rFonts w:ascii="Arial" w:cs="Arial" w:eastAsia="Arial" w:hAnsi="Arial"/>
                <w:sz w:val="14"/>
                <w:szCs w:val="14"/>
                <w:color w:val="auto"/>
              </w:rPr>
              <w:t>Fiscal year:</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7640" w:type="dxa"/>
            <w:vAlign w:val="bottom"/>
          </w:tcPr>
          <w:p>
            <w:pPr>
              <w:jc w:val="right"/>
              <w:ind w:right="7069"/>
              <w:spacing w:after="0"/>
              <w:rPr>
                <w:sz w:val="20"/>
                <w:szCs w:val="20"/>
                <w:color w:val="auto"/>
              </w:rPr>
            </w:pPr>
            <w:r>
              <w:rPr>
                <w:rFonts w:ascii="Arial" w:cs="Arial" w:eastAsia="Arial" w:hAnsi="Arial"/>
                <w:sz w:val="14"/>
                <w:szCs w:val="14"/>
                <w:color w:val="auto"/>
              </w:rPr>
              <w:t>2025</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7640" w:type="dxa"/>
            <w:vAlign w:val="bottom"/>
            <w:shd w:val="clear" w:color="auto" w:fill="CCEEFF"/>
          </w:tcPr>
          <w:p>
            <w:pPr>
              <w:jc w:val="right"/>
              <w:ind w:right="7069"/>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7640" w:type="dxa"/>
            <w:vAlign w:val="bottom"/>
            <w:tcBorders>
              <w:bottom w:val="single" w:sz="8" w:color="CCEEFF"/>
            </w:tcBorders>
          </w:tcPr>
          <w:p>
            <w:pPr>
              <w:jc w:val="right"/>
              <w:ind w:right="7069"/>
              <w:spacing w:after="0"/>
              <w:rPr>
                <w:sz w:val="20"/>
                <w:szCs w:val="20"/>
                <w:color w:val="auto"/>
              </w:rPr>
            </w:pPr>
            <w:r>
              <w:rPr>
                <w:rFonts w:ascii="Arial" w:cs="Arial" w:eastAsia="Arial" w:hAnsi="Arial"/>
                <w:sz w:val="14"/>
                <w:szCs w:val="14"/>
                <w:color w:val="auto"/>
              </w:rPr>
              <w:t>2027</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7640" w:type="dxa"/>
            <w:vAlign w:val="bottom"/>
            <w:tcBorders>
              <w:bottom w:val="single" w:sz="8" w:color="CCEEFF"/>
            </w:tcBorders>
            <w:shd w:val="clear" w:color="auto" w:fill="CCEEFF"/>
          </w:tcPr>
          <w:p>
            <w:pPr>
              <w:jc w:val="right"/>
              <w:ind w:right="4929"/>
              <w:spacing w:after="0"/>
              <w:rPr>
                <w:sz w:val="20"/>
                <w:szCs w:val="20"/>
                <w:color w:val="auto"/>
              </w:rPr>
            </w:pPr>
            <w:r>
              <w:rPr>
                <w:rFonts w:ascii="Arial" w:cs="Arial" w:eastAsia="Arial" w:hAnsi="Arial"/>
                <w:sz w:val="14"/>
                <w:szCs w:val="14"/>
                <w:color w:val="auto"/>
              </w:rPr>
              <w:t>Commitments as of October 31, 2025</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left="380" w:right="220"/>
        <w:spacing w:after="0" w:line="265" w:lineRule="auto"/>
        <w:rPr>
          <w:sz w:val="20"/>
          <w:szCs w:val="20"/>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53" w:lineRule="exact"/>
        <w:rPr>
          <w:sz w:val="20"/>
          <w:szCs w:val="20"/>
          <w:color w:val="auto"/>
        </w:rPr>
      </w:pPr>
    </w:p>
    <w:p>
      <w:pPr>
        <w:ind w:left="380"/>
        <w:spacing w:after="0" w:line="254" w:lineRule="auto"/>
        <w:rPr>
          <w:sz w:val="20"/>
          <w:szCs w:val="20"/>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2024, the Court issued an order adjourning defendants’ deadline to file an answer to the amended complaint sine die. On May 16, 2025, the Court issued an order granting Defendants’ motion to extend the time to answer the amended complaint until after the motion for reconsideration is resolved. The Court also determined that a phased approach to discovery was appropriate so as to permit the exchange of “key documents” and to promote the preservation of documents and evidence and directed the parties to submit a proposed initial discovery plan, which they did. The Court approved the initial discovery plan on June 3, 2025. On September 12, 2025, the Court issued an order granting in part and denying in part defendants’ motion for reconsideration, dismissing all remaining claims except those based on fulfillment costs. Following the order, defendants filed their answers to the amended complaint on October 6, 2025. On October 16, 2025, defendants requested, per the Court’s rules, a pre-motion conference in connection with their anticipated motion for judgment on the pleadings, which plaintiffs opposed. On October 24, 2025, the Court ordered briefing on defendants’ motion for judgment on the pleadings. On November 12, 2025, plaintiffs filed a letter motion seeking an order allowing discovery to proceed during the pendency of defendants’ motion for judgment on the pleadings, which defendants opposed on November 21, 2025. On December 3, 2025, the Court issued an order directing a limited “second phase” of discovery to proceed pending the outcome of defendants’ motion for judgment on the pleadings, focusing on a limited category of information appropriately cabined by the scope of plaintiffs’ remaining claims.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On December 31, 2024, the Court issued an order staying the derivative action until the resolution of any motions for summary judgment in the Securities Action or notification of a settlement in-principle in the Securities Action, whichever occurs earlier. Defendants intend to vigorously defend themselves against these claims and believe that they have meritorious defenses to the claims asserted in the complaint.</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spacing w:after="0" w:line="264"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2025 and the related Management’s Discussion and Analysis of Financial Condition and Results of Operations in our Annual Report on Form 10-K for the fiscal year ended January 31, 2025 (the “2024 Annual Report on Form 10-K”).</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185,166 ending Total Subscribers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(active and paused) as of October 31, 2025. We had 148,916 Active Subscribers as of October 31, 2025. The majority of our revenue is highly recurring and is generated by our subscribers. For the nine months ended October 31, 2025 and 2024, respectively, 89% and 88% of our total revenue (including Reserve and Resale revenue) was generated by subscribers while they were active or paused.</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rental items at a fraction of their retail or comparable value, creating an attractive price and value proposition for our subscribers and customers.</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Fiscal Third Quarter and Recent Business Highlights:</w:t>
      </w:r>
    </w:p>
    <w:p>
      <w:pPr>
        <w:spacing w:after="0" w:line="92" w:lineRule="exact"/>
        <w:rPr>
          <w:sz w:val="20"/>
          <w:szCs w:val="20"/>
          <w:color w:val="auto"/>
        </w:rPr>
      </w:pPr>
    </w:p>
    <w:p>
      <w:pPr>
        <w:ind w:left="380" w:right="200" w:hanging="248"/>
        <w:spacing w:after="0" w:line="263" w:lineRule="auto"/>
        <w:tabs>
          <w:tab w:leader="none" w:pos="376" w:val="left"/>
        </w:tabs>
        <w:numPr>
          <w:ilvl w:val="0"/>
          <w:numId w:val="18"/>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Completed the Recapitalization Transactions</w:t>
      </w:r>
      <w:r>
        <w:rPr>
          <w:rFonts w:ascii="Arial" w:cs="Arial" w:eastAsia="Arial" w:hAnsi="Arial"/>
          <w:sz w:val="14"/>
          <w:szCs w:val="14"/>
          <w:color w:val="auto"/>
        </w:rPr>
        <w:t>. See “Note 4 — Recapitalization Transactions” in the Notes to the Condensed Consolidated Financial Statements for more</w:t>
      </w:r>
      <w:r>
        <w:rPr>
          <w:rFonts w:ascii="Arial" w:cs="Arial" w:eastAsia="Arial" w:hAnsi="Arial"/>
          <w:sz w:val="14"/>
          <w:szCs w:val="14"/>
          <w:b w:val="1"/>
          <w:bCs w:val="1"/>
          <w:color w:val="auto"/>
        </w:rPr>
        <w:t xml:space="preserve"> </w:t>
      </w:r>
      <w:r>
        <w:rPr>
          <w:rFonts w:ascii="Arial" w:cs="Arial" w:eastAsia="Arial" w:hAnsi="Arial"/>
          <w:sz w:val="14"/>
          <w:szCs w:val="14"/>
          <w:color w:val="auto"/>
        </w:rPr>
        <w:t>information.</w:t>
      </w:r>
    </w:p>
    <w:p>
      <w:pPr>
        <w:ind w:left="380" w:right="20" w:hanging="248"/>
        <w:spacing w:after="0" w:line="258" w:lineRule="auto"/>
        <w:tabs>
          <w:tab w:leader="none" w:pos="37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Driving Growth by Making the Biggest Inventory Acquisition in RTR History. </w:t>
      </w:r>
      <w:r>
        <w:rPr>
          <w:rFonts w:ascii="Arial" w:cs="Arial" w:eastAsia="Arial" w:hAnsi="Arial"/>
          <w:sz w:val="14"/>
          <w:szCs w:val="14"/>
          <w:color w:val="auto"/>
        </w:rPr>
        <w:t>This year, we’re on track to nearly double the new inventory added to our site and post</w:t>
      </w:r>
      <w:r>
        <w:rPr>
          <w:rFonts w:ascii="Arial" w:cs="Arial" w:eastAsia="Arial" w:hAnsi="Arial"/>
          <w:sz w:val="14"/>
          <w:szCs w:val="14"/>
          <w:b w:val="1"/>
          <w:bCs w:val="1"/>
          <w:color w:val="auto"/>
        </w:rPr>
        <w:t xml:space="preserve"> </w:t>
      </w:r>
      <w:r>
        <w:rPr>
          <w:rFonts w:ascii="Arial" w:cs="Arial" w:eastAsia="Arial" w:hAnsi="Arial"/>
          <w:sz w:val="14"/>
          <w:szCs w:val="14"/>
          <w:color w:val="auto"/>
        </w:rPr>
        <w:t>more than 1.5 times the number of new styles relative to last year, which has driven substantial growth in our business. Ending Active Subscribers for the third quarter of fiscal year 2025 increased 12% year-over-year primarily driven by improvement in subscriber retention. Inventory continues to be a significant driver of improvements in customer loyalty, with inventory-related churn down nearly 30% year-over-year in the third quarter of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34747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7" w:lineRule="exact"/>
        <w:rPr>
          <w:sz w:val="20"/>
          <w:szCs w:val="20"/>
          <w:color w:val="auto"/>
        </w:rPr>
      </w:pPr>
    </w:p>
    <w:p>
      <w:pPr>
        <w:ind w:right="40" w:firstLine="5"/>
        <w:spacing w:after="0" w:line="194" w:lineRule="auto"/>
        <w:tabs>
          <w:tab w:leader="none" w:pos="108" w:val="left"/>
        </w:tabs>
        <w:numPr>
          <w:ilvl w:val="0"/>
          <w:numId w:val="19"/>
        </w:numPr>
        <w:rPr>
          <w:rFonts w:ascii="Arial" w:cs="Arial" w:eastAsia="Arial" w:hAnsi="Arial"/>
          <w:sz w:val="22"/>
          <w:szCs w:val="22"/>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ind w:left="380" w:right="400" w:hanging="248"/>
        <w:spacing w:after="0" w:line="260" w:lineRule="auto"/>
        <w:tabs>
          <w:tab w:leader="none" w:pos="37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Reinvigorating our Brand &amp; Fueling Growth with Community-First Organic Tactics</w:t>
      </w:r>
      <w:r>
        <w:rPr>
          <w:rFonts w:ascii="Arial" w:cs="Arial" w:eastAsia="Arial" w:hAnsi="Arial"/>
          <w:sz w:val="14"/>
          <w:szCs w:val="14"/>
          <w:color w:val="auto"/>
        </w:rPr>
        <w:t>: We’ve expanded our community-driven organic growth strategy to drive brand</w:t>
      </w:r>
      <w:r>
        <w:rPr>
          <w:rFonts w:ascii="Arial" w:cs="Arial" w:eastAsia="Arial" w:hAnsi="Arial"/>
          <w:sz w:val="14"/>
          <w:szCs w:val="14"/>
          <w:b w:val="1"/>
          <w:bCs w:val="1"/>
          <w:color w:val="auto"/>
        </w:rPr>
        <w:t xml:space="preserve"> </w:t>
      </w:r>
      <w:r>
        <w:rPr>
          <w:rFonts w:ascii="Arial" w:cs="Arial" w:eastAsia="Arial" w:hAnsi="Arial"/>
          <w:sz w:val="14"/>
          <w:szCs w:val="14"/>
          <w:color w:val="auto"/>
        </w:rPr>
        <w:t>awareness and acquisition. Key launches in the third quarter of fiscal year 2025 include the RTR Muse, Affiliate Creator and City Ambassador programs, each of which leverage community-driven content and word-of-mouth tactics designed to reach new customers more efficiently than traditional paid marketing tactics.</w:t>
      </w:r>
    </w:p>
    <w:p>
      <w:pPr>
        <w:ind w:left="380" w:right="140" w:hanging="248"/>
        <w:spacing w:after="0" w:line="253" w:lineRule="auto"/>
        <w:tabs>
          <w:tab w:leader="none" w:pos="37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 xml:space="preserve">Accelerating Product Innovation and Personalized Experience: </w:t>
      </w:r>
      <w:r>
        <w:rPr>
          <w:rFonts w:ascii="Arial" w:cs="Arial" w:eastAsia="Arial" w:hAnsi="Arial"/>
          <w:sz w:val="14"/>
          <w:szCs w:val="14"/>
          <w:color w:val="auto"/>
        </w:rPr>
        <w:t>Third quarter of fiscal year 2025 launches include a personalized home page redesign that encourages</w:t>
      </w:r>
      <w:r>
        <w:rPr>
          <w:rFonts w:ascii="Arial" w:cs="Arial" w:eastAsia="Arial" w:hAnsi="Arial"/>
          <w:sz w:val="14"/>
          <w:szCs w:val="14"/>
          <w:b w:val="1"/>
          <w:bCs w:val="1"/>
          <w:color w:val="auto"/>
        </w:rPr>
        <w:t xml:space="preserve"> </w:t>
      </w:r>
      <w:r>
        <w:rPr>
          <w:rFonts w:ascii="Arial" w:cs="Arial" w:eastAsia="Arial" w:hAnsi="Arial"/>
          <w:sz w:val="14"/>
          <w:szCs w:val="14"/>
          <w:color w:val="auto"/>
        </w:rPr>
        <w:t>inventory discovery tailored according to a customer’s preferences.Since launch to date, our customer is engaging +57% more with the personalized app experience compared to the prior homepage.</w:t>
      </w:r>
    </w:p>
    <w:p>
      <w:pPr>
        <w:ind w:left="380" w:hanging="248"/>
        <w:spacing w:after="0" w:line="258" w:lineRule="auto"/>
        <w:tabs>
          <w:tab w:leader="none" w:pos="37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Optimizing Revenue per Subscriber and Driving Add-On Growth</w:t>
      </w:r>
      <w:r>
        <w:rPr>
          <w:rFonts w:ascii="Arial" w:cs="Arial" w:eastAsia="Arial" w:hAnsi="Arial"/>
          <w:sz w:val="14"/>
          <w:szCs w:val="14"/>
          <w:color w:val="auto"/>
        </w:rPr>
        <w:t>: We’ve enhanced the add-on pricing experience for customers by clearly showing her that the price</w:t>
      </w:r>
      <w:r>
        <w:rPr>
          <w:rFonts w:ascii="Arial" w:cs="Arial" w:eastAsia="Arial" w:hAnsi="Arial"/>
          <w:sz w:val="14"/>
          <w:szCs w:val="14"/>
          <w:b w:val="1"/>
          <w:bCs w:val="1"/>
          <w:color w:val="auto"/>
        </w:rPr>
        <w:t xml:space="preserve"> </w:t>
      </w:r>
      <w:r>
        <w:rPr>
          <w:rFonts w:ascii="Arial" w:cs="Arial" w:eastAsia="Arial" w:hAnsi="Arial"/>
          <w:sz w:val="14"/>
          <w:szCs w:val="14"/>
          <w:color w:val="auto"/>
        </w:rPr>
        <w:t>prorates based on her specific billing cycle. These updates, along with overall inventory improvements, resulted in a +17% year-over-year increase in the subscription add-on rate in the third quarter of fiscal year 2025. We also recently launched instant gratification, a product that uses our in-stock notifications to enable subscribers to make one-off inventory orders when they are out of shipments.</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three months ended October 31, 2025 and 2024, respectively:</w:t>
      </w:r>
    </w:p>
    <w:p>
      <w:pPr>
        <w:spacing w:after="0" w:line="200" w:lineRule="exact"/>
        <w:rPr>
          <w:sz w:val="20"/>
          <w:szCs w:val="20"/>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Revenue was $87.6 million and $75.9 million, respectively, representing 15.4% growth year-over-year;</w:t>
      </w:r>
    </w:p>
    <w:p>
      <w:pPr>
        <w:spacing w:after="0" w:line="91"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148,916 and 132,518 ending Active Subscribers</w:t>
      </w:r>
      <w:r>
        <w:rPr>
          <w:rFonts w:ascii="Arial" w:cs="Arial" w:eastAsia="Arial" w:hAnsi="Arial"/>
          <w:sz w:val="18"/>
          <w:szCs w:val="18"/>
          <w:color w:val="auto"/>
          <w:vertAlign w:val="superscript"/>
        </w:rPr>
        <w:t>2</w:t>
      </w:r>
      <w:r>
        <w:rPr>
          <w:rFonts w:ascii="Arial" w:cs="Arial" w:eastAsia="Arial" w:hAnsi="Arial"/>
          <w:sz w:val="14"/>
          <w:szCs w:val="14"/>
          <w:color w:val="auto"/>
        </w:rPr>
        <w:t>, respectively, representing an increase of 12.4% year-over-year;</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147,645 and 130,796 Average Active Subscribers</w:t>
      </w:r>
      <w:r>
        <w:rPr>
          <w:rFonts w:ascii="Arial" w:cs="Arial" w:eastAsia="Arial" w:hAnsi="Arial"/>
          <w:sz w:val="18"/>
          <w:szCs w:val="18"/>
          <w:color w:val="auto"/>
          <w:vertAlign w:val="superscript"/>
        </w:rPr>
        <w:t>3</w:t>
      </w:r>
      <w:r>
        <w:rPr>
          <w:rFonts w:ascii="Arial" w:cs="Arial" w:eastAsia="Arial" w:hAnsi="Arial"/>
          <w:sz w:val="14"/>
          <w:szCs w:val="14"/>
          <w:color w:val="auto"/>
        </w:rPr>
        <w:t>, respectively, representing an increase of 12.9%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185,166 and 174,511 ending Total Subscribers (including paused subscribers), respectively, representing an increase of 6.1%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Gross Profit was $25.9 million and $26.3 million, respectively, representing a gross margin of 29.6% and 34.7%,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Income (Loss) was $76.5 million and $(18.9) million, respectively. Net Income (Loss) as a percentage of revenue was 87.3% and (24.9)%, respectively;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EBITDA was $4.3 million and $9.3 million, respectively, representing an Adjusted EBITDA Margin of 4.9% and 12.3%,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achieved the following operating and financial results for the nine months ended October 31, 2025 and 2024, respectively:</w:t>
      </w:r>
    </w:p>
    <w:p>
      <w:pPr>
        <w:spacing w:after="0" w:line="200" w:lineRule="exact"/>
        <w:rPr>
          <w:sz w:val="20"/>
          <w:szCs w:val="20"/>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Revenue was $238.1 million and $229.8 million, respectively, representing 3.6% growth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Gross Profit was $72.1 million and $87.1 million, respectively, representing a gross margin of 30.3% and 37.9%, respectively;</w:t>
      </w:r>
    </w:p>
    <w:p>
      <w:pPr>
        <w:spacing w:after="0" w:line="93"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Income (Loss) was $24.0 million and $(56.5) million, respectively. Net Income (Loss) as a percentage of revenue was 10.1% and (24.6)%, respectively, and included $0.2 million of restructuring and related charges for the nine months ended October 31, 2024;</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was $6.6 million and $29.5 million, respectively, representing an Adjusted EBITDA margin of 2.8% and 12.8%, respectively;</w:t>
      </w:r>
    </w:p>
    <w:p>
      <w:pPr>
        <w:spacing w:after="0" w:line="93" w:lineRule="exact"/>
        <w:rPr>
          <w:rFonts w:ascii="Arial" w:cs="Arial" w:eastAsia="Arial" w:hAnsi="Arial"/>
          <w:sz w:val="14"/>
          <w:szCs w:val="14"/>
          <w:color w:val="auto"/>
        </w:rPr>
      </w:pPr>
    </w:p>
    <w:p>
      <w:pPr>
        <w:ind w:left="580" w:right="300" w:hanging="193"/>
        <w:spacing w:after="0" w:line="290" w:lineRule="auto"/>
        <w:tabs>
          <w:tab w:leader="none" w:pos="5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was $(3.6) million and $11.5 million, and net cash used in investing activities was $(42.9) million and $(20.8) million, respectively;</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cash (used in) provided by financing activities was $19.4 million and $(1.6) million, respectively;</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as a percentage of revenue was (1.5)% and 5.0% and net cash used in investing activities as a percentage of revenue was (18.0)% and (9.1)%, respectively;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and Cash Equivalents was $50.7 million and $74.1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9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or significantly reduced upfront cost relative to Wholesale with performance-based revenue share payments to our brand partners over time. Exclusive Designs items are designed using our data in collaboration with our brand partners. These units are manufactured through third-party partners with an upfront fee and, in most cases, minimal revenue share payments to our brand partners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34747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2" w:lineRule="exact"/>
        <w:rPr>
          <w:sz w:val="20"/>
          <w:szCs w:val="20"/>
          <w:color w:val="auto"/>
        </w:rPr>
      </w:pPr>
    </w:p>
    <w:p>
      <w:pPr>
        <w:ind w:left="100" w:hanging="95"/>
        <w:spacing w:after="0"/>
        <w:tabs>
          <w:tab w:leader="none" w:pos="100" w:val="left"/>
        </w:tabs>
        <w:numPr>
          <w:ilvl w:val="0"/>
          <w:numId w:val="23"/>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33" w:lineRule="exact"/>
        <w:rPr>
          <w:sz w:val="20"/>
          <w:szCs w:val="20"/>
          <w:color w:val="auto"/>
        </w:rPr>
      </w:pPr>
    </w:p>
    <w:p>
      <w:pPr>
        <w:ind w:firstLine="5"/>
        <w:spacing w:after="0" w:line="221" w:lineRule="auto"/>
        <w:tabs>
          <w:tab w:leader="none" w:pos="72"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Our three product acquisition methods are strategic levers to manage our capital efficiency, profitability and product risk. Our Exclusive Designs channel partners with brands to acquire RTR-exclusive items at a lower cost, which are designed to generate higher profitability over time. Share by RTR meaningfully reduces our upfront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fiscal year 2024, 30% of new items were acquired through Wholesale, 48% through Share by RTR and 22% through Exclusive Designs, compared to 39% Wholesale, 33% Share by RTR and 28% Exclusive Designs in fiscal year 2023. In total, approximately 70% of new items were acquired through Share by RTR and Exclusive Designs, our more capital-efficient channels in fiscal year 2024 and approximately 61% in fiscal year 2023.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expect the total percentage of units acquired through our more capital-efficient channels to be largely unchanged in fiscal year 2025 versus fiscal year 2024, with an increase in the percentage of units acquired through our Share by RTR program versus fiscal year 2024. We plan to further decrease the percentage of units acquired through Wholesale and increase the percentage of units acquired through our more capital-efficient channels over the longer term. We expect to incur higher purchases of rental product in fiscal year 2025 relative to fiscal year 2024 in connection with our strategy to nearly double the new rental product added to our site and made available to our customers in fiscal year 2025.</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our 2024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9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w:t>
      </w:r>
      <w:r>
        <w:rPr>
          <w:rFonts w:ascii="Arial" w:cs="Arial" w:eastAsia="Arial" w:hAnsi="Arial"/>
          <w:sz w:val="14"/>
          <w:szCs w:val="14"/>
          <w:color w:val="auto"/>
        </w:rPr>
        <w:t>We believe that we have a significant market opportunity to increase our base of subscribers and customers, and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long-term growth depends in large part on our continued ability to acquire and retain subscribers and customers.</w:t>
      </w:r>
    </w:p>
    <w:p>
      <w:pPr>
        <w:spacing w:after="0" w:line="3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Customer acquisition is dependent on organic growth, the effectiveness of our paid marketing strategy and the availability of and satisfaction with our rental product. We are focused on our community-driven organic growth marketing strategy that is intended to drive improved brand awareness and acquisition. Our acquisitions are also reliant on new customer promotions. Our promotional strategy is subject to change depending on business and market conditions. .</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believe customer retention plays an important role in driving business growth. Customer retention is influenced by a number of factors, including rental product in-stock levels and satisfaction, product experience, and customer service levels. Starting in fiscal year 2023, we increased the depth of our rental product purchases to improve rental product in-stock levels. We increased the depth of our rental product further in fiscal year 2024 and experienced better customer retention for fiscal year 2024 versus fiscal year 2023. In fiscal year 2025, we have focused and plan to continue to focus on approximately doubling the quantity of our rental product purchases year-over year and enhancing the desirability of rental product purchases, which we believe will increase customer satisfaction and improve retention further. We are also focused on new product features as well as more a more personalized customer experience.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92"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b w:val="1"/>
          <w:bCs w:val="1"/>
          <w:i w:val="1"/>
          <w:iCs w:val="1"/>
          <w:color w:val="auto"/>
        </w:rPr>
        <w:t xml:space="preserve">Ability to Acquire, Manage and Monetize Products Efficiently. </w:t>
      </w:r>
      <w:r>
        <w:rPr>
          <w:rFonts w:ascii="Arial" w:cs="Arial" w:eastAsia="Arial" w:hAnsi="Arial"/>
          <w:sz w:val="14"/>
          <w:szCs w:val="14"/>
          <w:color w:val="auto"/>
        </w:rPr>
        <w:t>Our ability to deliver an elevated experience for our subscribers and customers that keeps them loyal to RTR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depends on us having the right assortment.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See “—Our Product Acquisition Strategy” above for a description of the three ways in which we procure products. We continuously evaluate our product acquisition mix to maximize our strategic priorities.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2024 was 16% as a result of a greater proportion of rental product acquired through our Share by RTR channel combined with fewer units of rental product purchased compared to fiscal year 2023. Purchases of rental product as a percentage of revenue was 26% and 21% in fiscal year 2023 and 2022, respectively. We anticipate this percentage to increase in fiscal year 2025 compared with fiscal year 2024, despite a greater proportion of Share by RTR units, due to a significant increase in units of rental product purchased. Due to seasonality factors, we track our progress on purchases of rental product as a percentage of revenue on a full year basis, as quarterly expenditures are not necessarily reflective of full year trends. As of October 31, 2025, the quarterly and annual spend levels for rental product capital expenditures for fiscal year 2025 under our 2025 Amended Facility were eliminated under the Fourteenth Amendment to the debt facility.</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In January 2024, we announced a restructuring plan that generated total annual operating expense savings of approximately $12 million, which primarily included the reduction in force, with some open role closures/reduced backfills, and excludes potential hiring of new employees or other additions to the Company’s costs and expenses. Though we anticipate quarterly fluctuations in operating leverage over time we anticipate that our operating costs will grow more slowly than our total revenue on an annual basis. As of October 31, 2025, the quarterly and annual spend levels for fixed operating and marketing expenditures for fiscal year 2025 under our 2025 Amended Facility were eliminated under the Fourteenth Amendment to the debt facility.</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focus on growing and scaling our business.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1"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See also Note 3 — “Liquidity” and Note 4 — “Recapitalization Transactions” in the Notes to the Condensed Consolidated Financial Statements for more details regarding our 2025 Amended Facility and Recapitalization Transactions, which we expect to improve our overall liquidity.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experience seasonality in our business, which has been impacted due to the effects of COVID-19, the macro environment, and business decisions and may in the future continue to evolve.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prior periods, business decisions including, but not limited to, changes in prices for our Subscription programs, changes in timing and amounts of promotional spending, changes in timing and amounts of paid marketing spending, and changes in timing and quantity of rental product availability, have impacted typical seasonal trends. Given continued business changes, our future seasonality may not resemble historical trends.</w:t>
      </w:r>
    </w:p>
    <w:p>
      <w:pPr>
        <w:spacing w:after="0" w:line="57"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Macro and Consumer Environment on Our Business</w:t>
      </w:r>
    </w:p>
    <w:p>
      <w:pPr>
        <w:spacing w:after="0" w:line="9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several factors, including inflationary pressures, global trade policies and tariffs, higher interest rates, potential risk of recession, ongoing industry-wide supply chain issues, instability in the financial system, and the wars in Ukraine and the Middle East. These factors have impacted, and are expected to continue to impact, consumer discretionary spending and purchasing behavior, price sensitivity, wage rates, transportation costs, rental product costs, and other costs associated with our business.</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we implemented a price increase for our subscription plans in August 2025 and we remain focused on investing in our customer and delivering even more value to her, and emphasizing the value proposition of our offering in our marketing materials. In addition, we increased wage rates during the first quarter of fiscal year 2025 to attract and retain talent at our fulfillment centers. We expect to continue to be impacted by rising labor costs in the future. Transportation costs decreased as a percentage of revenue in fiscal year 2024 due to higher revenue per order and the benefits of our September 2023 transportation contract with a major national carrier. While we expect to be able to reduce transportation costs as a percentage of revenue for fiscal year 2025, we plan to continue to mitigate longer-term rising costs by seeking to optimize shipping methods and improve contractual and pricing terms; however, unpredictable changes in global trade policies and tariffs or other significant macroeconomic or geopolitical developments may negatively impact our ability to meet our current expectations and objectives. Although we continue to face a challenging and unpredictable environment, we plan to invest in our customers, manage our staffing and further leverage our transportation partners to help to drive growth and efficiencies in our business.</w:t>
      </w:r>
    </w:p>
    <w:p>
      <w:pPr>
        <w:spacing w:after="0" w:line="61"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49"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For additional details about key factors affecting our performance, see our 2024 Annual Report on Form 10-K and Part II, Item 1A, “Risk Factors” of this Quarterly Report on Form 10-Q.</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income (loss).</w:t>
      </w:r>
    </w:p>
    <w:p>
      <w:pPr>
        <w:sectPr>
          <w:pgSz w:w="11900" w:h="16838" w:orient="portrait"/>
          <w:cols w:equalWidth="0" w:num="1">
            <w:col w:w="11260"/>
          </w:cols>
          <w:pgMar w:left="300" w:top="123" w:right="339" w:bottom="1440" w:gutter="0" w:footer="0" w:header="0"/>
        </w:sectPr>
      </w:pPr>
    </w:p>
    <w:p>
      <w:pPr>
        <w:spacing w:after="0" w:line="193" w:lineRule="exact"/>
        <w:rPr>
          <w:sz w:val="20"/>
          <w:szCs w:val="20"/>
          <w:color w:val="auto"/>
        </w:rPr>
      </w:pPr>
    </w:p>
    <w:p>
      <w:pPr>
        <w:ind w:left="4840"/>
        <w:spacing w:after="0"/>
        <w:rPr>
          <w:sz w:val="20"/>
          <w:szCs w:val="20"/>
          <w:color w:val="auto"/>
        </w:rPr>
      </w:pPr>
      <w:r>
        <w:rPr>
          <w:rFonts w:ascii="Arial" w:cs="Arial" w:eastAsia="Arial" w:hAnsi="Arial"/>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17780</wp:posOffset>
            </wp:positionV>
            <wp:extent cx="194056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4820"/>
        <w:spacing w:after="0"/>
        <w:tabs>
          <w:tab w:leader="none" w:pos="6380" w:val="left"/>
        </w:tabs>
        <w:rPr>
          <w:sz w:val="20"/>
          <w:szCs w:val="20"/>
          <w:color w:val="auto"/>
        </w:rPr>
      </w:pP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25400</wp:posOffset>
            </wp:positionV>
            <wp:extent cx="194056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5" w:lineRule="exact"/>
        <w:rPr>
          <w:sz w:val="20"/>
          <w:szCs w:val="20"/>
          <w:color w:val="auto"/>
        </w:rPr>
      </w:pPr>
    </w:p>
    <w:p>
      <w:pPr>
        <w:ind w:left="5360"/>
        <w:spacing w:after="0"/>
        <w:rPr>
          <w:sz w:val="20"/>
          <w:szCs w:val="20"/>
          <w:color w:val="auto"/>
        </w:rPr>
      </w:pPr>
      <w:r>
        <w:rPr>
          <w:rFonts w:ascii="Arial" w:cs="Arial" w:eastAsia="Arial" w:hAnsi="Arial"/>
          <w:sz w:val="11"/>
          <w:szCs w:val="11"/>
          <w:b w:val="1"/>
          <w:bCs w:val="1"/>
          <w:color w:val="auto"/>
        </w:rPr>
        <w:t>($ in millions)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480"/>
        <w:spacing w:after="0"/>
        <w:rPr>
          <w:sz w:val="20"/>
          <w:szCs w:val="20"/>
          <w:color w:val="auto"/>
        </w:rPr>
      </w:pPr>
      <w:r>
        <w:rPr>
          <w:rFonts w:ascii="Arial" w:cs="Arial" w:eastAsia="Arial" w:hAnsi="Arial"/>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17780</wp:posOffset>
            </wp:positionV>
            <wp:extent cx="194056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spacing w:after="0"/>
        <w:tabs>
          <w:tab w:leader="none" w:pos="1560" w:val="left"/>
        </w:tabs>
        <w:rPr>
          <w:sz w:val="20"/>
          <w:szCs w:val="20"/>
          <w:color w:val="auto"/>
        </w:rPr>
      </w:pP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25400</wp:posOffset>
            </wp:positionV>
            <wp:extent cx="194056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5" w:lineRule="exact"/>
        <w:rPr>
          <w:sz w:val="20"/>
          <w:szCs w:val="20"/>
          <w:color w:val="auto"/>
        </w:rPr>
      </w:pPr>
    </w:p>
    <w:p>
      <w:pPr>
        <w:jc w:val="center"/>
        <w:ind w:right="1480"/>
        <w:spacing w:after="0"/>
        <w:rPr>
          <w:sz w:val="20"/>
          <w:szCs w:val="20"/>
          <w:color w:val="auto"/>
        </w:rPr>
      </w:pPr>
      <w:r>
        <w:rPr>
          <w:rFonts w:ascii="Arial" w:cs="Arial" w:eastAsia="Arial" w:hAnsi="Arial"/>
          <w:sz w:val="11"/>
          <w:szCs w:val="11"/>
          <w:b w:val="1"/>
          <w:bCs w:val="1"/>
          <w:color w:val="auto"/>
        </w:rPr>
        <w:t>($ in millions)</w:t>
      </w:r>
    </w:p>
    <w:p>
      <w:pPr>
        <w:spacing w:after="0" w:line="48" w:lineRule="exact"/>
        <w:rPr>
          <w:sz w:val="20"/>
          <w:szCs w:val="20"/>
          <w:color w:val="auto"/>
        </w:rPr>
      </w:pPr>
    </w:p>
    <w:p>
      <w:pPr>
        <w:sectPr>
          <w:pgSz w:w="11900" w:h="16838" w:orient="portrait"/>
          <w:cols w:equalWidth="0" w:num="2">
            <w:col w:w="7240" w:space="720"/>
            <w:col w:w="3300"/>
          </w:cols>
          <w:pgMar w:left="30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17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148,916</w:t>
            </w: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132,518</w:t>
            </w: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148,916</w:t>
            </w: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132,518</w:t>
            </w: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color w:val="auto"/>
              </w:rPr>
              <w:t>Average Active Subscribers</w:t>
            </w:r>
          </w:p>
        </w:tc>
        <w:tc>
          <w:tcPr>
            <w:tcW w:w="172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147,645</w:t>
            </w:r>
          </w:p>
        </w:tc>
        <w:tc>
          <w:tcPr>
            <w:tcW w:w="56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130,796</w:t>
            </w:r>
          </w:p>
        </w:tc>
        <w:tc>
          <w:tcPr>
            <w:tcW w:w="5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142,626</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134,715</w:t>
            </w:r>
          </w:p>
        </w:tc>
      </w:tr>
      <w:tr>
        <w:trPr>
          <w:trHeight w:val="18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72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25.9</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26.3</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72.1</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7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76.5</w:t>
            </w:r>
          </w:p>
        </w:tc>
        <w:tc>
          <w:tcPr>
            <w:tcW w:w="5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(18.9)</w:t>
            </w:r>
          </w:p>
        </w:tc>
        <w:tc>
          <w:tcPr>
            <w:tcW w:w="5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24.0</w:t>
            </w:r>
          </w:p>
        </w:tc>
        <w:tc>
          <w:tcPr>
            <w:tcW w:w="5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(56.5)</w:t>
            </w:r>
          </w:p>
        </w:tc>
      </w:tr>
      <w:tr>
        <w:trPr>
          <w:trHeight w:val="18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(1)</w:t>
            </w:r>
          </w:p>
        </w:tc>
        <w:tc>
          <w:tcPr>
            <w:tcW w:w="172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80" w:hanging="255"/>
        <w:spacing w:after="0" w:line="288" w:lineRule="auto"/>
        <w:tabs>
          <w:tab w:leader="none" w:pos="249" w:val="left"/>
        </w:tabs>
        <w:numPr>
          <w:ilvl w:val="0"/>
          <w:numId w:val="25"/>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U.S. GAAP financial measure, net income (loss), and why we consider Adjusted EBITDA to be a useful metric, see “—Non-GAAP Financial Metrics” below.</w:t>
      </w:r>
    </w:p>
    <w:p>
      <w:pPr>
        <w:spacing w:after="0" w:line="8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October 31, 2025, we had 148,916 Active Subscribers, an increase from 132,518 as of October 31, 2024. The increase in Active Subscribers was driven primarily by a higher base of active subscribers at the end of the second quarter of fiscal year 2025 compared to the second quarter of fiscal year 2025, in addition to higher subscriber acquisitions, driven in part by higher promotional activity, and improved subscriber retention versus the third quarter of fiscal year 2024.</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October 31, 2025, we had 147,645 Average Active Subscribers, an increase from 130,796 as of October 31, 2024. The year-over-year increase in Average Active Subscribers was primarily due to the higher base of Ending Active Subscribers at the end of the second quarter of fiscal year 2025 compared to the second quarter of fiscal year 2024, in addition to higher subscriber acquisitions, driven in part by higher promotional activity, and improved subscriber retention versus the third quarter of fiscal year 2024.</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r>
        <w:rPr>
          <w:rFonts w:ascii="Arial" w:cs="Arial" w:eastAsia="Arial" w:hAnsi="Arial"/>
          <w:sz w:val="14"/>
          <w:szCs w:val="14"/>
          <w:b w:val="1"/>
          <w:bCs w:val="1"/>
          <w:color w:val="auto"/>
        </w:rPr>
        <w:t xml:space="preserve"> </w:t>
      </w:r>
      <w:r>
        <w:rPr>
          <w:rFonts w:ascii="Arial" w:cs="Arial" w:eastAsia="Arial" w:hAnsi="Arial"/>
          <w:sz w:val="14"/>
          <w:szCs w:val="14"/>
          <w:color w:val="auto"/>
        </w:rPr>
        <w:t>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Gross Profit was $25.9 million for the three months ended October 31, 2025 compared to $26.3 million for the three months ended October 31, 2024, representing Gross Margins of 29.6% and 34.7%, respectively. Gross Profit was $72.1 million for the nine months ended October 31, 2025 compared to $87.1 million for the nine months ended October 31, 2024, representing Gross Margins of 30.3% and 37.9%, respectively. Gross Profit and Gross Margin for the three months ended October 31, 2025 decreased primarily due to the impact of higher revenue share costs as a percentage of Revenue, partially offset by lower rental product depreciation and write-off costs as a percentage of Revenue, as well as lower fulfillment costs as a percentage of Revenue. Gross Profit and Gross Margin for the nine months ended October 31, 2025 decreased primarily due to the impact of higher revenue share costs and fulfillment costs as a percentage of Revenue, partially offset by lower rental product depreciation and write-off costs as a percentage of Revenue.</w:t>
      </w:r>
    </w:p>
    <w:p>
      <w:pPr>
        <w:spacing w:after="0" w:line="163"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income (loss), adjusted to exclude interest expense, rental product depreciation, other</w:t>
      </w:r>
      <w:r>
        <w:rPr>
          <w:rFonts w:ascii="Arial" w:cs="Arial" w:eastAsia="Arial" w:hAnsi="Arial"/>
          <w:sz w:val="14"/>
          <w:szCs w:val="14"/>
          <w:b w:val="1"/>
          <w:bCs w:val="1"/>
          <w:color w:val="auto"/>
        </w:rPr>
        <w:t xml:space="preserve"> </w:t>
      </w:r>
      <w:r>
        <w:rPr>
          <w:rFonts w:ascii="Arial" w:cs="Arial" w:eastAsia="Arial" w:hAnsi="Arial"/>
          <w:sz w:val="14"/>
          <w:szCs w:val="14"/>
          <w:color w:val="auto"/>
        </w:rPr>
        <w:t>depreciation and amortization, share-based compensation expense, write-off of liquidated assets, non-recurring adjustments, non-ordinary course legal expenses, restructuring charges, Gain on Debt Restructuring, income tax (benefit) expense, other income and expense, and other gains / losses. Adjusted EBITDA margin is defined as Adjusted EBITDA calculated as a percentage of total revenue, net for a period.</w:t>
      </w:r>
    </w:p>
    <w:p>
      <w:pPr>
        <w:spacing w:after="0" w:line="15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Net Income (Loss) was $76.5 million for the three months ended October 31, 2025 compared to $(18.9) million for the three months ended October 31, 2024, representing margins of 87.3% and (24.9)%, respectively. Net Loss, excluding the Gain on Debt Restructuring as a result of the recapitalization transactions, increased year-over-year primarily due to lower Gross Profit combined with higher technology and G&amp;A expenses. Net Income (Loss) was $24.0 million for the nine months ended October 31, 2025 compared to $(56.5) million for the nine months ended October 31, 2024, representing margins of 10.1% and (24.6)%, respectively. Net Loss, excluding the Gain on Debt Restructuring as a result of the recapitalization transactions, increased year-over-year primarily due to lower Gross Profit, higher Technology costs, higher Interest Expense and higher G&amp;A expenses, partially offset by lower Other Depreciation and Amortization expenses and lower Marketing costs.</w:t>
      </w:r>
    </w:p>
    <w:p>
      <w:pPr>
        <w:spacing w:after="0" w:line="16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Adjusted EBITDA was $4.3 million for the three months ended October 31, 2025 compared to $9.3 million for the three months ended October 31, 2024, representing margins of 4.9% and 12.3%, respectively. Adjusted EBITDA margin decreased year-over-year primarily due to higher revenue share and fulfillment costs as a percentage of revenue. Adjusted EBITDA was $6.6 million for the nine months ended October 31, 2025 compared to $29.5 million for the nine months ended October 31, 2024, representing margins of 2.8% and 12.8%, respectively. Adjusted EBITDA margin decreased year-over-year primarily due to higher revenue share and fulfillment costs as a percentage of revenue.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We believe we have the opportunity to improve Adjusted EBITDA and offset cost increases as we increase revenue and drive operating expense leverage.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79"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Our total revenue, net consists of Subscription and Reserve rental revenue and Other revenue. Total revenue is presented net of promotional discounts,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credits and refunds and taxes.</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The majority of our revenue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generated by our Subscription offering, which we are prioritizing.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implemented a price increase for our subscription plans in August 2025, which increased revenue per subscriber in the third quarter of fiscal year 2025 and which we expect will continue to do so over the coming quarters. We recognize Reserve fees over the rental period, which starts on the date of delivery of the product to the customer. Reserve orders can be placed up to four months prior to the rental start date (increased from two months prior to the rental start date beginning in June 2024)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87" w:lineRule="exact"/>
        <w:rPr>
          <w:sz w:val="20"/>
          <w:szCs w:val="20"/>
          <w:color w:val="auto"/>
        </w:rPr>
      </w:pPr>
    </w:p>
    <w:p>
      <w:pPr>
        <w:ind w:right="80"/>
        <w:spacing w:after="0"/>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 market which could lead to continued higher wage rates. We expect to continue to invest in automation and other process improvements to support and drive efficiencies in our operations. To the extent we are successful in</w:t>
      </w:r>
    </w:p>
    <w:p>
      <w:pPr>
        <w:spacing w:after="0" w:line="3"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spacing w:after="0" w:line="155"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61"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influencer marketing, printed collateral, consumer research, and other related costs. Marketing expenses unrelated to personnel costs may increase if we increase marketing spend to drive the growth of our business and increase our brand awareness.</w:t>
      </w:r>
    </w:p>
    <w:p>
      <w:pPr>
        <w:spacing w:after="0" w:line="13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4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consist of severance and related costs associated with the January 2024 restructuring plan.</w:t>
      </w:r>
    </w:p>
    <w:p>
      <w:pPr>
        <w:spacing w:after="0" w:line="200"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b w:val="1"/>
          <w:bCs w:val="1"/>
          <w:i w:val="1"/>
          <w:iCs w:val="1"/>
          <w:color w:val="auto"/>
        </w:rPr>
        <w:t>Gain on Debt Restructuring</w:t>
      </w:r>
      <w:r>
        <w:rPr>
          <w:rFonts w:ascii="Arial" w:cs="Arial" w:eastAsia="Arial" w:hAnsi="Arial"/>
          <w:sz w:val="14"/>
          <w:szCs w:val="14"/>
          <w:color w:val="auto"/>
        </w:rPr>
        <w:t>. Gain on Debt Restructuring consists of the gain recognized on the troubled debt restructuring from the Recapitalization Transactions completed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October 2025.</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interest and debt issuance cost amortization associated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2025 Amended Facility going forward. The 2023 Amended Temasek Facility eliminated all interest (both payment-in-kind and cash interest) for a period of six full fiscal quarters beginning with the fourth quarter of fiscal year 2023.</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Other Income / (Expense). </w:t>
      </w:r>
      <w:r>
        <w:rPr>
          <w:rFonts w:ascii="Arial" w:cs="Arial" w:eastAsia="Arial" w:hAnsi="Arial"/>
          <w:sz w:val="14"/>
          <w:szCs w:val="14"/>
          <w:color w:val="auto"/>
        </w:rPr>
        <w:t>Other income / (expense) consists primarily of proceeds from monetizing tax credits associated with growth and Irish refundable tax credits.</w:t>
      </w:r>
    </w:p>
    <w:p>
      <w:pPr>
        <w:spacing w:after="0" w:line="263"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and foreign taxes. We have established a valuation allowance for our U.S. federal and state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ectPr>
          <w:pgSz w:w="11900" w:h="16838" w:orient="portrait"/>
          <w:cols w:equalWidth="0" w:num="1">
            <w:col w:w="11280"/>
          </w:cols>
          <w:pgMar w:left="300" w:top="123" w:right="319" w:bottom="1440" w:gutter="0" w:footer="0" w:header="0"/>
        </w:sectPr>
      </w:pPr>
    </w:p>
    <w:p>
      <w:pPr>
        <w:spacing w:after="0" w:line="171" w:lineRule="exact"/>
        <w:rPr>
          <w:sz w:val="20"/>
          <w:szCs w:val="20"/>
          <w:color w:val="auto"/>
        </w:rPr>
      </w:pPr>
    </w:p>
    <w:p>
      <w:pPr>
        <w:ind w:left="6360"/>
        <w:spacing w:after="0"/>
        <w:rPr>
          <w:sz w:val="20"/>
          <w:szCs w:val="20"/>
          <w:color w:val="auto"/>
        </w:rPr>
      </w:pPr>
      <w:r>
        <w:rPr>
          <w:rFonts w:ascii="Arial" w:cs="Arial" w:eastAsia="Arial" w:hAnsi="Arial"/>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24765</wp:posOffset>
            </wp:positionV>
            <wp:extent cx="177863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34" w:lineRule="exact"/>
        <w:rPr>
          <w:sz w:val="20"/>
          <w:szCs w:val="20"/>
          <w:color w:val="auto"/>
        </w:rPr>
      </w:pPr>
    </w:p>
    <w:p>
      <w:pPr>
        <w:ind w:left="6400"/>
        <w:spacing w:after="0"/>
        <w:tabs>
          <w:tab w:leader="none" w:pos="782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17780</wp:posOffset>
            </wp:positionV>
            <wp:extent cx="177863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24765</wp:posOffset>
            </wp:positionV>
            <wp:extent cx="16167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16710" cy="6985"/>
                    </a:xfrm>
                    <a:prstGeom prst="rect">
                      <a:avLst/>
                    </a:prstGeom>
                    <a:noFill/>
                  </pic:spPr>
                </pic:pic>
              </a:graphicData>
            </a:graphic>
          </wp:anchor>
        </w:drawing>
      </w:r>
    </w:p>
    <w:p>
      <w:pPr>
        <w:spacing w:after="0" w:line="34"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17780</wp:posOffset>
            </wp:positionV>
            <wp:extent cx="16167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6710" cy="6985"/>
                    </a:xfrm>
                    <a:prstGeom prst="rect">
                      <a:avLst/>
                    </a:prstGeom>
                    <a:noFill/>
                  </pic:spPr>
                </pic:pic>
              </a:graphicData>
            </a:graphic>
          </wp:anchor>
        </w:drawing>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1"/>
          <w:szCs w:val="11"/>
          <w:b w:val="1"/>
          <w:bCs w:val="1"/>
          <w:color w:val="auto"/>
        </w:rPr>
        <w:t>(in millions)</w:t>
      </w:r>
    </w:p>
    <w:p>
      <w:pPr>
        <w:spacing w:after="0" w:line="28" w:lineRule="exact"/>
        <w:rPr>
          <w:sz w:val="20"/>
          <w:szCs w:val="20"/>
          <w:color w:val="auto"/>
        </w:rPr>
      </w:pPr>
    </w:p>
    <w:p>
      <w:pPr>
        <w:sectPr>
          <w:pgSz w:w="11900" w:h="16838" w:orient="portrait"/>
          <w:cols w:equalWidth="0" w:num="2">
            <w:col w:w="8440" w:space="720"/>
            <w:col w:w="212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66.3</w:t>
            </w:r>
          </w:p>
        </w:tc>
        <w:tc>
          <w:tcPr>
            <w:tcW w:w="8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200.9</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71"/>
        </w:trPr>
        <w:tc>
          <w:tcPr>
            <w:tcW w:w="586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238.1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229.8</w:t>
            </w: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62.6</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80.1</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5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58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costs and expenses</w:t>
            </w: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269.6</w:t>
            </w:r>
          </w:p>
        </w:tc>
      </w:tr>
      <w:tr>
        <w:trPr>
          <w:trHeight w:val="171"/>
        </w:trPr>
        <w:tc>
          <w:tcPr>
            <w:tcW w:w="5860" w:type="dxa"/>
            <w:vAlign w:val="bottom"/>
          </w:tcPr>
          <w:p>
            <w:pPr>
              <w:ind w:left="780"/>
              <w:spacing w:after="0"/>
              <w:rPr>
                <w:sz w:val="20"/>
                <w:szCs w:val="20"/>
                <w:color w:val="auto"/>
              </w:rPr>
            </w:pPr>
            <w:r>
              <w:rPr>
                <w:rFonts w:ascii="Arial" w:cs="Arial" w:eastAsia="Arial" w:hAnsi="Arial"/>
                <w:sz w:val="14"/>
                <w:szCs w:val="14"/>
                <w:color w:val="auto"/>
              </w:rPr>
              <w:t>Operating loss</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Debt Restructuring</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Interest income / (expense), net</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 (expense), net</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5860" w:type="dxa"/>
            <w:vAlign w:val="bottom"/>
          </w:tcPr>
          <w:p>
            <w:pPr>
              <w:ind w:left="780"/>
              <w:spacing w:after="0"/>
              <w:rPr>
                <w:sz w:val="20"/>
                <w:szCs w:val="20"/>
                <w:color w:val="auto"/>
              </w:rPr>
            </w:pPr>
            <w:r>
              <w:rPr>
                <w:rFonts w:ascii="Arial" w:cs="Arial" w:eastAsia="Arial" w:hAnsi="Arial"/>
                <w:sz w:val="14"/>
                <w:szCs w:val="14"/>
                <w:color w:val="auto"/>
              </w:rPr>
              <w:t>Net income (loss) before income tax benefit / (expense)</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(56.4)</w:t>
            </w: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5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5860" w:type="dxa"/>
            <w:vAlign w:val="bottom"/>
          </w:tcPr>
          <w:p>
            <w:pPr>
              <w:ind w:left="780"/>
              <w:spacing w:after="0"/>
              <w:rPr>
                <w:sz w:val="20"/>
                <w:szCs w:val="20"/>
                <w:color w:val="auto"/>
              </w:rPr>
            </w:pPr>
            <w:r>
              <w:rPr>
                <w:rFonts w:ascii="Arial" w:cs="Arial" w:eastAsia="Arial" w:hAnsi="Arial"/>
                <w:sz w:val="14"/>
                <w:szCs w:val="14"/>
                <w:color w:val="auto"/>
              </w:rPr>
              <w:t>Net income (loss)</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w:t>
            </w:r>
          </w:p>
        </w:tc>
      </w:tr>
      <w:tr>
        <w:trPr>
          <w:trHeight w:val="20"/>
        </w:trPr>
        <w:tc>
          <w:tcPr>
            <w:tcW w:w="5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October 31, 2025 and 2024</w:t>
      </w:r>
    </w:p>
    <w:p>
      <w:pPr>
        <w:spacing w:after="0" w:line="9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$87.6 million for the three months ended October 31, 2025, an increase of $11.7 million, or 15.4%, compared to $75.9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three months ended October 31, 2024. This increase was primarily driven by higher Subscription and Reserve rental revenue which was driven in part by a subscription price increase implemented in August 2025. In fiscal year 2025, we expect revenue to continue to increase due to higher subscription prices and as we work towards growing our customer base, with a particular focus on growing our Subscription offering.</w:t>
      </w:r>
    </w:p>
    <w:p>
      <w:pPr>
        <w:spacing w:after="0" w:line="138" w:lineRule="exact"/>
        <w:rPr>
          <w:sz w:val="20"/>
          <w:szCs w:val="20"/>
          <w:color w:val="auto"/>
        </w:rPr>
      </w:pPr>
    </w:p>
    <w:p>
      <w:pPr>
        <w:spacing w:after="0"/>
        <w:tabs>
          <w:tab w:leader="none" w:pos="3020" w:val="left"/>
        </w:tabs>
        <w:rPr>
          <w:sz w:val="20"/>
          <w:szCs w:val="20"/>
          <w:color w:val="auto"/>
        </w:rPr>
      </w:pPr>
      <w:r>
        <w:rPr>
          <w:rFonts w:ascii="Arial" w:cs="Arial" w:eastAsia="Arial" w:hAnsi="Arial"/>
          <w:sz w:val="14"/>
          <w:szCs w:val="14"/>
          <w:b w:val="1"/>
          <w:bCs w:val="1"/>
          <w:i w:val="1"/>
          <w:iCs w:val="1"/>
          <w:color w:val="auto"/>
        </w:rPr>
        <w:t>Subscription and Reserve Rental Revenue.</w:t>
      </w:r>
      <w:r>
        <w:rPr>
          <w:sz w:val="20"/>
          <w:szCs w:val="20"/>
          <w:color w:val="auto"/>
        </w:rPr>
        <w:tab/>
      </w:r>
      <w:r>
        <w:rPr>
          <w:rFonts w:ascii="Arial" w:cs="Arial" w:eastAsia="Arial" w:hAnsi="Arial"/>
          <w:sz w:val="14"/>
          <w:szCs w:val="14"/>
          <w:color w:val="auto"/>
        </w:rPr>
        <w:t>Subscription and Reserve rental revenue was $77.0 million for the three months ended October 31, 2025, an increase of</w:t>
      </w:r>
    </w:p>
    <w:p>
      <w:pPr>
        <w:spacing w:after="0" w:line="23"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$10.7 million, or 16.1%, compared to $66.3 million for the three months ended October 31, 2024. This increase was primarily driven by higher Average Active Subscribers and higher average revenue per subscriber. Higher average revenue per subscriber was primarily the result of the subscription price increase effective August 1, 2025 as well as newly implemented enforcement of our late fee policy. These increases were partially offset by lower Reserve rental revenue in the third quarter of fiscal year 2025 as compared to the third quarter of fiscal year 2024.</w:t>
      </w:r>
    </w:p>
    <w:p>
      <w:pPr>
        <w:spacing w:after="0" w:line="14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$10.6 million for the three months ended October 31, 2025, an increase of $1.0 million, or 10.4%, compared to $9.6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2024. This increase was primarily driven by higher Average Active Subscribers and higher average items purchased per subscriber, partially offset by a decrease in average selling price per item. Other revenue represented 12.1% of total revenue, down from 12.6% in the same period last year.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i w:val="1"/>
          <w:iCs w:val="1"/>
          <w:color w:val="auto"/>
        </w:rPr>
        <w:t>Costs and Expenses.</w:t>
      </w:r>
      <w:r>
        <w:rPr>
          <w:sz w:val="20"/>
          <w:szCs w:val="20"/>
          <w:color w:val="auto"/>
        </w:rPr>
        <w:tab/>
      </w:r>
      <w:r>
        <w:rPr>
          <w:rFonts w:ascii="Arial" w:cs="Arial" w:eastAsia="Arial" w:hAnsi="Arial"/>
          <w:sz w:val="14"/>
          <w:szCs w:val="14"/>
          <w:color w:val="auto"/>
        </w:rPr>
        <w:t>Total costs and expenses were $103.8 million for the three months ended October 31, 2025, an increase of $14.2 million, or 15.8%, compared to</w:t>
      </w:r>
    </w:p>
    <w:p>
      <w:pPr>
        <w:spacing w:after="0" w:line="23" w:lineRule="exact"/>
        <w:rPr>
          <w:sz w:val="20"/>
          <w:szCs w:val="20"/>
          <w:color w:val="auto"/>
        </w:rPr>
      </w:pPr>
    </w:p>
    <w:p>
      <w:pPr>
        <w:ind w:right="240"/>
        <w:spacing w:after="0" w:line="269" w:lineRule="auto"/>
        <w:rPr>
          <w:sz w:val="20"/>
          <w:szCs w:val="20"/>
          <w:color w:val="auto"/>
        </w:rPr>
      </w:pPr>
      <w:r>
        <w:rPr>
          <w:rFonts w:ascii="Arial" w:cs="Arial" w:eastAsia="Arial" w:hAnsi="Arial"/>
          <w:sz w:val="14"/>
          <w:szCs w:val="14"/>
          <w:color w:val="auto"/>
        </w:rPr>
        <w:t>$89.6 million for the three months ended October 31, 2024. This increase was primarily driven by higher Revenue Share costs, higher Fulfillment costs, higher Technology costs, and higher G&amp;A expenses, partially offset by a reduction in rental product depreciation and write-offs.</w:t>
      </w:r>
    </w:p>
    <w:p>
      <w:pPr>
        <w:spacing w:after="0" w:line="13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$24.0 million for the three months ended October 31, 2025, an increase of $2.6 million, or 12.1%, representing 27.4% of revenue,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$21.4 million for the three months ended October 31, 2024, representing 28.2% of revenue. The decrease in fulfillment expenses as a percentage of revenue was primarily driven by higher revenue per order driven by the subscription price increase implemented in August 2025, partially offset by higher transportation costs due to carrier rate increases and higher warehouse processing costs.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fulfillment expenses as a percentage of total revenue to remain flat to fulfillment expenses as a percentage of total revenue in fiscal year 2024.</w:t>
      </w:r>
    </w:p>
    <w:p>
      <w:pPr>
        <w:spacing w:after="0" w:line="179"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$10.5 million for the three months ended October 31, 2025, an increase of $1.8 million, or 20.7%, compared to $8.7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2024. Technology expenses were 12.0% of revenue for the three months ended October 31, 2025 compared to 11.5% for the same period last year due primarily to higher technology related employee costs. Technology related share-based compensation expense was $0.0 million for the three months ended October 31, 2025 and was $0.4 million for the same period last year.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technology expenses to increase slightly as a percentage of total revenue compared to fiscal year 2024 due to higher employee expenses.</w:t>
      </w:r>
    </w:p>
    <w:p>
      <w:pPr>
        <w:spacing w:after="0" w:line="179"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$6.4 million for the three months ended October 31, 2025, a decrease of $(0.7) million, or (9.9)%, compared to $7.1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2024. This decrease was driven primarily by lower brand marketing expenses. Marketing expenses unrelated to personnel costs were $5.6 million in the three months ended October 31, 2025 and 6.4% of revenue, compared to $6.4 million and 8.4% of total revenue for the same period last year.</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fiscal year 2025, we expect marketing expenses to decrease in dollars and as a percentage of total revenue compared to fiscal year 2024. The timing of our marketing expenses during the year will depend in part on the timing of marketing campaigns.</w:t>
      </w:r>
    </w:p>
    <w:p>
      <w:pPr>
        <w:spacing w:after="0" w:line="131"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$22.7 million for the three months ended October 31, 2025, an increase of $1.5 million, or 7.1%,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$21.2 million for the three months ended October 31, 2024. This increase was driven primarily due to an increase in legal costs and credit card fees, partially offset by lower share-based compensation expense. G&amp;A expenses as a percentage of revenue were 25.9%, compared to 27.9% last year. G&amp;A related share-based compensation expense was $0.9 million for the three months ended October 31, 2025 and was $1.8 million for the three months ended October 31, 2024.</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general and administrative expenses to decrease as a percentage of total revenue compared to fiscal year 2024.</w:t>
      </w:r>
    </w:p>
    <w:p>
      <w:pPr>
        <w:spacing w:after="0" w:line="179"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$37.7 million for the three months ended October 31, 2025, an increase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$9.5 million, or 33.7%, compared to $28.2 million for the three months ended October 31, 2024. The increase was primarily driven by higher Share by RTR units acquired. Rental product depreciation and revenue share was 43.0% of revenue in the three months ended October 31, 2025, up from 37.2% in the same period last year primarily due to the factors discussed above.</w:t>
      </w:r>
    </w:p>
    <w:p>
      <w:pPr>
        <w:spacing w:after="0" w:line="138" w:lineRule="exact"/>
        <w:rPr>
          <w:sz w:val="20"/>
          <w:szCs w:val="20"/>
          <w:color w:val="auto"/>
        </w:rPr>
      </w:pPr>
    </w:p>
    <w:p>
      <w:pPr>
        <w:ind w:right="46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$2.5 million for the three months ended October 31, 2025, a decrease of $(0.5)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(16.7)%, compared to $3.0 million for the three months ended October 31, 2024. This decrease was primarily driven by lower depreciation and amortization associated with machinery and equipment.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There were no restructuring charges for the three months ended October 31, 2025 and October 31, 2024 for severance and related costs in connection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the January 2024 restructuring plan.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Restructuring Plan</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The January 2024 restructuring plan generated total annual operating expense savings of approximately $12 million, which primarily included the reduction in force, with some open role closures/reduced backfills, and excludes potential hiring of new employees or other additions to the Company’s costs and expenses. The restructuring plan was completed during the first quarter of fiscal year 2025.</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See “Note 5 — Restructuring and Related Charges” in the Notes to the Condensed Consolidated Financial Statements for more details on these charges.</w:t>
      </w:r>
    </w:p>
    <w:p>
      <w:pPr>
        <w:spacing w:after="0" w:line="80"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b w:val="1"/>
          <w:bCs w:val="1"/>
          <w:i w:val="1"/>
          <w:iCs w:val="1"/>
          <w:color w:val="auto"/>
        </w:rPr>
        <w:t xml:space="preserve">Gain on Debt Restructuring. </w:t>
      </w:r>
      <w:r>
        <w:rPr>
          <w:rFonts w:ascii="Arial" w:cs="Arial" w:eastAsia="Arial" w:hAnsi="Arial"/>
          <w:sz w:val="14"/>
          <w:szCs w:val="14"/>
          <w:color w:val="auto"/>
        </w:rPr>
        <w:t>Gain on Debt Restructuring was $96.3 million for the three months ended October 31, 2025. The gain was recognized from the troubled debt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from the Recapitalization Transactions completed in October 2025.</w:t>
      </w:r>
    </w:p>
    <w:p>
      <w:pPr>
        <w:spacing w:after="0" w:line="120"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$(7.0) million for the three months ended October 31, 2025, an increase in expense of $0.9 million, or 14.8%,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 (6.1) million for the three months ended October 31, 2024. This increase was driven by higher interest from the 2025 Amended Facility, and lower interest earned partially offset by lower debt discount amortization. Of the $(7.0) million total interest expense in the three months ended October 31, 2025, $(11.0) million was from paid-in-kind interest, $0.2 million was the net of cash interest earned, financing lease and other interest and $3.8 million was debt discount amortization, compared to $0.8 million net of cash interest earned, financing lease and other interest and $(6.9) million of debt discount amortization in the three months ended October 31, 2024.</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$3.4 million for the three months ended October 31, 2025 compared to $0.9 million for the three months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October 31, 2024.</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nine months ended October 31, 2025 and 2024</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$238.1 million for the nine months ended October 31, 2025, an increase of $8.3 million, or 3.6%, compared to $229.8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months ended October 31, 2024. This increase was primarily driven by higher Subscription and Reserve rental revenue. In fiscal year 2025, we expect revenue to increase due to higher subscription prices and as we work towards growing our customer base, with a particular focus on growing our subscription business.</w:t>
      </w:r>
    </w:p>
    <w:p>
      <w:pPr>
        <w:spacing w:after="0" w:line="155" w:lineRule="exact"/>
        <w:rPr>
          <w:sz w:val="20"/>
          <w:szCs w:val="20"/>
          <w:color w:val="auto"/>
        </w:rPr>
      </w:pPr>
    </w:p>
    <w:p>
      <w:pPr>
        <w:spacing w:after="0"/>
        <w:tabs>
          <w:tab w:leader="none" w:pos="3020" w:val="left"/>
        </w:tabs>
        <w:rPr>
          <w:sz w:val="20"/>
          <w:szCs w:val="20"/>
          <w:color w:val="auto"/>
        </w:rPr>
      </w:pPr>
      <w:r>
        <w:rPr>
          <w:rFonts w:ascii="Arial" w:cs="Arial" w:eastAsia="Arial" w:hAnsi="Arial"/>
          <w:sz w:val="14"/>
          <w:szCs w:val="14"/>
          <w:b w:val="1"/>
          <w:bCs w:val="1"/>
          <w:i w:val="1"/>
          <w:iCs w:val="1"/>
          <w:color w:val="auto"/>
        </w:rPr>
        <w:t>Subscription and Reserve Rental Revenue.</w:t>
      </w:r>
      <w:r>
        <w:rPr>
          <w:sz w:val="20"/>
          <w:szCs w:val="20"/>
          <w:color w:val="auto"/>
        </w:rPr>
        <w:tab/>
      </w:r>
      <w:r>
        <w:rPr>
          <w:rFonts w:ascii="Arial" w:cs="Arial" w:eastAsia="Arial" w:hAnsi="Arial"/>
          <w:sz w:val="14"/>
          <w:szCs w:val="14"/>
          <w:color w:val="auto"/>
        </w:rPr>
        <w:t>Subscription and Reserve rental revenue was $208.2 million for the nine months ended October 31, 2025, an increase of</w:t>
      </w:r>
    </w:p>
    <w:p>
      <w:pPr>
        <w:spacing w:after="0" w:line="23"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$7.3 million, or 3.6%, compared to $200.9 million for the nine months ended October 31, 2024. This increase was primarily driven by higher average active subscribers, partially offset by lower Reserve rental revenue.</w:t>
      </w:r>
    </w:p>
    <w:p>
      <w:pPr>
        <w:spacing w:after="0" w:line="134"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$29.9 million for the nine months ended October 31, 2025, an increase of $1.0 million, or 3.5%, compared to $28.9 million for the nine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2024. Other revenue represented 12.6% of total revenue, up from 12.6% in the same period last year.</w:t>
      </w:r>
    </w:p>
    <w:p>
      <w:pPr>
        <w:spacing w:after="0" w:line="12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i w:val="1"/>
          <w:iCs w:val="1"/>
          <w:color w:val="auto"/>
        </w:rPr>
        <w:t>Costs and Expenses.</w:t>
      </w:r>
      <w:r>
        <w:rPr>
          <w:sz w:val="20"/>
          <w:szCs w:val="20"/>
          <w:color w:val="auto"/>
        </w:rPr>
        <w:tab/>
      </w:r>
      <w:r>
        <w:rPr>
          <w:rFonts w:ascii="Arial" w:cs="Arial" w:eastAsia="Arial" w:hAnsi="Arial"/>
          <w:sz w:val="14"/>
          <w:szCs w:val="14"/>
          <w:color w:val="auto"/>
        </w:rPr>
        <w:t>Total costs and expenses were $294.1 million for the nine months ended October 31, 2025, an increase of $24.5 million, or 9.1%, compared to</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$269.6 million for the nine months ended October 31, 2024. This increase was primarily driven by higher Revenue Share costs, higher Fulfillment costs, higher Technology costs and higher G&amp;A costs. The increase was partially offset by lower Rental Product Depreciation and Write-Off expense, lower Other Depreciation and Amortization expense and lower Marketing costs.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$ 66.9 million for the nine months ended October 31, 2025, an increase of $4.3 million, or 6.9%, representing 28.1% of revenue,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$62.6 million for the nine months ended October 31, 2024, representing 27.2% of revenue. The increase in fulfillment expenses as a percentage of revenue was primarily driven by higher transportation costs due to carrier rate increases and increases in warehouse processing costs.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fulfillment expenses as a percentage of total revenue to remain flat to fulfillment expenses as a percentage of total revenue in fiscal year 2024.</w:t>
      </w:r>
    </w:p>
    <w:p>
      <w:pPr>
        <w:spacing w:after="0" w:line="179"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$29.9 million for the nine months ended October 31, 2025, an increase of $2.9 million, or 10.7%, compared to $27.0 million for the nine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2024. Technology expenses were 12.6% of revenue for the nine months ended October 31, 2025 compared to 11.7% for the same period last year due to higher technology related employee costs. Technology related share-based compensation expense was $0.5 million for the nine months ended October 31, 2025 and was $1.5 million for the same period last year.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technology expenses to slightly increase as a percentage of total revenue compared to fiscal year 2024.</w:t>
      </w:r>
    </w:p>
    <w:p>
      <w:pPr>
        <w:spacing w:after="0" w:line="179"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$22.4 million for the nine months ended October 31, 2025, a decrease of $(1.5) million, or (6.3)%, compared to $23.9 million for the nine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2024. This decrease was driven primarily by lower paid marketing expenses and lower personnel costs. Marketing expenses unrelated to personnel costs were $20.0 million in the nine months ended October 31, 2025 and 8.4% of revenue, compared to $21.7 million and 9.4% of total revenue for the same period last year.</w:t>
      </w:r>
    </w:p>
    <w:p>
      <w:pPr>
        <w:spacing w:after="0" w:line="15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fiscal year 2025, we expect marketing expenses to decrease in dollars and as a percentage of total revenue compared to fiscal year 2024. The timing of our marketing expenses during the year will depend in part on the timing of marketing campaigns.</w:t>
      </w:r>
    </w:p>
    <w:p>
      <w:pPr>
        <w:spacing w:after="0" w:line="131"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$ 68.0 million for the nine months ended October 31, 2025, an increase of $1.8 million, or 2.7%,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$ 66.2 million for the nine months ended October 31, 2024. This increase was driven primarily by transaction related expenses partially offset by lower share-based compensation expense, gain on the liquidation of rental product and exchange rate. G&amp;A expenses as a percentage of revenue were 28.6%, compared to 28.8% last year, as we saw increased operating leverage with a lower cost base post-restructuring. G&amp;A related share-based compensation expense was $3.3 million for the nine months ended October 31, 2025 and was $6.1 million for the nine months ended October 31, 2024.</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general and administrative expenses to decrease as a percentage of total revenue compared to fiscal year 2024.</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$99.1 million for the nine months ended October 31, 2025, an increase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$19.0 million, or 23.7%, compared to $80.1 million for the nine months ended October 31, 2024. The increase was primarily driven by higher Share by RTR units acquired. Rental</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product depreciation and revenue share was 41.6% of revenue in the nine months ended October 31, 2025, up from 34.9% in the same period last year primarily due to the factors discussed above.</w:t>
      </w:r>
    </w:p>
    <w:p>
      <w:pPr>
        <w:spacing w:after="0" w:line="145" w:lineRule="exact"/>
        <w:rPr>
          <w:sz w:val="20"/>
          <w:szCs w:val="20"/>
          <w:color w:val="auto"/>
        </w:rPr>
      </w:pPr>
    </w:p>
    <w:p>
      <w:pPr>
        <w:ind w:right="50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$7.8 million for the nine months ended October 31, 2025, a decrease of $(1.8)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(18.8)%, compared to $9.6 million for the nine months ended October 31, 2024. This decrease was primarily driven by lower depreciation and amortization associated with machinery and equipment.</w:t>
      </w:r>
    </w:p>
    <w:p>
      <w:pPr>
        <w:spacing w:after="0" w:line="134"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were $0.2 million for the nine months ended October 31, 2024 for severance and related costs in connection with the January 2024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plan. These charges are reflected in Restructuring charges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b w:val="1"/>
          <w:bCs w:val="1"/>
          <w:i w:val="1"/>
          <w:iCs w:val="1"/>
          <w:color w:val="auto"/>
        </w:rPr>
        <w:t xml:space="preserve">Gain on Debt Restructuring. </w:t>
      </w:r>
      <w:r>
        <w:rPr>
          <w:rFonts w:ascii="Arial" w:cs="Arial" w:eastAsia="Arial" w:hAnsi="Arial"/>
          <w:sz w:val="14"/>
          <w:szCs w:val="14"/>
          <w:color w:val="auto"/>
        </w:rPr>
        <w:t>Gain on Debt Restructuring was $96.3 million for the nine months ended October 31, 2025. The gain was recognized from the troubled debt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from the Recapitalization Transactions completed in October 2025.</w:t>
      </w:r>
    </w:p>
    <w:p>
      <w:pPr>
        <w:spacing w:after="0" w:line="131" w:lineRule="exact"/>
        <w:rPr>
          <w:sz w:val="20"/>
          <w:szCs w:val="20"/>
          <w:color w:val="auto"/>
        </w:rPr>
      </w:pPr>
    </w:p>
    <w:p>
      <w:pPr>
        <w:ind w:right="240"/>
        <w:spacing w:after="0" w:line="246"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$(20.2) million for the nine months ended October 31, 2025, an increase in expense of $2.5 million, or 14.1%,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$(17.7) million for the nine months ended October 31, 2024. This increase was driven by higher interest from the 2025 Amended Facility and lower interest earned partially offset by lower debt discount amortization. Of the $(20.2) million total interest expense in the nine months ended October 31, 2025, $(22.2) million was from paid-in-kind interest, $1.2 million was the net of interest earned, financing lease and other interest and $0.8 million was debt discount amortization, compared to $2.3 million net of interest earned, financing lease and other interest and ($20.0) million of debt discount amortization in the nine months ended October 31, 2024.</w:t>
      </w:r>
    </w:p>
    <w:p>
      <w:pPr>
        <w:spacing w:after="0" w:line="172"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$4.1 million for the nine months ended October 31, 2025, an increase of $3.0 million, compared to $1.1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nine months ended October 31, 2024.</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44" w:lineRule="exact"/>
        <w:rPr>
          <w:sz w:val="20"/>
          <w:szCs w:val="20"/>
          <w:color w:val="auto"/>
        </w:rPr>
      </w:pPr>
    </w:p>
    <w:p>
      <w:pPr>
        <w:spacing w:after="0" w:line="274" w:lineRule="auto"/>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w:t>
      </w:r>
    </w:p>
    <w:p>
      <w:pPr>
        <w:spacing w:after="0" w:line="131"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Net Income (Loss) was $ 76.5 million for the three months ended October 31, 2025 compared to $(18.9) million for the three months ended October 31, 2024. Net Income (Loss) as a percentage of revenue was 87.3%, and (24.9)% for the three months ended October 31, 2025 and 2024, respectively. Net Income (Loss) was $24.0 million for the nine months ended October 31, 2025 compared to $(56.5) million for the nine months ended October 31, 2024. Net Income (Loss) as a percentage of revenue was 10.1%, and (24.6)% for the nine months ended October 31, 2025 and 2024, respectively, and included $0.2 million of restructuring and related charges during the nine months ended October 31, 2024.</w:t>
      </w:r>
    </w:p>
    <w:p>
      <w:pPr>
        <w:spacing w:after="0" w:line="159"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Net Income for the three and nine months ended October 31, 2025 increased year-over-year primarily due to the impact of the Gain on Debt Restructuring as a result of the recapitalization. Net Loss for the three and nine months ended October 31, 2025, excluding the Gain on Debt Restructuring as a result of the recapitalization transactions,increased year-over-year primarily due to lower Gross Profits, higher Technology costs and higher G&amp;A expenses, partially offset by lower Marketing costs.</w:t>
      </w:r>
    </w:p>
    <w:p>
      <w:pPr>
        <w:spacing w:after="0" w:line="155"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Our Adjusted EBITDA was $4.3 million for the three months ended October 31, 2025 compared to $9.3 million for the three months ended October 31, 2024, representing margins of 4.9% and 12.3%, respectively. Our Adjusted EBITDA was $6.6 million for the nine months ended October 31, 2025 compared to $29.5 million for the nine months ended October 31, 2024, representing margins of 2.8% and 12.8%, respectively. Adjusted EBITDA Margin decreased for the three and nine months ended October 31, 2025 primarily due to higher revenue share and fulfillment costs as a percentage of revenue.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income (loss), the most comparable GAAP financial measure, to Adjusted EBITDA for the periods presented:</w:t>
      </w:r>
    </w:p>
    <w:p>
      <w:pPr>
        <w:sectPr>
          <w:pgSz w:w="11900" w:h="16838" w:orient="portrait"/>
          <w:cols w:equalWidth="0" w:num="1">
            <w:col w:w="11180"/>
          </w:cols>
          <w:pgMar w:left="300" w:top="123" w:right="419" w:bottom="1440" w:gutter="0" w:footer="0" w:header="0"/>
        </w:sectPr>
      </w:pP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17780</wp:posOffset>
            </wp:positionV>
            <wp:extent cx="19602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0245" cy="6985"/>
                    </a:xfrm>
                    <a:prstGeom prst="rect">
                      <a:avLst/>
                    </a:prstGeom>
                    <a:noFill/>
                  </pic:spPr>
                </pic:pic>
              </a:graphicData>
            </a:graphic>
          </wp:anchor>
        </w:drawing>
      </w:r>
    </w:p>
    <w:p>
      <w:pPr>
        <w:spacing w:after="0" w:line="23" w:lineRule="exact"/>
        <w:rPr>
          <w:sz w:val="20"/>
          <w:szCs w:val="20"/>
          <w:color w:val="auto"/>
        </w:rPr>
      </w:pPr>
    </w:p>
    <w:p>
      <w:pPr>
        <w:ind w:left="4920"/>
        <w:spacing w:after="0"/>
        <w:tabs>
          <w:tab w:leader="none" w:pos="6500" w:val="left"/>
        </w:tabs>
        <w:rPr>
          <w:sz w:val="20"/>
          <w:szCs w:val="20"/>
          <w:color w:val="auto"/>
        </w:rPr>
      </w:pP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25400</wp:posOffset>
            </wp:positionV>
            <wp:extent cx="19602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0245" cy="6985"/>
                    </a:xfrm>
                    <a:prstGeom prst="rect">
                      <a:avLst/>
                    </a:prstGeom>
                    <a:noFill/>
                  </pic:spPr>
                </pic:pic>
              </a:graphicData>
            </a:graphic>
          </wp:anchor>
        </w:drawing>
      </w:r>
    </w:p>
    <w:p>
      <w:pPr>
        <w:spacing w:after="0" w:line="35" w:lineRule="exact"/>
        <w:rPr>
          <w:sz w:val="20"/>
          <w:szCs w:val="20"/>
          <w:color w:val="auto"/>
        </w:rPr>
      </w:pPr>
    </w:p>
    <w:p>
      <w:pPr>
        <w:ind w:left="552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17780</wp:posOffset>
            </wp:positionV>
            <wp:extent cx="196723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25400</wp:posOffset>
            </wp:positionV>
            <wp:extent cx="19672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35"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(in millions)</w:t>
      </w:r>
    </w:p>
    <w:p>
      <w:pPr>
        <w:spacing w:after="0" w:line="48" w:lineRule="exact"/>
        <w:rPr>
          <w:sz w:val="20"/>
          <w:szCs w:val="20"/>
          <w:color w:val="auto"/>
        </w:rPr>
      </w:pPr>
    </w:p>
    <w:p>
      <w:pPr>
        <w:sectPr>
          <w:pgSz w:w="11900" w:h="16838" w:orient="portrait"/>
          <w:cols w:equalWidth="0" w:num="2">
            <w:col w:w="7380" w:space="720"/>
            <w:col w:w="3080"/>
          </w:cols>
          <w:pgMar w:left="300" w:top="123" w:right="4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76.5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(56.5)</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17.7</w:t>
            </w: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47.6</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9.6</w:t>
            </w: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7.6</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3.9</w:t>
            </w: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Non-recurring adjustments (5)</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0.1</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Non-ordinary course legal fees (6)</w:t>
            </w: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0.1</w:t>
            </w: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(7)</w:t>
            </w:r>
          </w:p>
        </w:tc>
        <w:tc>
          <w:tcPr>
            <w:tcW w:w="5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0.2</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Gain on Debt Restructuring (8)</w:t>
            </w:r>
          </w:p>
        </w:tc>
        <w:tc>
          <w:tcPr>
            <w:tcW w:w="54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(96.3)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(96.3)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5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0.1</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 expense, net (9)</w:t>
            </w:r>
          </w:p>
        </w:tc>
        <w:tc>
          <w:tcPr>
            <w:tcW w:w="54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(1.1)</w:t>
            </w: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(gains) / losses (10)</w:t>
            </w:r>
          </w:p>
        </w:tc>
        <w:tc>
          <w:tcPr>
            <w:tcW w:w="5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0.2</w:t>
            </w:r>
          </w:p>
        </w:tc>
      </w:tr>
      <w:tr>
        <w:trPr>
          <w:trHeight w:val="171"/>
        </w:trPr>
        <w:tc>
          <w:tcPr>
            <w:tcW w:w="43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6.6</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29.5</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3"/>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as a percentage of revenue</w:t>
            </w: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87.3 %</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86"/>
        </w:trPr>
        <w:tc>
          <w:tcPr>
            <w:tcW w:w="4300" w:type="dxa"/>
            <w:vAlign w:val="bottom"/>
          </w:tcPr>
          <w:p>
            <w:pPr>
              <w:ind w:left="20"/>
              <w:spacing w:after="0"/>
              <w:rPr>
                <w:sz w:val="20"/>
                <w:szCs w:val="20"/>
                <w:color w:val="auto"/>
              </w:rPr>
            </w:pPr>
            <w:r>
              <w:rPr>
                <w:rFonts w:ascii="Arial" w:cs="Arial" w:eastAsia="Arial" w:hAnsi="Arial"/>
                <w:sz w:val="14"/>
                <w:szCs w:val="14"/>
                <w:color w:val="auto"/>
              </w:rPr>
              <w:t>Adjusted EBITDA Margin (11)</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12.8 %</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260" w:right="80" w:hanging="255"/>
        <w:spacing w:after="0" w:line="218" w:lineRule="auto"/>
        <w:tabs>
          <w:tab w:leader="none" w:pos="254"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Includes debt discount amortization of $(7.7) million in the three months ended October 31, 2025, $6.9 million in the three months ended October 31, 2024, $(0.8) million in the nine months ended October 31, 2025 and $20.0 million in the nine months ended October 31, 2024.</w:t>
      </w:r>
    </w:p>
    <w:p>
      <w:pPr>
        <w:spacing w:after="0" w:line="75"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6"/>
        </w:numPr>
        <w:rPr>
          <w:rFonts w:ascii="Arial" w:cs="Arial" w:eastAsia="Arial" w:hAnsi="Arial"/>
          <w:sz w:val="7"/>
          <w:szCs w:val="7"/>
          <w:color w:val="auto"/>
        </w:rPr>
      </w:pPr>
      <w:r>
        <w:rPr>
          <w:rFonts w:ascii="Arial" w:cs="Arial" w:eastAsia="Arial" w:hAnsi="Arial"/>
          <w:sz w:val="11"/>
          <w:szCs w:val="11"/>
          <w:color w:val="auto"/>
        </w:rPr>
        <w:t>Reflects non-rental product depreciation and capitalized software amortization.</w:t>
      </w:r>
    </w:p>
    <w:p>
      <w:pPr>
        <w:spacing w:after="0" w:line="72" w:lineRule="exact"/>
        <w:rPr>
          <w:rFonts w:ascii="Arial" w:cs="Arial" w:eastAsia="Arial" w:hAnsi="Arial"/>
          <w:sz w:val="7"/>
          <w:szCs w:val="7"/>
          <w:color w:val="auto"/>
        </w:rPr>
      </w:pPr>
    </w:p>
    <w:p>
      <w:pPr>
        <w:ind w:left="260" w:hanging="255"/>
        <w:spacing w:after="0"/>
        <w:tabs>
          <w:tab w:leader="none" w:pos="260"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Reflects the non-cash expense for share-based compensation.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74" w:lineRule="exact"/>
        <w:rPr>
          <w:rFonts w:ascii="Arial" w:cs="Arial" w:eastAsia="Arial" w:hAnsi="Arial"/>
          <w:sz w:val="15"/>
          <w:szCs w:val="15"/>
          <w:color w:val="auto"/>
          <w:vertAlign w:val="superscript"/>
        </w:rPr>
      </w:pPr>
    </w:p>
    <w:p>
      <w:pPr>
        <w:ind w:left="260" w:right="140" w:hanging="255"/>
        <w:spacing w:after="0" w:line="221" w:lineRule="auto"/>
        <w:tabs>
          <w:tab w:leader="none" w:pos="254"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Non-recurring adjustments for the three and nine months ended October 31, 2025 primarily includes $(1.8) million and $0.2 million of transaction related costs. Non-recurring adjustments for the three and nine months ended October 31, 2024 includes $0.1 million of costs related to one-time professional fees.</w:t>
      </w:r>
    </w:p>
    <w:p>
      <w:pPr>
        <w:spacing w:after="0" w:line="74" w:lineRule="exact"/>
        <w:rPr>
          <w:rFonts w:ascii="Arial" w:cs="Arial" w:eastAsia="Arial" w:hAnsi="Arial"/>
          <w:sz w:val="15"/>
          <w:szCs w:val="15"/>
          <w:color w:val="auto"/>
          <w:vertAlign w:val="superscript"/>
        </w:rPr>
      </w:pPr>
    </w:p>
    <w:p>
      <w:pPr>
        <w:ind w:left="260" w:hanging="255"/>
        <w:spacing w:after="0" w:line="303" w:lineRule="auto"/>
        <w:tabs>
          <w:tab w:leader="none" w:pos="254" w:val="left"/>
        </w:tabs>
        <w:numPr>
          <w:ilvl w:val="0"/>
          <w:numId w:val="26"/>
        </w:numPr>
        <w:rPr>
          <w:rFonts w:ascii="Arial" w:cs="Arial" w:eastAsia="Arial" w:hAnsi="Arial"/>
          <w:sz w:val="7"/>
          <w:szCs w:val="7"/>
          <w:color w:val="auto"/>
        </w:rPr>
      </w:pPr>
      <w:r>
        <w:rPr>
          <w:rFonts w:ascii="Arial" w:cs="Arial" w:eastAsia="Arial" w:hAnsi="Arial"/>
          <w:sz w:val="11"/>
          <w:szCs w:val="11"/>
          <w:color w:val="auto"/>
        </w:rPr>
        <w:t>Non-ordinary course legal fees for the three and nine months ended October 31, 2025 includes $2.8 million and $4.8 million of costs related to securities lawsuits and non-recurring legal fees including transaction related costs. Non-ordinary course legal fees for the three and nine months ended October 31, 2024 includes $0.1 million of costs related to a class action lawsuit.</w:t>
      </w:r>
    </w:p>
    <w:p>
      <w:pPr>
        <w:spacing w:after="0" w:line="17" w:lineRule="exact"/>
        <w:rPr>
          <w:rFonts w:ascii="Arial" w:cs="Arial" w:eastAsia="Arial" w:hAnsi="Arial"/>
          <w:sz w:val="7"/>
          <w:szCs w:val="7"/>
          <w:color w:val="auto"/>
        </w:rPr>
      </w:pPr>
    </w:p>
    <w:p>
      <w:pPr>
        <w:ind w:left="260" w:hanging="255"/>
        <w:spacing w:after="0"/>
        <w:tabs>
          <w:tab w:leader="none" w:pos="260"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Reflects restructuring charges primarily related to severance and related costs in connection with the January 2024 restructuring plan.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Reflects the gain recognized from the troubled debt restructuring from the Recapitalization Transactions completed in October 2025.</w:t>
      </w:r>
    </w:p>
    <w:p>
      <w:pPr>
        <w:spacing w:after="0" w:line="63"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6"/>
        </w:numPr>
        <w:rPr>
          <w:rFonts w:ascii="Arial" w:cs="Arial" w:eastAsia="Arial" w:hAnsi="Arial"/>
          <w:sz w:val="7"/>
          <w:szCs w:val="7"/>
          <w:color w:val="auto"/>
        </w:rPr>
      </w:pPr>
      <w:r>
        <w:rPr>
          <w:rFonts w:ascii="Arial" w:cs="Arial" w:eastAsia="Arial" w:hAnsi="Arial"/>
          <w:sz w:val="11"/>
          <w:szCs w:val="11"/>
          <w:color w:val="auto"/>
        </w:rPr>
        <w:t>Includes other (income) / expense recognized in the period.</w:t>
      </w:r>
    </w:p>
    <w:p>
      <w:pPr>
        <w:spacing w:after="0" w:line="96" w:lineRule="exact"/>
        <w:rPr>
          <w:rFonts w:ascii="Arial" w:cs="Arial" w:eastAsia="Arial" w:hAnsi="Arial"/>
          <w:sz w:val="7"/>
          <w:szCs w:val="7"/>
          <w:color w:val="auto"/>
        </w:rPr>
      </w:pPr>
    </w:p>
    <w:p>
      <w:pPr>
        <w:ind w:left="260" w:right="320" w:hanging="255"/>
        <w:spacing w:after="0" w:line="303" w:lineRule="auto"/>
        <w:tabs>
          <w:tab w:leader="none" w:pos="252" w:val="left"/>
        </w:tabs>
        <w:numPr>
          <w:ilvl w:val="0"/>
          <w:numId w:val="26"/>
        </w:numPr>
        <w:rPr>
          <w:rFonts w:ascii="Arial" w:cs="Arial" w:eastAsia="Arial" w:hAnsi="Arial"/>
          <w:sz w:val="7"/>
          <w:szCs w:val="7"/>
          <w:color w:val="auto"/>
        </w:rPr>
      </w:pPr>
      <w:r>
        <w:rPr>
          <w:rFonts w:ascii="Arial" w:cs="Arial" w:eastAsia="Arial" w:hAnsi="Arial"/>
          <w:sz w:val="11"/>
          <w:szCs w:val="11"/>
          <w:color w:val="auto"/>
        </w:rPr>
        <w:t>Includes gains / losses recognized in relation to foreign exchange, operating lease terminations and the related surrender of fixed assets (see “Note 6 - Leases – Lessee Accounting” in the Notes to the Condensed Consolidated Financial Statements).</w:t>
      </w:r>
    </w:p>
    <w:p>
      <w:pPr>
        <w:spacing w:after="0" w:line="17" w:lineRule="exact"/>
        <w:rPr>
          <w:rFonts w:ascii="Arial" w:cs="Arial" w:eastAsia="Arial" w:hAnsi="Arial"/>
          <w:sz w:val="7"/>
          <w:szCs w:val="7"/>
          <w:color w:val="auto"/>
        </w:rPr>
      </w:pPr>
    </w:p>
    <w:p>
      <w:pPr>
        <w:ind w:left="240" w:hanging="235"/>
        <w:spacing w:after="0"/>
        <w:tabs>
          <w:tab w:leader="none" w:pos="240"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have reported net income from operations of $ 76.5 million and $ 24.0 million for the three and nine months ended October 31, 2025, respectively, due to the recognition of a Gain on Debt Restructuring of $96.3 million during the three months ended October 31, 2025. Prior to the third quarter of fiscal year 2025, the Company incurred significant recurring net losses since inception and has an accumulated deficit of $(1,099.0) million as of October 31, 2025. The Company has historically relied upon debt and equity financing to fund our operations. Our cash flows from operations for the nine months ended October 31, 2025 were $(3.6) million. Cash outflows from investing activities were $(42.9) million for the nine months ended October 31, 2025. As of October 31, 2025, we had cash and cash equivalents of $50.7 million, restricted cash of $8.7 million, current liabilities of $68.6 million as of October 31, 2025 and long-term debt of $159.1 million with a maturity date in October 2029. We currently expect that our cash and cash equivalents balance will decline in fiscal year 2025 as a result of our business plans and strategy to significantly increase the quantity and desirability of rental product available to our customers.</w:t>
      </w:r>
    </w:p>
    <w:p>
      <w:pPr>
        <w:spacing w:after="0" w:line="152"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We are a borrower under a loan agreement with CHS (US) Management LLC (as successor in interest to Double Helix Pte Ltd.) as administrative agent for Temasek Holdings, and CHS US Investments LLC, as lender (following a debt assignment from Double Helix Pte Ltd. in March 2025). In January 2023, we entered into an amendment and restatement of such facility (the “2022 Amended Temasek Facility”). The 2022 Amended Temasek Facility extended the maturity date from October 2024 to October 2026, reduced cash interest payments by over $ 20 million for the two succeeding fiscal years while the total interest rate remained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 Temasek Facility. The 2023 Amended Temasek Facility eliminated all interest</w:t>
      </w:r>
    </w:p>
    <w:p>
      <w:pPr>
        <w:spacing w:after="0" w:line="3" w:lineRule="exact"/>
        <w:rPr>
          <w:sz w:val="20"/>
          <w:szCs w:val="20"/>
          <w:color w:val="auto"/>
        </w:rPr>
      </w:pPr>
    </w:p>
    <w:p>
      <w:pPr>
        <w:ind w:right="240"/>
        <w:spacing w:after="0" w:line="229" w:lineRule="auto"/>
        <w:rPr>
          <w:sz w:val="20"/>
          <w:szCs w:val="20"/>
          <w:color w:val="auto"/>
        </w:rPr>
      </w:pPr>
      <w:r>
        <w:rPr>
          <w:rFonts w:ascii="Arial" w:cs="Arial" w:eastAsia="Arial" w:hAnsi="Arial"/>
          <w:sz w:val="14"/>
          <w:szCs w:val="14"/>
          <w:color w:val="auto"/>
        </w:rPr>
        <w:t>(payment-in-kind and cash interest) for six full fiscal quarters beginning with the fourth quarter of fiscal year 2023, reduced the minimum liquidity maintenance covenant from $50 million to $30 million, and provided that the Company may not exceed mutually agreed upon quarterly and annual spend levels for rental product capital, fixed operating, and</w:t>
      </w:r>
    </w:p>
    <w:p>
      <w:pPr>
        <w:ind w:right="100"/>
        <w:spacing w:after="0" w:line="241" w:lineRule="auto"/>
        <w:rPr>
          <w:sz w:val="20"/>
          <w:szCs w:val="20"/>
          <w:color w:val="auto"/>
        </w:rPr>
      </w:pPr>
      <w:r>
        <w:rPr>
          <w:rFonts w:ascii="Arial" w:cs="Arial" w:eastAsia="Arial" w:hAnsi="Arial"/>
          <w:sz w:val="14"/>
          <w:szCs w:val="14"/>
          <w:color w:val="auto"/>
        </w:rPr>
        <w:t>marketing expenditures during fiscal year 2024 of $ 51 million, $100 million (excluding $10 million of specified permitted expenditures), and $30 million, respectively, on an annual basis, and to-be-agreed levels for fiscal years 2025 and 2026, subject to the debt holders’ consent and certain exceptions. The quarterly and annual spend levels for rental product capital, fixed operating, and marketing expenditures for fiscal year 2025 were eliminated under the Fourteenth Amendment to the debt facility. In fiscal year 2025, we have incurred cash and paid-in-kind interest beginning May 1, 2025. For a description of the terms of our current and prior credit agreements, see “Note 8 – Long-Term Debt” in the Notes to the Condensed Consolidated Financial Statements.</w:t>
      </w:r>
    </w:p>
    <w:p>
      <w:pPr>
        <w:spacing w:after="0" w:line="164"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On October 28, 2025, the Company completed the previously announced recapitalization transactions to enhance the Company’s financial position and financial flexibility by significantly reducing its existing indebtedness, improving its borrowing rate and extending the maturity of its remaining indebtedness. The Company’s lender exchanged $100 million of existing outstanding indebtedness on a dollar-for-dollar cashless basis for new term loans under the New Credit Agreement and exchanged the remaining indebtedness for 26,175,193 newly issued shares of the Company’s Class A Common Stock. The Investor Group also provided an additional $20 million of new term loans under the New Credit Agreement, resulting in a total aggregate principal amount of $120 million. The Company’s minimum liquidity maintenance covenant was also reduced from $30 million to $15 million until February 20, 2027.</w:t>
      </w:r>
    </w:p>
    <w:p>
      <w:pPr>
        <w:spacing w:after="0" w:line="16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On May 28, 2024, we filed a “shelf” registration statement on Form S-3 (Reg. No. 333-279757) with the SEC, which was declared effective on June 6, 2024. This shelf registration statement, which includes a base prospectus, allows us at any time to offer any combination of securities described in the prospectus in one or more offerings for our own account in</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an aggregate amount up to $40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 we will be able to raise additional capital which could negatively affect our liquidity in the future. In the event that additional financing is required from outside sources, we may not be able to negotiate terms acceptable to us or at</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all. If this occurs, our repayment obligations under the 2025 Amended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w:t>
      </w:r>
    </w:p>
    <w:p>
      <w:pPr>
        <w:spacing w:after="0"/>
        <w:rPr>
          <w:sz w:val="20"/>
          <w:szCs w:val="20"/>
          <w:color w:val="auto"/>
        </w:rPr>
      </w:pPr>
      <w:r>
        <w:rPr>
          <w:rFonts w:ascii="Arial" w:cs="Arial" w:eastAsia="Arial" w:hAnsi="Arial"/>
          <w:sz w:val="14"/>
          <w:szCs w:val="14"/>
          <w:color w:val="auto"/>
        </w:rPr>
        <w:t>of operations, financial condition, and cash flows would be adversely affected.</w:t>
      </w:r>
    </w:p>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future capital requirements will depend on many factors, including, but not limited to, demand for our business, rental product spend (including expected increases in rental product spend due to our planned increase in rental product unit purchases in fiscal year 2025) and the timing of investments in technology and personnel to support the overall growth of our business. We believe our existing cash and cash equivalents, and cash generated from our operations, will be sufficient to sustain our business operations, to satisfy our debt service obligations, and to comply with our debt covenants for at least the next twelve months from the date of this Form 10-Q, assuming the Recapitalization Transactions close.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19" w:lineRule="exact"/>
        <w:rPr>
          <w:sz w:val="20"/>
          <w:szCs w:val="20"/>
          <w:color w:val="auto"/>
        </w:rPr>
      </w:pPr>
    </w:p>
    <w:p>
      <w:pPr>
        <w:jc w:val="center"/>
        <w:ind w:left="8220"/>
        <w:spacing w:after="0"/>
        <w:rPr>
          <w:sz w:val="20"/>
          <w:szCs w:val="20"/>
          <w:color w:val="auto"/>
        </w:rPr>
      </w:pPr>
      <w:r>
        <w:rPr>
          <w:rFonts w:ascii="Arial" w:cs="Arial" w:eastAsia="Arial" w:hAnsi="Arial"/>
          <w:sz w:val="11"/>
          <w:szCs w:val="11"/>
          <w:b w:val="1"/>
          <w:bCs w:val="1"/>
          <w:color w:val="auto"/>
        </w:rPr>
        <w:t>Nine Months Ended</w:t>
      </w:r>
    </w:p>
    <w:p>
      <w:pPr>
        <w:jc w:val="center"/>
        <w:ind w:left="8220"/>
        <w:spacing w:after="0"/>
        <w:rPr>
          <w:sz w:val="20"/>
          <w:szCs w:val="20"/>
          <w:color w:val="auto"/>
        </w:rPr>
      </w:pPr>
      <w:r>
        <w:rPr>
          <w:rFonts w:ascii="Arial" w:cs="Arial" w:eastAsia="Arial" w:hAnsi="Arial"/>
          <w:sz w:val="11"/>
          <w:szCs w:val="11"/>
          <w:b w:val="1"/>
          <w:bCs w:val="1"/>
          <w:color w:val="auto"/>
        </w:rPr>
        <w:t>October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2024</w:t>
            </w:r>
          </w:p>
        </w:tc>
      </w:tr>
      <w:tr>
        <w:trPr>
          <w:trHeight w:val="150"/>
        </w:trPr>
        <w:tc>
          <w:tcPr>
            <w:tcW w:w="8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Borders>
              <w:bottom w:val="single" w:sz="8" w:color="auto"/>
            </w:tcBorders>
          </w:tcPr>
          <w:p>
            <w:pPr>
              <w:spacing w:after="0"/>
              <w:rPr>
                <w:sz w:val="13"/>
                <w:szCs w:val="13"/>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$(46.5) million for the nine months ended October 31, 2025 and $(9.3) million for the nine months ended October 31, 2024. The cash consumption of the business was higher in the first three quarters of fiscal year 2025 compared with the same period of fiscal year 2024 primarily due to higher purchases of rental product and higher net loss, excluding the Gain on Debt Restructuring, compared to the prior period. The sum of net cash used in operating activities and net cash used in investing activities, as a percentage of revenue, was (19.5)% for the nine months ended October 31, 2025 and (4.0)% for the nine months ended October 31, 2024.</w:t>
      </w:r>
    </w:p>
    <w:p>
      <w:pPr>
        <w:spacing w:after="0" w:line="150" w:lineRule="exact"/>
        <w:rPr>
          <w:sz w:val="20"/>
          <w:szCs w:val="20"/>
          <w:color w:val="auto"/>
        </w:rPr>
      </w:pPr>
    </w:p>
    <w:p>
      <w:pPr>
        <w:spacing w:after="0" w:line="246"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nine months ended October 31, 2025, net cash provided by operating activities was $ (3.6) million, which consisted</w:t>
      </w:r>
      <w:r>
        <w:rPr>
          <w:rFonts w:ascii="Arial" w:cs="Arial" w:eastAsia="Arial" w:hAnsi="Arial"/>
          <w:sz w:val="14"/>
          <w:szCs w:val="14"/>
          <w:b w:val="1"/>
          <w:bCs w:val="1"/>
          <w:color w:val="auto"/>
        </w:rPr>
        <w:t xml:space="preserve"> </w:t>
      </w:r>
      <w:r>
        <w:rPr>
          <w:rFonts w:ascii="Arial" w:cs="Arial" w:eastAsia="Arial" w:hAnsi="Arial"/>
          <w:sz w:val="14"/>
          <w:szCs w:val="14"/>
          <w:color w:val="auto"/>
        </w:rPr>
        <w:t>of a net income of $24.0 million, non-cash items of $(19.1) million, reclassification of the proceeds from the sale of rental product of $19.7 million and a net change of $11.2 million in our operating assets and liabilities. The non-cash items were primarily comprised of a Gain on Debt Restructuring of $96.3 million, $44.2 million of rental product depreciation and write-off expenses, $22.2 million of payment-in-kind interest, $3.8 million of share-based compensation, $(0.8) million of debt discount amortization, and $7.8 million of other fixed and intangible asset depreciation.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For the nine months ended October 31, 2024, net cash used in operating activities was $11.5 million, which consisted of a net loss of $(56.5) million, offset by non-cash charges of $85.6 million, reclassification of the proceeds from the sale of rental product of $ 20.1 million and a net change of $2.5 million in our operating assets and liabilities. The non-cash charges were primarily comprised of $ 48.2 million of rental product depreciation and write-off expenses, $7.6 million of share-based compensation, $20.0 million of debt discount amortization, and $9.8 million of other fixed and intangible asset depreciation.</w:t>
      </w:r>
    </w:p>
    <w:p>
      <w:pPr>
        <w:spacing w:after="0" w:line="138"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nine months ended October 31, 2025, net cash used in investing activities was $(42.9) million, primarily consisting</w:t>
      </w:r>
      <w:r>
        <w:rPr>
          <w:rFonts w:ascii="Arial" w:cs="Arial" w:eastAsia="Arial" w:hAnsi="Arial"/>
          <w:sz w:val="14"/>
          <w:szCs w:val="14"/>
          <w:b w:val="1"/>
          <w:bCs w:val="1"/>
          <w:color w:val="auto"/>
        </w:rPr>
        <w:t xml:space="preserve"> </w:t>
      </w:r>
      <w:r>
        <w:rPr>
          <w:rFonts w:ascii="Arial" w:cs="Arial" w:eastAsia="Arial" w:hAnsi="Arial"/>
          <w:sz w:val="14"/>
          <w:szCs w:val="14"/>
          <w:color w:val="auto"/>
        </w:rPr>
        <w:t>of $(61.9) million of purchases of rental product incurred in the period and $(2.9) million of purchases of fixed and intangible assets. The investment in rental product does not include an additional $(8.8) million of cost for units received in the current period but not yet paid for, but does include $2.7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$19.7 million of proceeds from the sale of owned rental product and $2.2 million of proceeds from the liquidation of rental product.</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For the nine months ended October 31, 2024, net cash used in investing activities was $(20.8) million, primarily consisting of $ (41.4) million of purchases of rental product incurred in the period and $(2.9) million of purchases of fixed and intangible assets. The investment in rental product did not include an additional $(6.7) million of cost for units received in the current period but not yet paid for, but did include $1.4 million of cost for units paid for in the current period but received in the prior period (see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$20.1 million of proceeds from the sale of owned rental products and $3.4 million of proceeds from the liquidation of rental product.</w:t>
      </w:r>
    </w:p>
    <w:p>
      <w:pPr>
        <w:spacing w:after="0" w:line="142"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nine months ended October 31, 2025, net cash provided by financing activities was $19.4 million, primarily due</w:t>
      </w:r>
      <w:r>
        <w:rPr>
          <w:rFonts w:ascii="Arial" w:cs="Arial" w:eastAsia="Arial" w:hAnsi="Arial"/>
          <w:sz w:val="14"/>
          <w:szCs w:val="14"/>
          <w:b w:val="1"/>
          <w:bCs w:val="1"/>
          <w:color w:val="auto"/>
        </w:rPr>
        <w:t xml:space="preserve"> </w:t>
      </w:r>
      <w:r>
        <w:rPr>
          <w:rFonts w:ascii="Arial" w:cs="Arial" w:eastAsia="Arial" w:hAnsi="Arial"/>
          <w:sz w:val="14"/>
          <w:szCs w:val="14"/>
          <w:color w:val="auto"/>
        </w:rPr>
        <w:t>to net cash proceeds from the recapitalization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 months ended October 31, 2024, net cash used in financing activities was $(1.6) million, consisting of other financing payments.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The quarterly and annual spend levels for rental product capital, fixed operating, and marketing expenditures for fiscal year 2025 were eliminated under the Fourteenth Amendment to the debt facility. As of October 31, 2025, we had approximately $159.1 million of total debt outstanding, none of which matures within the next 12 months. See “Note 8 — Long-Term Debt” in the Notes to the Condensed Consolidated Financial Statements for more information. In October 2025, the Company completed the previously announced recapitalization transactions to enhance the Company’s financial position and financial flexibility by significantly reducing its existing indebtedness, improving its borrowing rate and extending the maturity of its remaining indebtedness. See “Note 4 — Recapitalization Transactions” in the Notes to the Condensed Consolidated Financial Statements for more information. See “Note 6 – Leases – Lessee Accounting” in the Notes to the Condensed Consolidated Financial Statements for our minimum fixed lease obligations under existing lease agreements as of October 31, 2025. See “Note 16 - Commitments and Contingencies” in the Notes to the Condensed Consolidated Financial Statements for our minimum purchase commitments for technology services as of October 31, 2025.</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Our critical accounting estimates are described under the heading “Management’s Discussion and Analysis of Financial Condition and Results of Operations-Critical Accounting Estimates” in our 2024 Annual Report on Form 10-K. In the nine months ended October 31, 2025, there were no material changes to our critical accounting estimates from those discussed in our 2024 Annual Report on Form 10-K except as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Interim Impairment Evaluation</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161"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Given the Company’s stock price decline during the first three quarters of fiscal year 2025 and fourth quarter of fiscal year 2024, the Company concluded a triggering event had occurred and performed an impairment analysis of its long-lived assets as of October 31, 2025 and January 31, 2025. Based on the quantitative assessments performed, undiscounted cash flows expected to be generated by the use and eventual disposition of the Company’s long-lived assets exceeded their carrying values and therefore no impairment was recognized for the nine months ended October 31, 2025 and year ended January 31, 2025.</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Our quantitative and qualitative disclosures about market risk are described under the heading “Quantitative and Qualitative Disclosures About Market Risk” in our 2024 Annual Report on Form 10-K. In the three months ended October 31, 2025, there were no material changes to our quantitative and qualitative disclosures about market risk from those discussed in our 2024 Annual Report on Form 10-K.</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October 31, 2025 because of the material weaknesses in our internal control over financial reporting described below.</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Weaknesses in Internal Control Over Financial Reporting</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October 31, 2025, these material weaknesses remain unremediated.</w:t>
      </w:r>
    </w:p>
    <w:p>
      <w:pPr>
        <w:spacing w:after="0" w:line="4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The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61"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October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The information contained in “Note 16 — Commitments and Contingencies” in the Notes to the Condensed Consolidated Financial Statements is incorporated by reference into this Item.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the Recapitalization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realize all of the anticipated benefits of the Recapitalization Transactions, or those benefits may be short-lived or insufficient for our future needs.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On October 28, 2025, we closed the Recapitalization Transactions to strengthen our financial position and financial flexibility by significantly reducing our existing indebtedness and adding capital to the business. See “Note 3 - Liquidity” and “Note 4 - Recapitalization Transactions” in the Notes to the Condensed Consolidated Financial Statements for more information. We may fail to fully realize the anticipated benefits of the Recapitalization Transactions or such benefits may be short-lived or insufficient for our future needs due to factors within or outside our control. Our ability to continue to grow our business depends, among other things, upon our ability to successfully execute on our business strategies, hire, retain and motivate key talent, obtain financing for our capital needs, scale our systems efficiently and effectively, control costs, comply with our debt covenants, and manage the pressures on our management and administrative, operational and financial infrastructure. If we fail to realize the anticipated benefits of the Recapitalization Transactions, or if those benefits are short-lived or insufficient for our future needs, it could have an adverse effect on our business, financial condition and results of operations.</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Upon the closing of the Recapitalization Transactions, we entered into an amended and restated credit agreement (the “New Credit Agreement”), by and among the Company, as borrower, CHS (US) Management LLC, as administrative agent (the “Agent”), and CHS US Investments LLC (“Lender”), Gateway Runway, LLC (“Nexus”) and S3 RR Aggregator, LLC, as lenders (“STORY3” and, collectively with Lender and Nexus, the “Investor Group”). The New Credit Agreement amended and restated our prior credit agreement, dated as of July 23, 2018, by and among the Company, as borrower, the lenders from time to time party thereto and the Agent (as successor-in-interest to Double Helix Pte Ltd.) the “Prior Credit Agreement”). The New Credit Agreement contains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particularly the liquidity covenant, which resets to $30 million in February 2027, could decrease our operating flexibility and our ability to achieve our operating objectives,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Further, in the past we have sought waivers and/or concessions from our Lender to ensure our continued compliance with certain covenants under our Prior Credit Agreement, and we may in the future be unable to comply with the covenants under the New Credit Agreement. If we were unable to comply with our covenants and successfully negotiate with the Investor Group for a waiver or dispensation of such covenants under the New Credit Agreement, Agent would have the right to accelerate repayment of all outstanding obligations under the New Credit Agreement, which would become immediately due and payable, and exercise all other rights and remedies available under the New Credit Agreement. While our Lender has previously granted waivers or entered into amendments to the Prior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the covenants under the New Credit Agreement and negotiate with the Investor Group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manage our Board transition and related changes could materially adversely affect our business.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To facilitate the Recapitalization Transactions, the Board has been restructured, including new and departing members, changes to the Audit Committee composition, and the designation of Mr. Fonseca as Executive Chair, and this transition may cause temporary uncertainty and disruption. Additionally, the Investor Group has indicated that it is continuing to use commercially reasonable efforts to identify and designate a third Investor Group director to the Board, which could take place in the near future.</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potential uncertainty and disruption resulting from the Board transition and related changes, along with the ongoing efforts to identify a third Investor Group director, could have an adverse effect on our business, financial condition and results of operations. For more information on the Board transition, see “Note 4 - Recapitalization Transactions” in the Notes to the Condensed Consolidated Financial Statements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18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must continue to drive revenue growth to be successful. To effectively drive growth, we must continue to enhance customer experience and attract and retain customers (particularly subscribers), invest in inventory, iterate our subscription products, manage the interplay between our various offerings,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60"/>
        <w:spacing w:after="0"/>
        <w:rPr>
          <w:sz w:val="20"/>
          <w:szCs w:val="20"/>
          <w:color w:val="auto"/>
        </w:rPr>
      </w:pPr>
      <w:r>
        <w:rPr>
          <w:rFonts w:ascii="Arial" w:cs="Arial" w:eastAsia="Arial" w:hAnsi="Arial"/>
          <w:sz w:val="14"/>
          <w:szCs w:val="14"/>
          <w:color w:val="auto"/>
        </w:rPr>
        <w:t>Our growth strategy is focused on continuing to grow, engage, and retain our subscriber and customer base, investing in inventory, expanding our brand partner relationships and non-Wholesale procurement channels, efficiently managing our advertising and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Although we often highlight certain subscription plans over others in an attempt to optimize conversion, we cannot be certain that these updates will be successful. Also,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significant portion of subscribers beyond the existing monthly subscription periods. In addition, any limitation or restriction imposed on our ability to bill our subscribers on a recurring basis, enforce our terms of service or collect data or deliver relevant promotions or media, whether due to new regulations or otherwise, may significantly lower our subscription</w:t>
      </w:r>
    </w:p>
    <w:p>
      <w:pPr>
        <w:ind w:right="20"/>
        <w:spacing w:after="0" w:line="239" w:lineRule="auto"/>
        <w:rPr>
          <w:sz w:val="20"/>
          <w:szCs w:val="20"/>
          <w:color w:val="auto"/>
        </w:rPr>
      </w:pPr>
      <w:r>
        <w:rPr>
          <w:rFonts w:ascii="Arial" w:cs="Arial" w:eastAsia="Arial" w:hAnsi="Arial"/>
          <w:sz w:val="14"/>
          <w:szCs w:val="14"/>
          <w:color w:val="auto"/>
        </w:rPr>
        <w:t>retention rate. We also offer our customers the option to rent or buy items via our Reserve offering and Resale offering, respectively, which we believe is a strong competitive advantage but adds complexity to our business that we must effectively manage to drive growth. For example, our Resale strategy shifts from time to time to optimize inventory in-stock and revenue by reducing or increasing our units sold via Resale. Further, in fiscal year 2025, we have focused on active subscriber growth and have experienced weakness in Reserve. Our Subscription plans and offerings do not have demonstrably long track records of success and may not grow as much or as fast as we expect. For example, our active subscriber count decreased year-over-year in fiscal year 2024 and, although we are focused on growth initiatives, may continue to decline in the future. In addition, our number of active subscribers may be higher or lower than the number of our actual individual subscribers, because some active subscribers may have multiple accounts (such as for professional and personal purposes), or some may share their plans with other individuals. Although we anticipate an increase in our year-over-year revenue growth rate in fiscal year 2025, if our growth and/or growth rates do not meet expectations, the perception of our business, financial condition and results of operations by investors and our third-party service providers and brand partners may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price our Subscription, Reserve and Resale offerings so that we are able to attract new customers, and retain and expand our relationships with existing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w:t>
      </w:r>
    </w:p>
    <w:p>
      <w:pPr>
        <w:spacing w:after="0" w:line="93" w:lineRule="exact"/>
        <w:rPr>
          <w:rFonts w:ascii="Arial" w:cs="Arial" w:eastAsia="Arial" w:hAnsi="Arial"/>
          <w:sz w:val="14"/>
          <w:szCs w:val="14"/>
          <w:color w:val="auto"/>
        </w:rPr>
      </w:pPr>
    </w:p>
    <w:p>
      <w:pPr>
        <w:ind w:left="580" w:right="7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maintain and grow our Share by RTR and Exclusive Design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effectively manage our customer acquisition funnel to avoid disruption to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 effective and efficient in our paid marketing;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 and</w:t>
      </w:r>
    </w:p>
    <w:p>
      <w:pPr>
        <w:spacing w:after="0" w:line="93" w:lineRule="exact"/>
        <w:rPr>
          <w:rFonts w:ascii="Arial" w:cs="Arial" w:eastAsia="Arial" w:hAnsi="Arial"/>
          <w:sz w:val="14"/>
          <w:szCs w:val="14"/>
          <w:color w:val="auto"/>
        </w:rPr>
      </w:pPr>
    </w:p>
    <w:p>
      <w:pPr>
        <w:ind w:left="580" w:right="30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cybersecurity incidents and other factors that could affect our physical and digital infrastructure.</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spacing w:after="0" w:line="13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Further, our cash position and minimum liquidity covenant in our New Credit Agreement may limit our ability to invest sufficiently in future growth initiatives, including, but not limited to, funding marketing initiatives and procuring inventory.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p>
    <w:p>
      <w:pPr>
        <w:spacing w:after="0" w:line="92"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how effectively differentiated our offerings, customer experience and value proposition are from those of our competitors;</w:t>
      </w:r>
    </w:p>
    <w:p>
      <w:pPr>
        <w:spacing w:after="0" w:line="93" w:lineRule="exact"/>
        <w:rPr>
          <w:rFonts w:ascii="Arial" w:cs="Arial" w:eastAsia="Arial" w:hAnsi="Arial"/>
          <w:sz w:val="14"/>
          <w:szCs w:val="14"/>
          <w:color w:val="auto"/>
        </w:rPr>
      </w:pPr>
    </w:p>
    <w:p>
      <w:pPr>
        <w:ind w:left="580" w:right="400" w:hanging="193"/>
        <w:spacing w:after="0" w:line="290" w:lineRule="auto"/>
        <w:tabs>
          <w:tab w:leader="none" w:pos="5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manage the interplay between our offerings, and attract and retain customers;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 and to merchandise it effectively;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price at which we offer our Subscription, Reserve and Resale offerings and our ability to optimize pricing;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240" w:hanging="193"/>
        <w:spacing w:after="0" w:line="290"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Furthermore,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3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our failure to achieve broad acceptance and changes in the fashion retail markets could result in lost market share and have a material adverse effect on our business, financial condition, and results of operations.</w:t>
      </w:r>
    </w:p>
    <w:p>
      <w:pPr>
        <w:spacing w:after="0" w:line="207" w:lineRule="exact"/>
        <w:rPr>
          <w:sz w:val="20"/>
          <w:szCs w:val="20"/>
          <w:color w:val="auto"/>
        </w:rPr>
      </w:pPr>
    </w:p>
    <w:p>
      <w:pPr>
        <w:ind w:right="74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volatility in the financial markets;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in the past and have seen negative impacts on customer demand as a result.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geopolitical conditions, including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2"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uncertainty, or acute recession, significant inflation, or increased supply chain shortages, consumer spending habits could be adversely affected, and we could experience lower than expected revenue, net income, cash flows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27"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fluctuate based on our level of investment and success in our organic and paid marketing initiatives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37"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re-engaging lapsed and paused customers, retaining existing customers and growing our base of new customers. In addition, we continue to focus on growing traffic and conversion rates by optimizing our organic social media channels, by improving our email marketing performance, by refreshing our lifecycle marketing engine, by increasing paid marketing efficiency, and by focusing on our search engine ranking for relevant keywords. These efforts are ongoing and, although we have seen some positive results, they are subject to change and may not result in a sustained increase in customer conversion, loyalty or engagement. As a result, our levels of paid and organic growth may continue to fluctuate and/or overall growth may decline.</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Paid marketing is a part of our growth strategy and we may determine that significant investment in marketing will be required in the future. However, we reduced our marketing spend, particularly in paid marketing, in fiscal year 2024, which resulted in lower customer acquisitions and revenue.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continued to experience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58"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utilize promotional pricing to attract customers and subscribers who may have heightened price sensitivity and who may not be willing to pay full price for our offering when the promotion period expires. For example, we have observed that subscribers who receive steep discounts have higher rates of cancellation. In the first half of 2025, we provided a free membership month to certain new and lapsed customers, who may or may not continue their subscription when their free month expires. Our promotional strategy changes regularly and is subject to experimentation.We expect that we will continue to adjust our promotional policies in response to our business objectives and market conditions. Our business performance may be adversely impacted if our promotional strategy is not effective at attracting and retaining customers.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changes in the macroeconomic environment;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merchandising, and inventory availability;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reliability;</w:t>
      </w:r>
    </w:p>
    <w:p>
      <w:pPr>
        <w:spacing w:after="0" w:line="93" w:lineRule="exact"/>
        <w:rPr>
          <w:rFonts w:ascii="Arial" w:cs="Arial" w:eastAsia="Arial" w:hAnsi="Arial"/>
          <w:sz w:val="14"/>
          <w:szCs w:val="14"/>
          <w:color w:val="auto"/>
        </w:rPr>
      </w:pPr>
    </w:p>
    <w:p>
      <w:pPr>
        <w:ind w:left="580" w:right="56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level of our investment in marketing and the success of our marketing strategies and tactics, including changes in efficiency of our historic or current customer acquisition methods;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future outbreak of disease or public health concern, such as COVID-19; and</w:t>
      </w:r>
    </w:p>
    <w:p>
      <w:pPr>
        <w:spacing w:after="0" w:line="93" w:lineRule="exact"/>
        <w:rPr>
          <w:rFonts w:ascii="Arial" w:cs="Arial" w:eastAsia="Arial" w:hAnsi="Arial"/>
          <w:sz w:val="14"/>
          <w:szCs w:val="14"/>
          <w:color w:val="auto"/>
        </w:rPr>
      </w:pPr>
    </w:p>
    <w:p>
      <w:pPr>
        <w:ind w:left="580" w:right="50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failure (or perceived failure) to meet different and sometimes conflicting stakeholder expectations regarding our environmental, social and governance (“ESG”), initiatives.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we may experience negative publicity and word-of-mouth and other referrals may be hampered. For example, in August 2025 we implemented a price increase for our subscription plans. If our customers no longer perceive our subscription plans as appropriately priced and cancel or pause their subscriptions, our business and financial results could be harmed. We are focused on investing in our customer’s experience and delivering even more value to her, including by focusing on nearly doubling our inventory selection in fiscal year 2025 and emphasizing the value proposition of our offering in our marketing materials, among other initiatives; however these or other initiatives to retain customers may not be successful at improving customer satisfaction, subscriber retention and/or</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revenues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w:t>
      </w:r>
    </w:p>
    <w:p>
      <w:pPr>
        <w:spacing w:after="0"/>
        <w:rPr>
          <w:sz w:val="20"/>
          <w:szCs w:val="20"/>
          <w:color w:val="auto"/>
        </w:rPr>
      </w:pPr>
      <w:r>
        <w:rPr>
          <w:rFonts w:ascii="Arial" w:cs="Arial" w:eastAsia="Arial" w:hAnsi="Arial"/>
          <w:sz w:val="14"/>
          <w:szCs w:val="14"/>
          <w:color w:val="auto"/>
        </w:rPr>
        <w:t>other reasons. If customers downgrade their subscriptions or make fewer or lower priced rentals, our financial results could be negatively affected.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had a net income (loss) of $24.0 million and $(69.9) million for the nine months ended October 31, 2025 and year ended January 31, 2025, respectively, and have in the past had net losses. We reported net income for the three and nine months ended October 31, 2025 due to the recognition of a Gain on Debt Restructuring of $96.3 million during the three months ended October 31, 2025. As of October 31, 2025, we had an accumulated deficit of $(1,099.0) million. Further, for a variety of reasons, it is difficult for us to predict our future operating results. We will need to generate and sustain increased revenue and manage our costs to achieve profitability. Even if we do, we may not be able to sustain or increase our profitability.</w:t>
      </w:r>
    </w:p>
    <w:p>
      <w:pPr>
        <w:spacing w:after="0" w:line="14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recent years, we have taken significant steps to reduce our operating costs, improve our margins, and make progress towards profitability. We expect fiscal year 2025 to be a year of investment as we plan to significantly increase the amount of new inventory we acquire and, therefore, expect to increase our net losses year-over-year, excluding the Gain on Debt Restructuring discussed above. We may also continue to generate net losses in order to:</w:t>
      </w:r>
    </w:p>
    <w:p>
      <w:pPr>
        <w:spacing w:after="0" w:line="53"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enhance our current offerings and develop new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00"/>
        <w:spacing w:after="0" w:line="299" w:lineRule="auto"/>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4"/>
          <w:szCs w:val="14"/>
          <w:color w:val="auto"/>
        </w:rPr>
        <w:t>.</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We may misjudge demand and over or under purchase rental product. In addition, external events may disrupt or change customer preferences and behaviors in ways we are not able to anticipate. Lower availability, including depth and breadth levels, has negatively impacted active subscriber retention in the past. Although we expect to nearly double the new inventory added to our site year-over-year in fiscal year 2025, we anticipate quarterly fluctuations to occur due to the timing of our purchases, seasonality and other factors within or outside of our control, which may negatively impact customer retention and, therefore, revenue. Any future decreases in our rental product availability levels, including in connection with other business objectives, may negatively impact active subscribers.</w:t>
      </w:r>
    </w:p>
    <w:p>
      <w:pPr>
        <w:spacing w:after="0" w:line="15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25"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w:t>
      </w:r>
    </w:p>
    <w:p>
      <w:pPr>
        <w:spacing w:after="0" w:line="1" w:lineRule="exact"/>
        <w:rPr>
          <w:sz w:val="20"/>
          <w:szCs w:val="20"/>
          <w:color w:val="auto"/>
        </w:rPr>
      </w:pPr>
    </w:p>
    <w:p>
      <w:pPr>
        <w:ind w:right="380"/>
        <w:spacing w:after="0" w:line="253" w:lineRule="auto"/>
        <w:rPr>
          <w:sz w:val="20"/>
          <w:szCs w:val="20"/>
          <w:color w:val="auto"/>
        </w:rPr>
      </w:pPr>
      <w:r>
        <w:rPr>
          <w:rFonts w:ascii="Arial" w:cs="Arial" w:eastAsia="Arial" w:hAnsi="Arial"/>
          <w:sz w:val="14"/>
          <w:szCs w:val="14"/>
          <w:color w:val="auto"/>
        </w:rPr>
        <w:t>conditions or how primarily relying on a single national carrier may impact customer sentiment and satisfaction, which could lead to unanticipated costs and/or have a material adverse effect on our business and financial condition.</w:t>
      </w:r>
    </w:p>
    <w:p>
      <w:pPr>
        <w:spacing w:after="0" w:line="14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Customers who do not receive their orders in good condition or on time, or perceive our 3-day shipping promise as too slow, often become dissatisfied and even cease using our services, which may adversely affect our business and operating results if the issues become persistent or impact a significant amount of customers.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years, and these costs may increase in the future.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In addition, although we have achieved efficiencies in our supply chain operations in recent years, these efficiencies may not be sustainable or meet our broader business objectives. Increases in shipping costs, in particular for our primary shipping vendor, could result in increased costs to us and adversely impact our business. In addition, significant</w:t>
      </w:r>
    </w:p>
    <w:p>
      <w:pPr>
        <w:ind w:right="320"/>
        <w:spacing w:after="0" w:line="253" w:lineRule="auto"/>
        <w:rPr>
          <w:sz w:val="20"/>
          <w:szCs w:val="20"/>
          <w:color w:val="auto"/>
        </w:rPr>
      </w:pPr>
      <w:r>
        <w:rPr>
          <w:rFonts w:ascii="Arial" w:cs="Arial" w:eastAsia="Arial" w:hAnsi="Arial"/>
          <w:sz w:val="14"/>
          <w:szCs w:val="14"/>
          <w:color w:val="auto"/>
        </w:rPr>
        <w:t>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4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to offering the ability to return products by dropping off items with our primary third-party shipping vendor, we offer at-home pickup for customers located in multiple markets. Although we have had positive customer feedback and adoption to date, at-home pickup is a newer offering and may not be successful over the long-term.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acquire and manage our products effectively and plan for future expenses, our operating results could be adversely affected.</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rental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Brand partners have discontinued working with us in the past and a brand partner could choose to no longer work with us or provide less favorable terms for a variety of reasons in the future, including operating, financial, market and supply chain conditions or other factors within and outside of our control.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We have been focused on expanding our relationships with brand partners and continuing to develop our Exclusive Designs and Share by RTR arrangements, which are our more capital-efficient ways of acquiring rental product, particularly, in light of our 2025 inventory expansion strategy. For our Exclusive Designs, RTR traditionally has sourced the materials and relied upon third-party manufacturing partners to produce products; however, we have updated our Exclusive Designs model and, for fiscal year 2025, certain brands now source and manufacture the products themselves, which are exclusively available on our site for a period of time. This new Exclusive Designs approach is similar to the approach for Wholesale and Share by RTR items, for which we enter into contracts in advance of a particular season and brand partners frequently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more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the war between Russia and Ukraine have in the past led to,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4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whether accurate or not, negative publicity about our business, operations, or employees, and customer complaints have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42"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7"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If we are not able to continue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 w:cs="Arial" w:eastAsia="Arial" w:hAnsi="Arial"/>
          <w:sz w:val="14"/>
          <w:szCs w:val="14"/>
          <w:color w:val="auto"/>
        </w:rPr>
        <w:t>.</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include new software applications or related services based on artificial intelligence, augmented reality, machine learning, or robotics or more generally evolving trends in e-commerce. For example, we continue to focus on improving the performance and design of our website and mobile application for our customers;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to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48"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 For example, we are focused on enhancing the prospecting funnel on our website to optimize conversion. We have also recently introduced enhanced features such as a new rewards program and personalized home page. These new offerings and updates do not have demonstrably long track records of success for us and could result in higher costs, not meet our expectations and goals, and/or have other unforeseen impacts on the business. In addition, developing new offerings and services is complex, and the timetable for their public launch is difficult to predict and may vary from our expectations.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31"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fulfillment operations, and financial systems,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and financial systems,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a variety of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46"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renewed our lease in Secaucus, NJ in 2023,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35" w:lineRule="exact"/>
        <w:rPr>
          <w:rFonts w:ascii="Arial" w:cs="Arial" w:eastAsia="Arial" w:hAnsi="Arial"/>
          <w:sz w:val="14"/>
          <w:szCs w:val="14"/>
          <w:color w:val="auto"/>
        </w:rPr>
      </w:pPr>
    </w:p>
    <w:p>
      <w:pPr>
        <w:ind w:left="580" w:right="100" w:hanging="193"/>
        <w:spacing w:after="0" w:line="271"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93" w:lineRule="exact"/>
        <w:rPr>
          <w:rFonts w:ascii="Arial" w:cs="Arial" w:eastAsia="Arial" w:hAnsi="Arial"/>
          <w:sz w:val="14"/>
          <w:szCs w:val="14"/>
          <w:color w:val="auto"/>
        </w:rPr>
      </w:pPr>
    </w:p>
    <w:p>
      <w:pPr>
        <w:ind w:left="580" w:right="28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seasonality of our business;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We face risks arising from the restructuring of our operations, which could adversely affect our financial condition, results of operations, cash flows, or business reputation.</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have taken and plan to continue to take actions intended to drive efficiencies and maintain a cost structure that aligns with our business and financial objectives.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spacing w:after="0" w:line="53" w:lineRule="exact"/>
        <w:rPr>
          <w:sz w:val="20"/>
          <w:szCs w:val="20"/>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growth, cash flow and profitability goals;</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loss of institutional knowledge and/or employee expertise, which could lead to inefficiencies or business disruptions, some of which may be significant and our efforts to address may not be successful; and</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delay or failure to meet our operational standards, needs, or goals due to fewer employees, including potential single points of failure, or due to reduced or reallocated resources generally.</w:t>
      </w:r>
    </w:p>
    <w:p>
      <w:pPr>
        <w:spacing w:after="0" w:line="228" w:lineRule="exact"/>
        <w:rPr>
          <w:sz w:val="20"/>
          <w:szCs w:val="20"/>
          <w:color w:val="auto"/>
        </w:rPr>
      </w:pPr>
    </w:p>
    <w:p>
      <w:pPr>
        <w:ind w:right="400"/>
        <w:spacing w:after="0" w:line="299" w:lineRule="auto"/>
        <w:rPr>
          <w:sz w:val="20"/>
          <w:szCs w:val="20"/>
          <w:color w:val="auto"/>
        </w:rPr>
      </w:pPr>
      <w:r>
        <w:rPr>
          <w:rFonts w:ascii="Arial" w:cs="Arial" w:eastAsia="Arial" w:hAnsi="Arial"/>
          <w:sz w:val="14"/>
          <w:szCs w:val="14"/>
          <w:b w:val="1"/>
          <w:bCs w:val="1"/>
          <w:i w:val="1"/>
          <w:iCs w:val="1"/>
          <w:color w:val="auto"/>
        </w:rPr>
        <w:t>Scrutiny and evolving expectations from consumers, investors, regulators, policymakers, employees and other stakeholders regarding environmental, social and governance matters may adversely impact our business and reputation.</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There has been heightened and sometimes conflicting stakeholder focus, including by consumers, investors, regulators, policymakers, employees and other stakeholders, on ESG matters generally and with regard to the fashion industry specifically. We expect that this increased focus on ESG considerations will affect some aspects of our operations. This requires continuous monitoring of various and evolving laws, regulations, standards and expectations and any associated reporting requirements. Such laws, regulations, standards and expectations may result in additional costs to us or we may become subject to additional requirements in order to comply with them. These laws, regulations, standards and expectations may conflict with one another or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3"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Voluntary or required standards and research regarding ESG initiatives could change and become more onerous for both us and our third-party suppliers and vendors to meet successfully. Evolving data and research could undermine or refute ESG-related claims that we have made, which could also result in costs, a decrease in revenue and/or negative market perception that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242"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believe that our success and future growth depend largely upon the continued services of our senior management team, including our Co-Founder, Chief Executive Officer and President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Further, uncertainty during the current transition period following the Recapitalization Transactions, including the related Board transitions, or a perception that the new management incentive plan is not sufficiently motivating, could result in regrettable management attrition. The loss of one or more of our executive officers, the failure to appropriately manage executive transitions, or the failure by our executive team to effectively work with our new Board and our employees and lead our Company, could harm our business. We do not maintain key man life insurance with respect to any member of management or other employee.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technology (including product and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i) our stock price has declined significantly since our 2021 IPO and ii) we expect to grant equity awards to a smaller group of senior leaders going forward. If the perceived value of our equity awards is inadequate or experiences significant volatility, it may adversely affect our ability to recruit and retain key employees. Although we have implemented different types of programs with a goal of incentivizing our employees,,these programs and plans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309"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We have continued to shift to a more office-centric model in our New York City headquarters for our corporate employees.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challenges with employee morale, perception of our business and financial condition, challenging labor market conditions such as rising wages, and a decreased level of workforce participation. Our teams are generally leanly staffed, which means that the impact of lower levels of attrition can be felt more acutely than in larger organizations.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believe that our Company culture has been critical to our success. We aim to cultivate and maintain a workplace that is entrepreneurial, passionate, kind and positive, which we believe is essential to our growth and continued success. We face a number of challenges that may affect our ability to sustain our corporate culture, including:</w:t>
      </w:r>
    </w:p>
    <w:p>
      <w:pPr>
        <w:spacing w:after="0" w:line="35" w:lineRule="exact"/>
        <w:rPr>
          <w:sz w:val="20"/>
          <w:szCs w:val="20"/>
          <w:color w:val="auto"/>
        </w:rPr>
      </w:pPr>
    </w:p>
    <w:p>
      <w:pPr>
        <w:ind w:left="580" w:right="60" w:hanging="193"/>
        <w:spacing w:after="0" w:line="271"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to maintain and/or improve employee morale and engagement for a variety of reasons, including, but not limited to, our office-centric approach in our New York City headquarters, our prior restructurings, the perception of our business and financial condition, and our continued efforts to ensure a cost-conscious and efficient workforce that supports our growth and profitability goals;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evolving size, complexity and geographic diversity of our workforce, and our ability to promote a uniform and consistent culture across all our offices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hybrid working model for employees in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particular, we are focused on driving innovation and stronger business results by attracting top talent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272"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manufacturers increase their costs, our Exclusive Designs may not be as cost-effective for us or our brand partners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price or supply of the fabrics or raw materials used in the manufacture of the products we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offer, such as due to changes in global trade policies, tariffs and other measures that could restrict international trade or due to restrictions on Xinjiang cotton, we and/or our partners might not be able to locate alternative suppliers of materials of comparable quality at an acceptable price. In particular, there is significant uncertainty about the future relationship</w:t>
      </w:r>
    </w:p>
    <w:p>
      <w:pPr>
        <w:ind w:right="140"/>
        <w:spacing w:after="0" w:line="238" w:lineRule="auto"/>
        <w:rPr>
          <w:sz w:val="20"/>
          <w:szCs w:val="20"/>
          <w:color w:val="auto"/>
        </w:rPr>
      </w:pPr>
      <w:r>
        <w:rPr>
          <w:rFonts w:ascii="Arial" w:cs="Arial" w:eastAsia="Arial" w:hAnsi="Arial"/>
          <w:sz w:val="14"/>
          <w:szCs w:val="14"/>
          <w:color w:val="auto"/>
        </w:rPr>
        <w:t>between the United States and other countries with respect to global trade policies, tariffs and treatises. The United States has imposed significant new tariffs on China related to the importation of certain product categories, and other countries may change their business and trade policies in anticipation of or in response to the United States’s increased import tariffs and other changes in U.S. trade policies already enacted or that may be enacted in the future. Disruptions in the supply chain due to a variety of macroeconomic factors and the recent inflationary environment have increased raw material costs, impacted pricing of our products, and caused shipping delays. In addition to the general uncertainty and overall risk from changes in global trade policies, tariffs, treatises and supply chains, as we make business decisions in the face of such uncertainty, we may incorrectly anticipate the outcomes, miss out on business opportunities, or fail to effectively adapt our business strategies and manage the adjustments that are necessary in response to such changes. For example, to respond to inflationary and tariff pressures, in August 2025, we implemented increased prices for our subscription plans, which may negatively impact customer perception and/or retention. Any future developments of these issues, or the perception regarding such developments, could increase the costs associated with procuring inventory, negatively impact our brand partners’ business operations which could in turn negatively impact us, reduce the supply of materials used in the design and manufacture of our rental products; and negatively impact customer demand for our products, any of which could have a material adverse effect on our business, financial condition and results of operation.</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COVID-19 pandemic.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57"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55"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p>
    <w:p>
      <w:pPr>
        <w:spacing w:after="0" w:line="11" w:lineRule="exact"/>
        <w:rPr>
          <w:sz w:val="20"/>
          <w:szCs w:val="20"/>
          <w:color w:val="auto"/>
        </w:rPr>
      </w:pPr>
    </w:p>
    <w:p>
      <w:pPr>
        <w:ind w:right="20"/>
        <w:spacing w:after="0"/>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over time;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 business performance and/or current level of indebtedness may adversely impact efforts to raise additional capital. If we are unable to obtain adequate financing or financing on terms satisfactory to us, our ability to support</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w:t>
      </w:r>
    </w:p>
    <w:p>
      <w:pPr>
        <w:spacing w:after="0"/>
        <w:rPr>
          <w:sz w:val="20"/>
          <w:szCs w:val="20"/>
          <w:color w:val="auto"/>
        </w:rPr>
      </w:pPr>
      <w:r>
        <w:rPr>
          <w:rFonts w:ascii="Arial" w:cs="Arial" w:eastAsia="Arial" w:hAnsi="Arial"/>
          <w:sz w:val="14"/>
          <w:szCs w:val="14"/>
          <w:color w:val="auto"/>
        </w:rPr>
        <w:t>could limit our access to capital markets and increase our costs of borrowing.</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25"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 xml:space="preserve">As of October 31, 2025, we had $159.1 million aggregate principal amount of borrowings under a credit facility with CHS (US) Management LLC (as successor in interest to Double Helix Pte Ltd. as administrative agent for Temasek Holdings (as subsequently amended, the “2023 Amended Temasek Facility”). If we are unable to successfully manage our long-term debt obligations, our liquidity, results of operations, cash flows, and financial condition may be materially adversely impacted. See Risks Related to the Recapitalization Transactions, Note 4 </w:t>
      </w:r>
      <w:r>
        <w:rPr>
          <w:rFonts w:ascii="Arial" w:cs="Arial" w:eastAsia="Arial" w:hAnsi="Arial"/>
          <w:sz w:val="15"/>
          <w:szCs w:val="15"/>
          <w:color w:val="auto"/>
        </w:rPr>
        <w:t>—</w:t>
      </w:r>
      <w:r>
        <w:rPr>
          <w:rFonts w:ascii="Arial" w:cs="Arial" w:eastAsia="Arial" w:hAnsi="Arial"/>
          <w:sz w:val="14"/>
          <w:szCs w:val="14"/>
          <w:color w:val="auto"/>
        </w:rPr>
        <w:t xml:space="preserve"> Recapitalization Transactions and Note 8 — Long-Term Debt in the Notes to the Condensed Consolidated Financial Statements for more information on our indebtedness and the Recapitalization Transactions.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 xml:space="preserve">Our ability to make interest and principal payments and to fund our planned capital expenditures will depend on our ability to generate cash flows. Our ability to generate cash flows is, to a certain extent, subject to general economic, financial, competitive, legislative, regulatory and other factors that are beyond our control, such as an environment of rising or continuously high interest rates. To the extent we are impacted by macroeconomic trends, or other factors, including, but not limited to, lower demand for our business, increased rental product spend or tariffs, we plan to reduce fixed and variable costs accordingly and has established plans to preserve existing cash liquidity, which includes additional reductions to labor, operating expenses, and/or capital expenditures. However, these actions may not provide sufficient incremental liquidity to fund our debt service obligations when they become current. If our cash flows, capital resources and any measures to reduce fixed and variable costs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if needed,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If we need to generate additional levels of cash to service our indebtedness or meet our covenant obligations, we may need to undertake additional cost-cutting measures. These financing risks, in addition to potential rising interest rates and changes in market conditions, if realized, could negatively impact our business, financial condition and results of operations. See “Note 4 </w:t>
      </w:r>
      <w:r>
        <w:rPr>
          <w:rFonts w:ascii="Arial" w:cs="Arial" w:eastAsia="Arial" w:hAnsi="Arial"/>
          <w:sz w:val="15"/>
          <w:szCs w:val="15"/>
          <w:color w:val="auto"/>
        </w:rPr>
        <w:t>—</w:t>
      </w:r>
      <w:r>
        <w:rPr>
          <w:rFonts w:ascii="Arial" w:cs="Arial" w:eastAsia="Arial" w:hAnsi="Arial"/>
          <w:sz w:val="14"/>
          <w:szCs w:val="14"/>
          <w:color w:val="auto"/>
        </w:rPr>
        <w:t xml:space="preserve"> Recapitalization Transactions” and “Note 8 — Long-Term Debt” in the Notes to the Condensed Consolidated Financial Statements for more information on our indebtedness and the Recapitalization Transactions.</w:t>
      </w:r>
    </w:p>
    <w:p>
      <w:pPr>
        <w:spacing w:after="0" w:line="231"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Our New Credit Agreement contains financial covenants and other restrictions on our actions that may limit our operational flexibility or otherwise adversely affect our business, financial condition and results of operations.</w:t>
      </w:r>
    </w:p>
    <w:p>
      <w:pPr>
        <w:spacing w:after="0" w:line="127"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terms of our New Credit Agreement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New Credit Agreement includes a minimum liquidity maintenance covenant. These and other restrictions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w:t>
      </w:r>
    </w:p>
    <w:p>
      <w:pPr>
        <w:spacing w:after="0" w:line="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 xml:space="preserve">companies which are not subject to such restrictions. See Risks Related to the Recapitalization Transactions, Note 4 </w:t>
      </w:r>
      <w:r>
        <w:rPr>
          <w:rFonts w:ascii="Arial" w:cs="Arial" w:eastAsia="Arial" w:hAnsi="Arial"/>
          <w:sz w:val="15"/>
          <w:szCs w:val="15"/>
          <w:color w:val="auto"/>
        </w:rPr>
        <w:t>—</w:t>
      </w:r>
      <w:r>
        <w:rPr>
          <w:rFonts w:ascii="Arial" w:cs="Arial" w:eastAsia="Arial" w:hAnsi="Arial"/>
          <w:sz w:val="14"/>
          <w:szCs w:val="14"/>
          <w:color w:val="auto"/>
        </w:rPr>
        <w:t xml:space="preserve"> “Recapitalization Transactions” and Note 8 —”Long-Term Debt” in the Notes to the Condensed Consolidated Financial Statements for more information on our indebtedness and the Recapitalization Transactions.</w:t>
      </w:r>
    </w:p>
    <w:p>
      <w:pPr>
        <w:spacing w:after="0" w:line="3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A failure by us to comply with the covenants specified in the New Credit Agreement could result in an event of default under the agreement, which would give the lender the right to declare all borrowings outstanding, together with accrued and unpaid interest and fees, to be immediately due and payable. If the debt under the New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 and the price of our Class A stock could decline</w:t>
      </w:r>
      <w:r>
        <w:rPr>
          <w:rFonts w:ascii="Arial" w:cs="Arial" w:eastAsia="Arial" w:hAnsi="Arial"/>
          <w:sz w:val="14"/>
          <w:szCs w:val="14"/>
          <w:color w:val="auto"/>
        </w:rPr>
        <w:t>.</w:t>
      </w:r>
    </w:p>
    <w:p>
      <w:pPr>
        <w:spacing w:after="0" w:line="43"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as described below. As of October 31, 2025,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3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46"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5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4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21"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21"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40" w:hanging="193"/>
        <w:spacing w:after="0" w:line="271"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100" w:hanging="193"/>
        <w:spacing w:after="0" w:line="271"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181"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21"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00" w:lineRule="exact"/>
        <w:rPr>
          <w:sz w:val="20"/>
          <w:szCs w:val="20"/>
          <w:color w:val="auto"/>
        </w:rPr>
      </w:pPr>
    </w:p>
    <w:p>
      <w:pPr>
        <w:jc w:val="both"/>
        <w:ind w:left="60" w:right="160"/>
        <w:spacing w:after="0" w:line="271" w:lineRule="auto"/>
        <w:rPr>
          <w:sz w:val="20"/>
          <w:szCs w:val="20"/>
          <w:color w:val="auto"/>
        </w:rPr>
      </w:pPr>
      <w:r>
        <w:rPr>
          <w:rFonts w:ascii="Arial" w:cs="Arial" w:eastAsia="Arial" w:hAnsi="Arial"/>
          <w:sz w:val="14"/>
          <w:szCs w:val="14"/>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57" w:lineRule="exact"/>
        <w:rPr>
          <w:sz w:val="20"/>
          <w:szCs w:val="20"/>
          <w:color w:val="auto"/>
        </w:rPr>
      </w:pPr>
    </w:p>
    <w:p>
      <w:pPr>
        <w:ind w:right="360"/>
        <w:spacing w:after="0" w:line="302" w:lineRule="auto"/>
        <w:rPr>
          <w:sz w:val="20"/>
          <w:szCs w:val="20"/>
          <w:color w:val="auto"/>
        </w:rPr>
      </w:pPr>
      <w:r>
        <w:rPr>
          <w:rFonts w:ascii="Arial" w:cs="Arial" w:eastAsia="Arial" w:hAnsi="Arial"/>
          <w:sz w:val="14"/>
          <w:szCs w:val="14"/>
          <w:b w:val="1"/>
          <w:bCs w:val="1"/>
          <w:i w:val="1"/>
          <w:iCs w:val="1"/>
          <w:color w:val="auto"/>
        </w:rPr>
        <w:t>The COVID-19 pandemic had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in general, and will assess our strategy and operational structure in light of future developments.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38"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200"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 and failure to comply could potentially impact our operating and financial results.</w:t>
      </w:r>
    </w:p>
    <w:p>
      <w:pPr>
        <w:spacing w:after="0" w:line="32"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or arbitration actions against companies, challenging automatic renewal, terms of service, and subscription programs.</w:t>
      </w:r>
    </w:p>
    <w:p>
      <w:pPr>
        <w:spacing w:after="0" w:line="14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21"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claims,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of the Securities Act of 1933, as amended, by making allegedly materially misleading statements, and by omitting material facts necessary to make the statements made therein not misleading. The lawsuit seeks, among other things, compensatory damages, attorneys’ fees and costs and such</w:t>
      </w:r>
    </w:p>
    <w:p>
      <w:pPr>
        <w:spacing w:after="0" w:line="3"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 xml:space="preserve">other relief as deemed just and proper by the court. See “Note 16 </w:t>
      </w:r>
      <w:r>
        <w:rPr>
          <w:rFonts w:ascii="Arial" w:cs="Arial" w:eastAsia="Arial" w:hAnsi="Arial"/>
          <w:sz w:val="15"/>
          <w:szCs w:val="15"/>
          <w:color w:val="auto"/>
        </w:rPr>
        <w:t>—</w:t>
      </w:r>
      <w:r>
        <w:rPr>
          <w:rFonts w:ascii="Arial" w:cs="Arial" w:eastAsia="Arial" w:hAnsi="Arial"/>
          <w:sz w:val="14"/>
          <w:szCs w:val="14"/>
          <w:color w:val="auto"/>
        </w:rPr>
        <w:t xml:space="preserve"> Commitments and Contingencies” in the Notes to the Condensed Consolidated Financial Statements for more details about the class action and other matters.</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and mass arbitrations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Adverse outcomes with respect to claims, litigation or any of these legal proceedings may result in significant settlement costs or judgments, penalties and fines, or require us to modify our products and offerings or other business processes, which could negatively affect our financial performance or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 xml:space="preserve">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In addition, we may be subject to claims of infringement related to rental product designs and/or content provided by our third-party partners such as brands, influencers, marketing partners and other third parties. Although we aim to have contractual remedies and indemnification rights in our third-party agreements, such provisions may be inadequate. For example, we have received cease and desist and demand letters from third-parties in connection with our use of certain marketing and advertising assets and our rental product designs,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claims,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Insurance coverage for infringement claims may not be available at all or only on very limited terms, and may be inadequate to cover potential costs and losses. Further, licenses may not be available to us on reasonable terms, if at all. Any of these events could harm our business and cause our results of operations, liquidity and financial condition to suffer.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industry standards and consumer expectations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4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payment card numbers (through our payment processor) and approximate location information.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38"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multiple additional states, and will soon be enforceable in several other states as well.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spacing w:after="0" w:line="313"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as well as place outbound telephone calls to communicate with current and former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 as well as our subscription-based business.</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42"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Additionally, despite our best compliance efforts, our service providers may not uphold their legal, regulatory or contractual obligations to comply with these data privacy, data security, data protection, or artificial intelligence requirements, thereby exposing us to risks in these areas.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and third-party indemnification agreements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These laws and regulations are complex and evolving. Despite our efforts, we may be subject to claims that we have violated such laws and regulations based on past, present, and future practices, which could have an adverse impact on our business and reputation, and be costly for us to defend. For example, we have received notices regarding permitting issues and compliance deficiencies related to our warehouse operations; we cannot guarantee that these or future matters will continue to be immaterial or resolved successfully. Failure to comply with such laws and regulations, which tend to become more stringent over time, failure to obtain or maintain permits necessary for our warehouse operations, or failure to favorably resolve violation notices can result in significant fines, penalties, costs, liabilities or restrictions on operations (including shutdown), injunctive relief, civil or criminal sanctions, and could expose us to costs of investigation or remediation, as well as tort claims for property damage or personal injury, and could negatively affect our business, financial condition or results of operations. Liability for the improper release or disposal of waste can be joint and several and significant and there can be no assurance that we will not have to expend material amounts to remediate the consequences of the generation or disposal of waste in the future, particularly with respect to our cleaning operations. Further, we may be responsible as a lessee operator for the costs of investigation, removal or remediation of hazardous or non-hazardous substances or waste located on or in or emanating from our leased properties, as well as any property damage. Insurance coverage for such matters is unlikely to be available and, even if available, it may be inadequate to cover potential costs and losses.There can be no assurance that our future operations, properties, uses or conditions will not result in the imposition of liability upon us under environmental laws or other regulations, or expose us to third-party actions such as tort suits.</w:t>
      </w:r>
    </w:p>
    <w:p>
      <w:pPr>
        <w:spacing w:after="0" w:line="146"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of January 31, 2025, we had federal net operating loss carryforwards of $654.4 million, $152.1 million of which will expire at various times through 2038. Furthermore, we had state net operating loss carryforwards of $633.2 million, which will expire at various times through 2045. Portions of these net operating loss carryforwards could expire unused and be unavailable to offset future income tax liabilities.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In 2024, we completed an update to the prior Section 382 analysis covering the period beginning April 2021 through May 2025. From the study, we concluded we did not experience an ownership change during the analysis period. The Section 382 analysis is currently being updated through October 2025 and is expected to indicate that an ownership change occurred. Although we believe the Section 382 analyses are accurate, any errors in the analyses could impact our conclusions and ability to utilize our NOLs effectively. We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their interpretation;</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do not view our brand or financial profile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29"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on third parties to provide payment processing infrastructure, to accept card payments from customers, process and administer gift cards,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Outages or other failures of our payment processor or third-party partners could harm our business and cause customers to lose trust in our payment operations and cause them to discontinue use of our products and services. If the quality or convenience of our payment operations or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have migrated a substantial portion of our primary production environment, core architecture, and data centers to a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auto"/>
        </w:rPr>
        <w:t>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w:t>
      </w:r>
    </w:p>
    <w:p>
      <w:pPr>
        <w:spacing w:after="0"/>
        <w:rPr>
          <w:sz w:val="20"/>
          <w:szCs w:val="20"/>
          <w:color w:val="auto"/>
        </w:rPr>
      </w:pPr>
      <w:r>
        <w:rPr>
          <w:rFonts w:ascii="Arial" w:cs="Arial" w:eastAsia="Arial" w:hAnsi="Arial"/>
          <w:sz w:val="14"/>
          <w:szCs w:val="14"/>
          <w:color w:val="auto"/>
        </w:rPr>
        <w:t>these types of disruptions could damage our brand and reputation and may adversely impact our business.</w:t>
      </w:r>
    </w:p>
    <w:p>
      <w:pPr>
        <w:spacing w:after="0" w:line="16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4"/>
          <w:szCs w:val="14"/>
          <w:color w:val="auto"/>
        </w:rPr>
        <w:t>.</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w:t>
      </w:r>
    </w:p>
    <w:p>
      <w:pPr>
        <w:spacing w:after="0" w:line="12" w:lineRule="exact"/>
        <w:rPr>
          <w:sz w:val="20"/>
          <w:szCs w:val="20"/>
          <w:color w:val="auto"/>
        </w:rPr>
      </w:pPr>
    </w:p>
    <w:p>
      <w:pPr>
        <w:ind w:right="720"/>
        <w:spacing w:after="0" w:line="229" w:lineRule="auto"/>
        <w:rPr>
          <w:sz w:val="20"/>
          <w:szCs w:val="20"/>
          <w:color w:val="auto"/>
        </w:rPr>
      </w:pPr>
      <w:r>
        <w:rPr>
          <w:rFonts w:ascii="Arial" w:cs="Arial" w:eastAsia="Arial" w:hAnsi="Arial"/>
          <w:sz w:val="14"/>
          <w:szCs w:val="14"/>
          <w:color w:val="auto"/>
        </w:rPr>
        <w:t>and other online sources often revise their algorithms products, and APIs, introduce new advertising products and respond to regulator and/or industry standards group expectations. If one or more of the search engines or other online sources on which we rely for traffic to our website and our mobile application were to modify its general</w:t>
      </w:r>
    </w:p>
    <w:p>
      <w:pPr>
        <w:ind w:right="40"/>
        <w:spacing w:after="0" w:line="239" w:lineRule="auto"/>
        <w:rPr>
          <w:sz w:val="20"/>
          <w:szCs w:val="20"/>
          <w:color w:val="auto"/>
        </w:rPr>
      </w:pPr>
      <w:r>
        <w:rPr>
          <w:rFonts w:ascii="Arial" w:cs="Arial" w:eastAsia="Arial" w:hAnsi="Arial"/>
          <w:sz w:val="14"/>
          <w:szCs w:val="14"/>
          <w:color w:val="auto"/>
        </w:rPr>
        <w:t>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57"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such channels increase, we may incur additional marketing expenses or be required to allocate a larger portion of our marketing spend to other channels and our business and operating results could be adversely affected.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or on our behalf to abide by applicable laws and regulations in the use of these platforms and devices or otherwise could subject us to regulatory investigations, class action lawsuits, mass arbitrations, liability, fines or other penalties and have an adverse effect on our business, financial condition, results of operations and prospects.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3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2025 Amended Facility.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noncompliant with Nasdaq Marketplace Rule 5605(c)(2)(A), which requires listed companies to have at least three audit committee members.</w:t>
      </w:r>
    </w:p>
    <w:p>
      <w:pPr>
        <w:spacing w:after="0" w:line="187" w:lineRule="exact"/>
        <w:rPr>
          <w:sz w:val="20"/>
          <w:szCs w:val="20"/>
          <w:color w:val="auto"/>
        </w:rPr>
      </w:pPr>
    </w:p>
    <w:p>
      <w:pPr>
        <w:ind w:right="380"/>
        <w:spacing w:after="0" w:line="274" w:lineRule="auto"/>
        <w:rPr>
          <w:sz w:val="20"/>
          <w:szCs w:val="20"/>
          <w:color w:val="auto"/>
        </w:rPr>
      </w:pPr>
      <w:r>
        <w:rPr>
          <w:rFonts w:ascii="Arial" w:cs="Arial" w:eastAsia="Arial" w:hAnsi="Arial"/>
          <w:sz w:val="14"/>
          <w:szCs w:val="14"/>
          <w:color w:val="auto"/>
        </w:rPr>
        <w:t>On October 28, 2025, we notified Nasdaq of our non-compliance with Nasdaq Rule 5605(c)(2)(A), which requires that the Audit Committee be comprised of three independent directors, and our intent to rely on the cure period provided by Nasdaq Rule 5605(c)(4)(B).</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While we intend to appoint an independent director to the Audit Committee no later than our 2026 annual meeting of stockholders, as provided by Nasdaq Rule 5605(c)(4)(B), there can be no assurances that we will be able to evidence compliance with all applicable requirements for continued listing on Nasdaq within the required timeframe. The failure to meet continuing compliance standards subjects our Class A Common Stock to a possible delisting. A delisting of our Class A Common Stock would have an adverse effect on the market liquidity of our Class A Common Stock and, as a result, the market price for our Class A Common Stock could become more volatile. Further, a delisting also could make it more difficult for us to raise additional capital.</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46" w:lineRule="exact"/>
        <w:rPr>
          <w:sz w:val="20"/>
          <w:szCs w:val="20"/>
          <w:color w:val="auto"/>
        </w:rPr>
      </w:pPr>
    </w:p>
    <w:p>
      <w:pPr>
        <w:ind w:left="560" w:hanging="173"/>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4"/>
          <w:szCs w:val="14"/>
          <w:color w:val="auto"/>
        </w:rPr>
        <w:t>the Recapitalization Transactions;</w:t>
      </w:r>
    </w:p>
    <w:p>
      <w:pPr>
        <w:spacing w:after="0" w:line="81" w:lineRule="exact"/>
        <w:rPr>
          <w:rFonts w:ascii="Arial" w:cs="Arial" w:eastAsia="Arial" w:hAnsi="Arial"/>
          <w:sz w:val="16"/>
          <w:szCs w:val="16"/>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 in global trade policies, tariffs and other measures that could restrict international trade;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overall stock market conditions;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COVID-19 or future pandemics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geopolitical conditions, including war, incidents of terrorism, or responses to these events.</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management has broad discretion, subject to our 2025 Amended Facility and the Exchange Agreement,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1"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 xml:space="preserve">See Risks Related to the Recapitalization Transactions and Note 4 </w:t>
      </w:r>
      <w:r>
        <w:rPr>
          <w:rFonts w:ascii="Arial" w:cs="Arial" w:eastAsia="Arial" w:hAnsi="Arial"/>
          <w:sz w:val="15"/>
          <w:szCs w:val="15"/>
          <w:color w:val="auto"/>
        </w:rPr>
        <w:t>—</w:t>
      </w:r>
      <w:r>
        <w:rPr>
          <w:rFonts w:ascii="Arial" w:cs="Arial" w:eastAsia="Arial" w:hAnsi="Arial"/>
          <w:sz w:val="14"/>
          <w:szCs w:val="14"/>
          <w:color w:val="auto"/>
        </w:rPr>
        <w:t xml:space="preserve"> “Recapitalization Transactions” in the Notes to the Condensed Consolidated Financial Statements for more information on the Recapitalization Transactions, including the sale and issuance of our common stock.</w:t>
      </w:r>
    </w:p>
    <w:p>
      <w:pPr>
        <w:spacing w:after="0" w:line="2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Generally, 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but not limited to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4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65"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ind w:left="580" w:right="420" w:hanging="193"/>
        <w:spacing w:after="0" w:line="271" w:lineRule="auto"/>
        <w:tabs>
          <w:tab w:leader="none" w:pos="5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thereby requiring that all stockholder actions be taken at a meeting of our stockholders;</w:t>
      </w:r>
    </w:p>
    <w:p>
      <w:pPr>
        <w:spacing w:after="0" w:line="93" w:lineRule="exact"/>
        <w:rPr>
          <w:rFonts w:ascii="Arial" w:cs="Arial" w:eastAsia="Arial" w:hAnsi="Arial"/>
          <w:sz w:val="14"/>
          <w:szCs w:val="14"/>
          <w:color w:val="auto"/>
        </w:rPr>
      </w:pPr>
    </w:p>
    <w:p>
      <w:pPr>
        <w:ind w:left="580" w:right="260" w:hanging="193"/>
        <w:spacing w:after="0" w:line="290" w:lineRule="auto"/>
        <w:tabs>
          <w:tab w:leader="none" w:pos="5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stockholders; agreement for nominations made pursuant to the terms of the stockholders’ agreement);</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0"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Charter to be inapplicable or unenforceable in an action, we could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effects of climate change and related regulatory, customer and investor responses may adversely impact our business.</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ff Proceeds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to board nomination procedures.</w:t>
      </w:r>
    </w:p>
    <w:p>
      <w:pPr>
        <w:spacing w:after="0" w:line="21"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Certain material changes to board nomination procedures are described in “Note 4 — Recapitalization Transactions” in the Notes to the Condensed Consolidated Financial Statements.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September 22, 2025, Drew Rau, Chief Supply Chain Officer, adopted a Rule 10b5-1 trading arrangement that is intended to satisfy the affirmative defense of Rule 10b5-1(c) under the Exchange Act for the sale of up to 17,034 shares of our common stock until January 19, 2027 and up to 4,100 restricted stock units (on a net share basis following the vesting, settlement, and sell-to-cover transactions).</w:t>
      </w: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23" w:right="57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i w:val="1"/>
          <w:iCs w:val="1"/>
          <w:color w:val="auto"/>
        </w:rPr>
        <w:t>Item 6. Exhibits</w:t>
      </w:r>
    </w:p>
    <w:p>
      <w:pPr>
        <w:spacing w:after="0" w:line="102" w:lineRule="exact"/>
        <w:rPr>
          <w:sz w:val="20"/>
          <w:szCs w:val="20"/>
          <w:color w:val="auto"/>
        </w:rPr>
      </w:pPr>
    </w:p>
    <w:p>
      <w:pPr>
        <w:ind w:left="600" w:hanging="213"/>
        <w:spacing w:after="0"/>
        <w:tabs>
          <w:tab w:leader="none" w:pos="600" w:val="left"/>
        </w:tabs>
        <w:numPr>
          <w:ilvl w:val="0"/>
          <w:numId w:val="47"/>
        </w:numPr>
        <w:rPr>
          <w:rFonts w:ascii="Arial" w:cs="Arial" w:eastAsia="Arial" w:hAnsi="Arial"/>
          <w:sz w:val="16"/>
          <w:szCs w:val="16"/>
          <w:color w:val="auto"/>
        </w:rPr>
      </w:pPr>
      <w:r>
        <w:rPr>
          <w:rFonts w:ascii="Arial" w:cs="Arial" w:eastAsia="Arial" w:hAnsi="Arial"/>
          <w:sz w:val="14"/>
          <w:szCs w:val="14"/>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120" w:type="dxa"/>
            <w:vAlign w:val="bottom"/>
            <w:gridSpan w:val="2"/>
          </w:tcPr>
          <w:p>
            <w:pPr>
              <w:ind w:left="340"/>
              <w:spacing w:after="0" w:line="112"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11"/>
          </w:tcPr>
          <w:p>
            <w:pPr>
              <w:spacing w:after="0"/>
              <w:rPr>
                <w:sz w:val="20"/>
                <w:szCs w:val="20"/>
                <w:color w:val="auto"/>
              </w:rPr>
            </w:pPr>
            <w:r>
              <w:rPr>
                <w:rFonts w:ascii="Arial" w:cs="Arial" w:eastAsia="Arial" w:hAnsi="Arial"/>
                <w:sz w:val="11"/>
                <w:szCs w:val="11"/>
                <w:b w:val="1"/>
                <w:bCs w:val="1"/>
                <w:color w:val="auto"/>
              </w:rPr>
              <w:t>Description of Exhibit</w:t>
            </w:r>
          </w:p>
        </w:tc>
        <w:tc>
          <w:tcPr>
            <w:tcW w:w="8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Filed / Furnished Herewith</w:t>
            </w:r>
          </w:p>
        </w:tc>
        <w:tc>
          <w:tcPr>
            <w:tcW w:w="0" w:type="dxa"/>
            <w:vAlign w:val="bottom"/>
          </w:tcPr>
          <w:p>
            <w:pPr>
              <w:spacing w:after="0"/>
              <w:rPr>
                <w:sz w:val="1"/>
                <w:szCs w:val="1"/>
                <w:color w:val="auto"/>
              </w:rPr>
            </w:pPr>
          </w:p>
        </w:tc>
      </w:tr>
      <w:tr>
        <w:trPr>
          <w:trHeight w:val="214"/>
        </w:trPr>
        <w:tc>
          <w:tcPr>
            <w:tcW w:w="104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0000FF"/>
            </w:tcBorders>
            <w:gridSpan w:val="4"/>
          </w:tcPr>
          <w:p>
            <w:pPr>
              <w:spacing w:after="0"/>
              <w:rPr>
                <w:rFonts w:ascii="Arial" w:cs="Arial" w:eastAsia="Arial" w:hAnsi="Arial"/>
                <w:sz w:val="14"/>
                <w:szCs w:val="14"/>
                <w:color w:val="0000FF"/>
              </w:rPr>
            </w:pPr>
            <w:hyperlink r:id="rId173">
              <w:r>
                <w:rPr>
                  <w:rFonts w:ascii="Arial" w:cs="Arial" w:eastAsia="Arial" w:hAnsi="Arial"/>
                  <w:sz w:val="14"/>
                  <w:szCs w:val="14"/>
                  <w:color w:val="0000FF"/>
                </w:rPr>
                <w:t>Amended &amp; Restated Certificate of Incorporation</w:t>
              </w:r>
            </w:hyperlink>
          </w:p>
        </w:tc>
        <w:tc>
          <w:tcPr>
            <w:tcW w:w="1460" w:type="dxa"/>
            <w:vAlign w:val="bottom"/>
            <w:gridSpan w:val="8"/>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2"/>
          </w:tcPr>
          <w:p>
            <w:pPr>
              <w:spacing w:after="0"/>
              <w:rPr>
                <w:rFonts w:ascii="Arial" w:cs="Arial" w:eastAsia="Arial" w:hAnsi="Arial"/>
                <w:sz w:val="14"/>
                <w:szCs w:val="14"/>
                <w:color w:val="0000FF"/>
              </w:rPr>
            </w:pPr>
            <w:hyperlink r:id="rId174">
              <w:r>
                <w:rPr>
                  <w:rFonts w:ascii="Arial" w:cs="Arial" w:eastAsia="Arial" w:hAnsi="Arial"/>
                  <w:sz w:val="14"/>
                  <w:szCs w:val="14"/>
                  <w:color w:val="0000FF"/>
                </w:rPr>
                <w:t>Certificate of Amendment to Twelfth Amended &amp; Restated Certificate</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04/02/2024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8"/>
              </w:rPr>
            </w:pPr>
            <w:hyperlink r:id="rId174">
              <w:r>
                <w:rPr>
                  <w:rFonts w:ascii="Arial" w:cs="Arial" w:eastAsia="Arial" w:hAnsi="Arial"/>
                  <w:sz w:val="14"/>
                  <w:szCs w:val="14"/>
                  <w:color w:val="0000FF"/>
                  <w:w w:val="98"/>
                </w:rPr>
                <w:t>of Incorporation</w:t>
              </w:r>
            </w:hyperlink>
          </w:p>
        </w:tc>
        <w:tc>
          <w:tcPr>
            <w:tcW w:w="332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40" w:type="dxa"/>
            <w:vAlign w:val="bottom"/>
          </w:tcPr>
          <w:p>
            <w:pPr>
              <w:ind w:left="2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Second Amended &amp; Restated Bylaws</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10/29/2025</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Exchange Agreement, dated August 20, 2025, by and between Rent</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08/21/2025</w:t>
            </w: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the Runway, Inc. and CHS US Investments LLC</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Investor Rights Agreement, dated August 20, 2025, by and among</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08/21/2025</w:t>
            </w: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2"/>
          </w:tcPr>
          <w:p>
            <w:pPr>
              <w:spacing w:after="0" w:line="149" w:lineRule="exact"/>
              <w:rPr>
                <w:sz w:val="20"/>
                <w:szCs w:val="20"/>
                <w:color w:val="auto"/>
              </w:rPr>
            </w:pPr>
            <w:r>
              <w:rPr>
                <w:rFonts w:ascii="Arial" w:cs="Arial" w:eastAsia="Arial" w:hAnsi="Arial"/>
                <w:sz w:val="14"/>
                <w:szCs w:val="14"/>
                <w:color w:val="auto"/>
              </w:rPr>
              <w:t>Rent the Runway, Inc., CHS US Investments LLC, Gateway Runway,</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2"/>
          </w:tcPr>
          <w:p>
            <w:pPr>
              <w:spacing w:after="0" w:line="159" w:lineRule="exact"/>
              <w:rPr>
                <w:sz w:val="20"/>
                <w:szCs w:val="20"/>
                <w:color w:val="auto"/>
              </w:rPr>
            </w:pPr>
            <w:r>
              <w:rPr>
                <w:rFonts w:ascii="Arial" w:cs="Arial" w:eastAsia="Arial" w:hAnsi="Arial"/>
                <w:sz w:val="14"/>
                <w:szCs w:val="14"/>
                <w:color w:val="auto"/>
              </w:rPr>
              <w:t>LLC, S3 RR Aggregator, LLC and entities affiliated with Jennifer</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Hyman</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Rights Offering Backstop Agreement, dated August 20, 2025, by and</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08/21/2025</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2"/>
          </w:tcPr>
          <w:p>
            <w:pPr>
              <w:spacing w:after="0" w:line="149" w:lineRule="exact"/>
              <w:rPr>
                <w:sz w:val="20"/>
                <w:szCs w:val="20"/>
                <w:color w:val="auto"/>
              </w:rPr>
            </w:pPr>
            <w:r>
              <w:rPr>
                <w:rFonts w:ascii="Arial" w:cs="Arial" w:eastAsia="Arial" w:hAnsi="Arial"/>
                <w:sz w:val="14"/>
                <w:szCs w:val="14"/>
                <w:color w:val="auto"/>
              </w:rPr>
              <w:t>among Rent the Runway, Inc. and CHS US Investments LLC,</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Gateway Runway, LLC and S3 RR Aggregator, LLC</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Fourteenth Amendment to the Credit Agreement, dated August 20,</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08/21/2025</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2"/>
          </w:tcPr>
          <w:p>
            <w:pPr>
              <w:spacing w:after="0" w:line="149" w:lineRule="exact"/>
              <w:rPr>
                <w:sz w:val="20"/>
                <w:szCs w:val="20"/>
                <w:color w:val="auto"/>
              </w:rPr>
            </w:pPr>
            <w:r>
              <w:rPr>
                <w:rFonts w:ascii="Arial" w:cs="Arial" w:eastAsia="Arial" w:hAnsi="Arial"/>
                <w:sz w:val="14"/>
                <w:szCs w:val="14"/>
                <w:color w:val="auto"/>
              </w:rPr>
              <w:t>2025, by and among Rent the Runway, Inc., the lenders from time to</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2"/>
          </w:tcPr>
          <w:p>
            <w:pPr>
              <w:spacing w:after="0" w:line="159" w:lineRule="exact"/>
              <w:rPr>
                <w:sz w:val="20"/>
                <w:szCs w:val="20"/>
                <w:color w:val="auto"/>
              </w:rPr>
            </w:pPr>
            <w:r>
              <w:rPr>
                <w:rFonts w:ascii="Arial" w:cs="Arial" w:eastAsia="Arial" w:hAnsi="Arial"/>
                <w:sz w:val="14"/>
                <w:szCs w:val="14"/>
                <w:color w:val="auto"/>
              </w:rPr>
              <w:t>time party thereto and CHS (US) Management LLC, as administrative</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agent</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Amended and Restated Credit Agreement, dated October 28, 2025,</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10/29/2025</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2"/>
          </w:tcPr>
          <w:p>
            <w:pPr>
              <w:spacing w:after="0" w:line="149" w:lineRule="exact"/>
              <w:rPr>
                <w:sz w:val="20"/>
                <w:szCs w:val="20"/>
                <w:color w:val="auto"/>
              </w:rPr>
            </w:pPr>
            <w:r>
              <w:rPr>
                <w:rFonts w:ascii="Arial" w:cs="Arial" w:eastAsia="Arial" w:hAnsi="Arial"/>
                <w:sz w:val="14"/>
                <w:szCs w:val="14"/>
                <w:color w:val="auto"/>
              </w:rPr>
              <w:t>by and among Rent the Runway, Inc., as borrower, CHS (US)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2"/>
          </w:tcPr>
          <w:p>
            <w:pPr>
              <w:spacing w:after="0" w:line="159" w:lineRule="exact"/>
              <w:rPr>
                <w:sz w:val="20"/>
                <w:szCs w:val="20"/>
                <w:color w:val="auto"/>
              </w:rPr>
            </w:pPr>
            <w:r>
              <w:rPr>
                <w:rFonts w:ascii="Arial" w:cs="Arial" w:eastAsia="Arial" w:hAnsi="Arial"/>
                <w:sz w:val="14"/>
                <w:szCs w:val="14"/>
                <w:color w:val="auto"/>
              </w:rPr>
              <w:t>Management LLC, as administrative agent, and CHS US Investments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LLC, Gateway Runway, LLC and S3 RR Aggregator, LLC, as lenders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40" w:type="dxa"/>
            <w:vAlign w:val="bottom"/>
          </w:tcPr>
          <w:p>
            <w:pPr>
              <w:ind w:lef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Second Amended and Restated 2021 Incentive Award Plan</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S-8</w:t>
            </w:r>
          </w:p>
        </w:tc>
        <w:tc>
          <w:tcPr>
            <w:tcW w:w="1160" w:type="dxa"/>
            <w:vAlign w:val="bottom"/>
          </w:tcPr>
          <w:p>
            <w:pPr>
              <w:ind w:left="200"/>
              <w:spacing w:after="0"/>
              <w:rPr>
                <w:sz w:val="20"/>
                <w:szCs w:val="20"/>
                <w:color w:val="auto"/>
              </w:rPr>
            </w:pPr>
            <w:r>
              <w:rPr>
                <w:rFonts w:ascii="Arial" w:cs="Arial" w:eastAsia="Arial" w:hAnsi="Arial"/>
                <w:sz w:val="14"/>
                <w:szCs w:val="14"/>
                <w:color w:val="auto"/>
              </w:rPr>
              <w:t>333-291155</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10/29/2025</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0000FF"/>
              </w:rPr>
              <w:t>Executive Chair Letter, by and between Rent the Runway, Inc. and</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3"/>
          </w:tcPr>
          <w:p>
            <w:pPr>
              <w:spacing w:after="0" w:line="139" w:lineRule="exact"/>
              <w:rPr>
                <w:sz w:val="20"/>
                <w:szCs w:val="20"/>
                <w:color w:val="auto"/>
              </w:rPr>
            </w:pPr>
            <w:r>
              <w:rPr>
                <w:rFonts w:ascii="Arial" w:cs="Arial" w:eastAsia="Arial" w:hAnsi="Arial"/>
                <w:sz w:val="14"/>
                <w:szCs w:val="14"/>
                <w:color w:val="0000FF"/>
                <w:w w:val="99"/>
              </w:rPr>
              <w:t>Dhiren Fonseca</w:t>
            </w:r>
          </w:p>
        </w:tc>
        <w:tc>
          <w:tcPr>
            <w:tcW w:w="3140" w:type="dxa"/>
            <w:vAlign w:val="bottom"/>
            <w:tcBorders>
              <w:top w:val="single" w:sz="8" w:color="0000FF"/>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2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Amendment to Amended and Restated Employment Agreement, by</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0"/>
              <w:spacing w:after="0"/>
              <w:rPr>
                <w:sz w:val="20"/>
                <w:szCs w:val="20"/>
                <w:color w:val="auto"/>
              </w:rPr>
            </w:pPr>
            <w:r>
              <w:rPr>
                <w:rFonts w:ascii="Arial" w:cs="Arial" w:eastAsia="Arial" w:hAnsi="Arial"/>
                <w:sz w:val="14"/>
                <w:szCs w:val="14"/>
                <w:color w:val="auto"/>
              </w:rPr>
              <w:t>333-290358</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09/29/2025</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2"/>
          </w:tcPr>
          <w:p>
            <w:pPr>
              <w:spacing w:after="0" w:line="149" w:lineRule="exact"/>
              <w:rPr>
                <w:sz w:val="20"/>
                <w:szCs w:val="20"/>
                <w:color w:val="auto"/>
              </w:rPr>
            </w:pPr>
            <w:r>
              <w:rPr>
                <w:rFonts w:ascii="Arial" w:cs="Arial" w:eastAsia="Arial" w:hAnsi="Arial"/>
                <w:sz w:val="14"/>
                <w:szCs w:val="14"/>
                <w:color w:val="auto"/>
              </w:rPr>
              <w:t>and between Rent the Runway, Inc. and Jennifer Hyman, dated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August 20, 2025</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40" w:type="dxa"/>
            <w:vAlign w:val="bottom"/>
          </w:tcPr>
          <w:p>
            <w:pPr>
              <w:ind w:left="20"/>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0000FF"/>
              </w:rPr>
              <w:t>Certification of Chief Executive Officer pursuant to Rule 13a-</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2"/>
          </w:tcPr>
          <w:p>
            <w:pPr>
              <w:spacing w:after="0" w:line="139" w:lineRule="exact"/>
              <w:rPr>
                <w:sz w:val="20"/>
                <w:szCs w:val="20"/>
                <w:color w:val="auto"/>
              </w:rPr>
            </w:pPr>
            <w:r>
              <w:rPr>
                <w:rFonts w:ascii="Arial" w:cs="Arial" w:eastAsia="Arial" w:hAnsi="Arial"/>
                <w:sz w:val="14"/>
                <w:szCs w:val="14"/>
                <w:color w:val="0000FF"/>
                <w:w w:val="98"/>
              </w:rPr>
              <w:t>14(a)/15d-14(a)</w:t>
            </w:r>
          </w:p>
        </w:tc>
        <w:tc>
          <w:tcPr>
            <w:tcW w:w="2800" w:type="dxa"/>
            <w:vAlign w:val="bottom"/>
            <w:tcBorders>
              <w:top w:val="single" w:sz="8" w:color="0000FF"/>
            </w:tcBorders>
            <w:gridSpan w:val="3"/>
          </w:tcPr>
          <w:p>
            <w:pPr>
              <w:spacing w:after="0"/>
              <w:rPr>
                <w:sz w:val="12"/>
                <w:szCs w:val="12"/>
                <w:color w:val="auto"/>
              </w:rPr>
            </w:pPr>
          </w:p>
        </w:tc>
        <w:tc>
          <w:tcPr>
            <w:tcW w:w="4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0000FF"/>
              </w:rPr>
              <w:t>Certification of Chief Financial Officer pursuant to Rule 13a-14(a)/15d-</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tcBorders>
            <w:gridSpan w:val="10"/>
          </w:tcPr>
          <w:p>
            <w:pPr>
              <w:spacing w:after="0" w:line="139" w:lineRule="exact"/>
              <w:rPr>
                <w:sz w:val="20"/>
                <w:szCs w:val="20"/>
                <w:color w:val="auto"/>
              </w:rPr>
            </w:pPr>
            <w:r>
              <w:rPr>
                <w:rFonts w:ascii="Arial" w:cs="Arial" w:eastAsia="Arial" w:hAnsi="Arial"/>
                <w:sz w:val="14"/>
                <w:szCs w:val="14"/>
                <w:color w:val="0000FF"/>
              </w:rPr>
              <w:t>14(a)</w:t>
            </w:r>
          </w:p>
        </w:tc>
        <w:tc>
          <w:tcPr>
            <w:tcW w:w="1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0000FF"/>
              </w:rPr>
              <w:t>Certification of Chief Executive Officer pursuant to 18 U.S.C. Section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0000FF"/>
              </w:rPr>
              <w:t>Certification of Chief Financial Officer pursuant to 18 U.S.C. Section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20"/>
                <w:szCs w:val="20"/>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2"/>
          </w:tcPr>
          <w:p>
            <w:pPr>
              <w:spacing w:after="0" w:line="149" w:lineRule="exact"/>
              <w:rPr>
                <w:sz w:val="20"/>
                <w:szCs w:val="20"/>
                <w:color w:val="auto"/>
              </w:rPr>
            </w:pPr>
            <w:r>
              <w:rPr>
                <w:rFonts w:ascii="Arial" w:cs="Arial" w:eastAsia="Arial" w:hAnsi="Arial"/>
                <w:sz w:val="14"/>
                <w:szCs w:val="14"/>
                <w:color w:val="auto"/>
              </w:rPr>
              <w:t>appear in the Interactive Data File because its XBRL tags are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embedded within the Inline XBRL document.</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2"/>
                <w:szCs w:val="22"/>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1"/>
                <w:szCs w:val="21"/>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1"/>
                <w:szCs w:val="21"/>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1"/>
                <w:szCs w:val="21"/>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1"/>
                <w:szCs w:val="21"/>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0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2"/>
          </w:tcPr>
          <w:p>
            <w:pPr>
              <w:spacing w:after="0"/>
              <w:rPr>
                <w:sz w:val="20"/>
                <w:szCs w:val="20"/>
                <w:color w:val="auto"/>
              </w:rPr>
            </w:pPr>
            <w:r>
              <w:rPr>
                <w:rFonts w:ascii="Arial" w:cs="Arial" w:eastAsia="Arial" w:hAnsi="Arial"/>
                <w:sz w:val="14"/>
                <w:szCs w:val="14"/>
                <w:color w:val="auto"/>
              </w:rPr>
              <w:t>contained in Exhibit 101)</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05" w:name="page106"/>
    <w:bookmarkEnd w:id="105"/>
    <w:p>
      <w:pPr>
        <w:jc w:val="center"/>
        <w:ind w:right="-179"/>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RENT THE RUNWAY, INC.</w:t>
      </w:r>
    </w:p>
    <w:p>
      <w:pPr>
        <w:spacing w:after="0" w:line="210" w:lineRule="exact"/>
        <w:rPr>
          <w:sz w:val="20"/>
          <w:szCs w:val="20"/>
          <w:color w:val="auto"/>
        </w:rPr>
      </w:pPr>
    </w:p>
    <w:p>
      <w:pPr>
        <w:ind w:left="20"/>
        <w:spacing w:after="0"/>
        <w:tabs>
          <w:tab w:leader="none" w:pos="5940" w:val="left"/>
          <w:tab w:leader="none" w:pos="6400" w:val="left"/>
        </w:tabs>
        <w:rPr>
          <w:sz w:val="20"/>
          <w:szCs w:val="20"/>
          <w:color w:val="auto"/>
        </w:rPr>
      </w:pPr>
      <w:r>
        <w:rPr>
          <w:rFonts w:ascii="Arial" w:cs="Arial" w:eastAsia="Arial" w:hAnsi="Arial"/>
          <w:sz w:val="14"/>
          <w:szCs w:val="14"/>
          <w:color w:val="auto"/>
        </w:rPr>
        <w:t>Date: December 12,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28575</wp:posOffset>
            </wp:positionV>
            <wp:extent cx="309943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Siddharth Thacker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100"/>
          </w:cols>
          <w:pgMar w:left="300" w:top="1016" w:right="499" w:bottom="1440"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Jennifer Y. Hyman, certify that:</w:t>
      </w:r>
    </w:p>
    <w:p>
      <w:pPr>
        <w:spacing w:after="0" w:line="189" w:lineRule="exact"/>
        <w:rPr>
          <w:sz w:val="20"/>
          <w:szCs w:val="20"/>
          <w:color w:val="auto"/>
        </w:rPr>
      </w:pPr>
    </w:p>
    <w:p>
      <w:pPr>
        <w:ind w:left="540" w:hanging="280"/>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6980" w:val="left"/>
        </w:tabs>
        <w:rPr>
          <w:sz w:val="20"/>
          <w:szCs w:val="20"/>
          <w:color w:val="auto"/>
        </w:rPr>
      </w:pPr>
      <w:r>
        <w:rPr>
          <w:rFonts w:ascii="Arial" w:cs="Arial" w:eastAsia="Arial" w:hAnsi="Arial"/>
          <w:sz w:val="14"/>
          <w:szCs w:val="14"/>
          <w:color w:val="auto"/>
        </w:rPr>
        <w:t>Date: December 12,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34925</wp:posOffset>
            </wp:positionV>
            <wp:extent cx="372554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42"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60"/>
          </w:cols>
          <w:pgMar w:left="320" w:top="125"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Siddharth Thacker, certify that:</w:t>
      </w:r>
    </w:p>
    <w:p>
      <w:pPr>
        <w:spacing w:after="0" w:line="189" w:lineRule="exact"/>
        <w:rPr>
          <w:sz w:val="20"/>
          <w:szCs w:val="20"/>
          <w:color w:val="auto"/>
        </w:rPr>
      </w:pPr>
    </w:p>
    <w:p>
      <w:pPr>
        <w:ind w:left="540" w:hanging="280"/>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December 12,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60"/>
          </w:cols>
          <w:pgMar w:left="320" w:top="125"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October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00" w:val="left"/>
        </w:tabs>
        <w:rPr>
          <w:sz w:val="20"/>
          <w:szCs w:val="20"/>
          <w:color w:val="auto"/>
        </w:rPr>
      </w:pPr>
      <w:r>
        <w:rPr>
          <w:rFonts w:ascii="Times New Roman" w:cs="Times New Roman" w:eastAsia="Times New Roman" w:hAnsi="Times New Roman"/>
          <w:sz w:val="14"/>
          <w:szCs w:val="14"/>
          <w:color w:val="auto"/>
        </w:rPr>
        <w:t>Date: December 12,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5"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October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20" w:val="left"/>
        </w:tabs>
        <w:rPr>
          <w:sz w:val="20"/>
          <w:szCs w:val="20"/>
          <w:color w:val="auto"/>
        </w:rPr>
      </w:pPr>
      <w:r>
        <w:rPr>
          <w:rFonts w:ascii="Times New Roman" w:cs="Times New Roman" w:eastAsia="Times New Roman" w:hAnsi="Times New Roman"/>
          <w:sz w:val="14"/>
          <w:szCs w:val="14"/>
          <w:color w:val="auto"/>
        </w:rPr>
        <w:t>Date: December 12,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amp;"/>
      <w:numFmt w:val="bullet"/>
      <w:start w:val="1"/>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1."/>
      <w:numFmt w:val="decimal"/>
      <w:start w:val="9"/>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1."/>
      <w:numFmt w:val="decimal"/>
      <w:start w:val="13"/>
    </w:lvl>
  </w:abstractNum>
  <w:abstractNum w:abstractNumId="15">
    <w:nsid w:val="22221A70"/>
    <w:multiLevelType w:val="hybridMultilevel"/>
    <w:lvl w:ilvl="0">
      <w:lvlJc w:val="left"/>
      <w:lvlText w:val="%1."/>
      <w:numFmt w:val="decimal"/>
      <w:start w:val="14"/>
    </w:lvl>
  </w:abstractNum>
  <w:abstractNum w:abstractNumId="16">
    <w:nsid w:val="4516DDE9"/>
    <w:multiLevelType w:val="hybridMultilevel"/>
    <w:lvl w:ilvl="0">
      <w:lvlJc w:val="left"/>
      <w:lvlText w:val="%1."/>
      <w:numFmt w:val="decimal"/>
      <w:start w:val="15"/>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2"/>
      <w:numFmt w:val="bullet"/>
      <w:start w:val="1"/>
    </w:lvl>
  </w:abstractNum>
  <w:abstractNum w:abstractNumId="23">
    <w:nsid w:val="3804823E"/>
    <w:multiLevelType w:val="hybridMultilevel"/>
    <w:lvl w:ilvl="0">
      <w:lvlJc w:val="left"/>
      <w:lvlText w:val="3"/>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73" Type="http://schemas.openxmlformats.org/officeDocument/2006/relationships/hyperlink" Target="https://www.sec.gov/Archives/edgar/data/0001468327/000119312521313321/d211519dex31.htm" TargetMode="External"/><Relationship Id="rId174" Type="http://schemas.openxmlformats.org/officeDocument/2006/relationships/hyperlink" Target="https://www.sec.gov/Archives/edgar/data/1468327/000146832724000100/exhibit31certificateof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2025-12-12T08:30:09Z</dcterms:created>
  <dcterms:modified xsi:type="dcterms:W3CDTF">2025-12-12T08:30:09Z</dcterms:modified>
</cp:coreProperties>
</file>