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4"/>
          <w:szCs w:val="24"/>
          <w:color w:val="auto"/>
        </w:rPr>
      </w:pPr>
    </w:p>
    <w:p>
      <w:pPr>
        <w:jc w:val="right"/>
        <w:ind w:right="40"/>
        <w:spacing w:after="0"/>
        <w:rPr>
          <w:sz w:val="20"/>
          <w:szCs w:val="20"/>
          <w:color w:val="auto"/>
        </w:rPr>
      </w:pPr>
      <w:r>
        <w:rPr>
          <w:rFonts w:ascii="Arial" w:cs="Arial" w:eastAsia="Arial" w:hAnsi="Arial"/>
          <w:sz w:val="15"/>
          <w:szCs w:val="15"/>
          <w:b w:val="1"/>
          <w:bCs w:val="1"/>
          <w:color w:val="auto"/>
        </w:rPr>
        <w:t>Filed Pursuant to Rule 424(b)(4)</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5"/>
          <w:szCs w:val="15"/>
          <w:b w:val="1"/>
          <w:bCs w:val="1"/>
          <w:color w:val="auto"/>
        </w:rPr>
        <w:t>Registration No. 333-260027</w:t>
      </w:r>
    </w:p>
    <w:p>
      <w:pPr>
        <w:spacing w:after="0" w:line="122" w:lineRule="exact"/>
        <w:rPr>
          <w:sz w:val="24"/>
          <w:szCs w:val="24"/>
          <w:color w:val="auto"/>
        </w:rPr>
      </w:pPr>
    </w:p>
    <w:p>
      <w:pPr>
        <w:ind w:left="4740"/>
        <w:spacing w:after="0"/>
        <w:rPr>
          <w:sz w:val="20"/>
          <w:szCs w:val="20"/>
          <w:color w:val="auto"/>
        </w:rPr>
      </w:pPr>
      <w:r>
        <w:rPr>
          <w:rFonts w:ascii="Arial" w:cs="Arial" w:eastAsia="Arial" w:hAnsi="Arial"/>
          <w:sz w:val="21"/>
          <w:szCs w:val="21"/>
          <w:color w:val="auto"/>
        </w:rPr>
        <w:t>17,000,000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3127375</wp:posOffset>
            </wp:positionH>
            <wp:positionV relativeFrom="paragraph">
              <wp:posOffset>132080</wp:posOffset>
            </wp:positionV>
            <wp:extent cx="887095" cy="1216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7095" cy="1216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4380"/>
        <w:spacing w:after="0"/>
        <w:rPr>
          <w:sz w:val="20"/>
          <w:szCs w:val="20"/>
          <w:color w:val="auto"/>
        </w:rPr>
      </w:pPr>
      <w:r>
        <w:rPr>
          <w:rFonts w:ascii="Arial" w:cs="Arial" w:eastAsia="Arial" w:hAnsi="Arial"/>
          <w:sz w:val="24"/>
          <w:szCs w:val="24"/>
          <w:b w:val="1"/>
          <w:bCs w:val="1"/>
          <w:color w:val="auto"/>
        </w:rPr>
        <w:t>Rent the Runway, Inc.</w:t>
      </w:r>
    </w:p>
    <w:p>
      <w:pPr>
        <w:spacing w:after="0" w:line="287" w:lineRule="exact"/>
        <w:rPr>
          <w:sz w:val="24"/>
          <w:szCs w:val="24"/>
          <w:color w:val="auto"/>
        </w:rPr>
      </w:pPr>
    </w:p>
    <w:p>
      <w:pPr>
        <w:ind w:left="4700"/>
        <w:spacing w:after="0"/>
        <w:rPr>
          <w:sz w:val="20"/>
          <w:szCs w:val="20"/>
          <w:color w:val="auto"/>
        </w:rPr>
      </w:pPr>
      <w:r>
        <w:rPr>
          <w:rFonts w:ascii="Arial" w:cs="Arial" w:eastAsia="Arial" w:hAnsi="Arial"/>
          <w:sz w:val="17"/>
          <w:szCs w:val="17"/>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140970</wp:posOffset>
            </wp:positionV>
            <wp:extent cx="12306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08" w:lineRule="exact"/>
        <w:rPr>
          <w:sz w:val="24"/>
          <w:szCs w:val="24"/>
          <w:color w:val="auto"/>
        </w:rPr>
      </w:pPr>
    </w:p>
    <w:p>
      <w:pPr>
        <w:jc w:val="center"/>
        <w:ind w:right="160"/>
        <w:spacing w:after="0"/>
        <w:rPr>
          <w:sz w:val="20"/>
          <w:szCs w:val="20"/>
          <w:color w:val="auto"/>
        </w:rPr>
      </w:pPr>
      <w:r>
        <w:rPr>
          <w:rFonts w:ascii="Arial" w:cs="Arial" w:eastAsia="Arial" w:hAnsi="Arial"/>
          <w:sz w:val="11"/>
          <w:szCs w:val="11"/>
          <w:color w:val="auto"/>
        </w:rPr>
        <w:t>This is an initial public offering of shares of Class A common stock of Rent the Runway, Inc. We are selling 17,000,000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88265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70" w:lineRule="exact"/>
        <w:rPr>
          <w:sz w:val="24"/>
          <w:szCs w:val="24"/>
          <w:color w:val="auto"/>
        </w:rPr>
      </w:pPr>
    </w:p>
    <w:p>
      <w:pPr>
        <w:ind w:left="1480"/>
        <w:spacing w:after="0"/>
        <w:rPr>
          <w:sz w:val="20"/>
          <w:szCs w:val="20"/>
          <w:color w:val="auto"/>
        </w:rPr>
      </w:pPr>
      <w:r>
        <w:rPr>
          <w:rFonts w:ascii="Arial" w:cs="Arial" w:eastAsia="Arial" w:hAnsi="Arial"/>
          <w:sz w:val="9"/>
          <w:szCs w:val="9"/>
          <w:color w:val="auto"/>
        </w:rPr>
        <w:t>We will have two classes of common stock outstanding after this offering: Class A common stock and Class B common stock. The rights of the holders of Class A common stock and</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Class B common stock are identical, except with respect to voting and conversion rights. Each share of Class A common stock is entitled to one vote per share. Each share of Class B common stock</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is entitled to 20 votes per share and is convertible into one share of Class A common stock at any time. Jennifer Y. Hyman, our Co-Founder, Chief Executive Officer and the Chair of our board of</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directors, and Jennifer Fleiss, our Co-Founder and a member of our board of directors, together, the Co-Founders, and their affiliates, will together hold all of the outstanding shares of Class B</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common stock. Holders of shares of our Class A common stock and Class B common stock will vote together as a single class on all matters (including the election of directors) submitted to a vote</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of stockholders except as otherwise provided in our amended and restated certificate of incorporation or as required by applicable law. After giving effect to the sale of the shares of Class A common</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stock offered hereby, shares of Class A common stock will collectively represent approximately 95.3% of our total issued and outstanding shares and 50.5% of the voting power attached to all of our</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issued and outstanding shares (or 95.5% and 51.5%, respectively, if the underwriters’ exercise in full their option to purchase additional shares), and shares of Class B common stock will collectively</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9"/>
          <w:szCs w:val="9"/>
          <w:color w:val="auto"/>
        </w:rPr>
        <w:t>represent approximately 4.7% of our total issued and outstanding shares and 49.5% of the voting power attached to all of our issued and outstanding shares (or 4.5% and 48.5%, respectively, if the</w:t>
      </w:r>
    </w:p>
    <w:p>
      <w:pPr>
        <w:spacing w:after="0" w:line="8" w:lineRule="exact"/>
        <w:rPr>
          <w:sz w:val="24"/>
          <w:szCs w:val="24"/>
          <w:color w:val="auto"/>
        </w:rPr>
      </w:pPr>
    </w:p>
    <w:p>
      <w:pPr>
        <w:ind w:left="1020"/>
        <w:spacing w:after="0"/>
        <w:rPr>
          <w:sz w:val="20"/>
          <w:szCs w:val="20"/>
          <w:color w:val="auto"/>
        </w:rPr>
      </w:pPr>
      <w:r>
        <w:rPr>
          <w:rFonts w:ascii="Arial" w:cs="Arial" w:eastAsia="Arial" w:hAnsi="Arial"/>
          <w:sz w:val="11"/>
          <w:szCs w:val="11"/>
          <w:color w:val="auto"/>
        </w:rPr>
        <w:t>underwriters’ exercise in full their option to purchase additional shares).</w:t>
      </w:r>
    </w:p>
    <w:p>
      <w:pPr>
        <w:spacing w:after="0" w:line="33" w:lineRule="exact"/>
        <w:rPr>
          <w:sz w:val="24"/>
          <w:szCs w:val="24"/>
          <w:color w:val="auto"/>
        </w:rPr>
      </w:pPr>
    </w:p>
    <w:p>
      <w:pPr>
        <w:ind w:left="1020" w:right="40" w:firstLine="460"/>
        <w:spacing w:after="0" w:line="225" w:lineRule="auto"/>
        <w:rPr>
          <w:sz w:val="20"/>
          <w:szCs w:val="20"/>
          <w:color w:val="auto"/>
        </w:rPr>
      </w:pPr>
      <w:r>
        <w:rPr>
          <w:rFonts w:ascii="Arial" w:cs="Arial" w:eastAsia="Arial" w:hAnsi="Arial"/>
          <w:sz w:val="11"/>
          <w:szCs w:val="11"/>
          <w:color w:val="auto"/>
        </w:rPr>
        <w:t>Prior to this offering, there has been no public market for our Class A common stock. The initial public offering price per share of Class A common stock is $21.00. We have been approved to list our Class A common stock on The Nasdaq Global Select Market, or Nasdaq, under the symbol “RENT.”</w:t>
      </w:r>
    </w:p>
    <w:p>
      <w:pPr>
        <w:spacing w:after="0" w:line="33" w:lineRule="exact"/>
        <w:rPr>
          <w:sz w:val="24"/>
          <w:szCs w:val="24"/>
          <w:color w:val="auto"/>
        </w:rPr>
      </w:pPr>
    </w:p>
    <w:p>
      <w:pPr>
        <w:ind w:left="1020" w:right="40" w:firstLine="460"/>
        <w:spacing w:after="0" w:line="221" w:lineRule="auto"/>
        <w:rPr>
          <w:sz w:val="20"/>
          <w:szCs w:val="20"/>
          <w:color w:val="auto"/>
        </w:rPr>
      </w:pPr>
      <w:r>
        <w:rPr>
          <w:rFonts w:ascii="Arial" w:cs="Arial" w:eastAsia="Arial" w:hAnsi="Arial"/>
          <w:sz w:val="11"/>
          <w:szCs w:val="11"/>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124460</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85" w:lineRule="exact"/>
        <w:rPr>
          <w:sz w:val="24"/>
          <w:szCs w:val="24"/>
          <w:color w:val="auto"/>
        </w:rPr>
      </w:pPr>
    </w:p>
    <w:p>
      <w:pPr>
        <w:ind w:left="148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See “</w:t>
      </w:r>
      <w:hyperlink w:anchor="page39">
        <w:r>
          <w:rPr>
            <w:rFonts w:ascii="Arial" w:cs="Arial" w:eastAsia="Arial" w:hAnsi="Arial"/>
            <w:sz w:val="11"/>
            <w:szCs w:val="11"/>
            <w:i w:val="1"/>
            <w:iCs w:val="1"/>
            <w:u w:val="single" w:color="auto"/>
            <w:color w:val="0000EE"/>
          </w:rPr>
          <w:t>Risk Factors</w:t>
        </w:r>
      </w:hyperlink>
      <w:r>
        <w:rPr>
          <w:rFonts w:ascii="Arial" w:cs="Arial" w:eastAsia="Arial" w:hAnsi="Arial"/>
          <w:sz w:val="11"/>
          <w:szCs w:val="11"/>
          <w:i w:val="1"/>
          <w:iCs w:val="1"/>
          <w:color w:val="auto"/>
        </w:rPr>
        <w:t>” beginning on page 25 to read about factors you should consider before buying shares of our Class A common stock.</w:t>
      </w:r>
    </w:p>
    <w:p>
      <w:pPr>
        <w:spacing w:after="0" w:line="29" w:lineRule="exact"/>
        <w:rPr>
          <w:sz w:val="24"/>
          <w:szCs w:val="24"/>
          <w:color w:val="auto"/>
        </w:rPr>
      </w:pPr>
    </w:p>
    <w:p>
      <w:pPr>
        <w:ind w:left="1020" w:right="20" w:firstLine="460"/>
        <w:spacing w:after="0" w:line="237" w:lineRule="auto"/>
        <w:rPr>
          <w:sz w:val="20"/>
          <w:szCs w:val="20"/>
          <w:color w:val="auto"/>
        </w:rPr>
      </w:pPr>
      <w:r>
        <w:rPr>
          <w:rFonts w:ascii="Arial" w:cs="Arial" w:eastAsia="Arial" w:hAnsi="Arial"/>
          <w:sz w:val="11"/>
          <w:szCs w:val="11"/>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123825</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19" w:lineRule="exact"/>
        <w:rPr>
          <w:sz w:val="24"/>
          <w:szCs w:val="24"/>
          <w:color w:val="auto"/>
        </w:rPr>
      </w:pPr>
    </w:p>
    <w:tbl>
      <w:tblPr>
        <w:tblLayout w:type="fixed"/>
        <w:tblInd w:w="102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3620" w:type="dxa"/>
            <w:vAlign w:val="bottom"/>
            <w:gridSpan w:val="4"/>
          </w:tcPr>
          <w:p>
            <w:pPr>
              <w:jc w:val="right"/>
              <w:ind w:right="320"/>
              <w:spacing w:after="0"/>
              <w:rPr>
                <w:sz w:val="20"/>
                <w:szCs w:val="20"/>
                <w:color w:val="auto"/>
              </w:rPr>
            </w:pPr>
            <w:r>
              <w:rPr>
                <w:rFonts w:ascii="Arial" w:cs="Arial" w:eastAsia="Arial" w:hAnsi="Arial"/>
                <w:sz w:val="11"/>
                <w:szCs w:val="11"/>
                <w:color w:val="auto"/>
              </w:rPr>
              <w:t>Per Share</w:t>
            </w:r>
          </w:p>
        </w:tc>
        <w:tc>
          <w:tcPr>
            <w:tcW w:w="60" w:type="dxa"/>
            <w:vAlign w:val="bottom"/>
          </w:tcPr>
          <w:p>
            <w:pPr>
              <w:spacing w:after="0"/>
              <w:rPr>
                <w:sz w:val="10"/>
                <w:szCs w:val="10"/>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color w:val="auto"/>
              </w:rPr>
              <w:t>Total</w:t>
            </w:r>
          </w:p>
        </w:tc>
      </w:tr>
      <w:tr>
        <w:trPr>
          <w:trHeight w:val="104"/>
        </w:trPr>
        <w:tc>
          <w:tcPr>
            <w:tcW w:w="488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1"/>
                <w:szCs w:val="11"/>
                <w:color w:val="auto"/>
              </w:rPr>
              <w:t>Initial public offering price</w:t>
            </w:r>
          </w:p>
        </w:tc>
        <w:tc>
          <w:tcPr>
            <w:tcW w:w="28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21.00</w:t>
            </w:r>
          </w:p>
        </w:tc>
        <w:tc>
          <w:tcPr>
            <w:tcW w:w="3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w w:val="94"/>
              </w:rPr>
              <w:t>357,000,000</w:t>
            </w:r>
          </w:p>
        </w:tc>
        <w:tc>
          <w:tcPr>
            <w:tcW w:w="40" w:type="dxa"/>
            <w:vAlign w:val="bottom"/>
            <w:tcBorders>
              <w:top w:val="single" w:sz="8" w:color="CCEEFF"/>
            </w:tcBorders>
            <w:shd w:val="clear" w:color="auto" w:fill="CCEEFF"/>
          </w:tcPr>
          <w:p>
            <w:pPr>
              <w:spacing w:after="0"/>
              <w:rPr>
                <w:sz w:val="9"/>
                <w:szCs w:val="9"/>
                <w:color w:val="auto"/>
              </w:rPr>
            </w:pPr>
          </w:p>
        </w:tc>
      </w:tr>
      <w:tr>
        <w:trPr>
          <w:trHeight w:val="113"/>
        </w:trPr>
        <w:tc>
          <w:tcPr>
            <w:tcW w:w="4880" w:type="dxa"/>
            <w:vAlign w:val="bottom"/>
          </w:tcPr>
          <w:p>
            <w:pPr>
              <w:spacing w:after="0" w:line="113" w:lineRule="exact"/>
              <w:rPr>
                <w:sz w:val="20"/>
                <w:szCs w:val="20"/>
                <w:color w:val="auto"/>
              </w:rPr>
            </w:pPr>
            <w:r>
              <w:rPr>
                <w:rFonts w:ascii="Arial" w:cs="Arial" w:eastAsia="Arial" w:hAnsi="Arial"/>
                <w:sz w:val="11"/>
                <w:szCs w:val="11"/>
                <w:color w:val="auto"/>
              </w:rPr>
              <w:t>Underwriting discounts and commissions(1)</w:t>
            </w:r>
          </w:p>
        </w:tc>
        <w:tc>
          <w:tcPr>
            <w:tcW w:w="2960" w:type="dxa"/>
            <w:vAlign w:val="bottom"/>
            <w:gridSpan w:val="2"/>
          </w:tcPr>
          <w:p>
            <w:pPr>
              <w:jc w:val="right"/>
              <w:ind w:right="13"/>
              <w:spacing w:after="0" w:line="113"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320"/>
              <w:spacing w:after="0" w:line="113" w:lineRule="exact"/>
              <w:rPr>
                <w:sz w:val="20"/>
                <w:szCs w:val="20"/>
                <w:color w:val="auto"/>
              </w:rPr>
            </w:pPr>
            <w:r>
              <w:rPr>
                <w:rFonts w:ascii="Arial" w:cs="Arial" w:eastAsia="Arial" w:hAnsi="Arial"/>
                <w:sz w:val="11"/>
                <w:szCs w:val="11"/>
                <w:color w:val="auto"/>
              </w:rPr>
              <w:t>1.42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24,097,500</w:t>
            </w:r>
          </w:p>
        </w:tc>
      </w:tr>
      <w:tr>
        <w:trPr>
          <w:trHeight w:val="113"/>
        </w:trPr>
        <w:tc>
          <w:tcPr>
            <w:tcW w:w="48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Proceeds to us, before expenses</w:t>
            </w:r>
          </w:p>
        </w:tc>
        <w:tc>
          <w:tcPr>
            <w:tcW w:w="2960" w:type="dxa"/>
            <w:vAlign w:val="bottom"/>
            <w:gridSpan w:val="2"/>
            <w:shd w:val="clear" w:color="auto" w:fill="CCEEFF"/>
          </w:tcPr>
          <w:p>
            <w:pPr>
              <w:jc w:val="right"/>
              <w:ind w:right="13"/>
              <w:spacing w:after="0" w:line="113"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320"/>
              <w:spacing w:after="0" w:line="113" w:lineRule="exact"/>
              <w:rPr>
                <w:sz w:val="20"/>
                <w:szCs w:val="20"/>
                <w:color w:val="auto"/>
              </w:rPr>
            </w:pPr>
            <w:r>
              <w:rPr>
                <w:rFonts w:ascii="Arial" w:cs="Arial" w:eastAsia="Arial" w:hAnsi="Arial"/>
                <w:sz w:val="11"/>
                <w:szCs w:val="11"/>
                <w:color w:val="auto"/>
              </w:rPr>
              <w:t>19.58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1"/>
                <w:szCs w:val="11"/>
                <w:color w:val="auto"/>
                <w:w w:val="94"/>
              </w:rPr>
              <w:t>332,902,500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0" w:lineRule="exact"/>
        <w:rPr>
          <w:sz w:val="24"/>
          <w:szCs w:val="24"/>
          <w:color w:val="auto"/>
        </w:rPr>
      </w:pP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“Underwriting” for additional information regarding underwriter compensation.</w:t>
      </w:r>
    </w:p>
    <w:p>
      <w:pPr>
        <w:spacing w:after="0" w:line="33" w:lineRule="exact"/>
        <w:rPr>
          <w:sz w:val="24"/>
          <w:szCs w:val="24"/>
          <w:color w:val="auto"/>
        </w:rPr>
      </w:pPr>
    </w:p>
    <w:p>
      <w:pPr>
        <w:ind w:left="1020" w:right="120" w:firstLine="460"/>
        <w:spacing w:after="0" w:line="225" w:lineRule="auto"/>
        <w:rPr>
          <w:sz w:val="20"/>
          <w:szCs w:val="20"/>
          <w:color w:val="auto"/>
        </w:rPr>
      </w:pPr>
      <w:r>
        <w:rPr>
          <w:rFonts w:ascii="Arial" w:cs="Arial" w:eastAsia="Arial" w:hAnsi="Arial"/>
          <w:sz w:val="11"/>
          <w:szCs w:val="11"/>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33" w:lineRule="exact"/>
        <w:rPr>
          <w:sz w:val="24"/>
          <w:szCs w:val="24"/>
          <w:color w:val="auto"/>
        </w:rPr>
      </w:pPr>
    </w:p>
    <w:p>
      <w:pPr>
        <w:ind w:left="1020" w:right="220" w:firstLine="460"/>
        <w:spacing w:after="0" w:line="219" w:lineRule="auto"/>
        <w:rPr>
          <w:sz w:val="20"/>
          <w:szCs w:val="20"/>
          <w:color w:val="auto"/>
        </w:rPr>
      </w:pPr>
      <w:r>
        <w:rPr>
          <w:rFonts w:ascii="Arial" w:cs="Arial" w:eastAsia="Arial" w:hAnsi="Arial"/>
          <w:sz w:val="11"/>
          <w:szCs w:val="11"/>
          <w:color w:val="auto"/>
        </w:rPr>
        <w:t>One or more funds affiliated with Franklin Templeton have indicated an interest in purchasing up to $ 75.0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34" w:lineRule="exact"/>
        <w:rPr>
          <w:sz w:val="24"/>
          <w:szCs w:val="24"/>
          <w:color w:val="auto"/>
        </w:rPr>
      </w:pPr>
    </w:p>
    <w:p>
      <w:pPr>
        <w:ind w:left="1020" w:right="180" w:firstLine="460"/>
        <w:spacing w:after="0" w:line="225" w:lineRule="auto"/>
        <w:rPr>
          <w:sz w:val="20"/>
          <w:szCs w:val="20"/>
          <w:color w:val="auto"/>
        </w:rPr>
      </w:pPr>
      <w:r>
        <w:rPr>
          <w:rFonts w:ascii="Arial" w:cs="Arial" w:eastAsia="Arial" w:hAnsi="Arial"/>
          <w:sz w:val="11"/>
          <w:szCs w:val="11"/>
          <w:color w:val="auto"/>
        </w:rPr>
        <w:t>To the extent the underwriters sell more than 17,000,000 shares of Class A common stock, the underwriters have the option to purchase up to an additional 2,550,000 shares of Class A common stock from us at the initial public offering price less the underwriting discounts and commissions.</w:t>
      </w:r>
    </w:p>
    <w:p>
      <w:pPr>
        <w:spacing w:after="0" w:line="32" w:lineRule="exact"/>
        <w:rPr>
          <w:sz w:val="24"/>
          <w:szCs w:val="24"/>
          <w:color w:val="auto"/>
        </w:rPr>
      </w:pPr>
    </w:p>
    <w:p>
      <w:pPr>
        <w:ind w:left="1480"/>
        <w:spacing w:after="0"/>
        <w:rPr>
          <w:sz w:val="20"/>
          <w:szCs w:val="20"/>
          <w:color w:val="auto"/>
        </w:rPr>
      </w:pPr>
      <w:r>
        <w:rPr>
          <w:rFonts w:ascii="Arial" w:cs="Arial" w:eastAsia="Arial" w:hAnsi="Arial"/>
          <w:sz w:val="11"/>
          <w:szCs w:val="11"/>
          <w:color w:val="auto"/>
        </w:rPr>
        <w:t>The underwriters expect to deliver the shares of Class A common stock against payment in New York, New York on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95250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sectPr>
      </w:pPr>
    </w:p>
    <w:p>
      <w:pPr>
        <w:spacing w:after="0" w:line="213"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Barclays</w:t>
      </w:r>
    </w:p>
    <w:p>
      <w:pPr>
        <w:spacing w:after="0" w:line="128" w:lineRule="exact"/>
        <w:rPr>
          <w:sz w:val="24"/>
          <w:szCs w:val="24"/>
          <w:color w:val="auto"/>
        </w:rPr>
      </w:pPr>
    </w:p>
    <w:p>
      <w:pPr>
        <w:sectPr>
          <w:pgSz w:w="11900" w:h="16838" w:orient="portrait"/>
          <w:cols w:equalWidth="0" w:num="3">
            <w:col w:w="4340" w:space="720"/>
            <w:col w:w="3680" w:space="720"/>
            <w:col w:w="760"/>
          </w:cols>
          <w:pgMar w:left="320" w:top="216" w:right="13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Credit Suisse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Piper Sandler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Wells Fargo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JMP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KeyBanc Capital Markets</w:t>
      </w:r>
    </w:p>
    <w:p>
      <w:pPr>
        <w:spacing w:after="0" w:line="129" w:lineRule="exact"/>
        <w:rPr>
          <w:sz w:val="24"/>
          <w:szCs w:val="24"/>
          <w:color w:val="auto"/>
        </w:rPr>
      </w:pPr>
    </w:p>
    <w:p>
      <w:pPr>
        <w:sectPr>
          <w:pgSz w:w="11900" w:h="16838" w:orient="portrait"/>
          <w:cols w:equalWidth="0" w:num="5">
            <w:col w:w="1980" w:space="440"/>
            <w:col w:w="1100" w:space="720"/>
            <w:col w:w="1600" w:space="640"/>
            <w:col w:w="1220" w:space="720"/>
            <w:col w:w="1800"/>
          </w:cols>
          <w:pgMar w:left="320" w:top="216" w:right="1359" w:bottom="1440" w:gutter="0" w:footer="0" w:header="0"/>
          <w:type w:val="continuous"/>
        </w:sectPr>
      </w:pPr>
    </w:p>
    <w:p>
      <w:pPr>
        <w:ind w:left="5020"/>
        <w:spacing w:after="0"/>
        <w:rPr>
          <w:sz w:val="20"/>
          <w:szCs w:val="20"/>
          <w:color w:val="auto"/>
        </w:rPr>
      </w:pPr>
      <w:r>
        <w:rPr>
          <w:rFonts w:ascii="Arial" w:cs="Arial" w:eastAsia="Arial" w:hAnsi="Arial"/>
          <w:sz w:val="11"/>
          <w:szCs w:val="11"/>
          <w:b w:val="1"/>
          <w:bCs w:val="1"/>
          <w:color w:val="auto"/>
        </w:rPr>
        <w:t>Telsey Advisory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147955</wp:posOffset>
            </wp:positionV>
            <wp:extent cx="12306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type w:val="continuous"/>
        </w:sectPr>
      </w:pPr>
    </w:p>
    <w:p>
      <w:pPr>
        <w:spacing w:after="0" w:line="347" w:lineRule="exact"/>
        <w:rPr>
          <w:sz w:val="24"/>
          <w:szCs w:val="24"/>
          <w:color w:val="auto"/>
        </w:rPr>
      </w:pPr>
    </w:p>
    <w:p>
      <w:pPr>
        <w:ind w:left="4540"/>
        <w:spacing w:after="0"/>
        <w:rPr>
          <w:sz w:val="20"/>
          <w:szCs w:val="20"/>
          <w:color w:val="auto"/>
        </w:rPr>
      </w:pPr>
      <w:r>
        <w:rPr>
          <w:rFonts w:ascii="Arial" w:cs="Arial" w:eastAsia="Arial" w:hAnsi="Arial"/>
          <w:sz w:val="12"/>
          <w:szCs w:val="12"/>
          <w:color w:val="auto"/>
        </w:rPr>
        <w:t>Prospectus dated October 26, 2021.</w:t>
      </w:r>
    </w:p>
    <w:p>
      <w:pPr>
        <w:sectPr>
          <w:pgSz w:w="11900" w:h="16838" w:orient="portrait"/>
          <w:cols w:equalWidth="0" w:num="1">
            <w:col w:w="10220"/>
          </w:cols>
          <w:pgMar w:left="320" w:top="216" w:right="1359" w:bottom="1440" w:gutter="0" w:footer="0" w:header="0"/>
          <w:type w:val="continuous"/>
        </w:sectPr>
      </w:pPr>
    </w:p>
    <w:bookmarkStart w:id="1" w:name="page2"/>
    <w:bookmarkEnd w:id="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228600</wp:posOffset>
            </wp:positionV>
            <wp:extent cx="5838190" cy="57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8190" cy="57150"/>
                    </a:xfrm>
                    <a:prstGeom prst="rect">
                      <a:avLst/>
                    </a:prstGeom>
                    <a:noFill/>
                  </pic:spPr>
                </pic:pic>
              </a:graphicData>
            </a:graphic>
          </wp:anchor>
        </w:drawing>
      </w:r>
    </w:p>
    <w:p>
      <w:pPr>
        <w:sectPr>
          <w:pgSz w:w="11900" w:h="16838" w:orient="portrait"/>
          <w:cols w:equalWidth="0" w:num="1">
            <w:col w:w="10180"/>
          </w:cols>
          <w:pgMar w:left="320" w:top="40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5"/>
          <w:szCs w:val="15"/>
          <w:color w:val="auto"/>
        </w:rPr>
        <w:t>TABLE OF CONTENTS</w:t>
      </w:r>
    </w:p>
    <w:p>
      <w:pPr>
        <w:jc w:val="center"/>
        <w:ind w:left="1040"/>
        <w:spacing w:after="0"/>
        <w:rPr>
          <w:sz w:val="20"/>
          <w:szCs w:val="20"/>
          <w:color w:val="auto"/>
        </w:rPr>
      </w:pPr>
      <w:r>
        <w:rPr>
          <w:rFonts w:ascii="Arial" w:cs="Arial" w:eastAsia="Arial" w:hAnsi="Arial"/>
          <w:sz w:val="15"/>
          <w:szCs w:val="15"/>
          <w:color w:val="auto"/>
        </w:rPr>
        <w:t>Prospectus</w:t>
      </w:r>
    </w:p>
    <w:p>
      <w:pPr>
        <w:spacing w:after="0" w:line="96" w:lineRule="exact"/>
        <w:rPr>
          <w:sz w:val="20"/>
          <w:szCs w:val="20"/>
          <w:color w:val="auto"/>
        </w:rPr>
      </w:pPr>
    </w:p>
    <w:tbl>
      <w:tblPr>
        <w:tblLayout w:type="fixed"/>
        <w:tblInd w:w="1040" w:type="dxa"/>
        <w:tblCellMar>
          <w:top w:w="0" w:type="dxa"/>
          <w:left w:w="0" w:type="dxa"/>
          <w:bottom w:w="0" w:type="dxa"/>
          <w:right w:w="0" w:type="dxa"/>
        </w:tblCellMar>
      </w:tblPr>
      <w:tr>
        <w:trPr>
          <w:trHeight w:val="138"/>
        </w:trPr>
        <w:tc>
          <w:tcPr>
            <w:tcW w:w="4040" w:type="dxa"/>
            <w:vAlign w:val="bottom"/>
            <w:gridSpan w:val="29"/>
            <w:vMerge w:val="restart"/>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ABOUT THIS PROSPECTUS</w:t>
              </w:r>
            </w:hyperlink>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Page</w:t>
            </w:r>
          </w:p>
        </w:tc>
        <w:tc>
          <w:tcPr>
            <w:tcW w:w="0" w:type="dxa"/>
            <w:vAlign w:val="bottom"/>
          </w:tcPr>
          <w:p>
            <w:pPr>
              <w:spacing w:after="0"/>
              <w:rPr>
                <w:sz w:val="1"/>
                <w:szCs w:val="1"/>
                <w:color w:val="auto"/>
              </w:rPr>
            </w:pPr>
          </w:p>
        </w:tc>
      </w:tr>
      <w:tr>
        <w:trPr>
          <w:trHeight w:val="138"/>
        </w:trPr>
        <w:tc>
          <w:tcPr>
            <w:tcW w:w="4040" w:type="dxa"/>
            <w:vAlign w:val="bottom"/>
            <w:gridSpan w:val="29"/>
            <w:vMerge w:val="continue"/>
          </w:tcPr>
          <w:p>
            <w:pPr>
              <w:spacing w:after="0"/>
              <w:rPr>
                <w:sz w:val="11"/>
                <w:szCs w:val="11"/>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12">
              <w:r>
                <w:rPr>
                  <w:rFonts w:ascii="Arial" w:cs="Arial" w:eastAsia="Arial" w:hAnsi="Arial"/>
                  <w:sz w:val="15"/>
                  <w:szCs w:val="15"/>
                  <w:color w:val="0000EE"/>
                </w:rPr>
                <w:t>A LETTER FROM OUR CO-FOUNDER</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1840" w:type="dxa"/>
            <w:vAlign w:val="bottom"/>
            <w:tcBorders>
              <w:top w:val="single" w:sz="8" w:color="0000EE"/>
              <w:bottom w:val="single" w:sz="8" w:color="0000EE"/>
            </w:tcBorders>
            <w:gridSpan w:val="14"/>
          </w:tcPr>
          <w:p>
            <w:pPr>
              <w:spacing w:after="0" w:line="149" w:lineRule="exact"/>
              <w:rPr>
                <w:rFonts w:ascii="Arial" w:cs="Arial" w:eastAsia="Arial" w:hAnsi="Arial"/>
                <w:sz w:val="15"/>
                <w:szCs w:val="15"/>
                <w:color w:val="0000EE"/>
                <w:w w:val="98"/>
              </w:rPr>
            </w:pPr>
            <w:hyperlink w:anchor="page15">
              <w:r>
                <w:rPr>
                  <w:rFonts w:ascii="Arial" w:cs="Arial" w:eastAsia="Arial" w:hAnsi="Arial"/>
                  <w:sz w:val="15"/>
                  <w:szCs w:val="15"/>
                  <w:color w:val="0000EE"/>
                  <w:w w:val="98"/>
                </w:rPr>
                <w:t>PROSPECTUS SUMMARY</w:t>
              </w:r>
            </w:hyperlink>
          </w:p>
        </w:tc>
        <w:tc>
          <w:tcPr>
            <w:tcW w:w="780" w:type="dxa"/>
            <w:vAlign w:val="bottom"/>
            <w:tcBorders>
              <w:top w:val="single" w:sz="8" w:color="0000EE"/>
            </w:tcBorders>
            <w:gridSpan w:val="6"/>
          </w:tcPr>
          <w:p>
            <w:pPr>
              <w:spacing w:after="0"/>
              <w:rPr>
                <w:sz w:val="12"/>
                <w:szCs w:val="12"/>
                <w:color w:val="auto"/>
              </w:rPr>
            </w:pPr>
          </w:p>
        </w:tc>
        <w:tc>
          <w:tcPr>
            <w:tcW w:w="1420" w:type="dxa"/>
            <w:vAlign w:val="bottom"/>
            <w:gridSpan w:val="9"/>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39">
              <w:r>
                <w:rPr>
                  <w:rFonts w:ascii="Arial" w:cs="Arial" w:eastAsia="Arial" w:hAnsi="Arial"/>
                  <w:sz w:val="15"/>
                  <w:szCs w:val="15"/>
                  <w:color w:val="0000EE"/>
                </w:rPr>
                <w:t>RISK FACTORS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8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86">
              <w:r>
                <w:rPr>
                  <w:rFonts w:ascii="Arial" w:cs="Arial" w:eastAsia="Arial" w:hAnsi="Arial"/>
                  <w:sz w:val="15"/>
                  <w:szCs w:val="15"/>
                  <w:color w:val="0000EE"/>
                  <w:w w:val="99"/>
                </w:rPr>
                <w:t>SPECIAL NOTE REGARDING FORWARD-LOOKING</w:t>
              </w:r>
            </w:hyperlink>
          </w:p>
        </w:tc>
        <w:tc>
          <w:tcPr>
            <w:tcW w:w="46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000" w:type="dxa"/>
            <w:vAlign w:val="bottom"/>
            <w:tcBorders>
              <w:bottom w:val="single" w:sz="8" w:color="0000EE"/>
            </w:tcBorders>
            <w:gridSpan w:val="6"/>
          </w:tcPr>
          <w:p>
            <w:pPr>
              <w:spacing w:after="0" w:line="149" w:lineRule="exact"/>
              <w:rPr>
                <w:rFonts w:ascii="Arial" w:cs="Arial" w:eastAsia="Arial" w:hAnsi="Arial"/>
                <w:sz w:val="15"/>
                <w:szCs w:val="15"/>
                <w:color w:val="0000EE"/>
                <w:w w:val="97"/>
              </w:rPr>
            </w:pPr>
            <w:hyperlink w:anchor="page86">
              <w:r>
                <w:rPr>
                  <w:rFonts w:ascii="Arial" w:cs="Arial" w:eastAsia="Arial" w:hAnsi="Arial"/>
                  <w:sz w:val="15"/>
                  <w:szCs w:val="15"/>
                  <w:color w:val="0000EE"/>
                  <w:w w:val="97"/>
                </w:rPr>
                <w:t>STATEMENTS</w:t>
              </w:r>
            </w:hyperlink>
          </w:p>
        </w:tc>
        <w:tc>
          <w:tcPr>
            <w:tcW w:w="2900" w:type="dxa"/>
            <w:vAlign w:val="bottom"/>
            <w:gridSpan w:val="2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0000EE"/>
            </w:tcBorders>
            <w:gridSpan w:val="22"/>
          </w:tcPr>
          <w:p>
            <w:pPr>
              <w:spacing w:after="0" w:line="149" w:lineRule="exact"/>
              <w:rPr>
                <w:rFonts w:ascii="Arial" w:cs="Arial" w:eastAsia="Arial" w:hAnsi="Arial"/>
                <w:sz w:val="15"/>
                <w:szCs w:val="15"/>
                <w:color w:val="0000EE"/>
                <w:w w:val="97"/>
              </w:rPr>
            </w:pPr>
            <w:hyperlink w:anchor="page88">
              <w:r>
                <w:rPr>
                  <w:rFonts w:ascii="Arial" w:cs="Arial" w:eastAsia="Arial" w:hAnsi="Arial"/>
                  <w:sz w:val="15"/>
                  <w:szCs w:val="15"/>
                  <w:color w:val="0000EE"/>
                  <w:w w:val="97"/>
                </w:rPr>
                <w:t>MARKET, INDUSTRY AND OTHER DATA</w:t>
              </w:r>
            </w:hyperlink>
          </w:p>
        </w:tc>
        <w:tc>
          <w:tcPr>
            <w:tcW w:w="1240" w:type="dxa"/>
            <w:vAlign w:val="bottom"/>
            <w:gridSpan w:val="7"/>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49"/>
        </w:trPr>
        <w:tc>
          <w:tcPr>
            <w:tcW w:w="1440" w:type="dxa"/>
            <w:vAlign w:val="bottom"/>
            <w:tcBorders>
              <w:bottom w:val="single" w:sz="8" w:color="0000EE"/>
            </w:tcBorders>
            <w:gridSpan w:val="13"/>
          </w:tcPr>
          <w:p>
            <w:pPr>
              <w:spacing w:after="0" w:line="149" w:lineRule="exact"/>
              <w:rPr>
                <w:rFonts w:ascii="Arial" w:cs="Arial" w:eastAsia="Arial" w:hAnsi="Arial"/>
                <w:sz w:val="15"/>
                <w:szCs w:val="15"/>
                <w:color w:val="0000EE"/>
                <w:w w:val="98"/>
              </w:rPr>
            </w:pPr>
            <w:hyperlink w:anchor="page90">
              <w:r>
                <w:rPr>
                  <w:rFonts w:ascii="Arial" w:cs="Arial" w:eastAsia="Arial" w:hAnsi="Arial"/>
                  <w:sz w:val="15"/>
                  <w:szCs w:val="15"/>
                  <w:color w:val="0000EE"/>
                  <w:w w:val="98"/>
                </w:rPr>
                <w:t>USE OF PROCEEDS</w:t>
              </w:r>
            </w:hyperlink>
          </w:p>
        </w:tc>
        <w:tc>
          <w:tcPr>
            <w:tcW w:w="2600" w:type="dxa"/>
            <w:vAlign w:val="bottom"/>
            <w:gridSpan w:val="16"/>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91">
              <w:r>
                <w:rPr>
                  <w:rFonts w:ascii="Arial" w:cs="Arial" w:eastAsia="Arial" w:hAnsi="Arial"/>
                  <w:sz w:val="15"/>
                  <w:szCs w:val="15"/>
                  <w:color w:val="0000EE"/>
                </w:rPr>
                <w:t>DIVIDEND POLICY</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49"/>
        </w:trPr>
        <w:tc>
          <w:tcPr>
            <w:tcW w:w="120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6"/>
              </w:rPr>
            </w:pPr>
            <w:hyperlink w:anchor="page92">
              <w:r>
                <w:rPr>
                  <w:rFonts w:ascii="Arial" w:cs="Arial" w:eastAsia="Arial" w:hAnsi="Arial"/>
                  <w:sz w:val="15"/>
                  <w:szCs w:val="15"/>
                  <w:color w:val="0000EE"/>
                  <w:w w:val="96"/>
                </w:rPr>
                <w:t>CAPITALIZATION</w:t>
              </w:r>
            </w:hyperlink>
          </w:p>
        </w:tc>
        <w:tc>
          <w:tcPr>
            <w:tcW w:w="100" w:type="dxa"/>
            <w:vAlign w:val="bottom"/>
            <w:tcBorders>
              <w:top w:val="single" w:sz="8" w:color="0000EE"/>
            </w:tcBorders>
            <w:gridSpan w:val="2"/>
          </w:tcPr>
          <w:p>
            <w:pPr>
              <w:spacing w:after="0"/>
              <w:rPr>
                <w:sz w:val="12"/>
                <w:szCs w:val="12"/>
                <w:color w:val="auto"/>
              </w:rPr>
            </w:pPr>
          </w:p>
        </w:tc>
        <w:tc>
          <w:tcPr>
            <w:tcW w:w="2740" w:type="dxa"/>
            <w:vAlign w:val="bottom"/>
            <w:gridSpan w:val="18"/>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49"/>
        </w:trPr>
        <w:tc>
          <w:tcPr>
            <w:tcW w:w="700" w:type="dxa"/>
            <w:vAlign w:val="bottom"/>
            <w:tcBorders>
              <w:bottom w:val="single" w:sz="8" w:color="0000EE"/>
            </w:tcBorders>
            <w:gridSpan w:val="3"/>
          </w:tcPr>
          <w:p>
            <w:pPr>
              <w:spacing w:after="0" w:line="149" w:lineRule="exact"/>
              <w:rPr>
                <w:rFonts w:ascii="Arial" w:cs="Arial" w:eastAsia="Arial" w:hAnsi="Arial"/>
                <w:sz w:val="15"/>
                <w:szCs w:val="15"/>
                <w:color w:val="0000EE"/>
                <w:w w:val="97"/>
              </w:rPr>
            </w:pPr>
            <w:hyperlink w:anchor="page95">
              <w:r>
                <w:rPr>
                  <w:rFonts w:ascii="Arial" w:cs="Arial" w:eastAsia="Arial" w:hAnsi="Arial"/>
                  <w:sz w:val="15"/>
                  <w:szCs w:val="15"/>
                  <w:color w:val="0000EE"/>
                  <w:w w:val="97"/>
                </w:rPr>
                <w:t>DILUTION</w:t>
              </w:r>
            </w:hyperlink>
          </w:p>
        </w:tc>
        <w:tc>
          <w:tcPr>
            <w:tcW w:w="3340" w:type="dxa"/>
            <w:vAlign w:val="bottom"/>
            <w:gridSpan w:val="26"/>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49"/>
        </w:trPr>
        <w:tc>
          <w:tcPr>
            <w:tcW w:w="3560" w:type="dxa"/>
            <w:vAlign w:val="bottom"/>
            <w:tcBorders>
              <w:bottom w:val="single" w:sz="8" w:color="0000EE"/>
            </w:tcBorders>
            <w:gridSpan w:val="25"/>
          </w:tcPr>
          <w:p>
            <w:pPr>
              <w:spacing w:after="0" w:line="149" w:lineRule="exact"/>
              <w:rPr>
                <w:rFonts w:ascii="Arial" w:cs="Arial" w:eastAsia="Arial" w:hAnsi="Arial"/>
                <w:sz w:val="15"/>
                <w:szCs w:val="15"/>
                <w:color w:val="0000EE"/>
                <w:w w:val="99"/>
              </w:rPr>
            </w:pPr>
            <w:hyperlink w:anchor="page98">
              <w:r>
                <w:rPr>
                  <w:rFonts w:ascii="Arial" w:cs="Arial" w:eastAsia="Arial" w:hAnsi="Arial"/>
                  <w:sz w:val="15"/>
                  <w:szCs w:val="15"/>
                  <w:color w:val="0000EE"/>
                  <w:w w:val="99"/>
                </w:rPr>
                <w:t>MANAGEMENT’S DISCUSSION AND ANALYSIS OF</w:t>
              </w:r>
            </w:hyperlink>
          </w:p>
        </w:tc>
        <w:tc>
          <w:tcPr>
            <w:tcW w:w="480" w:type="dxa"/>
            <w:vAlign w:val="bottom"/>
            <w:gridSpan w:val="4"/>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900" w:type="dxa"/>
            <w:vAlign w:val="bottom"/>
            <w:gridSpan w:val="28"/>
          </w:tcPr>
          <w:p>
            <w:pPr>
              <w:spacing w:after="0" w:line="149" w:lineRule="exact"/>
              <w:rPr>
                <w:rFonts w:ascii="Arial" w:cs="Arial" w:eastAsia="Arial" w:hAnsi="Arial"/>
                <w:sz w:val="15"/>
                <w:szCs w:val="15"/>
                <w:color w:val="0000EE"/>
              </w:rPr>
            </w:pPr>
            <w:hyperlink w:anchor="page98">
              <w:r>
                <w:rPr>
                  <w:rFonts w:ascii="Arial" w:cs="Arial" w:eastAsia="Arial" w:hAnsi="Arial"/>
                  <w:sz w:val="15"/>
                  <w:szCs w:val="15"/>
                  <w:color w:val="0000EE"/>
                </w:rPr>
                <w:t>FINANCIAL CONDITION AND RESULTS OF</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98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7"/>
              </w:rPr>
            </w:pPr>
            <w:hyperlink w:anchor="page98">
              <w:r>
                <w:rPr>
                  <w:rFonts w:ascii="Arial" w:cs="Arial" w:eastAsia="Arial" w:hAnsi="Arial"/>
                  <w:sz w:val="15"/>
                  <w:szCs w:val="15"/>
                  <w:color w:val="0000EE"/>
                  <w:w w:val="97"/>
                </w:rPr>
                <w:t>OPERATIONS</w:t>
              </w:r>
            </w:hyperlink>
          </w:p>
        </w:tc>
        <w:tc>
          <w:tcPr>
            <w:tcW w:w="2020" w:type="dxa"/>
            <w:vAlign w:val="bottom"/>
            <w:tcBorders>
              <w:top w:val="single" w:sz="8" w:color="0000EE"/>
            </w:tcBorders>
            <w:gridSpan w:val="17"/>
          </w:tcPr>
          <w:p>
            <w:pPr>
              <w:spacing w:after="0"/>
              <w:rPr>
                <w:sz w:val="12"/>
                <w:szCs w:val="12"/>
                <w:color w:val="auto"/>
              </w:rPr>
            </w:pPr>
          </w:p>
        </w:tc>
        <w:tc>
          <w:tcPr>
            <w:tcW w:w="900" w:type="dxa"/>
            <w:vAlign w:val="bottom"/>
            <w:gridSpan w:val="6"/>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49"/>
        </w:trPr>
        <w:tc>
          <w:tcPr>
            <w:tcW w:w="760" w:type="dxa"/>
            <w:vAlign w:val="bottom"/>
            <w:tcBorders>
              <w:bottom w:val="single" w:sz="8" w:color="0000EE"/>
            </w:tcBorders>
            <w:gridSpan w:val="4"/>
          </w:tcPr>
          <w:p>
            <w:pPr>
              <w:spacing w:after="0" w:line="149" w:lineRule="exact"/>
              <w:rPr>
                <w:rFonts w:ascii="Arial" w:cs="Arial" w:eastAsia="Arial" w:hAnsi="Arial"/>
                <w:sz w:val="15"/>
                <w:szCs w:val="15"/>
                <w:color w:val="0000EE"/>
                <w:w w:val="97"/>
              </w:rPr>
            </w:pPr>
            <w:hyperlink w:anchor="page132">
              <w:r>
                <w:rPr>
                  <w:rFonts w:ascii="Arial" w:cs="Arial" w:eastAsia="Arial" w:hAnsi="Arial"/>
                  <w:sz w:val="15"/>
                  <w:szCs w:val="15"/>
                  <w:color w:val="0000EE"/>
                  <w:w w:val="97"/>
                </w:rPr>
                <w:t>BUSINESS</w:t>
              </w:r>
            </w:hyperlink>
          </w:p>
        </w:tc>
        <w:tc>
          <w:tcPr>
            <w:tcW w:w="3280" w:type="dxa"/>
            <w:vAlign w:val="bottom"/>
            <w:gridSpan w:val="25"/>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198">
              <w:r>
                <w:rPr>
                  <w:rFonts w:ascii="Arial" w:cs="Arial" w:eastAsia="Arial" w:hAnsi="Arial"/>
                  <w:sz w:val="15"/>
                  <w:szCs w:val="15"/>
                  <w:color w:val="0000EE"/>
                </w:rPr>
                <w:t>MANAGEMENT</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tcBorders>
              <w:bottom w:val="single" w:sz="8" w:color="0000EE"/>
            </w:tcBorders>
            <w:gridSpan w:val="18"/>
          </w:tcPr>
          <w:p>
            <w:pPr>
              <w:spacing w:after="0" w:line="149" w:lineRule="exact"/>
              <w:rPr>
                <w:rFonts w:ascii="Arial" w:cs="Arial" w:eastAsia="Arial" w:hAnsi="Arial"/>
                <w:sz w:val="15"/>
                <w:szCs w:val="15"/>
                <w:color w:val="0000EE"/>
                <w:w w:val="98"/>
              </w:rPr>
            </w:pPr>
            <w:hyperlink w:anchor="page207">
              <w:r>
                <w:rPr>
                  <w:rFonts w:ascii="Arial" w:cs="Arial" w:eastAsia="Arial" w:hAnsi="Arial"/>
                  <w:sz w:val="15"/>
                  <w:szCs w:val="15"/>
                  <w:color w:val="0000EE"/>
                  <w:w w:val="98"/>
                </w:rPr>
                <w:t>EXECUTIVE COMPENSATION</w:t>
              </w:r>
            </w:hyperlink>
          </w:p>
        </w:tc>
        <w:tc>
          <w:tcPr>
            <w:tcW w:w="1940" w:type="dxa"/>
            <w:vAlign w:val="bottom"/>
            <w:gridSpan w:val="11"/>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49"/>
        </w:trPr>
        <w:tc>
          <w:tcPr>
            <w:tcW w:w="3480" w:type="dxa"/>
            <w:vAlign w:val="bottom"/>
            <w:tcBorders>
              <w:bottom w:val="single" w:sz="8" w:color="0000EE"/>
            </w:tcBorders>
            <w:gridSpan w:val="24"/>
          </w:tcPr>
          <w:p>
            <w:pPr>
              <w:spacing w:after="0" w:line="149" w:lineRule="exact"/>
              <w:rPr>
                <w:rFonts w:ascii="Arial" w:cs="Arial" w:eastAsia="Arial" w:hAnsi="Arial"/>
                <w:sz w:val="15"/>
                <w:szCs w:val="15"/>
                <w:color w:val="0000EE"/>
                <w:w w:val="97"/>
              </w:rPr>
            </w:pPr>
            <w:hyperlink w:anchor="page226">
              <w:r>
                <w:rPr>
                  <w:rFonts w:ascii="Arial" w:cs="Arial" w:eastAsia="Arial" w:hAnsi="Arial"/>
                  <w:sz w:val="15"/>
                  <w:szCs w:val="15"/>
                  <w:color w:val="0000EE"/>
                  <w:w w:val="97"/>
                </w:rPr>
                <w:t>CERTAIN RELATIONSHIPS AND RELATED PARTY</w:t>
              </w:r>
            </w:hyperlink>
          </w:p>
        </w:tc>
        <w:tc>
          <w:tcPr>
            <w:tcW w:w="560" w:type="dxa"/>
            <w:vAlign w:val="bottom"/>
            <w:gridSpan w:val="5"/>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80" w:type="dxa"/>
            <w:vAlign w:val="bottom"/>
            <w:tcBorders>
              <w:bottom w:val="single" w:sz="8" w:color="0000EE"/>
            </w:tcBorders>
            <w:gridSpan w:val="11"/>
          </w:tcPr>
          <w:p>
            <w:pPr>
              <w:spacing w:after="0" w:line="149" w:lineRule="exact"/>
              <w:rPr>
                <w:rFonts w:ascii="Arial" w:cs="Arial" w:eastAsia="Arial" w:hAnsi="Arial"/>
                <w:sz w:val="15"/>
                <w:szCs w:val="15"/>
                <w:color w:val="0000EE"/>
                <w:w w:val="98"/>
              </w:rPr>
            </w:pPr>
            <w:hyperlink w:anchor="page226">
              <w:r>
                <w:rPr>
                  <w:rFonts w:ascii="Arial" w:cs="Arial" w:eastAsia="Arial" w:hAnsi="Arial"/>
                  <w:sz w:val="15"/>
                  <w:szCs w:val="15"/>
                  <w:color w:val="0000EE"/>
                  <w:w w:val="98"/>
                </w:rPr>
                <w:t>TRANSACTIONS</w:t>
              </w:r>
            </w:hyperlink>
          </w:p>
        </w:tc>
        <w:tc>
          <w:tcPr>
            <w:tcW w:w="2720" w:type="dxa"/>
            <w:vAlign w:val="bottom"/>
            <w:gridSpan w:val="17"/>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49"/>
        </w:trPr>
        <w:tc>
          <w:tcPr>
            <w:tcW w:w="2060" w:type="dxa"/>
            <w:vAlign w:val="bottom"/>
            <w:tcBorders>
              <w:bottom w:val="single" w:sz="8" w:color="0000EE"/>
            </w:tcBorders>
            <w:gridSpan w:val="16"/>
          </w:tcPr>
          <w:p>
            <w:pPr>
              <w:spacing w:after="0" w:line="149" w:lineRule="exact"/>
              <w:rPr>
                <w:rFonts w:ascii="Arial" w:cs="Arial" w:eastAsia="Arial" w:hAnsi="Arial"/>
                <w:sz w:val="15"/>
                <w:szCs w:val="15"/>
                <w:color w:val="0000EE"/>
                <w:w w:val="98"/>
              </w:rPr>
            </w:pPr>
            <w:hyperlink w:anchor="page230">
              <w:r>
                <w:rPr>
                  <w:rFonts w:ascii="Arial" w:cs="Arial" w:eastAsia="Arial" w:hAnsi="Arial"/>
                  <w:sz w:val="15"/>
                  <w:szCs w:val="15"/>
                  <w:color w:val="0000EE"/>
                  <w:w w:val="98"/>
                </w:rPr>
                <w:t>PRINCIPAL STOCKHOLDERS</w:t>
              </w:r>
            </w:hyperlink>
          </w:p>
        </w:tc>
        <w:tc>
          <w:tcPr>
            <w:tcW w:w="1980" w:type="dxa"/>
            <w:vAlign w:val="bottom"/>
            <w:gridSpan w:val="13"/>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0000EE"/>
            </w:tcBorders>
            <w:gridSpan w:val="19"/>
          </w:tcPr>
          <w:p>
            <w:pPr>
              <w:spacing w:after="0" w:line="149" w:lineRule="exact"/>
              <w:rPr>
                <w:rFonts w:ascii="Arial" w:cs="Arial" w:eastAsia="Arial" w:hAnsi="Arial"/>
                <w:sz w:val="15"/>
                <w:szCs w:val="15"/>
                <w:color w:val="0000EE"/>
                <w:w w:val="98"/>
              </w:rPr>
            </w:pPr>
            <w:hyperlink w:anchor="page234">
              <w:r>
                <w:rPr>
                  <w:rFonts w:ascii="Arial" w:cs="Arial" w:eastAsia="Arial" w:hAnsi="Arial"/>
                  <w:sz w:val="15"/>
                  <w:szCs w:val="15"/>
                  <w:color w:val="0000EE"/>
                  <w:w w:val="98"/>
                </w:rPr>
                <w:t>DESCRIPTION OF CAPITAL STOCK</w:t>
              </w:r>
            </w:hyperlink>
          </w:p>
        </w:tc>
        <w:tc>
          <w:tcPr>
            <w:tcW w:w="1560" w:type="dxa"/>
            <w:vAlign w:val="bottom"/>
            <w:gridSpan w:val="10"/>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49"/>
        </w:trPr>
        <w:tc>
          <w:tcPr>
            <w:tcW w:w="2760" w:type="dxa"/>
            <w:vAlign w:val="bottom"/>
            <w:tcBorders>
              <w:bottom w:val="single" w:sz="8" w:color="0000EE"/>
            </w:tcBorders>
            <w:gridSpan w:val="21"/>
          </w:tcPr>
          <w:p>
            <w:pPr>
              <w:spacing w:after="0" w:line="149" w:lineRule="exact"/>
              <w:rPr>
                <w:rFonts w:ascii="Arial" w:cs="Arial" w:eastAsia="Arial" w:hAnsi="Arial"/>
                <w:sz w:val="15"/>
                <w:szCs w:val="15"/>
                <w:color w:val="0000EE"/>
                <w:w w:val="99"/>
              </w:rPr>
            </w:pPr>
            <w:hyperlink w:anchor="page243">
              <w:r>
                <w:rPr>
                  <w:rFonts w:ascii="Arial" w:cs="Arial" w:eastAsia="Arial" w:hAnsi="Arial"/>
                  <w:sz w:val="15"/>
                  <w:szCs w:val="15"/>
                  <w:color w:val="0000EE"/>
                  <w:w w:val="99"/>
                </w:rPr>
                <w:t>SHARES ELIGIBLE FOR FUTURE SALE</w:t>
              </w:r>
            </w:hyperlink>
          </w:p>
        </w:tc>
        <w:tc>
          <w:tcPr>
            <w:tcW w:w="1280" w:type="dxa"/>
            <w:vAlign w:val="bottom"/>
            <w:gridSpan w:val="8"/>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229</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246">
              <w:r>
                <w:rPr>
                  <w:rFonts w:ascii="Arial" w:cs="Arial" w:eastAsia="Arial" w:hAnsi="Arial"/>
                  <w:sz w:val="15"/>
                  <w:szCs w:val="15"/>
                  <w:color w:val="0000EE"/>
                </w:rPr>
                <w:t>MATERIAL U.S. FEDERAL INCOME TAX</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40" w:type="dxa"/>
            <w:vAlign w:val="bottom"/>
          </w:tcPr>
          <w:p>
            <w:pPr>
              <w:spacing w:after="0"/>
              <w:rPr>
                <w:sz w:val="12"/>
                <w:szCs w:val="12"/>
                <w:color w:val="auto"/>
              </w:rPr>
            </w:pPr>
          </w:p>
        </w:tc>
        <w:tc>
          <w:tcPr>
            <w:tcW w:w="3640" w:type="dxa"/>
            <w:vAlign w:val="bottom"/>
            <w:tcBorders>
              <w:bottom w:val="single" w:sz="8" w:color="0000EE"/>
            </w:tcBorders>
            <w:gridSpan w:val="27"/>
          </w:tcPr>
          <w:p>
            <w:pPr>
              <w:spacing w:after="0" w:line="149" w:lineRule="exact"/>
              <w:rPr>
                <w:rFonts w:ascii="Arial" w:cs="Arial" w:eastAsia="Arial" w:hAnsi="Arial"/>
                <w:sz w:val="15"/>
                <w:szCs w:val="15"/>
                <w:color w:val="0000EE"/>
                <w:w w:val="99"/>
              </w:rPr>
            </w:pPr>
            <w:hyperlink w:anchor="page246">
              <w:r>
                <w:rPr>
                  <w:rFonts w:ascii="Arial" w:cs="Arial" w:eastAsia="Arial" w:hAnsi="Arial"/>
                  <w:sz w:val="15"/>
                  <w:szCs w:val="15"/>
                  <w:color w:val="0000EE"/>
                  <w:w w:val="99"/>
                </w:rPr>
                <w:t>CONSEQUENCES TO NON-U.S. HOLDERS OF OUR</w:t>
              </w:r>
            </w:hyperlink>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940" w:type="dxa"/>
            <w:vAlign w:val="bottom"/>
            <w:tcBorders>
              <w:bottom w:val="single" w:sz="8" w:color="0000EE"/>
            </w:tcBorders>
            <w:gridSpan w:val="16"/>
          </w:tcPr>
          <w:p>
            <w:pPr>
              <w:spacing w:after="0" w:line="149" w:lineRule="exact"/>
              <w:rPr>
                <w:rFonts w:ascii="Arial" w:cs="Arial" w:eastAsia="Arial" w:hAnsi="Arial"/>
                <w:sz w:val="15"/>
                <w:szCs w:val="15"/>
                <w:color w:val="0000EE"/>
                <w:w w:val="99"/>
              </w:rPr>
            </w:pPr>
            <w:hyperlink w:anchor="page246">
              <w:r>
                <w:rPr>
                  <w:rFonts w:ascii="Arial" w:cs="Arial" w:eastAsia="Arial" w:hAnsi="Arial"/>
                  <w:sz w:val="15"/>
                  <w:szCs w:val="15"/>
                  <w:color w:val="0000EE"/>
                  <w:w w:val="99"/>
                </w:rPr>
                <w:t>CLASS A COMMON STOCK</w:t>
              </w:r>
            </w:hyperlink>
          </w:p>
        </w:tc>
        <w:tc>
          <w:tcPr>
            <w:tcW w:w="1960" w:type="dxa"/>
            <w:vAlign w:val="bottom"/>
            <w:gridSpan w:val="1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0000EE"/>
            </w:tcBorders>
            <w:gridSpan w:val="8"/>
          </w:tcPr>
          <w:p>
            <w:pPr>
              <w:spacing w:after="0" w:line="149" w:lineRule="exact"/>
              <w:rPr>
                <w:rFonts w:ascii="Arial" w:cs="Arial" w:eastAsia="Arial" w:hAnsi="Arial"/>
                <w:sz w:val="15"/>
                <w:szCs w:val="15"/>
                <w:color w:val="0000EE"/>
                <w:w w:val="97"/>
              </w:rPr>
            </w:pPr>
            <w:hyperlink w:anchor="page250">
              <w:r>
                <w:rPr>
                  <w:rFonts w:ascii="Arial" w:cs="Arial" w:eastAsia="Arial" w:hAnsi="Arial"/>
                  <w:sz w:val="15"/>
                  <w:szCs w:val="15"/>
                  <w:color w:val="0000EE"/>
                  <w:w w:val="97"/>
                </w:rPr>
                <w:t>UNDERWRITING</w:t>
              </w:r>
            </w:hyperlink>
          </w:p>
        </w:tc>
        <w:tc>
          <w:tcPr>
            <w:tcW w:w="2860" w:type="dxa"/>
            <w:vAlign w:val="bottom"/>
            <w:gridSpan w:val="21"/>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257">
              <w:r>
                <w:rPr>
                  <w:rFonts w:ascii="Arial" w:cs="Arial" w:eastAsia="Arial" w:hAnsi="Arial"/>
                  <w:sz w:val="15"/>
                  <w:szCs w:val="15"/>
                  <w:color w:val="0000EE"/>
                </w:rPr>
                <w:t>LEGAL MATTERS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49"/>
        </w:trPr>
        <w:tc>
          <w:tcPr>
            <w:tcW w:w="12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257">
              <w:r>
                <w:rPr>
                  <w:rFonts w:ascii="Arial" w:cs="Arial" w:eastAsia="Arial" w:hAnsi="Arial"/>
                  <w:sz w:val="15"/>
                  <w:szCs w:val="15"/>
                  <w:color w:val="0000EE"/>
                </w:rPr>
                <w:t>EXPERTS</w:t>
              </w:r>
            </w:hyperlink>
          </w:p>
        </w:tc>
        <w:tc>
          <w:tcPr>
            <w:tcW w:w="2820" w:type="dxa"/>
            <w:vAlign w:val="bottom"/>
            <w:gridSpan w:val="19"/>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80" w:type="dxa"/>
            <w:vAlign w:val="bottom"/>
            <w:gridSpan w:val="2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60" w:type="dxa"/>
            <w:vAlign w:val="bottom"/>
            <w:tcBorders>
              <w:bottom w:val="single" w:sz="8" w:color="0000EE"/>
            </w:tcBorders>
            <w:gridSpan w:val="27"/>
          </w:tcPr>
          <w:p>
            <w:pPr>
              <w:spacing w:after="0" w:line="149" w:lineRule="exact"/>
              <w:rPr>
                <w:rFonts w:ascii="Arial" w:cs="Arial" w:eastAsia="Arial" w:hAnsi="Arial"/>
                <w:sz w:val="15"/>
                <w:szCs w:val="15"/>
                <w:color w:val="0000EE"/>
              </w:rPr>
            </w:pPr>
            <w:hyperlink w:anchor="page258">
              <w:r>
                <w:rPr>
                  <w:rFonts w:ascii="Arial" w:cs="Arial" w:eastAsia="Arial" w:hAnsi="Arial"/>
                  <w:sz w:val="15"/>
                  <w:szCs w:val="15"/>
                  <w:color w:val="0000EE"/>
                </w:rPr>
                <w:t>WHERE YOU CAN FIND ADDITIONAL INFORMATION</w:t>
              </w:r>
            </w:hyperlink>
          </w:p>
        </w:tc>
        <w:tc>
          <w:tcPr>
            <w:tcW w:w="280" w:type="dxa"/>
            <w:vAlign w:val="bottom"/>
            <w:gridSpan w:val="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149"/>
        </w:trPr>
        <w:tc>
          <w:tcPr>
            <w:tcW w:w="4040" w:type="dxa"/>
            <w:vAlign w:val="bottom"/>
            <w:gridSpan w:val="29"/>
          </w:tcPr>
          <w:p>
            <w:pPr>
              <w:spacing w:after="0" w:line="149" w:lineRule="exact"/>
              <w:rPr>
                <w:rFonts w:ascii="Arial" w:cs="Arial" w:eastAsia="Arial" w:hAnsi="Arial"/>
                <w:sz w:val="15"/>
                <w:szCs w:val="15"/>
                <w:color w:val="0000EE"/>
              </w:rPr>
            </w:pPr>
            <w:hyperlink w:anchor="page259">
              <w:r>
                <w:rPr>
                  <w:rFonts w:ascii="Arial" w:cs="Arial" w:eastAsia="Arial" w:hAnsi="Arial"/>
                  <w:sz w:val="15"/>
                  <w:szCs w:val="15"/>
                  <w:color w:val="0000EE"/>
                </w:rPr>
                <w:t>INDEX TO CONSOLIDATED FINANCIAL STATEMENTS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1832610</wp:posOffset>
            </wp:positionH>
            <wp:positionV relativeFrom="paragraph">
              <wp:posOffset>186055</wp:posOffset>
            </wp:positionV>
            <wp:extent cx="44386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3865"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20"/>
        <w:spacing w:after="0" w:line="241" w:lineRule="auto"/>
        <w:rPr>
          <w:sz w:val="20"/>
          <w:szCs w:val="20"/>
          <w:color w:val="auto"/>
        </w:rPr>
      </w:pPr>
      <w:r>
        <w:rPr>
          <w:rFonts w:ascii="Arial" w:cs="Arial" w:eastAsia="Arial" w:hAnsi="Arial"/>
          <w:sz w:val="15"/>
          <w:szCs w:val="15"/>
          <w:b w:val="1"/>
          <w:bCs w:val="1"/>
          <w:color w:val="auto"/>
        </w:rPr>
        <w:t>Through and including November 20,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5"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280479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158115</wp:posOffset>
            </wp:positionV>
            <wp:extent cx="28047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4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2794000</wp:posOffset>
            </wp:positionV>
            <wp:extent cx="286194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619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286194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1945" cy="21590"/>
                    </a:xfrm>
                    <a:prstGeom prst="rect">
                      <a:avLst/>
                    </a:prstGeom>
                    <a:noFill/>
                  </pic:spPr>
                </pic:pic>
              </a:graphicData>
            </a:graphic>
          </wp:anchor>
        </w:drawing>
      </w:r>
    </w:p>
    <w:p>
      <w:pPr>
        <w:sectPr>
          <w:pgSz w:w="11900" w:h="16838" w:orient="portrait"/>
          <w:cols w:equalWidth="0" w:num="2">
            <w:col w:w="5420" w:space="300"/>
            <w:col w:w="4460"/>
          </w:cols>
          <w:pgMar w:left="320" w:top="407" w:right="1399" w:bottom="1440" w:gutter="0" w:footer="0" w:header="0"/>
          <w:type w:val="continuous"/>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ABOUT THIS PROSPECTUS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7" w:right="13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180" w:right="159" w:firstLine="444"/>
        <w:spacing w:after="0"/>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ending total subscribers</w:t>
      </w:r>
      <w:r>
        <w:rPr>
          <w:rFonts w:ascii="Arial" w:cs="Arial" w:eastAsia="Arial" w:hAnsi="Arial"/>
          <w:sz w:val="12"/>
          <w:szCs w:val="12"/>
          <w:color w:val="auto"/>
        </w:rPr>
        <w:t>1</w:t>
      </w:r>
      <w:r>
        <w:rPr>
          <w:rFonts w:ascii="Arial" w:cs="Arial" w:eastAsia="Arial" w:hAnsi="Arial"/>
          <w:sz w:val="15"/>
          <w:szCs w:val="15"/>
          <w:color w:val="auto"/>
        </w:rPr>
        <w:t xml:space="preserve"> (active and paused) as of July 31, 2021. In the first six months of fiscal year 2021, 83% of our total revenue was generated by subscribers (including their Reserve and Resale revenue) while they were active or paused.</w:t>
      </w:r>
    </w:p>
    <w:p>
      <w:pPr>
        <w:spacing w:after="0" w:line="17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72"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w:t>
      </w:r>
    </w:p>
    <w:p>
      <w:pPr>
        <w:spacing w:after="0" w:line="154" w:lineRule="exact"/>
        <w:rPr>
          <w:sz w:val="20"/>
          <w:szCs w:val="20"/>
          <w:color w:val="auto"/>
        </w:rPr>
      </w:pPr>
    </w:p>
    <w:p>
      <w:pPr>
        <w:ind w:left="1440" w:right="99" w:hanging="261"/>
        <w:spacing w:after="0" w:line="182" w:lineRule="auto"/>
        <w:tabs>
          <w:tab w:leader="none" w:pos="144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Ending total subscribers represent the number of subscribers with an active or paused membership as of the last day of the fiscal period and excludes subscribers who had an active or paused subscription during the fiscal period, but ended their subscription prior to the last day of the fiscal period.</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49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3905" cy="48494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1180" w:right="159"/>
        <w:spacing w:after="0" w:line="241" w:lineRule="auto"/>
        <w:rPr>
          <w:sz w:val="20"/>
          <w:szCs w:val="20"/>
          <w:color w:val="auto"/>
        </w:rPr>
      </w:pPr>
      <w:r>
        <w:rPr>
          <w:rFonts w:ascii="Arial" w:cs="Arial" w:eastAsia="Arial" w:hAnsi="Arial"/>
          <w:sz w:val="15"/>
          <w:szCs w:val="15"/>
          <w:color w:val="auto"/>
        </w:rPr>
        <w:t>for the first six months of fiscal year 2021).</w:t>
      </w:r>
      <w:r>
        <w:rPr>
          <w:rFonts w:ascii="Arial" w:cs="Arial" w:eastAsia="Arial" w:hAnsi="Arial"/>
          <w:sz w:val="12"/>
          <w:szCs w:val="12"/>
          <w:color w:val="auto"/>
        </w:rPr>
        <w:t>2</w:t>
      </w:r>
      <w:r>
        <w:rPr>
          <w:rFonts w:ascii="Arial" w:cs="Arial" w:eastAsia="Arial" w:hAnsi="Arial"/>
          <w:sz w:val="15"/>
          <w:szCs w:val="15"/>
          <w:color w:val="auto"/>
        </w:rPr>
        <w:t xml:space="preserve"> We have become an everyday utility; our average subscriber wears Rent the Runway 83 days per year. We believe that the convenience of our service and access to a broad assortment of designer brands, categories and styles helps drive our strong customer engagement.</w:t>
      </w:r>
    </w:p>
    <w:p>
      <w:pPr>
        <w:spacing w:after="0" w:line="170"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71"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71" w:lineRule="exact"/>
        <w:rPr>
          <w:sz w:val="20"/>
          <w:szCs w:val="20"/>
          <w:color w:val="auto"/>
        </w:rPr>
      </w:pPr>
    </w:p>
    <w:p>
      <w:pPr>
        <w:ind w:left="1780" w:right="139" w:hanging="161"/>
        <w:spacing w:after="0" w:line="238"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Brand Partner Advantage. </w:t>
      </w:r>
      <w:r>
        <w:rPr>
          <w:rFonts w:ascii="Arial" w:cs="Arial" w:eastAsia="Arial" w:hAnsi="Arial"/>
          <w:sz w:val="15"/>
          <w:szCs w:val="15"/>
          <w:color w:val="auto"/>
        </w:rPr>
        <w:t>Our assortment contains thousands of new, current season styles procured from our brand</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w:t>
      </w:r>
    </w:p>
    <w:p>
      <w:pPr>
        <w:spacing w:after="0" w:line="77" w:lineRule="exact"/>
        <w:rPr>
          <w:rFonts w:ascii="Arial" w:cs="Arial" w:eastAsia="Arial" w:hAnsi="Arial"/>
          <w:sz w:val="15"/>
          <w:szCs w:val="15"/>
          <w:color w:val="auto"/>
        </w:rPr>
      </w:pPr>
    </w:p>
    <w:p>
      <w:pPr>
        <w:ind w:left="1780" w:right="159" w:hanging="161"/>
        <w:spacing w:after="0" w:line="246"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Data Advantage. </w:t>
      </w:r>
      <w:r>
        <w:rPr>
          <w:rFonts w:ascii="Arial" w:cs="Arial" w:eastAsia="Arial" w:hAnsi="Arial"/>
          <w:sz w:val="15"/>
          <w:szCs w:val="15"/>
          <w:color w:val="auto"/>
        </w:rPr>
        <w:t>We capture a vast amount of unique, actionable data on our customers and products. We leverage this</w:t>
      </w:r>
      <w:r>
        <w:rPr>
          <w:rFonts w:ascii="Arial" w:cs="Arial" w:eastAsia="Arial" w:hAnsi="Arial"/>
          <w:sz w:val="15"/>
          <w:szCs w:val="15"/>
          <w:i w:val="1"/>
          <w:iCs w:val="1"/>
          <w:color w:val="auto"/>
        </w:rPr>
        <w:t xml:space="preserve"> </w:t>
      </w:r>
      <w:r>
        <w:rPr>
          <w:rFonts w:ascii="Arial" w:cs="Arial" w:eastAsia="Arial" w:hAnsi="Arial"/>
          <w:sz w:val="15"/>
          <w:szCs w:val="15"/>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0" w:lineRule="exact"/>
        <w:rPr>
          <w:rFonts w:ascii="Arial" w:cs="Arial" w:eastAsia="Arial" w:hAnsi="Arial"/>
          <w:sz w:val="15"/>
          <w:szCs w:val="15"/>
          <w:color w:val="auto"/>
        </w:rPr>
      </w:pPr>
    </w:p>
    <w:p>
      <w:pPr>
        <w:ind w:left="1780" w:right="119" w:hanging="161"/>
        <w:spacing w:after="0" w:line="243"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Technology and Logistics Advantage. </w:t>
      </w:r>
      <w:r>
        <w:rPr>
          <w:rFonts w:ascii="Arial" w:cs="Arial" w:eastAsia="Arial" w:hAnsi="Arial"/>
          <w:sz w:val="15"/>
          <w:szCs w:val="15"/>
          <w:color w:val="auto"/>
        </w:rPr>
        <w:t>We have developed a proprietary operating system for the sharing economy of</w:t>
      </w:r>
      <w:r>
        <w:rPr>
          <w:rFonts w:ascii="Arial" w:cs="Arial" w:eastAsia="Arial" w:hAnsi="Arial"/>
          <w:sz w:val="15"/>
          <w:szCs w:val="15"/>
          <w:i w:val="1"/>
          <w:iCs w:val="1"/>
          <w:color w:val="auto"/>
        </w:rPr>
        <w:t xml:space="preserve"> </w:t>
      </w:r>
      <w:r>
        <w:rPr>
          <w:rFonts w:ascii="Arial" w:cs="Arial" w:eastAsia="Arial" w:hAnsi="Arial"/>
          <w:sz w:val="15"/>
          <w:szCs w:val="15"/>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168"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w:t>
      </w:r>
    </w:p>
    <w:p>
      <w:pPr>
        <w:spacing w:after="0" w:line="148" w:lineRule="exact"/>
        <w:rPr>
          <w:sz w:val="20"/>
          <w:szCs w:val="20"/>
          <w:color w:val="auto"/>
        </w:rPr>
      </w:pPr>
    </w:p>
    <w:p>
      <w:pPr>
        <w:ind w:left="1440" w:right="259" w:hanging="261"/>
        <w:spacing w:after="0" w:line="196" w:lineRule="auto"/>
        <w:tabs>
          <w:tab w:leader="none" w:pos="144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34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3905" cy="4834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99"/>
        <w:spacing w:after="0" w:line="237" w:lineRule="auto"/>
        <w:rPr>
          <w:sz w:val="20"/>
          <w:szCs w:val="20"/>
          <w:color w:val="auto"/>
        </w:rPr>
      </w:pPr>
      <w:r>
        <w:rPr>
          <w:rFonts w:ascii="Arial" w:cs="Arial" w:eastAsia="Arial" w:hAnsi="Arial"/>
          <w:sz w:val="15"/>
          <w:szCs w:val="15"/>
          <w:color w:val="auto"/>
        </w:rPr>
        <w:t>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2" w:lineRule="exact"/>
        <w:rPr>
          <w:sz w:val="20"/>
          <w:szCs w:val="20"/>
          <w:color w:val="auto"/>
        </w:rPr>
      </w:pPr>
    </w:p>
    <w:p>
      <w:pPr>
        <w:ind w:left="1180" w:right="119" w:firstLine="444"/>
        <w:spacing w:after="0" w:line="241" w:lineRule="auto"/>
        <w:rPr>
          <w:sz w:val="20"/>
          <w:szCs w:val="20"/>
          <w:color w:val="auto"/>
        </w:rPr>
      </w:pPr>
      <w:r>
        <w:rPr>
          <w:rFonts w:ascii="Arial" w:cs="Arial" w:eastAsia="Arial" w:hAnsi="Arial"/>
          <w:sz w:val="15"/>
          <w:szCs w:val="15"/>
          <w:color w:val="auto"/>
        </w:rPr>
        <w:t>We believe our platform is powering a new frontier for fashion, one in which women buy less and wear more, disrupting a centuries old industry and contributing to a more sustainable future. Using the data from our life cycle analysis, we estimate that our rental model has displaced the production of approximately 1.3 million total new garments since 2010, resulting in the savings of 67.0 million gallons of water, 98.6 million kWh of energy and 44.2 million pounds of CO</w:t>
      </w:r>
      <w:r>
        <w:rPr>
          <w:rFonts w:ascii="Arial" w:cs="Arial" w:eastAsia="Arial" w:hAnsi="Arial"/>
          <w:sz w:val="12"/>
          <w:szCs w:val="12"/>
          <w:color w:val="auto"/>
        </w:rPr>
        <w:t>2</w:t>
      </w:r>
      <w:r>
        <w:rPr>
          <w:rFonts w:ascii="Arial" w:cs="Arial" w:eastAsia="Arial" w:hAnsi="Arial"/>
          <w:sz w:val="15"/>
          <w:szCs w:val="15"/>
          <w:color w:val="auto"/>
        </w:rPr>
        <w:t xml:space="preserve"> emissions.</w:t>
      </w:r>
    </w:p>
    <w:p>
      <w:pPr>
        <w:spacing w:after="0" w:line="164" w:lineRule="exact"/>
        <w:rPr>
          <w:sz w:val="20"/>
          <w:szCs w:val="20"/>
          <w:color w:val="auto"/>
        </w:rPr>
      </w:pPr>
    </w:p>
    <w:p>
      <w:pPr>
        <w:ind w:left="1180" w:right="799" w:firstLine="444"/>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6" w:lineRule="exact"/>
        <w:rPr>
          <w:sz w:val="20"/>
          <w:szCs w:val="20"/>
          <w:color w:val="auto"/>
        </w:rPr>
      </w:pPr>
    </w:p>
    <w:p>
      <w:pPr>
        <w:ind w:left="1780" w:right="459" w:hanging="161"/>
        <w:spacing w:after="0" w:line="248" w:lineRule="auto"/>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w:t>
      </w:r>
      <w:r>
        <w:rPr>
          <w:rFonts w:ascii="Arial" w:cs="Arial" w:eastAsia="Arial" w:hAnsi="Arial"/>
          <w:sz w:val="12"/>
          <w:szCs w:val="12"/>
          <w:color w:val="auto"/>
        </w:rPr>
        <w:t>3</w:t>
      </w:r>
      <w:r>
        <w:rPr>
          <w:rFonts w:ascii="Arial" w:cs="Arial" w:eastAsia="Arial" w:hAnsi="Arial"/>
          <w:sz w:val="15"/>
          <w:szCs w:val="15"/>
          <w:color w:val="auto"/>
        </w:rPr>
        <w:t xml:space="preserve"> (excluding paused subscribers), respectively;</w:t>
      </w:r>
    </w:p>
    <w:p>
      <w:pPr>
        <w:spacing w:after="0" w:line="85" w:lineRule="exact"/>
        <w:rPr>
          <w:rFonts w:ascii="Arial" w:cs="Arial" w:eastAsia="Arial" w:hAnsi="Arial"/>
          <w:sz w:val="15"/>
          <w:szCs w:val="15"/>
          <w:color w:val="auto"/>
        </w:rPr>
      </w:pPr>
    </w:p>
    <w:p>
      <w:pPr>
        <w:ind w:left="1780" w:hanging="161"/>
        <w:spacing w:after="0"/>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780" w:right="479" w:hanging="161"/>
        <w:spacing w:after="0" w:line="245" w:lineRule="auto"/>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780" w:right="519" w:hanging="161"/>
        <w:spacing w:after="0" w:line="245"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74" w:lineRule="exact"/>
        <w:rPr>
          <w:sz w:val="20"/>
          <w:szCs w:val="20"/>
          <w:color w:val="auto"/>
        </w:rPr>
      </w:pPr>
    </w:p>
    <w:p>
      <w:pPr>
        <w:ind w:left="1440" w:hanging="261"/>
        <w:spacing w:after="0"/>
        <w:tabs>
          <w:tab w:leader="none" w:pos="144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Ending active subscribers is defined as ending total subscribers as of period end, excluding paused subscribers.</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780" w:right="639" w:hanging="161"/>
        <w:spacing w:after="0" w:line="245" w:lineRule="auto"/>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Consumer Trends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46" w:lineRule="exact"/>
        <w:rPr>
          <w:sz w:val="20"/>
          <w:szCs w:val="20"/>
          <w:color w:val="auto"/>
        </w:rPr>
      </w:pPr>
    </w:p>
    <w:p>
      <w:pPr>
        <w:ind w:left="1780" w:right="9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Shift from Ownership to Access: </w:t>
      </w:r>
      <w:r>
        <w:rPr>
          <w:rFonts w:ascii="Arial" w:cs="Arial" w:eastAsia="Arial" w:hAnsi="Arial"/>
          <w:sz w:val="15"/>
          <w:szCs w:val="15"/>
          <w:color w:val="auto"/>
        </w:rPr>
        <w:t>In 2020, access models represented 64% of the U.S. recorded music market, 71%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home entertainment market and 17% of the U.S. hospitality market.</w:t>
      </w:r>
      <w:r>
        <w:rPr>
          <w:rFonts w:ascii="Arial" w:cs="Arial" w:eastAsia="Arial" w:hAnsi="Arial"/>
          <w:sz w:val="12"/>
          <w:szCs w:val="12"/>
          <w:color w:val="auto"/>
        </w:rPr>
        <w:t>4</w:t>
      </w:r>
      <w:r>
        <w:rPr>
          <w:rFonts w:ascii="Arial" w:cs="Arial" w:eastAsia="Arial" w:hAnsi="Arial"/>
          <w:sz w:val="15"/>
          <w:szCs w:val="15"/>
          <w:color w:val="auto"/>
        </w:rPr>
        <w:t xml:space="preserve"> Businesses such as Spotify, Netflix and Airbnb have been built in the transition to access and we believe that the apparel industry is ripe for this same disruption.</w:t>
      </w:r>
    </w:p>
    <w:p>
      <w:pPr>
        <w:spacing w:after="0" w:line="31" w:lineRule="exact"/>
        <w:rPr>
          <w:rFonts w:ascii="Arial" w:cs="Arial" w:eastAsia="Arial" w:hAnsi="Arial"/>
          <w:sz w:val="15"/>
          <w:szCs w:val="15"/>
          <w:color w:val="auto"/>
        </w:rPr>
      </w:pPr>
    </w:p>
    <w:p>
      <w:pPr>
        <w:ind w:left="1780" w:right="11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w:t>
      </w:r>
      <w:r>
        <w:rPr>
          <w:rFonts w:ascii="Arial" w:cs="Arial" w:eastAsia="Arial" w:hAnsi="Arial"/>
          <w:sz w:val="12"/>
          <w:szCs w:val="12"/>
          <w:color w:val="auto"/>
        </w:rPr>
        <w:t>5</w:t>
      </w:r>
    </w:p>
    <w:p>
      <w:pPr>
        <w:spacing w:after="0" w:line="31" w:lineRule="exact"/>
        <w:rPr>
          <w:rFonts w:ascii="Arial" w:cs="Arial" w:eastAsia="Arial" w:hAnsi="Arial"/>
          <w:sz w:val="15"/>
          <w:szCs w:val="15"/>
          <w:color w:val="auto"/>
        </w:rPr>
      </w:pPr>
    </w:p>
    <w:p>
      <w:pPr>
        <w:jc w:val="both"/>
        <w:ind w:left="1780" w:right="31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apparel market. U.S. online apparel grew at a 17% compound annual growth rate, or CAGR, between 2015 and 2020 while the broader apparel sector declined, according to Euromonitor.</w:t>
      </w:r>
      <w:r>
        <w:rPr>
          <w:rFonts w:ascii="Arial" w:cs="Arial" w:eastAsia="Arial" w:hAnsi="Arial"/>
          <w:sz w:val="12"/>
          <w:szCs w:val="12"/>
          <w:color w:val="auto"/>
        </w:rPr>
        <w:t>6</w:t>
      </w:r>
    </w:p>
    <w:p>
      <w:pPr>
        <w:spacing w:after="0" w:line="31" w:lineRule="exact"/>
        <w:rPr>
          <w:rFonts w:ascii="Arial" w:cs="Arial" w:eastAsia="Arial" w:hAnsi="Arial"/>
          <w:sz w:val="15"/>
          <w:szCs w:val="15"/>
          <w:color w:val="auto"/>
        </w:rPr>
      </w:pPr>
    </w:p>
    <w:p>
      <w:pPr>
        <w:ind w:left="1780" w:right="179" w:hanging="161"/>
        <w:spacing w:after="0" w:line="252"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The ubiquity of fashion on social media has meant that consumers have a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awareness of aspirational brands outside their income level. Millennials post nine selfies a week on social media, according to Now Sourcing, increasing the pressure for variety in the wardrobe.</w:t>
      </w:r>
      <w:r>
        <w:rPr>
          <w:rFonts w:ascii="Arial" w:cs="Arial" w:eastAsia="Arial" w:hAnsi="Arial"/>
          <w:sz w:val="12"/>
          <w:szCs w:val="12"/>
          <w:color w:val="auto"/>
        </w:rPr>
        <w:t>7</w:t>
      </w:r>
    </w:p>
    <w:p>
      <w:pPr>
        <w:spacing w:after="0" w:line="31" w:lineRule="exact"/>
        <w:rPr>
          <w:rFonts w:ascii="Arial" w:cs="Arial" w:eastAsia="Arial" w:hAnsi="Arial"/>
          <w:sz w:val="15"/>
          <w:szCs w:val="15"/>
          <w:color w:val="auto"/>
        </w:rPr>
      </w:pPr>
    </w:p>
    <w:p>
      <w:pPr>
        <w:ind w:left="1780" w:right="219" w:hanging="161"/>
        <w:spacing w:after="0" w:line="246"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according to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Bureau for Labor Statistics and U.S. Census.</w:t>
      </w:r>
      <w:r>
        <w:rPr>
          <w:rFonts w:ascii="Arial" w:cs="Arial" w:eastAsia="Arial" w:hAnsi="Arial"/>
          <w:sz w:val="12"/>
          <w:szCs w:val="12"/>
          <w:color w:val="auto"/>
        </w:rPr>
        <w:t>8</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2"/>
          <w:szCs w:val="12"/>
          <w:color w:val="auto"/>
        </w:rPr>
        <w:t>9</w:t>
      </w:r>
    </w:p>
    <w:p>
      <w:pPr>
        <w:spacing w:after="0" w:line="149" w:lineRule="exact"/>
        <w:rPr>
          <w:sz w:val="20"/>
          <w:szCs w:val="20"/>
          <w:color w:val="auto"/>
        </w:rPr>
      </w:pPr>
    </w:p>
    <w:p>
      <w:pPr>
        <w:ind w:left="1620" w:right="299" w:hanging="441"/>
        <w:spacing w:after="0" w:line="201" w:lineRule="auto"/>
        <w:tabs>
          <w:tab w:leader="none" w:pos="1620" w:val="left"/>
        </w:tabs>
        <w:numPr>
          <w:ilvl w:val="0"/>
          <w:numId w:val="10"/>
        </w:numPr>
        <w:rPr>
          <w:rFonts w:ascii="Arial" w:cs="Arial" w:eastAsia="Arial" w:hAnsi="Arial"/>
          <w:sz w:val="18"/>
          <w:szCs w:val="18"/>
          <w:color w:val="auto"/>
          <w:vertAlign w:val="superscript"/>
        </w:rPr>
      </w:pPr>
      <w:r>
        <w:rPr>
          <w:rFonts w:ascii="Arial" w:cs="Arial" w:eastAsia="Arial" w:hAnsi="Arial"/>
          <w:sz w:val="11"/>
          <w:szCs w:val="11"/>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w:t>
      </w:r>
    </w:p>
    <w:p>
      <w:pPr>
        <w:spacing w:after="0" w:line="25" w:lineRule="exact"/>
        <w:rPr>
          <w:sz w:val="20"/>
          <w:szCs w:val="20"/>
          <w:color w:val="auto"/>
        </w:rPr>
      </w:pPr>
    </w:p>
    <w:p>
      <w:pPr>
        <w:ind w:left="1620" w:hanging="441"/>
        <w:spacing w:after="0"/>
        <w:tabs>
          <w:tab w:leader="none" w:pos="1620"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Wall Street Journal, Ups and Downs of U.S. Clothes Shopping, September 2014.</w:t>
      </w:r>
    </w:p>
    <w:p>
      <w:pPr>
        <w:spacing w:after="0" w:line="6" w:lineRule="exact"/>
        <w:rPr>
          <w:sz w:val="20"/>
          <w:szCs w:val="20"/>
          <w:color w:val="auto"/>
        </w:rPr>
      </w:pPr>
    </w:p>
    <w:p>
      <w:pPr>
        <w:ind w:left="1620" w:right="199" w:hanging="441"/>
        <w:spacing w:after="0" w:line="190" w:lineRule="auto"/>
        <w:tabs>
          <w:tab w:leader="none" w:pos="1620" w:val="left"/>
        </w:tabs>
        <w:numPr>
          <w:ilvl w:val="0"/>
          <w:numId w:val="12"/>
        </w:numPr>
        <w:rPr>
          <w:rFonts w:ascii="Arial" w:cs="Arial" w:eastAsia="Arial" w:hAnsi="Arial"/>
          <w:sz w:val="18"/>
          <w:szCs w:val="18"/>
          <w:color w:val="auto"/>
          <w:vertAlign w:val="superscript"/>
        </w:rPr>
      </w:pPr>
      <w:r>
        <w:rPr>
          <w:rFonts w:ascii="Arial" w:cs="Arial" w:eastAsia="Arial" w:hAnsi="Arial"/>
          <w:sz w:val="11"/>
          <w:szCs w:val="11"/>
          <w:color w:val="auto"/>
        </w:rPr>
        <w:t>Euromonitor International Ltd, Apparel &amp; Footwear 2021 (“Euromonitor Apparel &amp; Footwear 2021”). Retail Value RSP includes sales tax, current prices, year-over-year exchange rates. Apparel is defined as apparel and footwear.</w:t>
      </w:r>
    </w:p>
    <w:p>
      <w:pPr>
        <w:ind w:left="1620" w:hanging="441"/>
        <w:spacing w:after="0" w:line="188" w:lineRule="auto"/>
        <w:tabs>
          <w:tab w:leader="none" w:pos="1620" w:val="left"/>
        </w:tabs>
        <w:numPr>
          <w:ilvl w:val="0"/>
          <w:numId w:val="13"/>
        </w:numPr>
        <w:rPr>
          <w:rFonts w:ascii="Arial" w:cs="Arial" w:eastAsia="Arial" w:hAnsi="Arial"/>
          <w:sz w:val="15"/>
          <w:szCs w:val="15"/>
          <w:color w:val="auto"/>
          <w:vertAlign w:val="superscript"/>
        </w:rPr>
      </w:pPr>
      <w:r>
        <w:rPr>
          <w:rFonts w:ascii="Arial" w:cs="Arial" w:eastAsia="Arial" w:hAnsi="Arial"/>
          <w:sz w:val="10"/>
          <w:szCs w:val="10"/>
          <w:color w:val="auto"/>
        </w:rPr>
        <w:t>Now Sourcing, How Augmented Reality Has Changed Selfies Forever.</w:t>
      </w:r>
    </w:p>
    <w:p>
      <w:pPr>
        <w:spacing w:after="0" w:line="7" w:lineRule="exact"/>
        <w:rPr>
          <w:sz w:val="20"/>
          <w:szCs w:val="20"/>
          <w:color w:val="auto"/>
        </w:rPr>
      </w:pPr>
    </w:p>
    <w:p>
      <w:pPr>
        <w:ind w:left="1620" w:right="279" w:hanging="441"/>
        <w:spacing w:after="0" w:line="190" w:lineRule="auto"/>
        <w:tabs>
          <w:tab w:leader="none" w:pos="1620" w:val="left"/>
        </w:tabs>
        <w:numPr>
          <w:ilvl w:val="0"/>
          <w:numId w:val="14"/>
        </w:numPr>
        <w:rPr>
          <w:rFonts w:ascii="Arial" w:cs="Arial" w:eastAsia="Arial" w:hAnsi="Arial"/>
          <w:sz w:val="18"/>
          <w:szCs w:val="18"/>
          <w:color w:val="auto"/>
          <w:vertAlign w:val="superscript"/>
        </w:rPr>
      </w:pPr>
      <w:r>
        <w:rPr>
          <w:rFonts w:ascii="Arial" w:cs="Arial" w:eastAsia="Arial" w:hAnsi="Arial"/>
          <w:sz w:val="11"/>
          <w:szCs w:val="11"/>
          <w:color w:val="auto"/>
        </w:rPr>
        <w:t>U.S. Bureau for Labor Statistics, Labor Force Statistics from the Current Population Survey—Household Data Annual Averages—Employment Status of the Civilian Noninstitutional Population by Age, Sex, and Race, 2020.</w:t>
      </w:r>
    </w:p>
    <w:p>
      <w:pPr>
        <w:ind w:left="1620" w:hanging="441"/>
        <w:spacing w:after="0" w:line="184" w:lineRule="auto"/>
        <w:tabs>
          <w:tab w:leader="none" w:pos="162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Triple spend on clothing according to Glamour, The Glass Runway: Our Exclusive Survey on the State of the Fashion Industry, May 2018. 50% of women</w:t>
      </w:r>
    </w:p>
    <w:p>
      <w:pPr>
        <w:ind w:left="1620"/>
        <w:spacing w:after="0"/>
        <w:rPr>
          <w:rFonts w:ascii="Arial" w:cs="Arial" w:eastAsia="Arial" w:hAnsi="Arial"/>
          <w:sz w:val="16"/>
          <w:szCs w:val="16"/>
          <w:color w:val="auto"/>
          <w:vertAlign w:val="superscript"/>
        </w:rPr>
      </w:pPr>
      <w:r>
        <w:rPr>
          <w:rFonts w:ascii="Arial" w:cs="Arial" w:eastAsia="Arial" w:hAnsi="Arial"/>
          <w:sz w:val="12"/>
          <w:szCs w:val="12"/>
          <w:color w:val="auto"/>
        </w:rPr>
        <w:t>according to Refinery29 and Rent the Runway, Self Expression &amp; Dressing: Survey Findings, February 2019 (“Refinery29 Survey”).</w:t>
      </w: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2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4992370"/>
                    </a:xfrm>
                    <a:prstGeom prst="rect">
                      <a:avLst/>
                    </a:prstGeom>
                    <a:noFill/>
                  </pic:spPr>
                </pic:pic>
              </a:graphicData>
            </a:graphic>
          </wp:anchor>
        </w:drawing>
      </w:r>
    </w:p>
    <w:p>
      <w:pPr>
        <w:spacing w:after="0" w:line="389" w:lineRule="exact"/>
        <w:rPr>
          <w:sz w:val="20"/>
          <w:szCs w:val="20"/>
          <w:color w:val="auto"/>
        </w:rPr>
      </w:pPr>
    </w:p>
    <w:p>
      <w:pPr>
        <w:ind w:left="1780" w:right="339" w:hanging="161"/>
        <w:spacing w:after="0" w:line="246"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environment and seeking more sustainable alternatives. 56% of women place more value on sustainability as it relates to fashion choices than they did five years ago. According to McKinsey, internet searches for “sustainable fashion” grew 3x between 2016 and 2019.</w:t>
      </w:r>
      <w:r>
        <w:rPr>
          <w:rFonts w:ascii="Arial" w:cs="Arial" w:eastAsia="Arial" w:hAnsi="Arial"/>
          <w:sz w:val="12"/>
          <w:szCs w:val="12"/>
          <w:color w:val="auto"/>
        </w:rPr>
        <w:t>10</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162"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780" w:right="9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It is estimated that 80,000 retailers, or 9% of the 878,000 stores in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close their doors in the next five years.</w:t>
      </w:r>
      <w:r>
        <w:rPr>
          <w:rFonts w:ascii="Arial" w:cs="Arial" w:eastAsia="Arial" w:hAnsi="Arial"/>
          <w:sz w:val="12"/>
          <w:szCs w:val="12"/>
          <w:color w:val="auto"/>
        </w:rPr>
        <w:t>11</w:t>
      </w:r>
      <w:r>
        <w:rPr>
          <w:rFonts w:ascii="Arial" w:cs="Arial" w:eastAsia="Arial" w:hAnsi="Arial"/>
          <w:sz w:val="15"/>
          <w:szCs w:val="15"/>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2"/>
          <w:szCs w:val="12"/>
          <w:color w:val="auto"/>
        </w:rPr>
        <w:t>12</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color w:val="auto"/>
        </w:rPr>
        <w:t>: 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w:t>
      </w:r>
      <w:r>
        <w:rPr>
          <w:rFonts w:ascii="Arial" w:cs="Arial" w:eastAsia="Arial" w:hAnsi="Arial"/>
          <w:sz w:val="12"/>
          <w:szCs w:val="12"/>
          <w:color w:val="auto"/>
        </w:rPr>
        <w:t>13</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780" w:right="539" w:hanging="161"/>
        <w:spacing w:after="0" w:line="307" w:lineRule="auto"/>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Larger, More Fractured Discovery Landscape: </w:t>
      </w:r>
      <w:r>
        <w:rPr>
          <w:rFonts w:ascii="Arial" w:cs="Arial" w:eastAsia="Arial" w:hAnsi="Arial"/>
          <w:sz w:val="14"/>
          <w:szCs w:val="14"/>
          <w:color w:val="auto"/>
        </w:rPr>
        <w:t>According to Publicis Sapient, 87% of shoppers today begin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searches online, meaning that younger customers are focused on direct search for brands they already know.</w:t>
      </w:r>
      <w:r>
        <w:rPr>
          <w:rFonts w:ascii="Arial" w:cs="Arial" w:eastAsia="Arial" w:hAnsi="Arial"/>
          <w:sz w:val="11"/>
          <w:szCs w:val="11"/>
          <w:color w:val="auto"/>
        </w:rPr>
        <w:t>14</w:t>
      </w:r>
    </w:p>
    <w:p>
      <w:pPr>
        <w:spacing w:after="0" w:line="27" w:lineRule="exact"/>
        <w:rPr>
          <w:rFonts w:ascii="Arial" w:cs="Arial" w:eastAsia="Arial" w:hAnsi="Arial"/>
          <w:sz w:val="14"/>
          <w:szCs w:val="14"/>
          <w:color w:val="auto"/>
        </w:rPr>
      </w:pPr>
    </w:p>
    <w:p>
      <w:pPr>
        <w:ind w:left="1780" w:right="119" w:hanging="161"/>
        <w:spacing w:after="0" w:line="270"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average age of a luxury department store customer is 51 years old, meaning it is more difficult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brand partners to reach younger customers through traditional channels.</w:t>
      </w:r>
      <w:r>
        <w:rPr>
          <w:rFonts w:ascii="Arial" w:cs="Arial" w:eastAsia="Arial" w:hAnsi="Arial"/>
          <w:sz w:val="12"/>
          <w:szCs w:val="12"/>
          <w:color w:val="auto"/>
        </w:rPr>
        <w:t>15</w:t>
      </w:r>
    </w:p>
    <w:p>
      <w:pPr>
        <w:spacing w:after="0" w:line="51" w:lineRule="exact"/>
        <w:rPr>
          <w:rFonts w:ascii="Arial" w:cs="Arial" w:eastAsia="Arial" w:hAnsi="Arial"/>
          <w:sz w:val="15"/>
          <w:szCs w:val="15"/>
          <w:color w:val="auto"/>
        </w:rPr>
      </w:pPr>
    </w:p>
    <w:p>
      <w:pPr>
        <w:ind w:left="1780" w:right="31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Growing Importance of Data</w:t>
      </w:r>
      <w:r>
        <w:rPr>
          <w:rFonts w:ascii="Arial" w:cs="Arial" w:eastAsia="Arial" w:hAnsi="Arial"/>
          <w:sz w:val="15"/>
          <w:szCs w:val="15"/>
          <w:color w:val="auto"/>
        </w:rPr>
        <w:t>: Data is critical to helping brands assess their product and efficiently acquire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traditional wholesale channels, brands receive very minimal data, and the data they do receive is often a season old.</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180" w:right="279" w:firstLine="444"/>
        <w:spacing w:after="0" w:line="238"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w:t>
      </w:r>
    </w:p>
    <w:p>
      <w:pPr>
        <w:spacing w:after="0" w:line="60" w:lineRule="exact"/>
        <w:rPr>
          <w:sz w:val="20"/>
          <w:szCs w:val="20"/>
          <w:color w:val="auto"/>
        </w:rPr>
      </w:pPr>
    </w:p>
    <w:p>
      <w:pPr>
        <w:ind w:left="1620" w:hanging="441"/>
        <w:spacing w:after="0"/>
        <w:tabs>
          <w:tab w:leader="none" w:pos="1620" w:val="left"/>
        </w:tabs>
        <w:numPr>
          <w:ilvl w:val="0"/>
          <w:numId w:val="18"/>
        </w:numPr>
        <w:rPr>
          <w:rFonts w:ascii="Arial" w:cs="Arial" w:eastAsia="Arial" w:hAnsi="Arial"/>
          <w:sz w:val="20"/>
          <w:szCs w:val="20"/>
          <w:color w:val="auto"/>
          <w:vertAlign w:val="superscript"/>
        </w:rPr>
      </w:pPr>
      <w:r>
        <w:rPr>
          <w:rFonts w:ascii="Arial" w:cs="Arial" w:eastAsia="Arial" w:hAnsi="Arial"/>
          <w:sz w:val="12"/>
          <w:szCs w:val="12"/>
          <w:color w:val="auto"/>
        </w:rPr>
        <w:t>McKinsey &amp; Co., Fashion’s New Must-Have: Sustainable Sourcing at Scale, October 2019.</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Quartz, What an Estimated 80,000 Store Closings Say About the Future of US Retail, April 2021.</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Forbes, Unprecedented Decline: One Fifth of All American Department Stores Have Closed Since 2018, July 2020.</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GlobalData, Resale Report, 2021. Mass market is defined as Amazon, off-price, and value retail.</w:t>
      </w:r>
    </w:p>
    <w:p>
      <w:pPr>
        <w:ind w:left="1620" w:hanging="441"/>
        <w:spacing w:after="0" w:line="188" w:lineRule="auto"/>
        <w:tabs>
          <w:tab w:leader="none" w:pos="162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Salesforce and Publicis Sapient, Shopper First Retailing, 2018.</w:t>
      </w:r>
    </w:p>
    <w:p>
      <w:pPr>
        <w:ind w:left="1620" w:hanging="441"/>
        <w:spacing w:after="0" w:line="188" w:lineRule="auto"/>
        <w:tabs>
          <w:tab w:leader="none" w:pos="1620" w:val="left"/>
        </w:tabs>
        <w:numPr>
          <w:ilvl w:val="0"/>
          <w:numId w:val="18"/>
        </w:numPr>
        <w:rPr>
          <w:rFonts w:ascii="Arial" w:cs="Arial" w:eastAsia="Arial" w:hAnsi="Arial"/>
          <w:sz w:val="16"/>
          <w:szCs w:val="16"/>
          <w:color w:val="auto"/>
          <w:vertAlign w:val="superscript"/>
        </w:rPr>
      </w:pPr>
      <w:r>
        <w:rPr>
          <w:rFonts w:ascii="Arial" w:cs="Arial" w:eastAsia="Arial" w:hAnsi="Arial"/>
          <w:sz w:val="10"/>
          <w:szCs w:val="10"/>
          <w:color w:val="auto"/>
        </w:rPr>
        <w:t>Racked, More than 40% of Neiman Marcus Shoppers are Millionaires, August 2015.</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92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469201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180" w:right="79" w:firstLine="444"/>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780" w:right="139" w:hanging="161"/>
        <w:spacing w:after="0" w:line="246"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Cloud, Rent the Runway gives customers the ability to always wear something new to them and inspires customers to expand their fashion tastes without risk of buyer’s remorse. We are a brand discovery engine, as our subscribers wear 54 brands in their first year, on average.</w:t>
      </w:r>
    </w:p>
    <w:p>
      <w:pPr>
        <w:spacing w:after="0" w:line="70" w:lineRule="exact"/>
        <w:rPr>
          <w:rFonts w:ascii="Arial" w:cs="Arial" w:eastAsia="Arial" w:hAnsi="Arial"/>
          <w:sz w:val="15"/>
          <w:szCs w:val="15"/>
          <w:color w:val="auto"/>
        </w:rPr>
      </w:pPr>
    </w:p>
    <w:p>
      <w:pPr>
        <w:ind w:left="1780" w:right="139" w:hanging="161"/>
        <w:spacing w:after="0" w:line="242"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60% of our subscribers report spending between $100 and $500 less per month on clothes when they have a subscription to RTR.</w:t>
      </w:r>
    </w:p>
    <w:p>
      <w:pPr>
        <w:spacing w:after="0" w:line="71"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Self-Confidence. </w:t>
      </w:r>
      <w:r>
        <w:rPr>
          <w:rFonts w:ascii="Arial" w:cs="Arial" w:eastAsia="Arial" w:hAnsi="Arial"/>
          <w:sz w:val="15"/>
          <w:szCs w:val="15"/>
          <w:color w:val="auto"/>
        </w:rPr>
        <w:t>83% of our subscribers say RTR makes them the most confident version of themselves at work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social settings. Because there is no commitment to keep an item on RTR, we fuel greater self-expression for our customers. Our average subscriber receives four compliments each time she wears RTR.</w:t>
      </w:r>
    </w:p>
    <w:p>
      <w:pPr>
        <w:spacing w:after="0" w:line="65" w:lineRule="exact"/>
        <w:rPr>
          <w:rFonts w:ascii="Arial" w:cs="Arial" w:eastAsia="Arial" w:hAnsi="Arial"/>
          <w:sz w:val="15"/>
          <w:szCs w:val="15"/>
          <w:color w:val="auto"/>
        </w:rPr>
      </w:pPr>
    </w:p>
    <w:p>
      <w:pPr>
        <w:ind w:left="1780" w:right="119" w:hanging="161"/>
        <w:spacing w:after="0" w:line="246"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their style preferences, browsing history and past rentals. Our understanding of our customer improves with each interaction, and we use our personalization algorithm to continuously tailor size and style recommendations. In fiscal year 2019, subscribers who used our personalized recommendations had 2.7x longer tenure.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69" w:lineRule="exact"/>
        <w:rPr>
          <w:rFonts w:ascii="Arial" w:cs="Arial" w:eastAsia="Arial" w:hAnsi="Arial"/>
          <w:sz w:val="15"/>
          <w:szCs w:val="15"/>
          <w:color w:val="auto"/>
        </w:rPr>
      </w:pPr>
    </w:p>
    <w:p>
      <w:pPr>
        <w:ind w:left="1780" w:right="139" w:hanging="161"/>
        <w:spacing w:after="0" w:line="270"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success in building a rent versus buy mindset is evidenced by the fact that 83% of our subscribers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bought less fast fashion since using RTR and 89% buy fewer clothes than they used to prior to joining RTR.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jc w:val="both"/>
        <w:ind w:left="1180" w:right="219" w:firstLine="444"/>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172"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56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49568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8" w:lineRule="auto"/>
        <w:rPr>
          <w:sz w:val="20"/>
          <w:szCs w:val="20"/>
          <w:color w:val="auto"/>
        </w:rPr>
      </w:pPr>
      <w:r>
        <w:rPr>
          <w:rFonts w:ascii="Arial" w:cs="Arial" w:eastAsia="Arial" w:hAnsi="Arial"/>
          <w:sz w:val="15"/>
          <w:szCs w:val="15"/>
          <w:color w:val="auto"/>
        </w:rPr>
        <w:t>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0" w:lineRule="exact"/>
        <w:rPr>
          <w:sz w:val="20"/>
          <w:szCs w:val="20"/>
          <w:color w:val="auto"/>
        </w:rPr>
      </w:pPr>
    </w:p>
    <w:p>
      <w:pPr>
        <w:ind w:left="1180" w:right="139" w:firstLine="444"/>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2"/>
          <w:szCs w:val="12"/>
          <w:color w:val="auto"/>
        </w:rPr>
        <w:t>16</w:t>
      </w:r>
      <w:r>
        <w:rPr>
          <w:rFonts w:ascii="Arial" w:cs="Arial" w:eastAsia="Arial" w:hAnsi="Arial"/>
          <w:sz w:val="15"/>
          <w:szCs w:val="15"/>
          <w:color w:val="auto"/>
        </w:rPr>
        <w:t xml:space="preserve"> We are widely recognized by the brand community as an important and growing distribution channel for their businesses.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780" w:right="19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267" w:lineRule="exact"/>
        <w:rPr>
          <w:rFonts w:ascii="Arial" w:cs="Arial" w:eastAsia="Arial" w:hAnsi="Arial"/>
          <w:sz w:val="15"/>
          <w:szCs w:val="15"/>
          <w:color w:val="auto"/>
        </w:rPr>
      </w:pPr>
    </w:p>
    <w:p>
      <w:pPr>
        <w:ind w:left="1780" w:right="7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our brand partners with a new way to reach both current luxury consumers and aspirational luxury consumers. 91% of our brand partners say that RTR introduces them to new, desirable customers and deepens awareness of their brand. 82% of our subscribers purchased one or more brands they discovered on Rent the Runway (either from RTR or elsewhere).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69" w:lineRule="exact"/>
        <w:rPr>
          <w:rFonts w:ascii="Arial" w:cs="Arial" w:eastAsia="Arial" w:hAnsi="Arial"/>
          <w:sz w:val="15"/>
          <w:szCs w:val="15"/>
          <w:color w:val="auto"/>
        </w:rPr>
      </w:pPr>
    </w:p>
    <w:p>
      <w:pPr>
        <w:ind w:left="1780" w:right="15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jc w:val="both"/>
        <w:ind w:left="1780" w:right="15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offering their premium products at a more accessible price point, enabling brands to connect with a broad customer base without diluting their brand.</w:t>
      </w:r>
    </w:p>
    <w:p>
      <w:pPr>
        <w:spacing w:after="0" w:line="65" w:lineRule="exact"/>
        <w:rPr>
          <w:rFonts w:ascii="Arial" w:cs="Arial" w:eastAsia="Arial" w:hAnsi="Arial"/>
          <w:sz w:val="15"/>
          <w:szCs w:val="15"/>
          <w:color w:val="auto"/>
        </w:rPr>
      </w:pPr>
    </w:p>
    <w:p>
      <w:pPr>
        <w:ind w:left="1780" w:right="31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wholesale channels and is differentiated from what they collect through their own DTC channels. This data allows them to adjust their designs in order to grow and optimize their businesses and manufacture styles that are more durable and sustainable.</w:t>
      </w:r>
    </w:p>
    <w:p>
      <w:pPr>
        <w:spacing w:after="0" w:line="149" w:lineRule="exact"/>
        <w:rPr>
          <w:sz w:val="20"/>
          <w:szCs w:val="20"/>
          <w:color w:val="auto"/>
        </w:rPr>
      </w:pPr>
    </w:p>
    <w:p>
      <w:pPr>
        <w:ind w:left="1620" w:right="99" w:hanging="441"/>
        <w:spacing w:after="0" w:line="196" w:lineRule="auto"/>
        <w:tabs>
          <w:tab w:leader="none" w:pos="162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98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4498975"/>
                    </a:xfrm>
                    <a:prstGeom prst="rect">
                      <a:avLst/>
                    </a:prstGeom>
                    <a:noFill/>
                  </pic:spPr>
                </pic:pic>
              </a:graphicData>
            </a:graphic>
          </wp:anchor>
        </w:drawing>
      </w:r>
    </w:p>
    <w:p>
      <w:pPr>
        <w:spacing w:after="0" w:line="389" w:lineRule="exact"/>
        <w:rPr>
          <w:sz w:val="20"/>
          <w:szCs w:val="20"/>
          <w:color w:val="auto"/>
        </w:rPr>
      </w:pPr>
    </w:p>
    <w:p>
      <w:pPr>
        <w:ind w:left="1780" w:right="99" w:hanging="161"/>
        <w:spacing w:after="0" w:line="252" w:lineRule="auto"/>
        <w:tabs>
          <w:tab w:leader="none" w:pos="1780" w:val="left"/>
        </w:tabs>
        <w:numPr>
          <w:ilvl w:val="0"/>
          <w:numId w:val="22"/>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67% of our brand partners believed that RTR is an important part of their business’s sustainability strategy.</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95" w:lineRule="exact"/>
        <w:rPr>
          <w:sz w:val="20"/>
          <w:szCs w:val="20"/>
          <w:color w:val="auto"/>
        </w:rPr>
      </w:pPr>
    </w:p>
    <w:p>
      <w:pPr>
        <w:ind w:left="1180" w:right="179" w:firstLine="444"/>
        <w:spacing w:after="0" w:line="257" w:lineRule="auto"/>
        <w:rPr>
          <w:sz w:val="20"/>
          <w:szCs w:val="20"/>
          <w:color w:val="auto"/>
        </w:rPr>
      </w:pPr>
      <w:r>
        <w:rPr>
          <w:rFonts w:ascii="Arial" w:cs="Arial" w:eastAsia="Arial" w:hAnsi="Arial"/>
          <w:sz w:val="14"/>
          <w:szCs w:val="14"/>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17</w:t>
      </w:r>
    </w:p>
    <w:p>
      <w:pPr>
        <w:spacing w:after="0" w:line="172" w:lineRule="exact"/>
        <w:rPr>
          <w:sz w:val="20"/>
          <w:szCs w:val="20"/>
          <w:color w:val="auto"/>
        </w:rPr>
      </w:pPr>
    </w:p>
    <w:p>
      <w:pPr>
        <w:ind w:left="1180" w:right="79" w:firstLine="444"/>
        <w:spacing w:after="0" w:line="266" w:lineRule="auto"/>
        <w:rPr>
          <w:sz w:val="20"/>
          <w:szCs w:val="20"/>
          <w:color w:val="auto"/>
        </w:rPr>
      </w:pPr>
      <w:r>
        <w:rPr>
          <w:rFonts w:ascii="Arial" w:cs="Arial" w:eastAsia="Arial" w:hAnsi="Arial"/>
          <w:sz w:val="14"/>
          <w:szCs w:val="14"/>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52" w:lineRule="exact"/>
        <w:rPr>
          <w:sz w:val="20"/>
          <w:szCs w:val="20"/>
          <w:color w:val="auto"/>
        </w:rPr>
      </w:pPr>
    </w:p>
    <w:p>
      <w:pPr>
        <w:ind w:left="1180" w:right="439" w:firstLine="444"/>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over 126,841 total subscribers (active and paused), representing less than 1% of the total population of women aged 18 and above in the U.S.</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153" w:lineRule="exact"/>
        <w:rPr>
          <w:sz w:val="20"/>
          <w:szCs w:val="20"/>
          <w:color w:val="auto"/>
        </w:rPr>
      </w:pPr>
    </w:p>
    <w:p>
      <w:pPr>
        <w:ind w:left="1620" w:right="339" w:hanging="441"/>
        <w:spacing w:after="0" w:line="182" w:lineRule="auto"/>
        <w:tabs>
          <w:tab w:leader="none" w:pos="1620" w:val="left"/>
        </w:tabs>
        <w:numPr>
          <w:ilvl w:val="0"/>
          <w:numId w:val="23"/>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25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49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4749165"/>
                    </a:xfrm>
                    <a:prstGeom prst="rect">
                      <a:avLst/>
                    </a:prstGeom>
                    <a:noFill/>
                  </pic:spPr>
                </pic:pic>
              </a:graphicData>
            </a:graphic>
          </wp:anchor>
        </w:drawing>
      </w:r>
    </w:p>
    <w:p>
      <w:pPr>
        <w:spacing w:after="0" w:line="389"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780" w:right="199" w:hanging="161"/>
        <w:spacing w:after="0" w:line="270"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With our differentiated brand and organic virality, strong funnel of new customers through Reserve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Resale and our continued focus on marketing efficiency, we are focused on growing our subscriber base.</w:t>
      </w:r>
    </w:p>
    <w:p>
      <w:pPr>
        <w:spacing w:after="0" w:line="51" w:lineRule="exact"/>
        <w:rPr>
          <w:rFonts w:ascii="Arial" w:cs="Arial" w:eastAsia="Arial" w:hAnsi="Arial"/>
          <w:sz w:val="15"/>
          <w:szCs w:val="15"/>
          <w:color w:val="auto"/>
        </w:rPr>
      </w:pPr>
    </w:p>
    <w:p>
      <w:pPr>
        <w:ind w:left="1780" w:right="199" w:hanging="161"/>
        <w:spacing w:after="0" w:line="252"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focused on expanding our product assortment and in particular, we intend to accelerate our capex-light partnerships via Share by RTR and Exclusive Designs.</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70" w:lineRule="exact"/>
        <w:rPr>
          <w:rFonts w:ascii="Arial" w:cs="Arial" w:eastAsia="Arial" w:hAnsi="Arial"/>
          <w:sz w:val="15"/>
          <w:szCs w:val="15"/>
          <w:color w:val="auto"/>
        </w:rPr>
      </w:pPr>
    </w:p>
    <w:p>
      <w:pPr>
        <w:ind w:left="1780" w:right="159" w:hanging="161"/>
        <w:spacing w:after="0" w:line="270"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can launch new categories and offerings that resonate with our customers and their lifestyles.</w:t>
      </w:r>
    </w:p>
    <w:p>
      <w:pPr>
        <w:spacing w:after="0" w:line="51" w:lineRule="exact"/>
        <w:rPr>
          <w:rFonts w:ascii="Arial" w:cs="Arial" w:eastAsia="Arial" w:hAnsi="Arial"/>
          <w:sz w:val="15"/>
          <w:szCs w:val="15"/>
          <w:color w:val="auto"/>
        </w:rPr>
      </w:pPr>
    </w:p>
    <w:p>
      <w:pPr>
        <w:ind w:left="1780" w:right="79" w:hanging="161"/>
        <w:spacing w:after="0" w:line="252"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and off our platform. We intend to continue to expand Share by RTR and provide more tools to our brand partners to grow their businesses and assortments across subscription, rental and resale.</w:t>
      </w:r>
    </w:p>
    <w:p>
      <w:pPr>
        <w:spacing w:after="0" w:line="65" w:lineRule="exact"/>
        <w:rPr>
          <w:rFonts w:ascii="Arial" w:cs="Arial" w:eastAsia="Arial" w:hAnsi="Arial"/>
          <w:sz w:val="15"/>
          <w:szCs w:val="15"/>
          <w:color w:val="auto"/>
        </w:rPr>
      </w:pPr>
    </w:p>
    <w:p>
      <w:pPr>
        <w:ind w:left="1780" w:right="199" w:hanging="161"/>
        <w:spacing w:after="0" w:line="270"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are focused on using our data to drive actionable insights and improve key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of our operations.</w:t>
      </w:r>
    </w:p>
    <w:p>
      <w:pPr>
        <w:spacing w:after="0" w:line="51" w:lineRule="exact"/>
        <w:rPr>
          <w:rFonts w:ascii="Arial" w:cs="Arial" w:eastAsia="Arial" w:hAnsi="Arial"/>
          <w:sz w:val="15"/>
          <w:szCs w:val="15"/>
          <w:color w:val="auto"/>
        </w:rPr>
      </w:pPr>
    </w:p>
    <w:p>
      <w:pPr>
        <w:ind w:left="1780" w:right="119" w:hanging="161"/>
        <w:spacing w:after="0" w:line="270" w:lineRule="auto"/>
        <w:tabs>
          <w:tab w:leader="none" w:pos="1780" w:val="left"/>
        </w:tabs>
        <w:numPr>
          <w:ilvl w:val="0"/>
          <w:numId w:val="2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may invest in creating a sharing economy of physical goods around the world. We may choose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do this organically or through partnerships and acquisitions.</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Recent Developments</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We continue to experience strong momentum in the third quarter of fiscal year 2021. The spread of the COVID-19 Delta variant and the trend of continued work from home has had minimal impact on our business or financial performance as of the date of this prospectus, but we continue to monitor the situation. We grew to 111,732 active subscribers as of September 30, 2021, representing 104% growth since the beginning of fiscal year 2021. Active subscribers also grew 14% from the end of our second fiscal quarter on July 31, 2021 to September 30, 2021. Our total subscribers as of September 30, 2021 grew to 143,464 subscribers including paused and active subscribers representing 97% of the total subscribers at the end of fiscal year 2019.</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We have seen the continued success of our strategy to diversify subscriber use cases. In August and September 2021, approximately 50% of her use cases have been more casual in nature — weekend wear, everyday casual occasions, lounge and outerwear — and approximately 50% of her use cases have been for work and evening. We are seeing a pent-up demand for self-expression within our customer base favoring bold, colorful, fashion-forward styles across every use case. We have also continued to see diversification in our subscriber base from a geographic perspective, with more subscribers joining from non-coastal cities, smaller metros or suburbs in the South, Southeast and Midwest.</w:t>
      </w:r>
    </w:p>
    <w:p>
      <w:pPr>
        <w:spacing w:after="0" w:line="33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27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727575"/>
                    </a:xfrm>
                    <a:prstGeom prst="rect">
                      <a:avLst/>
                    </a:prstGeom>
                    <a:noFill/>
                  </pic:spPr>
                </pic:pic>
              </a:graphicData>
            </a:graphic>
          </wp:anchor>
        </w:drawing>
      </w:r>
    </w:p>
    <w:p>
      <w:pPr>
        <w:spacing w:after="0" w:line="389"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Concurrent Debt Prepayment and Credit Facility Amendment</w:t>
      </w:r>
    </w:p>
    <w:p>
      <w:pPr>
        <w:spacing w:after="0" w:line="195" w:lineRule="exact"/>
        <w:rPr>
          <w:sz w:val="20"/>
          <w:szCs w:val="20"/>
          <w:color w:val="auto"/>
        </w:rPr>
      </w:pPr>
    </w:p>
    <w:p>
      <w:pPr>
        <w:ind w:left="1180" w:right="119" w:firstLine="444"/>
        <w:spacing w:after="0" w:line="236" w:lineRule="auto"/>
        <w:rPr>
          <w:sz w:val="20"/>
          <w:szCs w:val="20"/>
          <w:color w:val="auto"/>
        </w:rPr>
      </w:pPr>
      <w:r>
        <w:rPr>
          <w:rFonts w:ascii="Arial" w:cs="Arial" w:eastAsia="Arial" w:hAnsi="Arial"/>
          <w:sz w:val="15"/>
          <w:szCs w:val="15"/>
          <w:color w:val="auto"/>
        </w:rPr>
        <w:t>On October 18, 2021, we entered into an amendment to the Credit Facility, or the Credit Facility Amendment, to our term loan agreement dated as of July 23,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 no additional debt proceeds and after giving effect to the Debt Repayment referred to below), (iii) amend the interest rate to 12% with up to 5% payable in kind, (iv) add a minimum liquidity maintenance covenant of $50 million and (v) amend the call protection applicable to the loans outstanding thereunder.</w:t>
      </w:r>
    </w:p>
    <w:p>
      <w:pPr>
        <w:spacing w:after="0" w:line="175" w:lineRule="exact"/>
        <w:rPr>
          <w:sz w:val="20"/>
          <w:szCs w:val="20"/>
          <w:color w:val="auto"/>
        </w:rPr>
      </w:pPr>
    </w:p>
    <w:p>
      <w:pPr>
        <w:ind w:left="1180" w:right="219" w:firstLine="444"/>
        <w:spacing w:after="0" w:line="238" w:lineRule="auto"/>
        <w:rPr>
          <w:sz w:val="20"/>
          <w:szCs w:val="20"/>
          <w:color w:val="auto"/>
        </w:rPr>
      </w:pPr>
      <w:r>
        <w:rPr>
          <w:rFonts w:ascii="Arial" w:cs="Arial" w:eastAsia="Arial" w:hAnsi="Arial"/>
          <w:sz w:val="15"/>
          <w:szCs w:val="15"/>
          <w:color w:val="auto"/>
        </w:rPr>
        <w:t>In connection with the Credit Facility Amendment, we intend to issue to the Lenders warrants to purchase 394,343 shares of our Class A common stock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72" w:lineRule="exact"/>
        <w:rPr>
          <w:sz w:val="20"/>
          <w:szCs w:val="20"/>
          <w:color w:val="auto"/>
        </w:rPr>
      </w:pPr>
    </w:p>
    <w:p>
      <w:pPr>
        <w:ind w:left="1180" w:right="259" w:firstLine="444"/>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first lien facility, which we entered into in October 2020, as amended to date, with Alter Domus (US) LLC as administrative agent for Ares Corporate Opportunities Fund V, L.P., or Ares, which we call the Ares Facility, and $30 million of outstanding loans under our Credit Facility. These transactions are collectively referred to herein as the Debt Repayment, and the Credit Facility Amendment and the Debt Repayment are collectively referred to herein as the Refinancing. As of July 31, 2021, we had $74.5 million aggregate principal amount of borrowings outstanding under our Ares Facility and $230.0 million aggregate principal amount of borrowings outstanding under our Credit Facility. See “Use of Proceeds” and “Management’s Discussion and Analysis of Financial Condition and Results of Operations—Liquidity and Capital Resources—Indebtedness.”</w:t>
      </w: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Risk Factors Summary</w:t>
      </w:r>
    </w:p>
    <w:p>
      <w:pPr>
        <w:spacing w:after="0" w:line="195" w:lineRule="exact"/>
        <w:rPr>
          <w:sz w:val="20"/>
          <w:szCs w:val="20"/>
          <w:color w:val="auto"/>
        </w:rPr>
      </w:pPr>
    </w:p>
    <w:p>
      <w:pPr>
        <w:ind w:left="1180" w:right="99" w:firstLine="444"/>
        <w:spacing w:after="0" w:line="266" w:lineRule="auto"/>
        <w:rPr>
          <w:sz w:val="20"/>
          <w:szCs w:val="20"/>
          <w:color w:val="auto"/>
        </w:rPr>
      </w:pPr>
      <w:r>
        <w:rPr>
          <w:rFonts w:ascii="Arial" w:cs="Arial" w:eastAsia="Arial" w:hAnsi="Arial"/>
          <w:sz w:val="14"/>
          <w:szCs w:val="14"/>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73" w:lineRule="exact"/>
        <w:rPr>
          <w:sz w:val="20"/>
          <w:szCs w:val="20"/>
          <w:color w:val="auto"/>
        </w:rPr>
      </w:pPr>
    </w:p>
    <w:p>
      <w:pPr>
        <w:ind w:left="1780" w:right="339" w:hanging="161"/>
        <w:spacing w:after="0" w:line="245"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grown rapidly in recent years and have limited experience at our current scale of operations. If we are unable to manage our growth effectively, our brand, company culture, and financial performance may suffer.</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COVID-19 pandemic has had, and may in the future continue to have, a material adverse impact on our business.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global fashion industry is highly competitive and rapidly changing, and we may not be able to compete effectively.</w:t>
      </w:r>
    </w:p>
    <w:p>
      <w:pPr>
        <w:spacing w:after="0" w:line="97" w:lineRule="exact"/>
        <w:rPr>
          <w:rFonts w:ascii="Arial" w:cs="Arial" w:eastAsia="Arial" w:hAnsi="Arial"/>
          <w:sz w:val="15"/>
          <w:szCs w:val="15"/>
          <w:color w:val="auto"/>
        </w:rPr>
      </w:pPr>
    </w:p>
    <w:p>
      <w:pPr>
        <w:ind w:left="1780" w:right="239" w:hanging="161"/>
        <w:spacing w:after="0"/>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48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44488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fail to retain customers, our business, financial condition, and results of operations would be harmed.</w:t>
      </w:r>
    </w:p>
    <w:p>
      <w:pPr>
        <w:spacing w:after="0" w:line="97" w:lineRule="exact"/>
        <w:rPr>
          <w:rFonts w:ascii="Arial" w:cs="Arial" w:eastAsia="Arial" w:hAnsi="Arial"/>
          <w:sz w:val="15"/>
          <w:szCs w:val="15"/>
          <w:color w:val="auto"/>
        </w:rPr>
      </w:pPr>
    </w:p>
    <w:p>
      <w:pPr>
        <w:ind w:left="1780" w:right="11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are unable to accurately forecast customer demand, manage our products effectively and plan for future expenses, our operating results could be adversely affected.</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Shipping and logistics are a critical part of our business and our supply chain and any changes or interruptions in shipping or logistics operations could adversely affect our operating results.</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87" w:lineRule="exact"/>
        <w:rPr>
          <w:rFonts w:ascii="Arial" w:cs="Arial" w:eastAsia="Arial" w:hAnsi="Arial"/>
          <w:sz w:val="15"/>
          <w:szCs w:val="15"/>
          <w:color w:val="auto"/>
        </w:rPr>
      </w:pPr>
    </w:p>
    <w:p>
      <w:pPr>
        <w:ind w:left="1780" w:right="299" w:hanging="161"/>
        <w:spacing w:after="0" w:line="238"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business is subject to a large number of U.S. and non-U.S. laws and regulations, many of which are evolving.</w:t>
      </w:r>
    </w:p>
    <w:p>
      <w:pPr>
        <w:spacing w:after="0" w:line="97" w:lineRule="exact"/>
        <w:rPr>
          <w:rFonts w:ascii="Arial" w:cs="Arial" w:eastAsia="Arial" w:hAnsi="Arial"/>
          <w:sz w:val="15"/>
          <w:szCs w:val="15"/>
          <w:color w:val="auto"/>
        </w:rPr>
      </w:pPr>
    </w:p>
    <w:p>
      <w:pPr>
        <w:ind w:left="1780" w:right="119" w:hanging="161"/>
        <w:spacing w:after="0" w:line="238"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to adequately maintain and protect our intellectual property and proprietary rights could harm our brand, devalue our proprietary content, and adversely affect our ability to compete effectively.</w:t>
      </w:r>
    </w:p>
    <w:p>
      <w:pPr>
        <w:spacing w:after="0" w:line="87" w:lineRule="exact"/>
        <w:rPr>
          <w:rFonts w:ascii="Arial" w:cs="Arial" w:eastAsia="Arial" w:hAnsi="Arial"/>
          <w:sz w:val="15"/>
          <w:szCs w:val="15"/>
          <w:color w:val="auto"/>
        </w:rPr>
      </w:pPr>
    </w:p>
    <w:p>
      <w:pPr>
        <w:ind w:left="1780" w:right="499" w:hanging="161"/>
        <w:spacing w:after="0" w:line="238"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93"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face risks associated with brand partners from whom our products are sourced or co-manufactured.</w:t>
      </w:r>
    </w:p>
    <w:p>
      <w:pPr>
        <w:spacing w:after="0" w:line="9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87" w:lineRule="exact"/>
        <w:rPr>
          <w:rFonts w:ascii="Arial" w:cs="Arial" w:eastAsia="Arial" w:hAnsi="Arial"/>
          <w:sz w:val="15"/>
          <w:szCs w:val="15"/>
          <w:color w:val="auto"/>
        </w:rPr>
      </w:pPr>
    </w:p>
    <w:p>
      <w:pPr>
        <w:ind w:left="1780" w:right="99"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91" w:lineRule="exact"/>
        <w:rPr>
          <w:rFonts w:ascii="Arial" w:cs="Arial" w:eastAsia="Arial" w:hAnsi="Arial"/>
          <w:sz w:val="15"/>
          <w:szCs w:val="15"/>
          <w:color w:val="auto"/>
        </w:rPr>
      </w:pPr>
    </w:p>
    <w:p>
      <w:pPr>
        <w:ind w:left="1780" w:right="299"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13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3905" cy="47136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active, liquid, and orderly market for our Class A common stock may not develop or be sustained. You may be unable to sell your shares of Class A common stock at or above the price at which you purchased them.</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share price may be volatile, and you may be unable to sell your shares at or above the offering price.</w:t>
      </w:r>
    </w:p>
    <w:p>
      <w:pPr>
        <w:spacing w:after="0" w:line="9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After this offering, company insiders will continue to have the ability to control or significantly influence all matters submitted to stockholders for approval.</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management has broad discretion in the use of the net proceeds from this offering and may not use the net proceeds effectively.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we are unable to adequately address these and other risks we face, our business may be harmed.</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172" w:lineRule="exact"/>
        <w:rPr>
          <w:sz w:val="20"/>
          <w:szCs w:val="20"/>
          <w:color w:val="auto"/>
        </w:rPr>
      </w:pPr>
    </w:p>
    <w:p>
      <w:pPr>
        <w:ind w:left="1180" w:right="279" w:firstLine="444"/>
        <w:spacing w:after="0" w:line="237" w:lineRule="auto"/>
        <w:rPr>
          <w:sz w:val="20"/>
          <w:szCs w:val="20"/>
          <w:color w:val="auto"/>
        </w:rPr>
      </w:pPr>
      <w:r>
        <w:rPr>
          <w:rFonts w:ascii="Arial" w:cs="Arial" w:eastAsia="Arial" w:hAnsi="Arial"/>
          <w:sz w:val="15"/>
          <w:szCs w:val="15"/>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2"/>
          <w:szCs w:val="12"/>
          <w:color w:val="auto"/>
        </w:rPr>
        <w:t>®</w:t>
      </w:r>
      <w:r>
        <w:rPr>
          <w:rFonts w:ascii="Arial" w:cs="Arial" w:eastAsia="Arial" w:hAnsi="Arial"/>
          <w:sz w:val="15"/>
          <w:szCs w:val="15"/>
          <w:color w:val="auto"/>
        </w:rPr>
        <w:t xml:space="preserve"> and </w:t>
      </w:r>
      <w:r>
        <w:rPr>
          <w:rFonts w:ascii="Arial" w:cs="Arial" w:eastAsia="Arial" w:hAnsi="Arial"/>
          <w:sz w:val="12"/>
          <w:szCs w:val="12"/>
          <w:color w:val="auto"/>
        </w:rPr>
        <w:t>™</w:t>
      </w:r>
      <w:r>
        <w:rPr>
          <w:rFonts w:ascii="Arial" w:cs="Arial" w:eastAsia="Arial" w:hAnsi="Arial"/>
          <w:sz w:val="15"/>
          <w:szCs w:val="15"/>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43"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1" w:lineRule="exact"/>
        <w:rPr>
          <w:sz w:val="20"/>
          <w:szCs w:val="20"/>
          <w:color w:val="auto"/>
        </w:rPr>
      </w:pPr>
    </w:p>
    <w:p>
      <w:pPr>
        <w:ind w:left="1780" w:right="71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are required to have only two years of audited financial statements and only two years of related Management’s Discussion and Analysis of Financial Condition and Results of Operations disclosure;</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are not required to engage an auditor to report on our internal control over financial reporting pursuant to Section 404(b) of the Sarbanes-Oxley Act of 2002, as amended, the Sarbanes-Oxley Act;</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373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3905" cy="23736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159" w:hanging="161"/>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91"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submit certain executive compensation matters to stockholder advisory votes, such as “say-on-pay,” “say-on-frequency,” and “say-on-golden parachutes;” and</w:t>
      </w:r>
    </w:p>
    <w:p>
      <w:pPr>
        <w:spacing w:after="0" w:line="87" w:lineRule="exact"/>
        <w:rPr>
          <w:rFonts w:ascii="Arial" w:cs="Arial" w:eastAsia="Arial" w:hAnsi="Arial"/>
          <w:sz w:val="15"/>
          <w:szCs w:val="15"/>
          <w:color w:val="auto"/>
        </w:rPr>
      </w:pPr>
    </w:p>
    <w:p>
      <w:pPr>
        <w:ind w:left="1780" w:right="159" w:hanging="161"/>
        <w:spacing w:after="0"/>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70" w:lineRule="exact"/>
        <w:rPr>
          <w:sz w:val="20"/>
          <w:szCs w:val="20"/>
          <w:color w:val="auto"/>
        </w:rPr>
      </w:pPr>
    </w:p>
    <w:p>
      <w:pPr>
        <w:ind w:left="1180" w:right="79" w:firstLine="444"/>
        <w:spacing w:after="0" w:line="236" w:lineRule="auto"/>
        <w:rPr>
          <w:sz w:val="20"/>
          <w:szCs w:val="20"/>
          <w:color w:val="auto"/>
        </w:rPr>
      </w:pPr>
      <w:r>
        <w:rPr>
          <w:rFonts w:ascii="Arial" w:cs="Arial" w:eastAsia="Arial" w:hAnsi="Arial"/>
          <w:sz w:val="15"/>
          <w:szCs w:val="15"/>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70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3905" cy="4770755"/>
                    </a:xfrm>
                    <a:prstGeom prst="rect">
                      <a:avLst/>
                    </a:prstGeom>
                    <a:noFill/>
                  </pic:spPr>
                </pic:pic>
              </a:graphicData>
            </a:graphic>
          </wp:anchor>
        </w:drawing>
      </w:r>
    </w:p>
    <w:p>
      <w:pPr>
        <w:spacing w:after="0" w:line="389" w:lineRule="exact"/>
        <w:rPr>
          <w:sz w:val="20"/>
          <w:szCs w:val="20"/>
          <w:color w:val="auto"/>
        </w:rPr>
      </w:pPr>
    </w:p>
    <w:p>
      <w:pPr>
        <w:jc w:val="right"/>
        <w:ind w:right="404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220"/>
          </w:cols>
          <w:pgMar w:left="320" w:top="407" w:right="1359"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Shares of Class A common stock offered by us</w:t>
      </w:r>
    </w:p>
    <w:p>
      <w:pPr>
        <w:spacing w:after="0" w:line="222"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A common stock to be outstanding after this offering</w:t>
      </w:r>
    </w:p>
    <w:p>
      <w:pPr>
        <w:spacing w:after="0" w:line="211"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B common stock to be outstanding after this offering</w:t>
      </w:r>
    </w:p>
    <w:p>
      <w:pPr>
        <w:spacing w:after="0" w:line="42" w:lineRule="exact"/>
        <w:rPr>
          <w:sz w:val="20"/>
          <w:szCs w:val="20"/>
          <w:color w:val="auto"/>
        </w:rPr>
      </w:pPr>
    </w:p>
    <w:p>
      <w:pPr>
        <w:ind w:left="1340" w:hanging="149"/>
        <w:spacing w:after="0" w:line="245" w:lineRule="auto"/>
        <w:rPr>
          <w:sz w:val="20"/>
          <w:szCs w:val="20"/>
          <w:color w:val="auto"/>
        </w:rPr>
      </w:pPr>
      <w:r>
        <w:rPr>
          <w:rFonts w:ascii="Arial" w:cs="Arial" w:eastAsia="Arial" w:hAnsi="Arial"/>
          <w:sz w:val="15"/>
          <w:szCs w:val="15"/>
          <w:color w:val="auto"/>
        </w:rPr>
        <w:t>Total shares of Class A common stock and Class B common stock to be outstanding after this offering</w:t>
      </w:r>
    </w:p>
    <w:p>
      <w:pPr>
        <w:spacing w:after="0" w:line="380" w:lineRule="exact"/>
        <w:rPr>
          <w:sz w:val="20"/>
          <w:szCs w:val="20"/>
          <w:color w:val="auto"/>
        </w:rPr>
      </w:pPr>
    </w:p>
    <w:p>
      <w:pPr>
        <w:ind w:left="1340" w:right="240" w:hanging="149"/>
        <w:spacing w:after="0" w:line="245" w:lineRule="auto"/>
        <w:rPr>
          <w:sz w:val="20"/>
          <w:szCs w:val="20"/>
          <w:color w:val="auto"/>
        </w:rPr>
      </w:pPr>
      <w:r>
        <w:rPr>
          <w:rFonts w:ascii="Arial" w:cs="Arial" w:eastAsia="Arial" w:hAnsi="Arial"/>
          <w:sz w:val="15"/>
          <w:szCs w:val="15"/>
          <w:color w:val="auto"/>
        </w:rPr>
        <w:t>Over-allotment option to purchase additional shares of Class A common stock</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17,000,000 shares (19,550,000 shares if the underwriters exercise in full their option to purchase additional shares).</w:t>
      </w:r>
    </w:p>
    <w:p>
      <w:pPr>
        <w:spacing w:after="0" w:line="21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59,928,745 shares (62,478,745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2,939,928 shares.</w:t>
      </w:r>
    </w:p>
    <w:p>
      <w:pPr>
        <w:spacing w:after="0" w:line="39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62,868,673 shares (65,418,673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2,550,000 shares.</w:t>
      </w:r>
    </w:p>
    <w:p>
      <w:pPr>
        <w:spacing w:after="0" w:line="53" w:lineRule="exact"/>
        <w:rPr>
          <w:sz w:val="20"/>
          <w:szCs w:val="20"/>
          <w:color w:val="auto"/>
        </w:rPr>
      </w:pPr>
    </w:p>
    <w:p>
      <w:pPr>
        <w:ind w:right="160"/>
        <w:spacing w:after="0" w:line="236" w:lineRule="auto"/>
        <w:rPr>
          <w:sz w:val="20"/>
          <w:szCs w:val="20"/>
          <w:color w:val="auto"/>
        </w:rPr>
      </w:pPr>
      <w:r>
        <w:rPr>
          <w:rFonts w:ascii="Arial" w:cs="Arial" w:eastAsia="Arial" w:hAnsi="Arial"/>
          <w:sz w:val="15"/>
          <w:szCs w:val="15"/>
          <w:color w:val="auto"/>
        </w:rPr>
        <w:t>We estimate, based upon the initial public offering price of $21.00 per share, that we will receive net proceeds from this offering of approximately $327.3 million (or $377.3 million if the underwriters exercise in full their option to purchase additional shares), after deducting underwriting discounts and commissions and estimated offering expenses payable by us. We intend to use the net proceeds from this offering to repay all amounts outstanding under our Ares Facility and $ 30.0 million outstanding under our Credit Facility. We intend to use any remaining net proceeds from this offering after such repayment to fund growth, fund other general corporate purposes, or to pay down additional amounts under the Credit Facility. We will have broad discretion in the way that we use the net proceeds of this offering. See “Use of Proceeds.”</w:t>
      </w:r>
    </w:p>
    <w:p>
      <w:pPr>
        <w:spacing w:after="0" w:line="45" w:lineRule="exact"/>
        <w:rPr>
          <w:sz w:val="20"/>
          <w:szCs w:val="20"/>
          <w:color w:val="auto"/>
        </w:rPr>
      </w:pPr>
    </w:p>
    <w:p>
      <w:pPr>
        <w:sectPr>
          <w:pgSz w:w="11900" w:h="16838" w:orient="portrait"/>
          <w:cols w:equalWidth="0" w:num="2">
            <w:col w:w="5580" w:space="220"/>
            <w:col w:w="4420"/>
          </w:cols>
          <w:pgMar w:left="320" w:top="407" w:right="1359" w:bottom="1440" w:gutter="0" w:footer="0" w:header="0"/>
          <w:type w:val="continuous"/>
        </w:sectPr>
      </w:pPr>
    </w:p>
    <w:tbl>
      <w:tblPr>
        <w:tblLayout w:type="fixed"/>
        <w:tblInd w:w="1020" w:type="dxa"/>
        <w:tblCellMar>
          <w:top w:w="0" w:type="dxa"/>
          <w:left w:w="0" w:type="dxa"/>
          <w:bottom w:w="0" w:type="dxa"/>
          <w:right w:w="0" w:type="dxa"/>
        </w:tblCellMar>
      </w:tblPr>
      <w:tr>
        <w:trPr>
          <w:trHeight w:val="172"/>
        </w:trPr>
        <w:tc>
          <w:tcPr>
            <w:tcW w:w="2760" w:type="dxa"/>
            <w:vAlign w:val="bottom"/>
          </w:tcPr>
          <w:p>
            <w:pPr>
              <w:ind w:left="160"/>
              <w:spacing w:after="0"/>
              <w:rPr>
                <w:sz w:val="20"/>
                <w:szCs w:val="20"/>
                <w:color w:val="auto"/>
              </w:rPr>
            </w:pPr>
            <w:r>
              <w:rPr>
                <w:rFonts w:ascii="Arial" w:cs="Arial" w:eastAsia="Arial" w:hAnsi="Arial"/>
                <w:sz w:val="15"/>
                <w:szCs w:val="15"/>
                <w:color w:val="auto"/>
              </w:rPr>
              <w:t>Voting rights</w:t>
            </w:r>
          </w:p>
        </w:tc>
        <w:tc>
          <w:tcPr>
            <w:tcW w:w="6440" w:type="dxa"/>
            <w:vAlign w:val="bottom"/>
          </w:tcPr>
          <w:p>
            <w:pPr>
              <w:ind w:left="2020"/>
              <w:spacing w:after="0"/>
              <w:rPr>
                <w:sz w:val="20"/>
                <w:szCs w:val="20"/>
                <w:color w:val="auto"/>
              </w:rPr>
            </w:pPr>
            <w:r>
              <w:rPr>
                <w:rFonts w:ascii="Arial" w:cs="Arial" w:eastAsia="Arial" w:hAnsi="Arial"/>
                <w:sz w:val="15"/>
                <w:szCs w:val="15"/>
                <w:color w:val="auto"/>
              </w:rPr>
              <w:t>Each share of Class A common stock is entitled to one vote per</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share. Each share of Class B common stock is entitled to 20</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votes per share and is convertible into one share of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at any time. Holders of shares of our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and Class B common stock will vote together as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a single class on all matters (including the election of directors)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submitted to a vote of stockholders except as otherwise</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provided in our amended and restated certificate of</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incorporation or as required by applicable law. Our Co-</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Founders and their affiliates will together hold all of the</w:t>
            </w:r>
          </w:p>
        </w:tc>
      </w:tr>
      <w:tr>
        <w:trPr>
          <w:trHeight w:val="180"/>
        </w:trPr>
        <w:tc>
          <w:tcPr>
            <w:tcW w:w="2760" w:type="dxa"/>
            <w:vAlign w:val="bottom"/>
          </w:tcPr>
          <w:p>
            <w:pPr>
              <w:spacing w:after="0"/>
              <w:rPr>
                <w:sz w:val="15"/>
                <w:szCs w:val="15"/>
                <w:color w:val="auto"/>
              </w:rPr>
            </w:pPr>
          </w:p>
        </w:tc>
        <w:tc>
          <w:tcPr>
            <w:tcW w:w="6440" w:type="dxa"/>
            <w:vAlign w:val="bottom"/>
          </w:tcPr>
          <w:p>
            <w:pPr>
              <w:ind w:left="2020"/>
              <w:spacing w:after="0"/>
              <w:rPr>
                <w:sz w:val="20"/>
                <w:szCs w:val="20"/>
                <w:color w:val="auto"/>
              </w:rPr>
            </w:pPr>
            <w:r>
              <w:rPr>
                <w:rFonts w:ascii="Arial" w:cs="Arial" w:eastAsia="Arial" w:hAnsi="Arial"/>
                <w:sz w:val="15"/>
                <w:szCs w:val="15"/>
                <w:color w:val="auto"/>
              </w:rPr>
              <w:t>outstanding</w:t>
            </w:r>
          </w:p>
        </w:tc>
      </w:tr>
      <w:tr>
        <w:trPr>
          <w:trHeight w:val="188"/>
        </w:trPr>
        <w:tc>
          <w:tcPr>
            <w:tcW w:w="276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r>
      <w:tr>
        <w:trPr>
          <w:trHeight w:val="299"/>
        </w:trPr>
        <w:tc>
          <w:tcPr>
            <w:tcW w:w="2760" w:type="dxa"/>
            <w:vAlign w:val="bottom"/>
          </w:tcPr>
          <w:p>
            <w:pPr>
              <w:spacing w:after="0"/>
              <w:rPr>
                <w:sz w:val="24"/>
                <w:szCs w:val="24"/>
                <w:color w:val="auto"/>
              </w:rPr>
            </w:pPr>
          </w:p>
        </w:tc>
        <w:tc>
          <w:tcPr>
            <w:tcW w:w="6440" w:type="dxa"/>
            <w:vAlign w:val="bottom"/>
          </w:tcPr>
          <w:p>
            <w:pPr>
              <w:ind w:left="1760"/>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0220"/>
          </w:cols>
          <w:pgMar w:left="320" w:top="407" w:right="1359" w:bottom="1440" w:gutter="0" w:footer="0" w:header="0"/>
          <w:type w:val="continuous"/>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5" w:lineRule="exact"/>
        <w:rPr>
          <w:sz w:val="20"/>
          <w:szCs w:val="20"/>
          <w:color w:val="auto"/>
        </w:rPr>
      </w:pPr>
    </w:p>
    <w:tbl>
      <w:tblPr>
        <w:tblLayout w:type="fixed"/>
        <w:tblInd w:w="1030" w:type="dxa"/>
        <w:tblCellMar>
          <w:top w:w="0" w:type="dxa"/>
          <w:left w:w="0" w:type="dxa"/>
          <w:bottom w:w="0" w:type="dxa"/>
          <w:right w:w="0" w:type="dxa"/>
        </w:tblCellMar>
      </w:tblPr>
      <w:tr>
        <w:trPr>
          <w:trHeight w:val="330"/>
        </w:trPr>
        <w:tc>
          <w:tcPr>
            <w:tcW w:w="3160" w:type="dxa"/>
            <w:vAlign w:val="bottom"/>
            <w:tcBorders>
              <w:top w:val="single" w:sz="8" w:color="auto"/>
              <w:left w:val="single" w:sz="8" w:color="auto"/>
            </w:tcBorders>
          </w:tcPr>
          <w:p>
            <w:pPr>
              <w:spacing w:after="0"/>
              <w:rPr>
                <w:sz w:val="24"/>
                <w:szCs w:val="24"/>
                <w:color w:val="auto"/>
              </w:rPr>
            </w:pPr>
          </w:p>
        </w:tc>
        <w:tc>
          <w:tcPr>
            <w:tcW w:w="604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5"/>
                <w:szCs w:val="15"/>
                <w:color w:val="auto"/>
              </w:rPr>
              <w:t>shares of Class B common stock. Immediately following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completion of this offering, shares of Class A common stock will</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collectively represent approximately 95.3% of our total issued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and outstanding shares and 50.5% of the voting power attached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to all of our issued and outstanding shares (or 95.5% and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51.5%, respectively, if the underwriters exercise in full their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option to purchase additional shares of Class A common stock),</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and shares of Class B common stock will collectively represent</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approximately 4.7% of our total issued and outstanding shares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and 49.5% of the voting power attached to all of our issued and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outstanding shares (or 4.5% and 48.5%, respectively, if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underwriters exercise in full their option to purchase additional</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shares of Class A common stock). In addition, we and certain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our stockholders intend to enter into a stockholders’ agreement</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in connection with this offering with respect to the election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directors. See “Description of Capital Stock” for additional</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information.</w:t>
            </w:r>
          </w:p>
        </w:tc>
      </w:tr>
      <w:tr>
        <w:trPr>
          <w:trHeight w:val="214"/>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Dividend policy</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We do not expect to pay any dividends on our common stock</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for the foreseeable future. See “Dividend Policy.”</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Directed Share Program</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At our request, the underwriters have reserved up to 5.0%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shares of Class A common stock offered by this prospectus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for sale at the initial public offering price through a directed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 program to certain individuals identified by management.</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number of shares of Class A common stock available for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sale to the general public will be reduced by the number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reserved shares sold to these individuals. Any reserved shares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not purchased by these individuals will be offered by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underwriters to the general public on the same basis as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other shares of Class A common stock offered under this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prospectus. See the section titled “Underwriting—Directed</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Share Program.”</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Indications of Interest</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One or more funds affiliated with Franklin Templeton have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indicated an interest in purchasing up to $75.0 million of our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Class A common stock offered in this offering at the initial public</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offering price. Because this indication of interest is not a binding</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agreement or commitment to purchase, these funds may</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determine to purchase more, fewer or no shares in this offering,</w:t>
            </w:r>
          </w:p>
        </w:tc>
      </w:tr>
      <w:tr>
        <w:trPr>
          <w:trHeight w:val="188"/>
        </w:trPr>
        <w:tc>
          <w:tcPr>
            <w:tcW w:w="3160" w:type="dxa"/>
            <w:vAlign w:val="bottom"/>
            <w:tcBorders>
              <w:left w:val="single" w:sz="8" w:color="auto"/>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tcPr>
          <w:p>
            <w:pPr>
              <w:spacing w:after="0"/>
              <w:rPr>
                <w:sz w:val="16"/>
                <w:szCs w:val="16"/>
                <w:color w:val="auto"/>
              </w:rPr>
            </w:pPr>
          </w:p>
        </w:tc>
      </w:tr>
      <w:tr>
        <w:trPr>
          <w:trHeight w:val="299"/>
        </w:trPr>
        <w:tc>
          <w:tcPr>
            <w:tcW w:w="3160" w:type="dxa"/>
            <w:vAlign w:val="bottom"/>
          </w:tcPr>
          <w:p>
            <w:pPr>
              <w:spacing w:after="0"/>
              <w:rPr>
                <w:sz w:val="24"/>
                <w:szCs w:val="24"/>
                <w:color w:val="auto"/>
              </w:rPr>
            </w:pPr>
          </w:p>
        </w:tc>
        <w:tc>
          <w:tcPr>
            <w:tcW w:w="6040" w:type="dxa"/>
            <w:vAlign w:val="bottom"/>
          </w:tcPr>
          <w:p>
            <w:pPr>
              <w:ind w:left="1360"/>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0220"/>
          </w:cols>
          <w:pgMar w:left="320" w:top="407" w:right="135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98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3905" cy="43986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or the underwriters may determine to sell more, fewer or no</w:t>
      </w:r>
    </w:p>
    <w:p>
      <w:pPr>
        <w:ind w:left="5800"/>
        <w:spacing w:after="0" w:line="235" w:lineRule="auto"/>
        <w:rPr>
          <w:sz w:val="20"/>
          <w:szCs w:val="20"/>
          <w:color w:val="auto"/>
        </w:rPr>
      </w:pPr>
      <w:r>
        <w:rPr>
          <w:rFonts w:ascii="Arial" w:cs="Arial" w:eastAsia="Arial" w:hAnsi="Arial"/>
          <w:sz w:val="15"/>
          <w:szCs w:val="15"/>
          <w:color w:val="auto"/>
        </w:rPr>
        <w:t>shares to such funds. The underwriters will receive the same</w:t>
      </w:r>
    </w:p>
    <w:p>
      <w:pPr>
        <w:ind w:left="5800"/>
        <w:spacing w:after="0" w:line="235" w:lineRule="auto"/>
        <w:rPr>
          <w:sz w:val="20"/>
          <w:szCs w:val="20"/>
          <w:color w:val="auto"/>
        </w:rPr>
      </w:pPr>
      <w:r>
        <w:rPr>
          <w:rFonts w:ascii="Arial" w:cs="Arial" w:eastAsia="Arial" w:hAnsi="Arial"/>
          <w:sz w:val="15"/>
          <w:szCs w:val="15"/>
          <w:color w:val="auto"/>
        </w:rPr>
        <w:t>discount from any of our shares of Class A common stock</w:t>
      </w:r>
    </w:p>
    <w:p>
      <w:pPr>
        <w:ind w:left="5800"/>
        <w:spacing w:after="0"/>
        <w:rPr>
          <w:sz w:val="20"/>
          <w:szCs w:val="20"/>
          <w:color w:val="auto"/>
        </w:rPr>
      </w:pPr>
      <w:r>
        <w:rPr>
          <w:rFonts w:ascii="Arial" w:cs="Arial" w:eastAsia="Arial" w:hAnsi="Arial"/>
          <w:sz w:val="14"/>
          <w:szCs w:val="14"/>
          <w:color w:val="auto"/>
        </w:rPr>
        <w:t>purchased by these funds as they will from any other shares of</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Class A common stock sold to the public in this offering.</w:t>
      </w:r>
    </w:p>
    <w:p>
      <w:pPr>
        <w:sectPr>
          <w:pgSz w:w="11900" w:h="16838" w:orient="portrait"/>
          <w:cols w:equalWidth="0" w:num="1">
            <w:col w:w="10139"/>
          </w:cols>
          <w:pgMar w:left="320" w:top="407" w:right="1440" w:bottom="1440" w:gutter="0" w:footer="0" w:header="0"/>
        </w:sectPr>
      </w:pPr>
    </w:p>
    <w:p>
      <w:pPr>
        <w:spacing w:after="0" w:line="5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39"/>
        <w:spacing w:after="0" w:line="238" w:lineRule="auto"/>
        <w:rPr>
          <w:sz w:val="20"/>
          <w:szCs w:val="20"/>
          <w:color w:val="auto"/>
        </w:rPr>
      </w:pPr>
      <w:r>
        <w:rPr>
          <w:rFonts w:ascii="Arial" w:cs="Arial" w:eastAsia="Arial" w:hAnsi="Arial"/>
          <w:sz w:val="15"/>
          <w:szCs w:val="15"/>
          <w:color w:val="auto"/>
        </w:rPr>
        <w:t>Investing in our common stock involves a high degree of risk. See “Risk Factors” beginning on page 25 and other information included in this prospectus for a discussion of factors you should carefully consider before investing in our Class A common stock.</w:t>
      </w:r>
    </w:p>
    <w:p>
      <w:pPr>
        <w:spacing w:after="0" w:line="46"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4"/>
          <w:szCs w:val="14"/>
          <w:color w:val="auto"/>
        </w:rPr>
        <w:t>Trading symbol</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Arial" w:cs="Arial" w:eastAsia="Arial" w:hAnsi="Arial"/>
          <w:sz w:val="14"/>
          <w:szCs w:val="14"/>
          <w:color w:val="auto"/>
        </w:rPr>
        <w:t>“RENT.”</w:t>
      </w:r>
    </w:p>
    <w:p>
      <w:pPr>
        <w:spacing w:after="0" w:line="185"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62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w:t>
      </w:r>
    </w:p>
    <w:p>
      <w:pPr>
        <w:ind w:left="1180"/>
        <w:spacing w:after="0" w:line="235" w:lineRule="auto"/>
        <w:rPr>
          <w:sz w:val="20"/>
          <w:szCs w:val="20"/>
          <w:color w:val="auto"/>
        </w:rPr>
      </w:pPr>
      <w:r>
        <w:rPr>
          <w:rFonts w:ascii="Arial" w:cs="Arial" w:eastAsia="Arial" w:hAnsi="Arial"/>
          <w:sz w:val="15"/>
          <w:szCs w:val="15"/>
          <w:color w:val="auto"/>
        </w:rPr>
        <w:t>42,928,745 shares of our Class A common stock and 2,939,928 shares of our Class B common stock outstanding as of July 31, 2021,</w:t>
      </w:r>
    </w:p>
    <w:p>
      <w:pPr>
        <w:ind w:left="1180"/>
        <w:spacing w:after="0" w:line="235" w:lineRule="auto"/>
        <w:rPr>
          <w:sz w:val="20"/>
          <w:szCs w:val="20"/>
          <w:color w:val="auto"/>
        </w:rPr>
      </w:pPr>
      <w:r>
        <w:rPr>
          <w:rFonts w:ascii="Arial" w:cs="Arial" w:eastAsia="Arial" w:hAnsi="Arial"/>
          <w:sz w:val="15"/>
          <w:szCs w:val="15"/>
          <w:color w:val="auto"/>
        </w:rPr>
        <w:t>after giving effect to (i) the exercise of warrants to purchase 2,422,529 shares of Class A common stock, which will result in the</w:t>
      </w:r>
    </w:p>
    <w:p>
      <w:pPr>
        <w:ind w:left="1180"/>
        <w:spacing w:after="0" w:line="235" w:lineRule="auto"/>
        <w:rPr>
          <w:sz w:val="20"/>
          <w:szCs w:val="20"/>
          <w:color w:val="auto"/>
        </w:rPr>
      </w:pPr>
      <w:r>
        <w:rPr>
          <w:rFonts w:ascii="Arial" w:cs="Arial" w:eastAsia="Arial" w:hAnsi="Arial"/>
          <w:sz w:val="15"/>
          <w:szCs w:val="15"/>
          <w:color w:val="auto"/>
        </w:rPr>
        <w:t>issuance of 2,421,375 shares of Class A common stock in connection with this offering, based on an initial public offering price of</w:t>
      </w:r>
    </w:p>
    <w:p>
      <w:pPr>
        <w:ind w:left="1180"/>
        <w:spacing w:after="0" w:line="235" w:lineRule="auto"/>
        <w:rPr>
          <w:sz w:val="20"/>
          <w:szCs w:val="20"/>
          <w:color w:val="auto"/>
        </w:rPr>
      </w:pPr>
      <w:r>
        <w:rPr>
          <w:rFonts w:ascii="Arial" w:cs="Arial" w:eastAsia="Arial" w:hAnsi="Arial"/>
          <w:sz w:val="15"/>
          <w:szCs w:val="15"/>
          <w:color w:val="auto"/>
        </w:rPr>
        <w:t>$21.00 per share of Class A common stock, (ii) the automatic conversion of all outstanding shares of our redeemable preferred stock</w:t>
      </w:r>
    </w:p>
    <w:p>
      <w:pPr>
        <w:ind w:left="1180"/>
        <w:spacing w:after="0" w:line="235" w:lineRule="auto"/>
        <w:rPr>
          <w:sz w:val="20"/>
          <w:szCs w:val="20"/>
          <w:color w:val="auto"/>
        </w:rPr>
      </w:pPr>
      <w:r>
        <w:rPr>
          <w:rFonts w:ascii="Arial" w:cs="Arial" w:eastAsia="Arial" w:hAnsi="Arial"/>
          <w:sz w:val="15"/>
          <w:szCs w:val="15"/>
          <w:color w:val="auto"/>
        </w:rPr>
        <w:t>into 32,575,462 shares of our Class A common stock upon closing of this offering, (iii) reclassification of all of the shares of common</w:t>
      </w:r>
    </w:p>
    <w:p>
      <w:pPr>
        <w:ind w:left="1180"/>
        <w:spacing w:after="0" w:line="236" w:lineRule="auto"/>
        <w:rPr>
          <w:sz w:val="20"/>
          <w:szCs w:val="20"/>
          <w:color w:val="auto"/>
        </w:rPr>
      </w:pPr>
      <w:r>
        <w:rPr>
          <w:rFonts w:ascii="Arial" w:cs="Arial" w:eastAsia="Arial" w:hAnsi="Arial"/>
          <w:sz w:val="15"/>
          <w:szCs w:val="15"/>
          <w:color w:val="auto"/>
        </w:rPr>
        <w:t>stock into shares of Class A common stock upon the effectiveness of the Amended Charter, (iv) reclassification of all shares of</w:t>
      </w:r>
    </w:p>
    <w:p>
      <w:pPr>
        <w:ind w:left="1180"/>
        <w:spacing w:after="0" w:line="235" w:lineRule="auto"/>
        <w:rPr>
          <w:sz w:val="20"/>
          <w:szCs w:val="20"/>
          <w:color w:val="auto"/>
        </w:rPr>
      </w:pPr>
      <w:r>
        <w:rPr>
          <w:rFonts w:ascii="Arial" w:cs="Arial" w:eastAsia="Arial" w:hAnsi="Arial"/>
          <w:sz w:val="15"/>
          <w:szCs w:val="15"/>
          <w:color w:val="auto"/>
        </w:rPr>
        <w:t>common stock underlying outstanding equity awards under our 2009 Plan and 2019 Plan, other than those held by our Co-Founders,</w:t>
      </w:r>
    </w:p>
    <w:p>
      <w:pPr>
        <w:ind w:left="1180"/>
        <w:spacing w:after="0" w:line="235" w:lineRule="auto"/>
        <w:rPr>
          <w:sz w:val="20"/>
          <w:szCs w:val="20"/>
          <w:color w:val="auto"/>
        </w:rPr>
      </w:pPr>
      <w:r>
        <w:rPr>
          <w:rFonts w:ascii="Arial" w:cs="Arial" w:eastAsia="Arial" w:hAnsi="Arial"/>
          <w:sz w:val="15"/>
          <w:szCs w:val="15"/>
          <w:color w:val="auto"/>
        </w:rPr>
        <w:t>into shares of Class A common stock, (v) amendment of the terms of certain outstanding equity awards to provide that such awards</w:t>
      </w:r>
    </w:p>
    <w:p>
      <w:pPr>
        <w:ind w:left="1180"/>
        <w:spacing w:after="0" w:line="235" w:lineRule="auto"/>
        <w:rPr>
          <w:sz w:val="20"/>
          <w:szCs w:val="20"/>
          <w:color w:val="auto"/>
        </w:rPr>
      </w:pPr>
      <w:r>
        <w:rPr>
          <w:rFonts w:ascii="Arial" w:cs="Arial" w:eastAsia="Arial" w:hAnsi="Arial"/>
          <w:sz w:val="15"/>
          <w:szCs w:val="15"/>
          <w:color w:val="auto"/>
        </w:rPr>
        <w:t>are exercisable for or settle into shares of Class B common stock, and (vi) an exchange of 2,939,928 shares of Class A common</w:t>
      </w:r>
    </w:p>
    <w:p>
      <w:pPr>
        <w:ind w:left="1180"/>
        <w:spacing w:after="0" w:line="235" w:lineRule="auto"/>
        <w:rPr>
          <w:sz w:val="20"/>
          <w:szCs w:val="20"/>
          <w:color w:val="auto"/>
        </w:rPr>
      </w:pPr>
      <w:r>
        <w:rPr>
          <w:rFonts w:ascii="Arial" w:cs="Arial" w:eastAsia="Arial" w:hAnsi="Arial"/>
          <w:sz w:val="15"/>
          <w:szCs w:val="15"/>
          <w:color w:val="auto"/>
        </w:rPr>
        <w:t>stock held by our Co-Founders for an equivalent number of shares of our Class B common stock immediately after the effectiveness</w:t>
      </w:r>
    </w:p>
    <w:p>
      <w:pPr>
        <w:ind w:left="1180"/>
        <w:spacing w:after="0" w:line="235" w:lineRule="auto"/>
        <w:rPr>
          <w:sz w:val="20"/>
          <w:szCs w:val="20"/>
          <w:color w:val="auto"/>
        </w:rPr>
      </w:pPr>
      <w:r>
        <w:rPr>
          <w:rFonts w:ascii="Arial" w:cs="Arial" w:eastAsia="Arial" w:hAnsi="Arial"/>
          <w:sz w:val="15"/>
          <w:szCs w:val="15"/>
          <w:color w:val="auto"/>
        </w:rPr>
        <w:t>of the Amended Charter pursuant to the terms of certain exchange agreements, or the Class B Exchange (collectively, the</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Transactions) and excludes:</w:t>
      </w:r>
    </w:p>
    <w:p>
      <w:pPr>
        <w:spacing w:after="0" w:line="98" w:lineRule="exact"/>
        <w:rPr>
          <w:sz w:val="20"/>
          <w:szCs w:val="20"/>
          <w:color w:val="auto"/>
        </w:rPr>
      </w:pPr>
    </w:p>
    <w:p>
      <w:pPr>
        <w:ind w:left="1780" w:right="279" w:hanging="161"/>
        <w:spacing w:after="0" w:line="280" w:lineRule="auto"/>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2,061,724 shares of Class A common stock issuable upon exercise of stock options outstanding as of July 31, 2021 under our 2009 Stock Incentive Plan, as amended, or the 2009 Plan, at a weighted average exercise price of $6.96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780" w:right="279" w:hanging="161"/>
        <w:spacing w:after="0" w:line="280" w:lineRule="auto"/>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3,819,036 shares of Class A common stock issuable upon exercise of stock options outstanding as of July 31, 2021 under our 2019 Stock Incentive Plan, as amended, or the 2019 Plan, at a weighted average exercise price of $7.07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780" w:right="279" w:hanging="161"/>
        <w:spacing w:after="0" w:line="245"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1,925,231 restricted stock units, or RSUs, covering 1,925,231 shares of Class A common stock as of July 31, 2021, which are issuable upon satisfaction of service-based and liquidity-based vesting conditions;</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7" w:right="1440" w:bottom="1440" w:gutter="0" w:footer="0" w:header="0"/>
          <w:type w:val="continuous"/>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298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3905" cy="42983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179" w:hanging="161"/>
        <w:spacing w:after="0" w:line="245"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780" w:right="139" w:hanging="161"/>
        <w:spacing w:after="0"/>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to early participants of our “designer collective,” or the Designer Collective Grants, at a weighted average exercise price of $12.43 per share;</w:t>
      </w:r>
    </w:p>
    <w:p>
      <w:pPr>
        <w:spacing w:after="0" w:line="91" w:lineRule="exact"/>
        <w:rPr>
          <w:rFonts w:ascii="Arial" w:cs="Arial" w:eastAsia="Arial" w:hAnsi="Arial"/>
          <w:sz w:val="15"/>
          <w:szCs w:val="15"/>
          <w:color w:val="auto"/>
        </w:rPr>
      </w:pPr>
    </w:p>
    <w:p>
      <w:pPr>
        <w:ind w:left="1780" w:right="179" w:hanging="161"/>
        <w:spacing w:after="0" w:line="238"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 $13.63 per share and (ii) 181,224 shares of our Class A common stock issuable upon exercise of stock options that we intend to grant to certain new hires and other employees in the ordinary course at the time of this offering;</w:t>
      </w:r>
    </w:p>
    <w:p>
      <w:pPr>
        <w:spacing w:after="0" w:line="93" w:lineRule="exact"/>
        <w:rPr>
          <w:rFonts w:ascii="Arial" w:cs="Arial" w:eastAsia="Arial" w:hAnsi="Arial"/>
          <w:sz w:val="15"/>
          <w:szCs w:val="15"/>
          <w:color w:val="auto"/>
        </w:rPr>
      </w:pPr>
    </w:p>
    <w:p>
      <w:pPr>
        <w:ind w:left="1780" w:right="219" w:hanging="161"/>
        <w:spacing w:after="0"/>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780" w:right="279" w:hanging="161"/>
        <w:spacing w:after="0" w:line="236"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5,221,848 shares of common stock (including 5,154,006 shares of Class A common stock and 67,842 shares of Class B common stock solely with respect to the IPO RSU Award that will be granted to Jennifer Y. Hyman on (or within 30 days following) the effective date of this offering) reserved for future issuance under our Amended and Restated 2021 Incentive Award Plan, or the 2021 Plan (which amount includes the stock options and RSUs that we intend to grant to certain new hires and other employees in the ordinary course at the time of this offering and the 203,526 IPO RSU Awards, of which 50,883 are fully vested upon the consummation of this offering and this prospectus gives effect to as described below), which has become effective, as well as any shares that become issuable pursuant to provisions in the 2021 Plan that automatically increase the share reserve under the 2021 Plan, as described in “Executive Compensation—Equity Compensation;”</w:t>
      </w:r>
    </w:p>
    <w:p>
      <w:pPr>
        <w:spacing w:after="0" w:line="96" w:lineRule="exact"/>
        <w:rPr>
          <w:rFonts w:ascii="Arial" w:cs="Arial" w:eastAsia="Arial" w:hAnsi="Arial"/>
          <w:sz w:val="15"/>
          <w:szCs w:val="15"/>
          <w:color w:val="auto"/>
        </w:rPr>
      </w:pPr>
    </w:p>
    <w:p>
      <w:pPr>
        <w:ind w:left="1780" w:right="399" w:hanging="161"/>
        <w:spacing w:after="0" w:line="238"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has become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780" w:right="79" w:hanging="161"/>
        <w:spacing w:after="0" w:line="238" w:lineRule="auto"/>
        <w:tabs>
          <w:tab w:leader="none" w:pos="1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394,343 shares of Class A common stock issuable upon exercise of warrants we intend to issue to the Lenders in connection with the Credit Facility Amendment, with an exercise price of $21.00 per share.</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9157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3905" cy="19157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Unless we indicate otherwise or the context otherwise requires, all information in this prospectus assumes or gives effect to:</w:t>
      </w:r>
    </w:p>
    <w:p>
      <w:pPr>
        <w:spacing w:after="0" w:line="98" w:lineRule="exact"/>
        <w:rPr>
          <w:sz w:val="20"/>
          <w:szCs w:val="20"/>
          <w:color w:val="auto"/>
        </w:rPr>
      </w:pPr>
    </w:p>
    <w:p>
      <w:pPr>
        <w:ind w:left="1780" w:right="21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Transactions;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Refinancing;</w:t>
      </w:r>
    </w:p>
    <w:p>
      <w:pPr>
        <w:spacing w:after="0" w:line="97" w:lineRule="exact"/>
        <w:rPr>
          <w:rFonts w:ascii="Arial" w:cs="Arial" w:eastAsia="Arial" w:hAnsi="Arial"/>
          <w:sz w:val="15"/>
          <w:szCs w:val="15"/>
          <w:color w:val="auto"/>
        </w:rPr>
      </w:pPr>
    </w:p>
    <w:p>
      <w:pPr>
        <w:ind w:left="1780" w:right="139" w:hanging="161"/>
        <w:spacing w:after="0" w:line="238"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no exercise of the outstanding options or settlement of outstanding RSUs described above after July 31, 2021, other than (i) 29,700 shares of our Class B common stock issued in connection with the exercise of stock options after July 31, 2021, (ii) 33,922 shares of our Class A common stock issued in connection with the settlement of RSUs vested upon the offering and (iii) 16,961 shares of our Class B common stock issued in connection with the settlement of RSUs vested upon the offering;</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up to 2,550,000 additional shares of Class A common stock from us; and</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 initial public offering price of $21.00 per share of Class A common stock.</w:t>
      </w: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70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3905" cy="4770755"/>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89" w:lineRule="exact"/>
        <w:rPr>
          <w:sz w:val="20"/>
          <w:szCs w:val="20"/>
          <w:color w:val="auto"/>
        </w:rPr>
      </w:pPr>
    </w:p>
    <w:p>
      <w:pPr>
        <w:ind w:left="1180" w:right="220" w:firstLine="444"/>
        <w:spacing w:after="0" w:line="241" w:lineRule="auto"/>
        <w:rPr>
          <w:sz w:val="20"/>
          <w:szCs w:val="20"/>
          <w:color w:val="auto"/>
        </w:rPr>
      </w:pPr>
      <w:r>
        <w:rPr>
          <w:rFonts w:ascii="Arial" w:cs="Arial" w:eastAsia="Arial" w:hAnsi="Arial"/>
          <w:sz w:val="15"/>
          <w:szCs w:val="15"/>
          <w:i w:val="1"/>
          <w:iCs w:val="1"/>
          <w:color w:val="auto"/>
        </w:rPr>
        <w:t>The summary consolidated statements of operations data for the years ended January 31, 2020 and 2021 have been derived from our audited consolidated financial statements included elsewhere in this prospectus. The summary consolidated statements of operations data for the six months ended July 31, 2020 and 2021, and the summary consolidated balance sheet data as of July 31, 2021 have been derived from our unaudited consolidated financial statements included elsewhere in this prospectus. Our historical results are not necessarily indicative of our results in any future period and our results for the six months ended July 31, 2021 are not necessarily indicative of the results that may be expected for the year ending January 31, 2022 or any other future year or period.</w:t>
      </w:r>
    </w:p>
    <w:p>
      <w:pPr>
        <w:spacing w:after="0" w:line="155" w:lineRule="exact"/>
        <w:rPr>
          <w:sz w:val="20"/>
          <w:szCs w:val="20"/>
          <w:color w:val="auto"/>
        </w:rPr>
      </w:pPr>
    </w:p>
    <w:p>
      <w:pPr>
        <w:ind w:left="1180" w:right="220" w:firstLine="444"/>
        <w:spacing w:after="0" w:line="251" w:lineRule="auto"/>
        <w:rPr>
          <w:sz w:val="20"/>
          <w:szCs w:val="20"/>
          <w:color w:val="auto"/>
        </w:rPr>
      </w:pPr>
      <w:r>
        <w:rPr>
          <w:rFonts w:ascii="Arial" w:cs="Arial" w:eastAsia="Arial" w:hAnsi="Arial"/>
          <w:sz w:val="15"/>
          <w:szCs w:val="15"/>
          <w:i w:val="1"/>
          <w:iCs w:val="1"/>
          <w:color w:val="auto"/>
        </w:rPr>
        <w:t>You should read the following summary of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7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7"/>
          </w:tcPr>
          <w:p>
            <w:pPr>
              <w:ind w:left="50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July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6"/>
        </w:trPr>
        <w:tc>
          <w:tcPr>
            <w:tcW w:w="1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7"/>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1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40" w:type="dxa"/>
            <w:vAlign w:val="bottom"/>
            <w:gridSpan w:val="8"/>
          </w:tcPr>
          <w:p>
            <w:pPr>
              <w:jc w:val="right"/>
              <w:ind w:right="260"/>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Statements of Operations Data:</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235.4</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135.9</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76.3</w:t>
            </w:r>
          </w:p>
        </w:tc>
        <w:tc>
          <w:tcPr>
            <w:tcW w:w="5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157.5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32.8</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37.7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18.6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98.9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77.2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42.0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56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share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85.2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89.0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47.0</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386.9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288.0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157.2</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132.0</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(130.5)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(24.0)</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(46.6)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(29.4)</w:t>
            </w: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6.0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(3.6)</w:t>
            </w:r>
          </w:p>
        </w:tc>
        <w:tc>
          <w:tcPr>
            <w:tcW w:w="16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160" w:type="dxa"/>
            <w:vAlign w:val="bottom"/>
          </w:tcPr>
          <w:p>
            <w:pPr>
              <w:spacing w:after="0"/>
              <w:rPr>
                <w:sz w:val="14"/>
                <w:szCs w:val="14"/>
                <w:color w:val="auto"/>
              </w:rPr>
            </w:pPr>
          </w:p>
        </w:tc>
        <w:tc>
          <w:tcPr>
            <w:tcW w:w="3560" w:type="dxa"/>
            <w:vAlign w:val="bottom"/>
            <w:shd w:val="clear" w:color="auto" w:fill="CCEEFF"/>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rPr>
              <w:t>(154.1)</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5"/>
                <w:szCs w:val="15"/>
                <w:color w:val="auto"/>
              </w:rPr>
              <w:t>(171.1)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(88.0)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(84.8)</w:t>
            </w: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160" w:type="dxa"/>
            <w:vAlign w:val="bottom"/>
          </w:tcPr>
          <w:p>
            <w:pPr>
              <w:spacing w:after="0"/>
              <w:rPr>
                <w:sz w:val="14"/>
                <w:szCs w:val="14"/>
                <w:color w:val="auto"/>
              </w:rPr>
            </w:pPr>
          </w:p>
        </w:tc>
        <w:tc>
          <w:tcPr>
            <w:tcW w:w="356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3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(153.9)</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(171.1)</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(88.0)</w:t>
            </w: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160" w:type="dxa"/>
            <w:vAlign w:val="bottom"/>
          </w:tcPr>
          <w:p>
            <w:pPr>
              <w:spacing w:after="0"/>
              <w:rPr>
                <w:sz w:val="14"/>
                <w:szCs w:val="14"/>
                <w:color w:val="auto"/>
              </w:rPr>
            </w:pPr>
          </w:p>
        </w:tc>
      </w:tr>
      <w:tr>
        <w:trPr>
          <w:trHeight w:val="169"/>
        </w:trPr>
        <w:tc>
          <w:tcPr>
            <w:tcW w:w="372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4"/>
        </w:trPr>
        <w:tc>
          <w:tcPr>
            <w:tcW w:w="16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(14.04)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(15.36)</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(7.91)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(7.44)</w:t>
            </w:r>
          </w:p>
        </w:tc>
        <w:tc>
          <w:tcPr>
            <w:tcW w:w="160" w:type="dxa"/>
            <w:vAlign w:val="bottom"/>
          </w:tcPr>
          <w:p>
            <w:pPr>
              <w:spacing w:after="0"/>
              <w:rPr>
                <w:sz w:val="15"/>
                <w:szCs w:val="15"/>
                <w:color w:val="auto"/>
              </w:rPr>
            </w:pPr>
          </w:p>
        </w:tc>
      </w:tr>
      <w:tr>
        <w:trPr>
          <w:trHeight w:val="168"/>
        </w:trPr>
        <w:tc>
          <w:tcPr>
            <w:tcW w:w="160" w:type="dxa"/>
            <w:vAlign w:val="bottom"/>
          </w:tcPr>
          <w:p>
            <w:pPr>
              <w:spacing w:after="0"/>
              <w:rPr>
                <w:sz w:val="14"/>
                <w:szCs w:val="14"/>
                <w:color w:val="auto"/>
              </w:rPr>
            </w:pPr>
          </w:p>
        </w:tc>
        <w:tc>
          <w:tcPr>
            <w:tcW w:w="35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Weighted-average shares used in computing net</w:t>
            </w: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160" w:type="dxa"/>
            <w:vAlign w:val="bottom"/>
          </w:tcPr>
          <w:p>
            <w:pPr>
              <w:spacing w:after="0"/>
              <w:rPr>
                <w:sz w:val="14"/>
                <w:szCs w:val="14"/>
                <w:color w:val="auto"/>
              </w:rPr>
            </w:pPr>
          </w:p>
        </w:tc>
        <w:tc>
          <w:tcPr>
            <w:tcW w:w="3560" w:type="dxa"/>
            <w:vAlign w:val="bottom"/>
            <w:shd w:val="clear" w:color="auto" w:fill="CCEEFF"/>
          </w:tcPr>
          <w:p>
            <w:pPr>
              <w:ind w:left="160"/>
              <w:spacing w:after="0" w:line="167" w:lineRule="exact"/>
              <w:rPr>
                <w:sz w:val="20"/>
                <w:szCs w:val="20"/>
                <w:color w:val="auto"/>
              </w:rPr>
            </w:pPr>
            <w:r>
              <w:rPr>
                <w:rFonts w:ascii="Arial" w:cs="Arial" w:eastAsia="Arial" w:hAnsi="Arial"/>
                <w:sz w:val="15"/>
                <w:szCs w:val="15"/>
                <w:color w:val="auto"/>
              </w:rPr>
              <w:t>loss per share attributable to common</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10,964,634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11,138,851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11,124,993</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11,375,889</w:t>
            </w:r>
          </w:p>
        </w:tc>
        <w:tc>
          <w:tcPr>
            <w:tcW w:w="10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r>
      <w:tr>
        <w:trPr>
          <w:trHeight w:val="133"/>
        </w:trPr>
        <w:tc>
          <w:tcPr>
            <w:tcW w:w="1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299"/>
        </w:trPr>
        <w:tc>
          <w:tcPr>
            <w:tcW w:w="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20"/>
          </w:cols>
          <w:pgMar w:left="320" w:top="407" w:right="13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34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3905" cy="4834890"/>
                    </a:xfrm>
                    <a:prstGeom prst="rect">
                      <a:avLst/>
                    </a:prstGeom>
                    <a:noFill/>
                  </pic:spPr>
                </pic:pic>
              </a:graphicData>
            </a:graphic>
          </wp:anchor>
        </w:drawing>
      </w:r>
    </w:p>
    <w:p>
      <w:pPr>
        <w:spacing w:after="0" w:line="39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4"/>
          </w:tcPr>
          <w:p>
            <w:pPr>
              <w:jc w:val="right"/>
              <w:ind w:right="1280"/>
              <w:spacing w:after="0"/>
              <w:rPr>
                <w:sz w:val="20"/>
                <w:szCs w:val="20"/>
                <w:color w:val="auto"/>
              </w:rPr>
            </w:pPr>
            <w:r>
              <w:rPr>
                <w:rFonts w:ascii="Arial" w:cs="Arial" w:eastAsia="Arial" w:hAnsi="Arial"/>
                <w:sz w:val="12"/>
                <w:szCs w:val="12"/>
                <w:b w:val="1"/>
                <w:bCs w:val="1"/>
                <w:color w:val="auto"/>
              </w:rPr>
              <w:t>Year Ended</w:t>
            </w:r>
          </w:p>
        </w:tc>
        <w:tc>
          <w:tcPr>
            <w:tcW w:w="1840" w:type="dxa"/>
            <w:vAlign w:val="bottom"/>
            <w:gridSpan w:val="4"/>
          </w:tcPr>
          <w:p>
            <w:pPr>
              <w:jc w:val="right"/>
              <w:ind w:right="46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4"/>
          </w:tcPr>
          <w:p>
            <w:pPr>
              <w:jc w:val="right"/>
              <w:ind w:right="1260"/>
              <w:spacing w:after="0"/>
              <w:rPr>
                <w:sz w:val="20"/>
                <w:szCs w:val="20"/>
                <w:color w:val="auto"/>
              </w:rPr>
            </w:pPr>
            <w:r>
              <w:rPr>
                <w:rFonts w:ascii="Arial" w:cs="Arial" w:eastAsia="Arial" w:hAnsi="Arial"/>
                <w:sz w:val="12"/>
                <w:szCs w:val="12"/>
                <w:b w:val="1"/>
                <w:bCs w:val="1"/>
                <w:color w:val="auto"/>
              </w:rPr>
              <w:t>January 31,</w:t>
            </w:r>
          </w:p>
        </w:tc>
        <w:tc>
          <w:tcPr>
            <w:tcW w:w="1840" w:type="dxa"/>
            <w:vAlign w:val="bottom"/>
            <w:gridSpan w:val="4"/>
          </w:tcPr>
          <w:p>
            <w:pPr>
              <w:jc w:val="right"/>
              <w:ind w:right="76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456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80"/>
              <w:spacing w:after="0" w:line="126" w:lineRule="exact"/>
              <w:rPr>
                <w:sz w:val="20"/>
                <w:szCs w:val="20"/>
                <w:color w:val="auto"/>
              </w:rPr>
            </w:pPr>
            <w:r>
              <w:rPr>
                <w:rFonts w:ascii="Arial" w:cs="Arial" w:eastAsia="Arial" w:hAnsi="Arial"/>
                <w:sz w:val="12"/>
                <w:szCs w:val="12"/>
                <w:b w:val="1"/>
                <w:bCs w:val="1"/>
                <w:color w:val="auto"/>
                <w:w w:val="97"/>
              </w:rPr>
              <w:t>2020</w:t>
            </w:r>
          </w:p>
        </w:tc>
        <w:tc>
          <w:tcPr>
            <w:tcW w:w="4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30"/>
              <w:spacing w:after="0" w:line="126" w:lineRule="exact"/>
              <w:rPr>
                <w:sz w:val="20"/>
                <w:szCs w:val="20"/>
                <w:color w:val="auto"/>
              </w:rPr>
            </w:pPr>
            <w:r>
              <w:rPr>
                <w:rFonts w:ascii="Arial" w:cs="Arial" w:eastAsia="Arial" w:hAnsi="Arial"/>
                <w:sz w:val="12"/>
                <w:szCs w:val="12"/>
                <w:b w:val="1"/>
                <w:bCs w:val="1"/>
                <w:color w:val="auto"/>
              </w:rPr>
              <w:t>2021</w:t>
            </w:r>
          </w:p>
        </w:tc>
        <w:tc>
          <w:tcPr>
            <w:tcW w:w="720" w:type="dxa"/>
            <w:vAlign w:val="bottom"/>
            <w:tcBorders>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576"/>
              <w:spacing w:after="0" w:line="126" w:lineRule="exact"/>
              <w:rPr>
                <w:sz w:val="20"/>
                <w:szCs w:val="20"/>
                <w:color w:val="auto"/>
              </w:rPr>
            </w:pPr>
            <w:r>
              <w:rPr>
                <w:rFonts w:ascii="Arial" w:cs="Arial" w:eastAsia="Arial" w:hAnsi="Arial"/>
                <w:sz w:val="12"/>
                <w:szCs w:val="12"/>
                <w:b w:val="1"/>
                <w:bCs w:val="1"/>
                <w:color w:val="auto"/>
                <w:w w:val="89"/>
              </w:rPr>
              <w:t>2020</w:t>
            </w: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10"/>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40" w:type="dxa"/>
            <w:vAlign w:val="bottom"/>
            <w:gridSpan w:val="6"/>
          </w:tcPr>
          <w:p>
            <w:pPr>
              <w:jc w:val="right"/>
              <w:ind w:right="60"/>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6"/>
        </w:trPr>
        <w:tc>
          <w:tcPr>
            <w:tcW w:w="498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9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stockholders, basic and diluted (unaudited)</w:t>
            </w:r>
            <w:r>
              <w:rPr>
                <w:rFonts w:ascii="Arial" w:cs="Arial" w:eastAsia="Arial" w:hAnsi="Arial"/>
                <w:sz w:val="12"/>
                <w:szCs w:val="12"/>
                <w:color w:val="auto"/>
              </w:rPr>
              <w:t>(2)(3)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5"/>
                <w:szCs w:val="15"/>
                <w:color w:val="auto"/>
              </w:rPr>
              <w:t>(3.03)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(1.17)</w:t>
            </w:r>
          </w:p>
        </w:tc>
      </w:tr>
      <w:tr>
        <w:trPr>
          <w:trHeight w:val="171"/>
        </w:trPr>
        <w:tc>
          <w:tcPr>
            <w:tcW w:w="4980" w:type="dxa"/>
            <w:vAlign w:val="bottom"/>
            <w:gridSpan w:val="2"/>
          </w:tcPr>
          <w:p>
            <w:pPr>
              <w:spacing w:after="0" w:line="171" w:lineRule="exact"/>
              <w:rPr>
                <w:sz w:val="20"/>
                <w:szCs w:val="20"/>
                <w:color w:val="auto"/>
              </w:rPr>
            </w:pPr>
            <w:r>
              <w:rPr>
                <w:rFonts w:ascii="Arial" w:cs="Arial" w:eastAsia="Arial" w:hAnsi="Arial"/>
                <w:sz w:val="15"/>
                <w:szCs w:val="15"/>
                <w:color w:val="auto"/>
              </w:rPr>
              <w:t>Weighted-average shares used in computing pro forma net</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980" w:type="dxa"/>
            <w:vAlign w:val="bottom"/>
            <w:gridSpan w:val="2"/>
          </w:tcPr>
          <w:p>
            <w:pPr>
              <w:ind w:left="160"/>
              <w:spacing w:after="0" w:line="167" w:lineRule="exact"/>
              <w:rPr>
                <w:sz w:val="20"/>
                <w:szCs w:val="20"/>
                <w:color w:val="auto"/>
              </w:rPr>
            </w:pPr>
            <w:r>
              <w:rPr>
                <w:rFonts w:ascii="Arial" w:cs="Arial" w:eastAsia="Arial" w:hAnsi="Arial"/>
                <w:sz w:val="15"/>
                <w:szCs w:val="15"/>
                <w:color w:val="auto"/>
              </w:rPr>
              <w:t>loss per share attributable to common stockholders,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4980" w:type="dxa"/>
            <w:vAlign w:val="bottom"/>
            <w:gridSpan w:val="2"/>
          </w:tcPr>
          <w:p>
            <w:pPr>
              <w:ind w:left="160"/>
              <w:spacing w:after="0"/>
              <w:rPr>
                <w:sz w:val="20"/>
                <w:szCs w:val="20"/>
                <w:color w:val="auto"/>
              </w:rPr>
            </w:pPr>
            <w:r>
              <w:rPr>
                <w:rFonts w:ascii="Arial" w:cs="Arial" w:eastAsia="Arial" w:hAnsi="Arial"/>
                <w:sz w:val="15"/>
                <w:szCs w:val="15"/>
                <w:color w:val="auto"/>
              </w:rPr>
              <w:t>basic and diluted (unaudited)</w:t>
            </w:r>
            <w:r>
              <w:rPr>
                <w:rFonts w:ascii="Arial" w:cs="Arial" w:eastAsia="Arial" w:hAnsi="Arial"/>
                <w:sz w:val="12"/>
                <w:szCs w:val="12"/>
                <w:color w:val="auto"/>
              </w:rPr>
              <w:t>(3)</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62,456,919</w:t>
            </w: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62,693,957</w:t>
            </w:r>
          </w:p>
        </w:tc>
        <w:tc>
          <w:tcPr>
            <w:tcW w:w="100" w:type="dxa"/>
            <w:vAlign w:val="bottom"/>
          </w:tcPr>
          <w:p>
            <w:pPr>
              <w:spacing w:after="0"/>
              <w:rPr>
                <w:sz w:val="14"/>
                <w:szCs w:val="14"/>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1520" w:right="79" w:hanging="341"/>
        <w:spacing w:after="0" w:line="235" w:lineRule="auto"/>
        <w:tabs>
          <w:tab w:leader="none" w:pos="15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Unaudited pro forma net loss per share basic and diluted is calculated by dividing pro forma net loss by pro forma weighted-average common shares attributable to common stockholders. For the year ended January 31, 2021 and the six months ended July 31, 2021, pro forma net loss is computed by adjusting net loss to give effect to the Transactions and the Refinancing, including: (i) the estimated impact of reduced interest expense related to the Refinancing, inclusive of the associated impact of amortization of the related deferred financing costs, of $3.1 million for the year ended January 31, 2021 and $7.7 million for the six months ended July 31, 2021; (ii) the loss on debt extinguishment charge of $12.3 million for the year ended January 31, 2021 resulting from the Refinancing; (iii) reversal of the gain on the remeasurement of the warrant liability of $0.4 million for the year ended January 31, 2021 and the loss of $7.9 million for the six months ended July 31, 2021; and (iv) stock-based compensation expense of $7.6 million for the year ended January 31, 2021 and $4.3 million for the six months ended</w:t>
      </w:r>
    </w:p>
    <w:p>
      <w:pPr>
        <w:ind w:left="1520"/>
        <w:spacing w:after="0" w:line="235" w:lineRule="auto"/>
        <w:rPr>
          <w:rFonts w:ascii="Arial" w:cs="Arial" w:eastAsia="Arial" w:hAnsi="Arial"/>
          <w:sz w:val="12"/>
          <w:szCs w:val="12"/>
          <w:color w:val="auto"/>
        </w:rPr>
      </w:pPr>
      <w:r>
        <w:rPr>
          <w:rFonts w:ascii="Arial" w:cs="Arial" w:eastAsia="Arial" w:hAnsi="Arial"/>
          <w:sz w:val="12"/>
          <w:szCs w:val="12"/>
          <w:color w:val="auto"/>
        </w:rPr>
        <w:t>July 31, 2021 for awards and commitments that vest upon IPO. The stock-based compensation expense for the year ended January 31, 2021 also includes</w:t>
      </w:r>
    </w:p>
    <w:p>
      <w:pPr>
        <w:ind w:left="1520" w:right="119"/>
        <w:spacing w:after="0" w:line="241" w:lineRule="auto"/>
        <w:rPr>
          <w:rFonts w:ascii="Arial" w:cs="Arial" w:eastAsia="Arial" w:hAnsi="Arial"/>
          <w:sz w:val="12"/>
          <w:szCs w:val="12"/>
          <w:color w:val="auto"/>
        </w:rPr>
      </w:pPr>
      <w:r>
        <w:rPr>
          <w:rFonts w:ascii="Arial" w:cs="Arial" w:eastAsia="Arial" w:hAnsi="Arial"/>
          <w:sz w:val="12"/>
          <w:szCs w:val="12"/>
          <w:color w:val="auto"/>
        </w:rPr>
        <w:t>$1.1 million that would be recognized upon the consummation of this offering in connection with the 50,883 fully vested portion of 203,526 IPO RSU Awards that will be granted upon the consummation of this offering. See “Executive Compensation—Elements of Our Executive Compensation Program—Equity Compensation—IPO RSU Awards.” These adjustment are based on an initial public offering price of $21.00 per share.</w:t>
      </w:r>
    </w:p>
    <w:p>
      <w:pPr>
        <w:spacing w:after="0" w:line="91" w:lineRule="exact"/>
        <w:rPr>
          <w:rFonts w:ascii="Arial" w:cs="Arial" w:eastAsia="Arial" w:hAnsi="Arial"/>
          <w:sz w:val="12"/>
          <w:szCs w:val="12"/>
          <w:color w:val="auto"/>
        </w:rPr>
      </w:pPr>
    </w:p>
    <w:p>
      <w:pPr>
        <w:ind w:left="1520" w:right="379"/>
        <w:spacing w:after="0" w:line="246" w:lineRule="auto"/>
        <w:rPr>
          <w:rFonts w:ascii="Arial" w:cs="Arial" w:eastAsia="Arial" w:hAnsi="Arial"/>
          <w:sz w:val="12"/>
          <w:szCs w:val="12"/>
          <w:color w:val="auto"/>
        </w:rPr>
      </w:pPr>
      <w:r>
        <w:rPr>
          <w:rFonts w:ascii="Arial" w:cs="Arial" w:eastAsia="Arial" w:hAnsi="Arial"/>
          <w:sz w:val="12"/>
          <w:szCs w:val="12"/>
          <w:color w:val="auto"/>
        </w:rPr>
        <w:t>The table below provides a summary of pro forma net loss used in the calculation of unaudited pro forma net loss per share basic and diluted attributable to common stockholders for the periods presented:</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Six Months</w:t>
            </w:r>
          </w:p>
        </w:tc>
      </w:tr>
      <w:tr>
        <w:trPr>
          <w:trHeight w:val="135"/>
        </w:trPr>
        <w:tc>
          <w:tcPr>
            <w:tcW w:w="6160" w:type="dxa"/>
            <w:vAlign w:val="bottom"/>
          </w:tcPr>
          <w:p>
            <w:pPr>
              <w:spacing w:after="0"/>
              <w:rPr>
                <w:sz w:val="11"/>
                <w:szCs w:val="11"/>
                <w:color w:val="auto"/>
              </w:rPr>
            </w:pPr>
          </w:p>
        </w:tc>
        <w:tc>
          <w:tcPr>
            <w:tcW w:w="12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1"/>
                <w:szCs w:val="11"/>
                <w:color w:val="auto"/>
              </w:rPr>
            </w:pPr>
          </w:p>
        </w:tc>
        <w:tc>
          <w:tcPr>
            <w:tcW w:w="6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45"/>
        </w:trPr>
        <w:tc>
          <w:tcPr>
            <w:tcW w:w="6160" w:type="dxa"/>
            <w:vAlign w:val="bottom"/>
          </w:tcPr>
          <w:p>
            <w:pPr>
              <w:spacing w:after="0"/>
              <w:rPr>
                <w:sz w:val="12"/>
                <w:szCs w:val="12"/>
                <w:color w:val="auto"/>
              </w:rPr>
            </w:pP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61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34"/>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ind w:right="15"/>
              <w:spacing w:after="0" w:line="126" w:lineRule="exact"/>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0"/>
                <w:szCs w:val="10"/>
                <w:color w:val="auto"/>
              </w:rPr>
            </w:pPr>
          </w:p>
        </w:tc>
      </w:tr>
      <w:tr>
        <w:trPr>
          <w:trHeight w:val="126"/>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ind w:left="480"/>
              <w:spacing w:after="0" w:line="126" w:lineRule="exact"/>
              <w:rPr>
                <w:sz w:val="20"/>
                <w:szCs w:val="20"/>
                <w:color w:val="auto"/>
              </w:rPr>
            </w:pPr>
            <w:r>
              <w:rPr>
                <w:rFonts w:ascii="Arial" w:cs="Arial" w:eastAsia="Arial" w:hAnsi="Arial"/>
                <w:sz w:val="12"/>
                <w:szCs w:val="12"/>
                <w:b w:val="1"/>
                <w:bCs w:val="1"/>
                <w:color w:val="auto"/>
              </w:rPr>
              <w:t>(in millions)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6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(171.1)</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158"/>
        </w:trPr>
        <w:tc>
          <w:tcPr>
            <w:tcW w:w="6160" w:type="dxa"/>
            <w:vAlign w:val="bottom"/>
          </w:tcPr>
          <w:p>
            <w:pPr>
              <w:ind w:left="260"/>
              <w:spacing w:after="0" w:line="158" w:lineRule="exact"/>
              <w:rPr>
                <w:sz w:val="20"/>
                <w:szCs w:val="20"/>
                <w:color w:val="auto"/>
              </w:rPr>
            </w:pPr>
            <w:r>
              <w:rPr>
                <w:rFonts w:ascii="Arial" w:cs="Arial" w:eastAsia="Arial" w:hAnsi="Arial"/>
                <w:sz w:val="14"/>
                <w:szCs w:val="14"/>
                <w:color w:val="auto"/>
              </w:rPr>
              <w:t>Adjustment for reduced interest expenses(a)</w:t>
            </w:r>
          </w:p>
        </w:tc>
        <w:tc>
          <w:tcPr>
            <w:tcW w:w="1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3.1</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7.7</w:t>
            </w:r>
          </w:p>
        </w:tc>
      </w:tr>
      <w:tr>
        <w:trPr>
          <w:trHeight w:val="158"/>
        </w:trPr>
        <w:tc>
          <w:tcPr>
            <w:tcW w:w="616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Loss on debt extinguishment charge(b)</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6160" w:type="dxa"/>
            <w:vAlign w:val="bottom"/>
          </w:tcPr>
          <w:p>
            <w:pPr>
              <w:ind w:left="260"/>
              <w:spacing w:after="0" w:line="158" w:lineRule="exact"/>
              <w:rPr>
                <w:sz w:val="20"/>
                <w:szCs w:val="20"/>
                <w:color w:val="auto"/>
              </w:rPr>
            </w:pPr>
            <w:r>
              <w:rPr>
                <w:rFonts w:ascii="Arial" w:cs="Arial" w:eastAsia="Arial" w:hAnsi="Arial"/>
                <w:sz w:val="14"/>
                <w:szCs w:val="14"/>
                <w:color w:val="auto"/>
              </w:rPr>
              <w:t>Reversal of (gain) / loss on the remeasurement of the liability-classified warrant(c)</w:t>
            </w:r>
          </w:p>
        </w:tc>
        <w:tc>
          <w:tcPr>
            <w:tcW w:w="1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7.9</w:t>
            </w:r>
          </w:p>
        </w:tc>
      </w:tr>
      <w:tr>
        <w:trPr>
          <w:trHeight w:val="158"/>
        </w:trPr>
        <w:tc>
          <w:tcPr>
            <w:tcW w:w="6160" w:type="dxa"/>
            <w:vAlign w:val="bottom"/>
            <w:shd w:val="clear" w:color="auto" w:fill="CCEEFF"/>
          </w:tcPr>
          <w:p>
            <w:pPr>
              <w:ind w:left="260"/>
              <w:spacing w:after="0" w:line="158" w:lineRule="exact"/>
              <w:rPr>
                <w:sz w:val="20"/>
                <w:szCs w:val="20"/>
                <w:color w:val="auto"/>
              </w:rPr>
            </w:pPr>
            <w:r>
              <w:rPr>
                <w:rFonts w:ascii="Arial" w:cs="Arial" w:eastAsia="Arial" w:hAnsi="Arial"/>
                <w:sz w:val="14"/>
                <w:szCs w:val="14"/>
                <w:color w:val="auto"/>
              </w:rPr>
              <w:t>Stock-based compensation expense(d)</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60"/>
              <w:spacing w:after="0" w:line="158"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w:t>
            </w:r>
          </w:p>
        </w:tc>
      </w:tr>
      <w:tr>
        <w:trPr>
          <w:trHeight w:val="164"/>
        </w:trPr>
        <w:tc>
          <w:tcPr>
            <w:tcW w:w="6160" w:type="dxa"/>
            <w:vAlign w:val="bottom"/>
          </w:tcPr>
          <w:p>
            <w:pPr>
              <w:spacing w:after="0"/>
              <w:rPr>
                <w:sz w:val="20"/>
                <w:szCs w:val="20"/>
                <w:color w:val="auto"/>
              </w:rPr>
            </w:pPr>
            <w:r>
              <w:rPr>
                <w:rFonts w:ascii="Arial" w:cs="Arial" w:eastAsia="Arial" w:hAnsi="Arial"/>
                <w:sz w:val="14"/>
                <w:szCs w:val="14"/>
                <w:color w:val="auto"/>
              </w:rPr>
              <w:t>Pro forma net loss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(189.4)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(73.4)</w:t>
            </w:r>
          </w:p>
        </w:tc>
      </w:tr>
    </w:tbl>
    <w:p>
      <w:pPr>
        <w:spacing w:after="0" w:line="246" w:lineRule="exact"/>
        <w:rPr>
          <w:sz w:val="20"/>
          <w:szCs w:val="20"/>
          <w:color w:val="auto"/>
        </w:rPr>
      </w:pPr>
    </w:p>
    <w:p>
      <w:pPr>
        <w:ind w:left="1780" w:right="419" w:hanging="252"/>
        <w:spacing w:after="0" w:line="235" w:lineRule="auto"/>
        <w:tabs>
          <w:tab w:leader="none" w:pos="17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the estimated impact of reduced interest expense relating to the Refinancing, inclusive of the associated impact of amortization of the related deferred financing costs.</w:t>
      </w:r>
    </w:p>
    <w:p>
      <w:pPr>
        <w:ind w:left="1780" w:hanging="252"/>
        <w:spacing w:after="0" w:line="235" w:lineRule="auto"/>
        <w:tabs>
          <w:tab w:leader="none" w:pos="17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the loss on debt extinguishment charge for the year ended January 31, 2021 that we expect to incur in connection with the Refinancing.</w:t>
      </w:r>
    </w:p>
    <w:p>
      <w:pPr>
        <w:ind w:left="1780" w:right="179" w:hanging="252"/>
        <w:spacing w:after="0" w:line="235" w:lineRule="auto"/>
        <w:tabs>
          <w:tab w:leader="none" w:pos="17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the reversal of the (gain) loss on the remeasurement of the liability-classified warrants, which will be automatically exercised on completion of this offering.</w:t>
      </w:r>
    </w:p>
    <w:p>
      <w:pPr>
        <w:ind w:left="1780" w:right="139" w:hanging="252"/>
        <w:spacing w:after="0" w:line="237" w:lineRule="auto"/>
        <w:tabs>
          <w:tab w:leader="none" w:pos="17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recognition of stock-based compensation expense equal to the total unrecorded expense relating to RSUs with both service and performance-based vesting criteria for which the time-based service vesting condition had been satisfied as of January 31, 2021 and July 31, 2021. The stock-based compensation expense for the year ended January 31, 2021 also includes the expense that would be recognized upon the consummation of this offering in connection with the 50,883 fully vested portion of 203,526 RSUs IPO RSU Awards (as defined in “Executive Compensation”) that will be granted upon consummation of this offering. See “Executive Compensation—Elements of Our Executive Compensation Program—Equity Compensation—IPO RSU Awards.”</w:t>
      </w: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207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3905" cy="52070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20" w:right="179" w:hanging="341"/>
        <w:spacing w:after="0" w:line="237" w:lineRule="auto"/>
        <w:tabs>
          <w:tab w:leader="none" w:pos="1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Unaudited pro forma weighted-average common shares outstanding for the year ended January 31, 2021 and the six months ended July 31, 2021 is computed by giving effect to the Transactions, which includes: (i) issuance of 17,000,000 shares of common stock related to this offering; (ii) conversion of all outstanding shares of our preferred stock into an aggregate of 32,575,462 shares of common stock which will occur immediately prior to the completion of this offering; (iii) the exercise of liability-classified warrants to purchase 1,692,529 shares of Class A common stock that will automatically be exercised and convert into an aggregate of 1,691,723 shares of Class A common stock upon completion of this offering; and (iv) 50,883 RSUs that will be fully vested upon completion of this offering upon satisfaction of performance-based vesting conditions.</w:t>
      </w:r>
    </w:p>
    <w:p>
      <w:pPr>
        <w:spacing w:after="0" w:line="174" w:lineRule="exact"/>
        <w:rPr>
          <w:sz w:val="20"/>
          <w:szCs w:val="20"/>
          <w:color w:val="auto"/>
        </w:rPr>
      </w:pPr>
    </w:p>
    <w:p>
      <w:pPr>
        <w:ind w:left="1180" w:right="679"/>
        <w:spacing w:after="0" w:line="246" w:lineRule="auto"/>
        <w:rPr>
          <w:sz w:val="20"/>
          <w:szCs w:val="20"/>
          <w:color w:val="auto"/>
        </w:rPr>
      </w:pPr>
      <w:r>
        <w:rPr>
          <w:rFonts w:ascii="Arial" w:cs="Arial" w:eastAsia="Arial" w:hAnsi="Arial"/>
          <w:sz w:val="12"/>
          <w:szCs w:val="12"/>
          <w:color w:val="auto"/>
        </w:rPr>
        <w:t>The table below provides a summary of the unaudited weighted-average shares used in computing unaudited pro forma net loss per share basic and diluted attributable to common stockholders for the periods presented:</w:t>
      </w:r>
    </w:p>
    <w:p>
      <w:pPr>
        <w:spacing w:after="0" w:line="174"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7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Six Months</w:t>
            </w:r>
          </w:p>
        </w:tc>
      </w:tr>
      <w:tr>
        <w:trPr>
          <w:trHeight w:val="135"/>
        </w:trPr>
        <w:tc>
          <w:tcPr>
            <w:tcW w:w="7000" w:type="dxa"/>
            <w:vAlign w:val="bottom"/>
          </w:tcPr>
          <w:p>
            <w:pPr>
              <w:spacing w:after="0"/>
              <w:rPr>
                <w:sz w:val="11"/>
                <w:szCs w:val="11"/>
                <w:color w:val="auto"/>
              </w:rPr>
            </w:pPr>
          </w:p>
        </w:tc>
        <w:tc>
          <w:tcPr>
            <w:tcW w:w="9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9"/>
              </w:rPr>
              <w:t>Year Ended</w:t>
            </w:r>
          </w:p>
        </w:tc>
        <w:tc>
          <w:tcPr>
            <w:tcW w:w="900" w:type="dxa"/>
            <w:vAlign w:val="bottom"/>
            <w:gridSpan w:val="2"/>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45"/>
        </w:trPr>
        <w:tc>
          <w:tcPr>
            <w:tcW w:w="70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January 31,</w:t>
            </w:r>
          </w:p>
        </w:tc>
        <w:tc>
          <w:tcPr>
            <w:tcW w:w="9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700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40" w:type="dxa"/>
            <w:vAlign w:val="bottom"/>
            <w:tcBorders>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49"/>
        </w:trPr>
        <w:tc>
          <w:tcPr>
            <w:tcW w:w="70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Weighted-average shares outstanding</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11,138,851</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11,375,889</w:t>
            </w:r>
          </w:p>
        </w:tc>
        <w:tc>
          <w:tcPr>
            <w:tcW w:w="60" w:type="dxa"/>
            <w:vAlign w:val="bottom"/>
            <w:shd w:val="clear" w:color="auto" w:fill="CCEEFF"/>
          </w:tcPr>
          <w:p>
            <w:pPr>
              <w:spacing w:after="0"/>
              <w:rPr>
                <w:sz w:val="12"/>
                <w:szCs w:val="12"/>
                <w:color w:val="auto"/>
              </w:rPr>
            </w:pP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Common stock sold in this offering(a)</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17,000,000</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17,000,000</w:t>
            </w:r>
          </w:p>
        </w:tc>
        <w:tc>
          <w:tcPr>
            <w:tcW w:w="6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Redeemable preferred stock(b)</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32,575,462</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32,575,462</w:t>
            </w:r>
          </w:p>
        </w:tc>
        <w:tc>
          <w:tcPr>
            <w:tcW w:w="60" w:type="dxa"/>
            <w:vAlign w:val="bottom"/>
            <w:shd w:val="clear" w:color="auto" w:fill="CCEEFF"/>
          </w:tcPr>
          <w:p>
            <w:pPr>
              <w:spacing w:after="0"/>
              <w:rPr>
                <w:sz w:val="13"/>
                <w:szCs w:val="13"/>
                <w:color w:val="auto"/>
              </w:rPr>
            </w:pPr>
          </w:p>
        </w:tc>
      </w:tr>
      <w:tr>
        <w:trPr>
          <w:trHeight w:val="158"/>
        </w:trPr>
        <w:tc>
          <w:tcPr>
            <w:tcW w:w="7000" w:type="dxa"/>
            <w:vAlign w:val="bottom"/>
          </w:tcPr>
          <w:p>
            <w:pPr>
              <w:ind w:left="280"/>
              <w:spacing w:after="0" w:line="158" w:lineRule="exact"/>
              <w:rPr>
                <w:sz w:val="20"/>
                <w:szCs w:val="20"/>
                <w:color w:val="auto"/>
              </w:rPr>
            </w:pPr>
            <w:r>
              <w:rPr>
                <w:rFonts w:ascii="Arial" w:cs="Arial" w:eastAsia="Arial" w:hAnsi="Arial"/>
                <w:sz w:val="14"/>
                <w:szCs w:val="14"/>
                <w:color w:val="auto"/>
              </w:rPr>
              <w:t>Exercise of warrants(c)</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1,691,723</w:t>
            </w:r>
          </w:p>
        </w:tc>
        <w:tc>
          <w:tcPr>
            <w:tcW w:w="140" w:type="dxa"/>
            <w:vAlign w:val="bottom"/>
          </w:tcPr>
          <w:p>
            <w:pPr>
              <w:spacing w:after="0"/>
              <w:rPr>
                <w:sz w:val="13"/>
                <w:szCs w:val="13"/>
                <w:color w:val="auto"/>
              </w:rPr>
            </w:pP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1,691,723</w:t>
            </w:r>
          </w:p>
        </w:tc>
        <w:tc>
          <w:tcPr>
            <w:tcW w:w="60" w:type="dxa"/>
            <w:vAlign w:val="bottom"/>
          </w:tcPr>
          <w:p>
            <w:pPr>
              <w:spacing w:after="0"/>
              <w:rPr>
                <w:sz w:val="13"/>
                <w:szCs w:val="13"/>
                <w:color w:val="auto"/>
              </w:rPr>
            </w:pPr>
          </w:p>
        </w:tc>
      </w:tr>
      <w:tr>
        <w:trPr>
          <w:trHeight w:val="158"/>
        </w:trPr>
        <w:tc>
          <w:tcPr>
            <w:tcW w:w="70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Vested RSUs(d)</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50,883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50,883</w:t>
            </w:r>
          </w:p>
        </w:tc>
        <w:tc>
          <w:tcPr>
            <w:tcW w:w="60" w:type="dxa"/>
            <w:vAlign w:val="bottom"/>
            <w:shd w:val="clear" w:color="auto" w:fill="CCEEFF"/>
          </w:tcPr>
          <w:p>
            <w:pPr>
              <w:spacing w:after="0"/>
              <w:rPr>
                <w:sz w:val="13"/>
                <w:szCs w:val="13"/>
                <w:color w:val="auto"/>
              </w:rPr>
            </w:pPr>
          </w:p>
        </w:tc>
      </w:tr>
      <w:tr>
        <w:trPr>
          <w:trHeight w:val="164"/>
        </w:trPr>
        <w:tc>
          <w:tcPr>
            <w:tcW w:w="7000" w:type="dxa"/>
            <w:vAlign w:val="bottom"/>
          </w:tcPr>
          <w:p>
            <w:pPr>
              <w:spacing w:after="0"/>
              <w:rPr>
                <w:sz w:val="20"/>
                <w:szCs w:val="20"/>
                <w:color w:val="auto"/>
              </w:rPr>
            </w:pPr>
            <w:r>
              <w:rPr>
                <w:rFonts w:ascii="Arial" w:cs="Arial" w:eastAsia="Arial" w:hAnsi="Arial"/>
                <w:sz w:val="14"/>
                <w:szCs w:val="14"/>
                <w:color w:val="auto"/>
              </w:rPr>
              <w:t>Pro forma weighted average</w:t>
            </w:r>
          </w:p>
        </w:tc>
        <w:tc>
          <w:tcPr>
            <w:tcW w:w="840" w:type="dxa"/>
            <w:vAlign w:val="bottom"/>
          </w:tcPr>
          <w:p>
            <w:pPr>
              <w:jc w:val="right"/>
              <w:spacing w:after="0"/>
              <w:rPr>
                <w:sz w:val="20"/>
                <w:szCs w:val="20"/>
                <w:color w:val="auto"/>
              </w:rPr>
            </w:pPr>
            <w:r>
              <w:rPr>
                <w:rFonts w:ascii="Arial" w:cs="Arial" w:eastAsia="Arial" w:hAnsi="Arial"/>
                <w:sz w:val="14"/>
                <w:szCs w:val="14"/>
                <w:color w:val="auto"/>
              </w:rPr>
              <w:t>62,456,919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62,693,957</w:t>
            </w:r>
          </w:p>
        </w:tc>
        <w:tc>
          <w:tcPr>
            <w:tcW w:w="60" w:type="dxa"/>
            <w:vAlign w:val="bottom"/>
          </w:tcPr>
          <w:p>
            <w:pPr>
              <w:spacing w:after="0"/>
              <w:rPr>
                <w:sz w:val="14"/>
                <w:szCs w:val="14"/>
                <w:color w:val="auto"/>
              </w:rPr>
            </w:pPr>
          </w:p>
        </w:tc>
      </w:tr>
    </w:tbl>
    <w:p>
      <w:pPr>
        <w:spacing w:after="0" w:line="153" w:lineRule="exact"/>
        <w:rPr>
          <w:sz w:val="20"/>
          <w:szCs w:val="20"/>
          <w:color w:val="auto"/>
        </w:rPr>
      </w:pPr>
    </w:p>
    <w:p>
      <w:pPr>
        <w:ind w:left="1520" w:hanging="341"/>
        <w:spacing w:after="0"/>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Reflects the issuance of shares of common stock related to this offering;</w:t>
      </w:r>
    </w:p>
    <w:p>
      <w:pPr>
        <w:ind w:left="1520" w:hanging="341"/>
        <w:spacing w:after="0" w:line="235" w:lineRule="auto"/>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Reflects the automatic conversion of all of our outstanding shares of redeemable preferred stock into shares of common stock upon the closing of this offering;</w:t>
      </w:r>
    </w:p>
    <w:p>
      <w:pPr>
        <w:ind w:left="1520" w:hanging="341"/>
        <w:spacing w:after="0" w:line="235" w:lineRule="auto"/>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Reflects the exercise of warrants in connection with this offering, which will result in the issuance of common stock in connection with this offering; and</w:t>
      </w:r>
    </w:p>
    <w:p>
      <w:pPr>
        <w:ind w:left="1520" w:right="279" w:hanging="341"/>
        <w:spacing w:after="0" w:line="246" w:lineRule="auto"/>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Reflects the issuance of IPO RSUs Awards that will be granted and fully vested upon completion of this offering. See “Executive Compensation—Elements of Our Executive Compensation Program—Equity Compensation—IPO RSU Awards.”</w:t>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As of July 31, 2021</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2"/>
        </w:trPr>
        <w:tc>
          <w:tcPr>
            <w:tcW w:w="4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60" w:type="dxa"/>
            <w:vAlign w:val="bottom"/>
            <w:gridSpan w:val="2"/>
          </w:tcPr>
          <w:p>
            <w:pPr>
              <w:ind w:left="60"/>
              <w:spacing w:after="0" w:line="113" w:lineRule="exact"/>
              <w:rPr>
                <w:sz w:val="20"/>
                <w:szCs w:val="20"/>
                <w:color w:val="auto"/>
              </w:rPr>
            </w:pPr>
            <w:r>
              <w:rPr>
                <w:rFonts w:ascii="Arial" w:cs="Arial" w:eastAsia="Arial" w:hAnsi="Arial"/>
                <w:sz w:val="12"/>
                <w:szCs w:val="12"/>
                <w:b w:val="1"/>
                <w:bCs w:val="1"/>
                <w:color w:val="auto"/>
                <w:w w:val="99"/>
              </w:rPr>
              <w:t>Pro Forma As</w:t>
            </w:r>
          </w:p>
        </w:tc>
        <w:tc>
          <w:tcPr>
            <w:tcW w:w="80" w:type="dxa"/>
            <w:vAlign w:val="bottom"/>
          </w:tcPr>
          <w:p>
            <w:pPr>
              <w:spacing w:after="0"/>
              <w:rPr>
                <w:sz w:val="9"/>
                <w:szCs w:val="9"/>
                <w:color w:val="auto"/>
              </w:rPr>
            </w:pPr>
          </w:p>
        </w:tc>
      </w:tr>
      <w:tr>
        <w:trPr>
          <w:trHeight w:val="149"/>
        </w:trPr>
        <w:tc>
          <w:tcPr>
            <w:tcW w:w="4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jc w:val="right"/>
              <w:ind w:right="240"/>
              <w:spacing w:after="0"/>
              <w:rPr>
                <w:sz w:val="20"/>
                <w:szCs w:val="20"/>
                <w:color w:val="auto"/>
              </w:rPr>
            </w:pPr>
            <w:r>
              <w:rPr>
                <w:rFonts w:ascii="Arial" w:cs="Arial" w:eastAsia="Arial" w:hAnsi="Arial"/>
                <w:sz w:val="12"/>
                <w:szCs w:val="12"/>
                <w:b w:val="1"/>
                <w:bCs w:val="1"/>
                <w:color w:val="auto"/>
              </w:rPr>
              <w:t>Actual</w:t>
            </w:r>
          </w:p>
        </w:tc>
        <w:tc>
          <w:tcPr>
            <w:tcW w:w="1360" w:type="dxa"/>
            <w:vAlign w:val="bottom"/>
            <w:gridSpan w:val="2"/>
          </w:tcPr>
          <w:p>
            <w:pPr>
              <w:ind w:left="220"/>
              <w:spacing w:after="0" w:line="150" w:lineRule="exact"/>
              <w:rPr>
                <w:sz w:val="20"/>
                <w:szCs w:val="20"/>
                <w:color w:val="auto"/>
              </w:rPr>
            </w:pPr>
            <w:r>
              <w:rPr>
                <w:rFonts w:ascii="Arial" w:cs="Arial" w:eastAsia="Arial" w:hAnsi="Arial"/>
                <w:sz w:val="11"/>
                <w:szCs w:val="11"/>
                <w:b w:val="1"/>
                <w:bCs w:val="1"/>
                <w:color w:val="auto"/>
              </w:rPr>
              <w:t>Pro Forma</w:t>
            </w:r>
            <w:r>
              <w:rPr>
                <w:rFonts w:ascii="Arial" w:cs="Arial" w:eastAsia="Arial" w:hAnsi="Arial"/>
                <w:sz w:val="17"/>
                <w:szCs w:val="17"/>
                <w:b w:val="1"/>
                <w:bCs w:val="1"/>
                <w:color w:val="auto"/>
                <w:vertAlign w:val="superscript"/>
              </w:rPr>
              <w:t>(1)</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50"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(2)</w:t>
            </w:r>
          </w:p>
        </w:tc>
      </w:tr>
      <w:tr>
        <w:trPr>
          <w:trHeight w:val="126"/>
        </w:trPr>
        <w:tc>
          <w:tcPr>
            <w:tcW w:w="4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13"/>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Consolidated Balance Sheet Data:</w:t>
            </w:r>
          </w:p>
        </w:tc>
        <w:tc>
          <w:tcPr>
            <w:tcW w:w="1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7" w:lineRule="exact"/>
              <w:rPr>
                <w:sz w:val="20"/>
                <w:szCs w:val="20"/>
                <w:color w:val="auto"/>
              </w:rPr>
            </w:pPr>
            <w:r>
              <w:rPr>
                <w:rFonts w:ascii="Arial" w:cs="Arial" w:eastAsia="Arial" w:hAnsi="Arial"/>
                <w:sz w:val="12"/>
                <w:szCs w:val="12"/>
                <w:color w:val="auto"/>
              </w:rPr>
              <w:t>Cash and cash equivalents</w:t>
            </w:r>
            <w:r>
              <w:rPr>
                <w:rFonts w:ascii="Arial" w:cs="Arial" w:eastAsia="Arial" w:hAnsi="Arial"/>
                <w:sz w:val="18"/>
                <w:szCs w:val="18"/>
                <w:color w:val="auto"/>
                <w:vertAlign w:val="superscript"/>
              </w:rPr>
              <w:t>(3)</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$ 104.0</w:t>
            </w:r>
          </w:p>
        </w:tc>
        <w:tc>
          <w:tcPr>
            <w:tcW w:w="360" w:type="dxa"/>
            <w:vAlign w:val="bottom"/>
          </w:tcPr>
          <w:p>
            <w:pPr>
              <w:ind w:left="220"/>
              <w:spacing w:after="0" w:line="15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104.0</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317.3</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Working capital</w:t>
            </w:r>
            <w:r>
              <w:rPr>
                <w:rFonts w:ascii="Arial" w:cs="Arial" w:eastAsia="Arial" w:hAnsi="Arial"/>
                <w:sz w:val="18"/>
                <w:szCs w:val="18"/>
                <w:color w:val="auto"/>
                <w:vertAlign w:val="superscript"/>
              </w:rPr>
              <w:t>(4)</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276.6</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Total assets</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302.9</w:t>
            </w:r>
          </w:p>
        </w:tc>
        <w:tc>
          <w:tcPr>
            <w:tcW w:w="360" w:type="dxa"/>
            <w:vAlign w:val="bottom"/>
          </w:tcPr>
          <w:p>
            <w:pPr>
              <w:spacing w:after="0"/>
              <w:rPr>
                <w:sz w:val="13"/>
                <w:szCs w:val="13"/>
                <w:color w:val="auto"/>
              </w:rPr>
            </w:pP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302.9</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515.1</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 liabilities</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19.3</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Long-term debt, net</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381.8</w:t>
            </w:r>
          </w:p>
        </w:tc>
        <w:tc>
          <w:tcPr>
            <w:tcW w:w="360" w:type="dxa"/>
            <w:vAlign w:val="bottom"/>
          </w:tcPr>
          <w:p>
            <w:pPr>
              <w:spacing w:after="0"/>
              <w:rPr>
                <w:sz w:val="13"/>
                <w:szCs w:val="13"/>
                <w:color w:val="auto"/>
              </w:rPr>
            </w:pPr>
          </w:p>
        </w:tc>
        <w:tc>
          <w:tcPr>
            <w:tcW w:w="1000" w:type="dxa"/>
            <w:vAlign w:val="bottom"/>
          </w:tcPr>
          <w:p>
            <w:pPr>
              <w:jc w:val="right"/>
              <w:ind w:right="333"/>
              <w:spacing w:after="0" w:line="158" w:lineRule="exact"/>
              <w:rPr>
                <w:sz w:val="20"/>
                <w:szCs w:val="20"/>
                <w:color w:val="auto"/>
              </w:rPr>
            </w:pPr>
            <w:r>
              <w:rPr>
                <w:rFonts w:ascii="Arial" w:cs="Arial" w:eastAsia="Arial" w:hAnsi="Arial"/>
                <w:sz w:val="14"/>
                <w:szCs w:val="14"/>
                <w:color w:val="auto"/>
              </w:rPr>
              <w:t>381.8</w:t>
            </w: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276.0</w:t>
            </w:r>
          </w:p>
        </w:tc>
        <w:tc>
          <w:tcPr>
            <w:tcW w:w="80" w:type="dxa"/>
            <w:vAlign w:val="bottom"/>
          </w:tcPr>
          <w:p>
            <w:pPr>
              <w:spacing w:after="0"/>
              <w:rPr>
                <w:sz w:val="13"/>
                <w:szCs w:val="13"/>
                <w:color w:val="auto"/>
              </w:rPr>
            </w:pP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0.7</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Redeemable preferred stock</w:t>
            </w:r>
          </w:p>
        </w:tc>
        <w:tc>
          <w:tcPr>
            <w:tcW w:w="25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409.3</w:t>
            </w:r>
          </w:p>
        </w:tc>
        <w:tc>
          <w:tcPr>
            <w:tcW w:w="360" w:type="dxa"/>
            <w:vAlign w:val="bottom"/>
          </w:tcPr>
          <w:p>
            <w:pPr>
              <w:spacing w:after="0"/>
              <w:rPr>
                <w:sz w:val="13"/>
                <w:szCs w:val="13"/>
                <w:color w:val="auto"/>
              </w:rPr>
            </w:pPr>
          </w:p>
        </w:tc>
        <w:tc>
          <w:tcPr>
            <w:tcW w:w="1000" w:type="dxa"/>
            <w:vAlign w:val="bottom"/>
          </w:tcPr>
          <w:p>
            <w:pPr>
              <w:jc w:val="right"/>
              <w:ind w:right="413"/>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Additional paid-in capital</w:t>
            </w:r>
          </w:p>
        </w:tc>
        <w:tc>
          <w:tcPr>
            <w:tcW w:w="25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33"/>
              <w:spacing w:after="0" w:line="158" w:lineRule="exact"/>
              <w:rPr>
                <w:sz w:val="20"/>
                <w:szCs w:val="20"/>
                <w:color w:val="auto"/>
              </w:rPr>
            </w:pPr>
            <w:r>
              <w:rPr>
                <w:rFonts w:ascii="Arial" w:cs="Arial" w:eastAsia="Arial" w:hAnsi="Arial"/>
                <w:sz w:val="14"/>
                <w:szCs w:val="14"/>
                <w:color w:val="auto"/>
              </w:rPr>
              <w:t>497.2</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829.7</w:t>
            </w:r>
          </w:p>
        </w:tc>
        <w:tc>
          <w:tcPr>
            <w:tcW w:w="8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line="158" w:lineRule="exact"/>
              <w:rPr>
                <w:sz w:val="20"/>
                <w:szCs w:val="20"/>
                <w:color w:val="auto"/>
              </w:rPr>
            </w:pPr>
            <w:r>
              <w:rPr>
                <w:rFonts w:ascii="Arial" w:cs="Arial" w:eastAsia="Arial" w:hAnsi="Arial"/>
                <w:sz w:val="14"/>
                <w:szCs w:val="14"/>
                <w:color w:val="auto"/>
              </w:rPr>
              <w:t>Accumulated deficit</w:t>
            </w:r>
          </w:p>
        </w:tc>
        <w:tc>
          <w:tcPr>
            <w:tcW w:w="2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(674.1)</w:t>
            </w:r>
          </w:p>
        </w:tc>
        <w:tc>
          <w:tcPr>
            <w:tcW w:w="360" w:type="dxa"/>
            <w:vAlign w:val="bottom"/>
          </w:tcPr>
          <w:p>
            <w:pPr>
              <w:spacing w:after="0"/>
              <w:rPr>
                <w:sz w:val="13"/>
                <w:szCs w:val="13"/>
                <w:color w:val="auto"/>
              </w:rPr>
            </w:pPr>
          </w:p>
        </w:tc>
        <w:tc>
          <w:tcPr>
            <w:tcW w:w="1000" w:type="dxa"/>
            <w:vAlign w:val="bottom"/>
          </w:tcPr>
          <w:p>
            <w:pPr>
              <w:jc w:val="right"/>
              <w:ind w:right="293"/>
              <w:spacing w:after="0" w:line="158" w:lineRule="exact"/>
              <w:rPr>
                <w:sz w:val="20"/>
                <w:szCs w:val="20"/>
                <w:color w:val="auto"/>
              </w:rPr>
            </w:pPr>
            <w:r>
              <w:rPr>
                <w:rFonts w:ascii="Arial" w:cs="Arial" w:eastAsia="Arial" w:hAnsi="Arial"/>
                <w:sz w:val="14"/>
                <w:szCs w:val="14"/>
                <w:color w:val="auto"/>
              </w:rPr>
              <w:t>(674.1)</w:t>
            </w:r>
          </w:p>
        </w:tc>
        <w:tc>
          <w:tcPr>
            <w:tcW w:w="140" w:type="dxa"/>
            <w:vAlign w:val="bottom"/>
          </w:tcPr>
          <w:p>
            <w:pPr>
              <w:spacing w:after="0"/>
              <w:rPr>
                <w:sz w:val="13"/>
                <w:szCs w:val="13"/>
                <w:color w:val="auto"/>
              </w:rPr>
            </w:pP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(687.4)</w:t>
            </w:r>
          </w:p>
        </w:tc>
      </w:tr>
      <w:tr>
        <w:trPr>
          <w:trHeight w:val="158"/>
        </w:trPr>
        <w:tc>
          <w:tcPr>
            <w:tcW w:w="40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stockholders’ equity (deficit)</w:t>
            </w:r>
          </w:p>
        </w:tc>
        <w:tc>
          <w:tcPr>
            <w:tcW w:w="2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(605.2)</w:t>
            </w: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93"/>
              <w:spacing w:after="0" w:line="158" w:lineRule="exact"/>
              <w:rPr>
                <w:sz w:val="20"/>
                <w:szCs w:val="20"/>
                <w:color w:val="auto"/>
              </w:rPr>
            </w:pPr>
            <w:r>
              <w:rPr>
                <w:rFonts w:ascii="Arial" w:cs="Arial" w:eastAsia="Arial" w:hAnsi="Arial"/>
                <w:sz w:val="14"/>
                <w:szCs w:val="14"/>
                <w:color w:val="auto"/>
              </w:rPr>
              <w:t>(176.9)</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142.3</w:t>
            </w:r>
          </w:p>
        </w:tc>
        <w:tc>
          <w:tcPr>
            <w:tcW w:w="80" w:type="dxa"/>
            <w:vAlign w:val="bottom"/>
            <w:shd w:val="clear" w:color="auto" w:fill="CCEEFF"/>
          </w:tcPr>
          <w:p>
            <w:pPr>
              <w:spacing w:after="0"/>
              <w:rPr>
                <w:sz w:val="13"/>
                <w:szCs w:val="13"/>
                <w:color w:val="auto"/>
              </w:rPr>
            </w:pPr>
          </w:p>
        </w:tc>
      </w:tr>
    </w:tbl>
    <w:p>
      <w:pPr>
        <w:spacing w:after="0" w:line="150" w:lineRule="exact"/>
        <w:rPr>
          <w:sz w:val="20"/>
          <w:szCs w:val="20"/>
          <w:color w:val="auto"/>
        </w:rPr>
      </w:pPr>
    </w:p>
    <w:p>
      <w:pPr>
        <w:ind w:left="1520" w:right="9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 forma column reflects (i) the Transactions and (ii) the filing and effectiveness of our Amended Charter and the adoption of our Amended Bylaws, in each case as if such event had occurred on July 31, 2021, including: (i) pro forma warrant liabilities and pro forma additional paid-in capital reflects the exercise of liability classified warrants of $19.0 million that will result in the issuance of shares of common stock upon completion of this offering; and (ii) pro forma redeemable preferred stock and pro forma additional paid-in capital reflects the conversion of all outstanding shares of our preferred stock into shares of common stock which will occur immediately prior to the completion of this offering.</w:t>
      </w:r>
    </w:p>
    <w:p>
      <w:pPr>
        <w:ind w:left="1520"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pro forma as adjusted column reflects (i) the pro forma adjustments described in footnote (1) above, and the following: (ii) cash and cash equivalents</w:t>
      </w:r>
    </w:p>
    <w:p>
      <w:pPr>
        <w:ind w:left="1520" w:right="139"/>
        <w:spacing w:after="0" w:line="239" w:lineRule="auto"/>
        <w:rPr>
          <w:rFonts w:ascii="Arial" w:cs="Arial" w:eastAsia="Arial" w:hAnsi="Arial"/>
          <w:sz w:val="12"/>
          <w:szCs w:val="12"/>
          <w:color w:val="auto"/>
        </w:rPr>
      </w:pPr>
      <w:r>
        <w:rPr>
          <w:rFonts w:ascii="Arial" w:cs="Arial" w:eastAsia="Arial" w:hAnsi="Arial"/>
          <w:sz w:val="12"/>
          <w:szCs w:val="12"/>
          <w:color w:val="auto"/>
        </w:rPr>
        <w:t>reflects the following: (a) estimated net proceeds of this offering of $327.3 million resulting from the issuance of 17,000,000 shares at a price of $21.00 per share, after deducting underwriting discounts and commissions and estimated offering expenses payable by us; (b) paydown of long-term and current portion of long-term debt of $113.9 million as described under “Use of Proceeds”; and (c) payment of legal fees of $0.1 million related to the Refinancing; (iii) long term debt, net reflects the following: (a) paydown of long-term debt of $99.4 million related to the</w:t>
      </w: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07" w:right="1440"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271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3905" cy="12719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20" w:right="159"/>
        <w:spacing w:after="0" w:line="235" w:lineRule="auto"/>
        <w:rPr>
          <w:sz w:val="20"/>
          <w:szCs w:val="20"/>
          <w:color w:val="auto"/>
        </w:rPr>
      </w:pPr>
      <w:r>
        <w:rPr>
          <w:rFonts w:ascii="Arial" w:cs="Arial" w:eastAsia="Arial" w:hAnsi="Arial"/>
          <w:sz w:val="12"/>
          <w:szCs w:val="12"/>
          <w:color w:val="auto"/>
        </w:rPr>
        <w:t>Refinancing; (b) $5.3 million of common stock warrants that will be issued to Lenders in connection with the Refinancing upon completion of this offering; (c) $1.0 million related to the modification of certain existing warrants held by the Lenders in connection with the Refinancing to extend the expiration date for an additional six months following the date of this offering; and (d) $0.1 million of lender fees to be paid by us related to the Refinancing; (iv) other liabilities reflects the $0.4 million payment of the partially accrued end of term payment related to the Refinancing; (v) additional paid-in capital reflects the following:</w:t>
      </w:r>
    </w:p>
    <w:p>
      <w:pPr>
        <w:ind w:left="1520" w:right="399"/>
        <w:spacing w:after="0" w:line="235" w:lineRule="auto"/>
        <w:rPr>
          <w:sz w:val="20"/>
          <w:szCs w:val="20"/>
          <w:color w:val="auto"/>
        </w:rPr>
      </w:pPr>
      <w:r>
        <w:rPr>
          <w:rFonts w:ascii="Arial" w:cs="Arial" w:eastAsia="Arial" w:hAnsi="Arial"/>
          <w:sz w:val="12"/>
          <w:szCs w:val="12"/>
          <w:color w:val="auto"/>
        </w:rPr>
        <w:t>(a) estimated net proceeds of this offering of $327.3 million resulting from the issuance of 17,000,000 shares at a price of $21.00 per share, after deducting underwriting discounts and commissions and estimated offering expenses payable by us; (b) the deferred offering costs directly related to the offering of</w:t>
      </w:r>
    </w:p>
    <w:p>
      <w:pPr>
        <w:ind w:left="1520" w:right="159"/>
        <w:spacing w:after="0" w:line="235" w:lineRule="auto"/>
        <w:rPr>
          <w:sz w:val="20"/>
          <w:szCs w:val="20"/>
          <w:color w:val="auto"/>
        </w:rPr>
      </w:pPr>
      <w:r>
        <w:rPr>
          <w:rFonts w:ascii="Arial" w:cs="Arial" w:eastAsia="Arial" w:hAnsi="Arial"/>
          <w:sz w:val="12"/>
          <w:szCs w:val="12"/>
          <w:color w:val="auto"/>
        </w:rPr>
        <w:t>$1.1 million which are charged against additional paid-in capital upon completion of this offering; (c) $5.3 million of common stock warrants that will be issued to Lenders in connection with the Refinancing upon completion of this offering; and (d) $1.0 million related to the modification of certain existing warrants held by the Lenders in connection with the Refinancing to extend the expiration date for an additional six months following the date of this offering; (vi) accumulated deficit reflects the impact of the loss on debt extinguishment charge of $13.3 million resulting from the Refinancing.</w:t>
      </w:r>
    </w:p>
    <w:p>
      <w:pPr>
        <w:ind w:left="1520" w:hanging="341"/>
        <w:spacing w:after="0" w:line="235" w:lineRule="auto"/>
        <w:tabs>
          <w:tab w:leader="none" w:pos="1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520" w:hanging="341"/>
        <w:spacing w:after="0"/>
        <w:tabs>
          <w:tab w:leader="none" w:pos="1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Working capital is defined as current assets less current liabilities.</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39"/>
          </w:cols>
          <w:pgMar w:left="320" w:top="407" w:right="1440"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1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3905" cy="5114290"/>
                    </a:xfrm>
                    <a:prstGeom prst="rect">
                      <a:avLst/>
                    </a:prstGeom>
                    <a:noFill/>
                  </pic:spPr>
                </pic:pic>
              </a:graphicData>
            </a:graphic>
          </wp:anchor>
        </w:drawing>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Key Business and Financial Metrics</w:t>
      </w:r>
    </w:p>
    <w:p>
      <w:pPr>
        <w:spacing w:after="0" w:line="184"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3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3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2"/>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2"/>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3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5"/>
          </w:tcPr>
          <w:p>
            <w:pPr>
              <w:jc w:val="right"/>
              <w:ind w:right="572"/>
              <w:spacing w:after="0" w:line="126" w:lineRule="exact"/>
              <w:rPr>
                <w:sz w:val="20"/>
                <w:szCs w:val="20"/>
                <w:color w:val="auto"/>
              </w:rPr>
            </w:pPr>
            <w:r>
              <w:rPr>
                <w:rFonts w:ascii="Arial" w:cs="Arial" w:eastAsia="Arial" w:hAnsi="Arial"/>
                <w:sz w:val="12"/>
                <w:szCs w:val="12"/>
                <w:b w:val="1"/>
                <w:bCs w:val="1"/>
                <w:color w:val="auto"/>
              </w:rPr>
              <w:t>($ in millions)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3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2"/>
              <w:spacing w:after="0" w:line="169" w:lineRule="exact"/>
              <w:rPr>
                <w:sz w:val="20"/>
                <w:szCs w:val="20"/>
                <w:color w:val="auto"/>
              </w:rPr>
            </w:pPr>
            <w:r>
              <w:rPr>
                <w:rFonts w:ascii="Arial" w:cs="Arial" w:eastAsia="Arial" w:hAnsi="Arial"/>
                <w:sz w:val="15"/>
                <w:szCs w:val="15"/>
                <w:color w:val="auto"/>
                <w:w w:val="95"/>
              </w:rPr>
              <w:t>133,572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2"/>
              <w:spacing w:after="0" w:line="169" w:lineRule="exact"/>
              <w:rPr>
                <w:sz w:val="20"/>
                <w:szCs w:val="20"/>
                <w:color w:val="auto"/>
              </w:rPr>
            </w:pPr>
            <w:r>
              <w:rPr>
                <w:rFonts w:ascii="Arial" w:cs="Arial" w:eastAsia="Arial" w:hAnsi="Arial"/>
                <w:sz w:val="15"/>
                <w:szCs w:val="15"/>
                <w:color w:val="auto"/>
                <w:w w:val="95"/>
              </w:rPr>
              <w:t>54,228</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97,614</w:t>
            </w:r>
          </w:p>
        </w:tc>
        <w:tc>
          <w:tcPr>
            <w:tcW w:w="100" w:type="dxa"/>
            <w:vAlign w:val="bottom"/>
            <w:shd w:val="clear" w:color="auto" w:fill="CCEEFF"/>
          </w:tcPr>
          <w:p>
            <w:pPr>
              <w:spacing w:after="0"/>
              <w:rPr>
                <w:sz w:val="14"/>
                <w:szCs w:val="14"/>
                <w:color w:val="auto"/>
              </w:rPr>
            </w:pPr>
          </w:p>
        </w:tc>
      </w:tr>
      <w:tr>
        <w:trPr>
          <w:trHeight w:val="169"/>
        </w:trPr>
        <w:tc>
          <w:tcPr>
            <w:tcW w:w="396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4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72"/>
              <w:spacing w:after="0" w:line="169" w:lineRule="exact"/>
              <w:rPr>
                <w:sz w:val="20"/>
                <w:szCs w:val="20"/>
                <w:color w:val="auto"/>
              </w:rPr>
            </w:pPr>
            <w:r>
              <w:rPr>
                <w:rFonts w:ascii="Arial" w:cs="Arial" w:eastAsia="Arial" w:hAnsi="Arial"/>
                <w:sz w:val="15"/>
                <w:szCs w:val="15"/>
                <w:color w:val="auto"/>
              </w:rPr>
              <w:t>53.6</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2"/>
              <w:spacing w:after="0" w:line="169" w:lineRule="exact"/>
              <w:rPr>
                <w:sz w:val="20"/>
                <w:szCs w:val="20"/>
                <w:color w:val="auto"/>
              </w:rPr>
            </w:pPr>
            <w:r>
              <w:rPr>
                <w:rFonts w:ascii="Arial" w:cs="Arial" w:eastAsia="Arial" w:hAnsi="Arial"/>
                <w:sz w:val="15"/>
                <w:szCs w:val="15"/>
                <w:color w:val="auto"/>
              </w:rPr>
              <w:t>8.7</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3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4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12"/>
              <w:spacing w:after="0" w:line="169" w:lineRule="exact"/>
              <w:rPr>
                <w:sz w:val="20"/>
                <w:szCs w:val="20"/>
                <w:color w:val="auto"/>
              </w:rPr>
            </w:pPr>
            <w:r>
              <w:rPr>
                <w:rFonts w:ascii="Arial" w:cs="Arial" w:eastAsia="Arial" w:hAnsi="Arial"/>
                <w:sz w:val="15"/>
                <w:szCs w:val="15"/>
                <w:color w:val="auto"/>
              </w:rPr>
              <w:t>(18.0)</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12"/>
              <w:spacing w:after="0" w:line="169" w:lineRule="exact"/>
              <w:rPr>
                <w:sz w:val="20"/>
                <w:szCs w:val="20"/>
                <w:color w:val="auto"/>
              </w:rPr>
            </w:pPr>
            <w:r>
              <w:rPr>
                <w:rFonts w:ascii="Arial" w:cs="Arial" w:eastAsia="Arial" w:hAnsi="Arial"/>
                <w:sz w:val="15"/>
                <w:szCs w:val="15"/>
                <w:color w:val="auto"/>
              </w:rPr>
              <w:t>(10.6)</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w:t>
            </w:r>
          </w:p>
        </w:tc>
      </w:tr>
    </w:tbl>
    <w:p>
      <w:pPr>
        <w:spacing w:after="0" w:line="180"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Adjusted EBITDA is a non-GAAP financial measure. See below for a reconciliation of Adjusted EBITDA to the most directly comparable GAAP financial measure, net loss. For additional information about, and the definitions of, our key business and financial metrics and why we consider Adjusted EBITDA to be a useful metric, see “Management’s Discussion and Analysis of Financial Condition and Results of Operations —Key Business and Financial Metrics” and “Management’s Discussion and Analysis of Financial Condition and Results of Operations—Non-GAAP Financial Metric.”</w:t>
      </w:r>
    </w:p>
    <w:p>
      <w:pPr>
        <w:spacing w:after="0" w:line="242"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Non-GAAP Financial Metric</w:t>
      </w:r>
    </w:p>
    <w:p>
      <w:pPr>
        <w:spacing w:after="0" w:line="19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In addition to our results determined in accordance with GAAP, we believe the following non-GAAP financial metric is useful in evaluating our performance. This non-GAAP financial metric is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 presented in this prospectus. For example, our non-GAAP financial metric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1" w:lineRule="exact"/>
        <w:rPr>
          <w:sz w:val="20"/>
          <w:szCs w:val="20"/>
          <w:color w:val="auto"/>
        </w:rPr>
      </w:pPr>
    </w:p>
    <w:p>
      <w:pPr>
        <w:jc w:val="both"/>
        <w:ind w:left="1180" w:right="139" w:firstLine="444"/>
        <w:spacing w:after="0" w:line="238" w:lineRule="auto"/>
        <w:rPr>
          <w:sz w:val="20"/>
          <w:szCs w:val="20"/>
          <w:color w:val="auto"/>
        </w:rPr>
      </w:pPr>
      <w:r>
        <w:rPr>
          <w:rFonts w:ascii="Arial" w:cs="Arial" w:eastAsia="Arial" w:hAnsi="Arial"/>
          <w:sz w:val="15"/>
          <w:szCs w:val="15"/>
          <w:color w:val="auto"/>
        </w:rPr>
        <w:t>Reconciliations of the below non-GAAP financial metric to its most directly comparable GAAP financial measure are presented below. We encourage you to review the reconciliations in conjunction with the presentation of the non-GAAP financial metric for each of the periods presented. In future periods, we may exclude similar items, may incur income and expenses similar to these excluded items, and may include other expenses, costs and non-recurring items.</w:t>
      </w:r>
    </w:p>
    <w:p>
      <w:pPr>
        <w:spacing w:after="0" w:line="172"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Adjusted EBITDA is included in this prospectus because it is a key performance measure used by management to assess our operating performance and the operating leverage of our business prior to capital expenditures. Our Adjusted EBITDA as a percentage of revenue increased from (12.9)% in fiscal year 2020 to (10.1)% in the six months ended July 31, 2021. Adjusted EBITDA as a percentage of revenue has also improved quarter-to-quarter in the six months ended July 31, 2021, from (18.5)% in the first quarter to (4.1)% in the second quarter.</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39"/>
          </w:cols>
          <w:pgMar w:left="320" w:top="407" w:right="1440"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168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3905" cy="3168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(153.9)</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6"/>
              </w:rPr>
              <w:t>(171.1)</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(88.0)</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depreciation and amortization</w:t>
            </w:r>
            <w:r>
              <w:rPr>
                <w:rFonts w:ascii="Arial" w:cs="Arial" w:eastAsia="Arial" w:hAnsi="Arial"/>
                <w:sz w:val="12"/>
                <w:szCs w:val="12"/>
                <w:color w:val="auto"/>
              </w:rPr>
              <w:t>(2)</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 compensation</w:t>
            </w:r>
            <w:r>
              <w:rPr>
                <w:rFonts w:ascii="Arial" w:cs="Arial" w:eastAsia="Arial" w:hAnsi="Arial"/>
                <w:sz w:val="12"/>
                <w:szCs w:val="12"/>
                <w:color w:val="auto"/>
              </w:rPr>
              <w:t>(3)</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Write-off of liquidated assets</w:t>
            </w:r>
            <w:r>
              <w:rPr>
                <w:rFonts w:ascii="Arial" w:cs="Arial" w:eastAsia="Arial" w:hAnsi="Arial"/>
                <w:sz w:val="12"/>
                <w:szCs w:val="12"/>
                <w:color w:val="auto"/>
              </w:rPr>
              <w:t>(4)</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Non-recurring adjustments</w:t>
            </w:r>
            <w:r>
              <w:rPr>
                <w:rFonts w:ascii="Arial" w:cs="Arial" w:eastAsia="Arial" w:hAnsi="Arial"/>
                <w:sz w:val="12"/>
                <w:szCs w:val="12"/>
                <w:color w:val="auto"/>
              </w:rPr>
              <w:t>(5)</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(gains) / losses</w:t>
            </w:r>
            <w:r>
              <w:rPr>
                <w:rFonts w:ascii="Arial" w:cs="Arial" w:eastAsia="Arial" w:hAnsi="Arial"/>
                <w:sz w:val="12"/>
                <w:szCs w:val="12"/>
                <w:color w:val="auto"/>
              </w:rPr>
              <w:t>(6)</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(18.0)</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(10.6)</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520" w:right="279"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520" w:hanging="341"/>
        <w:spacing w:after="0"/>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139"/>
          </w:cols>
          <w:pgMar w:left="320" w:top="407" w:right="1440"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20"/>
        <w:spacing w:after="0" w:line="23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Business and Industry</w:t>
      </w:r>
    </w:p>
    <w:p>
      <w:pPr>
        <w:spacing w:after="0" w:line="87"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 total revenue decreasing 38.7% from $256.9 million in fiscal year 2019 to $157.5 million, our revenue increased 39.4% from $33.5 million for the three months ended April 30, 2021 to $46.7 million for the three months ended July 31, 2021 and we may 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 in our offerings and technology. For the six months ended July 31, 2021, 83% of our total revenue was generated by our subscribers. Our base subscription plans range from $89 to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20"/>
          </w:cols>
          <w:pgMar w:left="320" w:top="407" w:right="135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fashion industry is rapidly evolving and our business may not develop as we expect. Overall growth of our revenue will depend on a number of factors, including our ability to:</w:t>
      </w:r>
    </w:p>
    <w:p>
      <w:pPr>
        <w:spacing w:after="0" w:line="87" w:lineRule="exact"/>
        <w:rPr>
          <w:sz w:val="20"/>
          <w:szCs w:val="20"/>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 traditional consumer buying habits and normalize clothing rental and resale;</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price our subscription, a-la-carte and resale offerings so that we are able to attract new customers, and retain and expand our relationships with existing customers;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accurately forecast our revenue and plan our fulfillment and operating expenses;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ensure that we maintain an adequate depth and breadth of available products to meet evolving customer demands and respond swiftly and appropriately to new and changing styles, trends or desired consumer preferences;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transition from “unlimited” subscriptions to usage-based subscription plans at different price points;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maintain and grow our relationships with existing and new brand partners, including continuing to grow our Share by RTR and Exclusive Design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avoid disruptions in acquiring and distributing our products and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provide customers with a high-quality experience, including customer service and support that meets their needs;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maintain and enhance our reputation and the value of our brand;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hire, integrate and retain talented personnel across all levels of our organization;</w:t>
      </w:r>
    </w:p>
    <w:p>
      <w:pPr>
        <w:spacing w:after="0" w:line="97" w:lineRule="exact"/>
        <w:rPr>
          <w:rFonts w:ascii="Arial" w:cs="Arial" w:eastAsia="Arial" w:hAnsi="Arial"/>
          <w:sz w:val="15"/>
          <w:szCs w:val="15"/>
          <w:color w:val="auto"/>
        </w:rPr>
      </w:pPr>
    </w:p>
    <w:p>
      <w:pPr>
        <w:ind w:left="1660" w:right="20" w:hanging="183"/>
        <w:spacing w:after="0" w:line="280" w:lineRule="auto"/>
        <w:tabs>
          <w:tab w:leader="none" w:pos="1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63" w:lineRule="exact"/>
        <w:rPr>
          <w:rFonts w:ascii="Arial" w:cs="Arial" w:eastAsia="Arial" w:hAnsi="Arial"/>
          <w:sz w:val="14"/>
          <w:szCs w:val="14"/>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comply with existing and new laws and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expand into new and penetrate existing geographic markets in the United States;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develop new offerings and innovate and enhance our existing offerings and their features, including in response to new trends, competitive dynamics or the needs of customers and subscribers;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effectively manage our costs related to our business and operations;</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avoid or manage interruptions in our business from information technology downtime, cybersecurity incidents and other factors that could affect our physical and digital infrastructure; and</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identify and acquire, partner or invest in products, technologies, or businesses that we believe could complement or expand our business.</w:t>
      </w:r>
    </w:p>
    <w:p>
      <w:pPr>
        <w:spacing w:after="0" w:line="166"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Because we have a limited history operating our business at its current scale, it is difficult to evaluate our current business and future prospects, including our ability to plan for and model future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00"/>
          </w:cols>
          <w:pgMar w:left="320" w:top="407" w:right="137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COVID-19 pandemic has had, and may in the future continue to have, a material adverse impact on our business</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84" w:lineRule="exact"/>
        <w:rPr>
          <w:sz w:val="20"/>
          <w:szCs w:val="20"/>
          <w:color w:val="auto"/>
        </w:rPr>
      </w:pPr>
    </w:p>
    <w:p>
      <w:pPr>
        <w:ind w:left="1020" w:right="700" w:firstLine="460"/>
        <w:spacing w:after="0" w:line="245" w:lineRule="auto"/>
        <w:rPr>
          <w:sz w:val="20"/>
          <w:szCs w:val="20"/>
          <w:color w:val="auto"/>
        </w:rPr>
      </w:pPr>
      <w:r>
        <w:rPr>
          <w:rFonts w:ascii="Arial" w:cs="Arial" w:eastAsia="Arial" w:hAnsi="Arial"/>
          <w:sz w:val="15"/>
          <w:szCs w:val="15"/>
          <w:color w:val="auto"/>
        </w:rPr>
        <w:t>The COVID-19 pandemic has materially adversely affected our fiscal year 2020 operating and financial results due to the occurrence of the following events or circumstances, among others:</w:t>
      </w:r>
    </w:p>
    <w:p>
      <w:pPr>
        <w:spacing w:after="0" w:line="87" w:lineRule="exact"/>
        <w:rPr>
          <w:sz w:val="20"/>
          <w:szCs w:val="20"/>
          <w:color w:val="auto"/>
        </w:rPr>
      </w:pPr>
    </w:p>
    <w:p>
      <w:pPr>
        <w:ind w:left="1660" w:right="34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91"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subscribers engaged less, which impacted the success of our organic marketing and reduced the volume of our data and business insights;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disruptions of the operations of our brand partners and delays in shipment and delivery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pausing all of our paid marketing spend and eliminating or significantly reducing investments in growth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carrying more products relative to customer demand, negatively impacting gross margins;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performance-based revenue share payments to brands were decreased due to lower total revenue, impacting our brand partner relationships and value proposition;</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implementing temporary salary cuts, employee layoffs and furloughs, and pausing recruiting efforts, which negatively impacted employee morale and resulted in an increase in regrettable employee attrition;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07" w:right="137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closure of our brick-and-mortar retail stores, which was perceived negatively by some customers.</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93" w:lineRule="exact"/>
        <w:rPr>
          <w:sz w:val="20"/>
          <w:szCs w:val="20"/>
          <w:color w:val="auto"/>
        </w:rPr>
      </w:pPr>
    </w:p>
    <w:p>
      <w:pPr>
        <w:ind w:left="1660" w:right="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91"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inability to meet increased demand and provide an optimal customer experience as a result of difficulty in hiring additional employees, particularly in our fulfillment, operations and customer experience functions;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continuing disruptions of the operations of our brand partners, which could impact our ability to acquire an adequate depth and breadth of products at favorable prices in a timely manner to match demand;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ability to efficiently re-start our paid marketing efforts; and</w:t>
      </w:r>
    </w:p>
    <w:p>
      <w:pPr>
        <w:spacing w:after="0" w:line="97" w:lineRule="exact"/>
        <w:rPr>
          <w:rFonts w:ascii="Arial" w:cs="Arial" w:eastAsia="Arial" w:hAnsi="Arial"/>
          <w:sz w:val="15"/>
          <w:szCs w:val="15"/>
          <w:color w:val="auto"/>
        </w:rPr>
      </w:pPr>
    </w:p>
    <w:p>
      <w:pPr>
        <w:ind w:left="1660" w:right="8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global fashion industry is highly competitive and rapidly changing, and we may not be able to compete effectively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believe our ability to compete effectively depends on many factors within and beyond our control, including:</w:t>
      </w:r>
    </w:p>
    <w:p>
      <w:pPr>
        <w:spacing w:after="0" w:line="98" w:lineRule="exact"/>
        <w:rPr>
          <w:sz w:val="20"/>
          <w:szCs w:val="20"/>
          <w:color w:val="auto"/>
        </w:rPr>
      </w:pPr>
    </w:p>
    <w:p>
      <w:pPr>
        <w:ind w:left="5540" w:right="2320" w:hanging="4063"/>
        <w:spacing w:after="0" w:line="417" w:lineRule="auto"/>
        <w:tabs>
          <w:tab w:leader="none" w:pos="1657"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ability to normalize fashion rental and change traditional retail shopping habits and norms; 28</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how effectively differentiated our offerings and value proposition are from those of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how effectively we market and communicate how to use our Subscription and Reserve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expand and maintain an appealing depth and breadth of our products to meet customer demand;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attract new brand partners and retain existing brand partners in our Share by RTR and Exclusive Design programs and acquire products on favorable and efficient terms;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speed and cost at which we can deliver products to our customers and the ease with which they can return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effectiveness of our customer service;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further developing our data science capabilities for brand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maintaining favorable brand recognition and effectively marketing our services to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amount, diversity, and quality of brands that we or our competitors offer;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price at which we are able to offer our Rental and Resale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success of our reverse-logistics processes in delivering products in good condition to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anticipating and successfully responding to changing apparel trends and consumer shopping preferences.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72"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Our inability to respond effectively to competitive pressures, improved performance by our competitors, failure to achieve broad acceptance and changes in the fashion retail markets could result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160"/>
          </w:cols>
          <w:pgMar w:left="320" w:top="407" w:right="14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lost market share and have a material adverse effect on our business, financial condition, and results of operations.</w:t>
      </w:r>
    </w:p>
    <w:p>
      <w:pPr>
        <w:spacing w:after="0" w:line="159"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we fail to retain customers, our business, financial condition, and results of operations would be harmed</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high proportion of our revenue comes from highly engaged subscribers. For the six months ended July 31, 2021, 83% of our total revenue was generated by our subscribers. A decrease in the number of existing customers or a reduction in the amount existing customers spend on our offerings could negatively affect our operating results.</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number of customers and the amounts they spend on our offerings may decline materially or fluctuate as a result of many factors, including, among other things:</w:t>
      </w:r>
    </w:p>
    <w:p>
      <w:pPr>
        <w:spacing w:after="0" w:line="87" w:lineRule="exact"/>
        <w:rPr>
          <w:sz w:val="20"/>
          <w:szCs w:val="20"/>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quality, consumer appeal, price, and reliability of our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quality control the products delivered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ensuring on-time delivery of orders;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negative customer service experience;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intense competition in the fashion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negative publicity that impacts our brand and reputation;</w:t>
      </w:r>
    </w:p>
    <w:p>
      <w:pPr>
        <w:spacing w:after="0" w:line="94"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consumer preferences regarding the use of pre-loved apparel;</w:t>
      </w: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lack of market acceptance of our business model;</w:t>
      </w:r>
    </w:p>
    <w:p>
      <w:pPr>
        <w:spacing w:after="0" w:line="97"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unpredictable nature of the impact of the COVID-19 pandemic or a future outbreak of disease or similar public health concern;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failure (or perceived failure) to meet customer expectations regarding our environmental, social and governance, or ESG, initiatives;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efficiency of our historic or current customer acquisition methods;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dissatisfaction with changes we make to our offerings and products.</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52" w:lineRule="exact"/>
        <w:rPr>
          <w:sz w:val="20"/>
          <w:szCs w:val="20"/>
          <w:color w:val="auto"/>
        </w:rPr>
      </w:pPr>
    </w:p>
    <w:p>
      <w:pPr>
        <w:ind w:left="1020" w:right="420" w:firstLine="460"/>
        <w:spacing w:after="0" w:line="270" w:lineRule="auto"/>
        <w:rPr>
          <w:sz w:val="20"/>
          <w:szCs w:val="20"/>
          <w:color w:val="auto"/>
        </w:rPr>
      </w:pPr>
      <w:r>
        <w:rPr>
          <w:rFonts w:ascii="Arial" w:cs="Arial" w:eastAsia="Arial" w:hAnsi="Arial"/>
          <w:sz w:val="15"/>
          <w:szCs w:val="15"/>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have a history of losses, and we may be unable to achieve or sustain profitability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had a net loss of $171.1 million and $84.7 million for the year ended January 31, 2021 and the six months ended July 31, 2021, respectively, and have in the past had net losses. As of July 31, 2021, we had an accumulated deficit of $674.1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7"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acquire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the engagement of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drive customer acquisition and brand awareness through marketing and promotional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enhance our website and mobile offerings and functionality;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invest in our operations, including our logistics fulfillment and capacity, to support the growth in our business.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53"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If we are unable to accurately forecast customer demand, manage our products effectively and plan for future expenses, our operating results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fiscal years 2019, 2020 and through the first six months of fiscal year 2021,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20"/>
          </w:cols>
          <w:pgMar w:left="32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For the next several quarters, we anticipate facing, and having to address challenges relating to, inefficiencies in the global transportation network as a result of the COVID-19 pandemic that may impact our business operations.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52" w:lineRule="exact"/>
        <w:rPr>
          <w:sz w:val="20"/>
          <w:szCs w:val="20"/>
          <w:color w:val="auto"/>
        </w:rPr>
      </w:pPr>
    </w:p>
    <w:p>
      <w:pPr>
        <w:jc w:val="both"/>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5"/>
          <w:szCs w:val="15"/>
          <w:color w:val="auto"/>
        </w:rPr>
        <w:t>.</w:t>
      </w:r>
    </w:p>
    <w:p>
      <w:pPr>
        <w:spacing w:after="0" w:line="58"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Our industry is characterized by rapidly changing technology, new service and product introductions, and changing customer demands and preferences, and we are not able to predict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00"/>
          </w:cols>
          <w:pgMar w:left="320" w:top="407" w:right="137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53"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00"/>
          </w:cols>
          <w:pgMar w:left="320" w:top="407" w:right="137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52" w:lineRule="exact"/>
        <w:rPr>
          <w:sz w:val="20"/>
          <w:szCs w:val="20"/>
          <w:color w:val="auto"/>
        </w:rPr>
      </w:pPr>
    </w:p>
    <w:p>
      <w:pPr>
        <w:jc w:val="both"/>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7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20"/>
          </w:cols>
          <w:pgMar w:left="320" w:top="407" w:right="135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information, loss of revenue or liability for damages, any of which could adversely affect our growth prospects and our business.</w:t>
      </w:r>
    </w:p>
    <w:p>
      <w:pPr>
        <w:spacing w:after="0" w:line="159"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Certain of 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180"/>
          </w:cols>
          <w:pgMar w:left="320" w:top="407" w:right="139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52" w:lineRule="exact"/>
        <w:rPr>
          <w:sz w:val="20"/>
          <w:szCs w:val="20"/>
          <w:color w:val="auto"/>
        </w:rPr>
      </w:pPr>
    </w:p>
    <w:p>
      <w:pPr>
        <w:ind w:left="1020" w:right="20" w:firstLine="460"/>
        <w:spacing w:after="0" w:line="270" w:lineRule="auto"/>
        <w:rPr>
          <w:sz w:val="20"/>
          <w:szCs w:val="20"/>
          <w:color w:val="auto"/>
        </w:rPr>
      </w:pPr>
      <w:r>
        <w:rPr>
          <w:rFonts w:ascii="Arial" w:cs="Arial" w:eastAsia="Arial" w:hAnsi="Arial"/>
          <w:sz w:val="15"/>
          <w:szCs w:val="15"/>
          <w:b w:val="1"/>
          <w:bCs w:val="1"/>
          <w:i w:val="1"/>
          <w:iCs w:val="1"/>
          <w:color w:val="auto"/>
        </w:rPr>
        <w:t>Our e-commerce business faces distinct risks, such as fulfillment of orders, and our failure to successfully manage these risks could have a negative impact on our profitability.</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Risks associated with our e-commerce business include:</w:t>
      </w:r>
    </w:p>
    <w:p>
      <w:pPr>
        <w:spacing w:after="0" w:line="98" w:lineRule="exact"/>
        <w:rPr>
          <w:sz w:val="20"/>
          <w:szCs w:val="20"/>
          <w:color w:val="auto"/>
        </w:rPr>
      </w:pPr>
    </w:p>
    <w:p>
      <w:pPr>
        <w:ind w:left="1660" w:right="20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disruptions in internet service or power outages;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reliance on third parties for computer hardware and software, as well as delivery of products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rapid technology changes;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credit or debit card fraud and other payment processing related issues;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changes in applicable federal, state and international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liability for online content;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cybersecurity and consumer privacy concerns and regulation;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natural disasters or adverse weather conditions.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180"/>
          </w:cols>
          <w:pgMar w:left="320" w:top="407" w:right="139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52" w:lineRule="exact"/>
        <w:rPr>
          <w:sz w:val="20"/>
          <w:szCs w:val="20"/>
          <w:color w:val="auto"/>
        </w:rPr>
      </w:pPr>
    </w:p>
    <w:p>
      <w:pPr>
        <w:ind w:left="1020" w:right="560" w:firstLine="460"/>
        <w:spacing w:after="0" w:line="270" w:lineRule="auto"/>
        <w:rPr>
          <w:sz w:val="20"/>
          <w:szCs w:val="20"/>
          <w:color w:val="auto"/>
        </w:rPr>
      </w:pPr>
      <w:r>
        <w:rPr>
          <w:rFonts w:ascii="Arial" w:cs="Arial" w:eastAsia="Arial" w:hAnsi="Arial"/>
          <w:sz w:val="15"/>
          <w:szCs w:val="15"/>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5"/>
          <w:szCs w:val="15"/>
          <w:color w:val="auto"/>
        </w:rPr>
        <w:t>.</w:t>
      </w:r>
    </w:p>
    <w:p>
      <w:pPr>
        <w:spacing w:after="0" w:line="5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7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54" w:lineRule="exact"/>
        <w:rPr>
          <w:sz w:val="20"/>
          <w:szCs w:val="20"/>
          <w:color w:val="auto"/>
        </w:rPr>
      </w:pPr>
    </w:p>
    <w:p>
      <w:pPr>
        <w:ind w:left="1020" w:right="920" w:firstLine="460"/>
        <w:spacing w:after="0" w:line="270" w:lineRule="auto"/>
        <w:rPr>
          <w:sz w:val="20"/>
          <w:szCs w:val="20"/>
          <w:color w:val="auto"/>
        </w:rPr>
      </w:pPr>
      <w:r>
        <w:rPr>
          <w:rFonts w:ascii="Arial" w:cs="Arial" w:eastAsia="Arial" w:hAnsi="Arial"/>
          <w:sz w:val="15"/>
          <w:szCs w:val="15"/>
          <w:b w:val="1"/>
          <w:bCs w:val="1"/>
          <w:i w:val="1"/>
          <w:iCs w:val="1"/>
          <w:color w:val="auto"/>
        </w:rPr>
        <w:t>Our quarterly and annual results of operations may fluctuate, which may make it difficult to predict our future performance</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200"/>
          </w:cols>
          <w:pgMar w:left="320" w:top="407" w:right="137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rPr>
          <w:sz w:val="20"/>
          <w:szCs w:val="20"/>
          <w:color w:val="auto"/>
        </w:rPr>
      </w:pPr>
      <w:r>
        <w:rPr>
          <w:rFonts w:ascii="Arial" w:cs="Arial" w:eastAsia="Arial" w:hAnsi="Arial"/>
          <w:sz w:val="15"/>
          <w:szCs w:val="15"/>
          <w:color w:val="auto"/>
        </w:rPr>
        <w:t>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91" w:lineRule="exact"/>
        <w:rPr>
          <w:sz w:val="20"/>
          <w:szCs w:val="20"/>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success in attracting and retaining customers and subscribers;</w:t>
      </w:r>
    </w:p>
    <w:p>
      <w:pPr>
        <w:spacing w:after="0" w:line="9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 and timing of our fulfillment costs and operating expenses;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timing and success of product launches, including new services and features we may introduce;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success of our marketing and promotional efforts;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adverse economic and market conditions, such as those related to the COVID-19 pandemic, and other adverse global events that negatively impact commerce and consumer behavior;</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disruptions or defects in our software or operations, such as privacy or data security incidents, outages, or other incidents that impact the availability, reliability, or performance of our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impact of competitive developments and our response to those developments;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ability to manage our business and future growth;</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ability to recruit and retain employees including fulfillment center labor to process, itemize, list, pack and ship our products;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changes to financial accounting standards and the interpretation of those standards, which may affect the way we recognize and report our financial results.</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07" w:right="13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Environmental, social and governance matters may impact our business and reputation.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53"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We rely on the experience and expertise of our Co-Founder and Chief Executive Officer, senior management team, key technical and strategic employees and hourly personnel.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180"/>
          </w:cols>
          <w:pgMar w:left="320" w:top="407" w:right="139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laid off 33% of all employees and furloughed 37%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52" w:lineRule="exact"/>
        <w:rPr>
          <w:sz w:val="20"/>
          <w:szCs w:val="20"/>
          <w:color w:val="auto"/>
        </w:rPr>
      </w:pPr>
    </w:p>
    <w:p>
      <w:pPr>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Our company culture has contributed to our success and if we cannot maintain this culture as we grow, our business could be harmed.</w:t>
      </w:r>
    </w:p>
    <w:p>
      <w:pPr>
        <w:spacing w:after="0" w:line="58"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91" w:lineRule="exact"/>
        <w:rPr>
          <w:sz w:val="20"/>
          <w:szCs w:val="20"/>
          <w:color w:val="auto"/>
        </w:rPr>
      </w:pPr>
    </w:p>
    <w:p>
      <w:pPr>
        <w:ind w:left="1660" w:right="8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failure to identify, attract, reward, and retain people in leadership positions in our organization who share and further our culture, values, and mission;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increasing size, complexity and geographic diversity of our workforce, and our ability to promote a uniform and consistent culture across all our offices and employees;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employee and market perception of our ESG efforts, which may impact employee morale and recruiting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competitive pressures to move in directions that may divert us from our mission, vision, and values;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continued challenges of a rapidly-evolving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increasing need to develop expertise in new areas of business that affect us.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54"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00"/>
          </w:cols>
          <w:pgMar w:left="320" w:top="407" w:right="137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affected by seasonality</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3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00"/>
          </w:cols>
          <w:pgMar w:left="320" w:top="407" w:right="13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92" w:lineRule="exact"/>
        <w:rPr>
          <w:sz w:val="20"/>
          <w:szCs w:val="20"/>
          <w:color w:val="auto"/>
        </w:rPr>
      </w:pPr>
    </w:p>
    <w:p>
      <w:pPr>
        <w:ind w:left="1660" w:right="60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partnership or acquisition may disrupt our ongoing business, divert resources, increase our expenses, and distract our management;</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may encounter difficulties or unforeseen expenditures in integrating the business, offerings, technologies, personnel, or operations of any company that we partner with or acquire; and</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occurrence of any of these foregoing risks could adversely affect our business, financial condition, and results of operations and expose us to unknown risks or liabilities.</w:t>
      </w:r>
    </w:p>
    <w:p>
      <w:pPr>
        <w:spacing w:after="0" w:line="148"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20"/>
          </w:cols>
          <w:pgMar w:left="320" w:top="407" w:right="135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Material changes in the pricing practices of our brand partners could negatively impact our profitability.</w:t>
      </w:r>
    </w:p>
    <w:p>
      <w:pPr>
        <w:spacing w:after="0" w:line="105" w:lineRule="exact"/>
        <w:rPr>
          <w:sz w:val="20"/>
          <w:szCs w:val="20"/>
          <w:color w:val="auto"/>
        </w:rPr>
      </w:pPr>
    </w:p>
    <w:p>
      <w:pPr>
        <w:ind w:left="1020" w:right="140" w:firstLine="460"/>
        <w:spacing w:after="0" w:line="236" w:lineRule="auto"/>
        <w:rPr>
          <w:sz w:val="20"/>
          <w:szCs w:val="20"/>
          <w:color w:val="auto"/>
        </w:rPr>
      </w:pPr>
      <w:r>
        <w:rPr>
          <w:rFonts w:ascii="Arial" w:cs="Arial" w:eastAsia="Arial" w:hAnsi="Arial"/>
          <w:sz w:val="15"/>
          <w:szCs w:val="15"/>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57" w:lineRule="exact"/>
        <w:rPr>
          <w:sz w:val="20"/>
          <w:szCs w:val="20"/>
          <w:color w:val="auto"/>
        </w:rPr>
      </w:pPr>
    </w:p>
    <w:p>
      <w:pPr>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we had $74.5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$230.0 million aggregate principal amount of borrowings under a subordinated, junior lien loan agreement in July 2018, as subsequently amended in December 2018, April 2019, November 2019, June 2020, August 2020 and October 2020, with Double Helix Pte Ltd. as administrative agent for the lenders party thereto, which we refer to as our Credit Facility, and together with the Ares Facility, the Existing Credit Agreements. On a pro forma basis, after giving effect to this offering and the Refinancing, our aggregate principal amount of indebtedness outstanding under our Existing Credit Agreements would have been approximately $276.8 million as of July 31, 2021.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 Indebtedness.”</w:t>
      </w:r>
    </w:p>
    <w:p>
      <w:pPr>
        <w:spacing w:after="0" w:line="152" w:lineRule="exact"/>
        <w:rPr>
          <w:sz w:val="20"/>
          <w:szCs w:val="20"/>
          <w:color w:val="auto"/>
        </w:rPr>
      </w:pPr>
    </w:p>
    <w:p>
      <w:pPr>
        <w:jc w:val="both"/>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Our Existing Credit Agreements and Amended Credit Facility contain financial covenants and other restrictions on our actions that may limit our operational flexibility or otherwise adversely affect our business, financial condition and results of operations.</w:t>
      </w:r>
    </w:p>
    <w:p>
      <w:pPr>
        <w:spacing w:after="0" w:line="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terms of our Existing Credit Agreements and Amended Credit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We intend to use the net proceeds from this offering to repay all amounts outstanding under our Ares Facility. The terms of our Amended Credit Facility may restrict our current and future operations and could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20"/>
          </w:cols>
          <w:pgMar w:left="320" w:top="407" w:right="13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adversely affect our ability to finance our future operations or capital needs, including the financial covenant to maintain a minimum of $50 million in liquidity. In addition, complying with these covenants may make it more difficult for us to successfully execute our business strategy and compete against companies which are not subject to such restrictions.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 failure by us to comply with the covenants specified in the Existing Credit Agreements, and the Amended Credit Facility we intend to enter into, could result in an event of default under the agreement, which would give the lenders the right to declare all borrowings outstanding, together with accrued and unpaid interest and fees, to be immediately due and payable. If the debt under the Existing Credit Agreements, including the Amended Credit Facility we intend to enter into,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54"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5"/>
          <w:szCs w:val="15"/>
          <w:color w:val="auto"/>
        </w:rPr>
        <w:t>.</w:t>
      </w:r>
    </w:p>
    <w:p>
      <w:pPr>
        <w:spacing w:after="0" w:line="76" w:lineRule="exact"/>
        <w:rPr>
          <w:sz w:val="20"/>
          <w:szCs w:val="20"/>
          <w:color w:val="auto"/>
        </w:rPr>
      </w:pPr>
    </w:p>
    <w:p>
      <w:pPr>
        <w:jc w:val="both"/>
        <w:ind w:left="1020" w:right="440" w:firstLine="460"/>
        <w:spacing w:after="0" w:line="238"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2"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We did not design and maintain effective controls to ensure (i) the appropriate segregation of duties in the operation of manual controls and (ii) journal entries were reviewed at the appropriate level of precision.</w:t>
      </w:r>
    </w:p>
    <w:p>
      <w:pPr>
        <w:spacing w:after="0" w:line="166"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500" w:firstLine="460"/>
        <w:spacing w:after="0" w:line="238" w:lineRule="auto"/>
        <w:rPr>
          <w:sz w:val="20"/>
          <w:szCs w:val="20"/>
          <w:color w:val="auto"/>
        </w:rPr>
      </w:pPr>
      <w:r>
        <w:rPr>
          <w:rFonts w:ascii="Arial" w:cs="Arial" w:eastAsia="Arial" w:hAnsi="Arial"/>
          <w:sz w:val="15"/>
          <w:szCs w:val="15"/>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52" w:lineRule="exact"/>
        <w:rPr>
          <w:sz w:val="20"/>
          <w:szCs w:val="20"/>
          <w:color w:val="auto"/>
        </w:rPr>
      </w:pPr>
    </w:p>
    <w:p>
      <w:pPr>
        <w:ind w:left="1020" w:right="360" w:firstLine="46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a public company, we will be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154" w:lineRule="exact"/>
        <w:rPr>
          <w:sz w:val="20"/>
          <w:szCs w:val="20"/>
          <w:color w:val="auto"/>
        </w:rPr>
      </w:pPr>
    </w:p>
    <w:p>
      <w:pPr>
        <w:jc w:val="both"/>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will not be required, pursuant to Section 404 of the Sarbanes-Oxley Act, or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8"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87" w:lineRule="exact"/>
        <w:rPr>
          <w:sz w:val="20"/>
          <w:szCs w:val="20"/>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auditor attestation requirements of Section 404;</w:t>
      </w:r>
    </w:p>
    <w:p>
      <w:pPr>
        <w:spacing w:after="0" w:line="97" w:lineRule="exact"/>
        <w:rPr>
          <w:rFonts w:ascii="Arial" w:cs="Arial" w:eastAsia="Arial" w:hAnsi="Arial"/>
          <w:sz w:val="15"/>
          <w:szCs w:val="15"/>
          <w:color w:val="auto"/>
        </w:rPr>
      </w:pPr>
    </w:p>
    <w:p>
      <w:pPr>
        <w:jc w:val="center"/>
        <w:ind w:left="5540" w:right="900" w:hanging="4063"/>
        <w:spacing w:after="0" w:line="417" w:lineRule="auto"/>
        <w:tabs>
          <w:tab w:leader="none" w:pos="1657"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and proxy statements; and 47</w:t>
      </w:r>
    </w:p>
    <w:p>
      <w:pPr>
        <w:sectPr>
          <w:pgSz w:w="11900" w:h="16838" w:orient="portrait"/>
          <w:cols w:equalWidth="0" w:num="1">
            <w:col w:w="10220"/>
          </w:cols>
          <w:pgMar w:left="32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72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stockholder vote on executive compensation and non-binding advisory stockholder vote to approve any golden parachute payments not previously approved.</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will remain an emerging growth company until the earliest of:</w:t>
      </w:r>
    </w:p>
    <w:p>
      <w:pPr>
        <w:spacing w:after="0" w:line="98" w:lineRule="exact"/>
        <w:rPr>
          <w:sz w:val="20"/>
          <w:szCs w:val="20"/>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last day of the fiscal year following the fifth anniversary of this offering;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last day of the first fiscal year in which our annual gross revenue is $1.07 billion or more;</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date on which we have, during the previous rolling three-year period, issued more than $1 billion in non-convertible debt securities;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date we qualify as a “large accelerated filer,” with at least $700 million of equity securities held by non-affiliates.</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52"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Our reported financial results may be adversely affected by changes in accounting principles generally accepted in the United States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52"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00"/>
          </w:cols>
          <w:pgMar w:left="320" w:top="407" w:right="137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38" w:lineRule="auto"/>
        <w:rPr>
          <w:sz w:val="20"/>
          <w:szCs w:val="20"/>
          <w:color w:val="auto"/>
        </w:rPr>
      </w:pPr>
      <w:r>
        <w:rPr>
          <w:rFonts w:ascii="Arial" w:cs="Arial" w:eastAsia="Arial" w:hAnsi="Arial"/>
          <w:sz w:val="15"/>
          <w:szCs w:val="15"/>
          <w:color w:val="auto"/>
        </w:rPr>
        <w:t>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54" w:lineRule="exact"/>
        <w:rPr>
          <w:sz w:val="20"/>
          <w:szCs w:val="20"/>
          <w:color w:val="auto"/>
        </w:rPr>
      </w:pPr>
    </w:p>
    <w:p>
      <w:pPr>
        <w:ind w:left="1020" w:right="440" w:firstLine="460"/>
        <w:spacing w:after="0" w:line="252" w:lineRule="auto"/>
        <w:rPr>
          <w:sz w:val="20"/>
          <w:szCs w:val="20"/>
          <w:color w:val="auto"/>
        </w:rPr>
      </w:pPr>
      <w:r>
        <w:rPr>
          <w:rFonts w:ascii="Arial" w:cs="Arial" w:eastAsia="Arial" w:hAnsi="Arial"/>
          <w:sz w:val="15"/>
          <w:szCs w:val="15"/>
          <w:b w:val="1"/>
          <w:bCs w:val="1"/>
          <w:i w:val="1"/>
          <w:iCs w:val="1"/>
          <w:color w:val="auto"/>
        </w:rPr>
        <w:t>The estimates of market opportunity and forecasts of market growth included in this prospectus may prove to be inaccurate, and even if the markets in which we compete achieve the forecasted growth, our business could fail to grow at similar rates, or at all.</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52"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Expansion of our operations internationally requires management attention and resources, involves additional risks, and may be unsuccessful.</w:t>
      </w:r>
    </w:p>
    <w:p>
      <w:pPr>
        <w:spacing w:after="0" w:line="58"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93" w:lineRule="exact"/>
        <w:rPr>
          <w:sz w:val="20"/>
          <w:szCs w:val="20"/>
          <w:color w:val="auto"/>
        </w:rPr>
      </w:pPr>
    </w:p>
    <w:p>
      <w:pPr>
        <w:ind w:left="1660" w:right="38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lower acceptance of our offerings and the concept of renting apparel and accessories and the need to localize our products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competition from local incumbents that understand the local market and may operate more effectively;</w:t>
      </w:r>
    </w:p>
    <w:p>
      <w:pPr>
        <w:spacing w:after="0" w:line="9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regulatory requirements, taxes, trade laws, trade sanctions and economic embargoes, tariffs, export quotas, custom duties, or other trade restrictions, or any unexpected changes thereto;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risks resulting from changes in currency exchange rates.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07" w:right="137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If we invest substantial time and resources to establish and expand our operations internationally and are unable to do so successfully and in a timely manner, our operating results would suffer.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Legal and Regulatory Environment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subject to a large number of U.S. and non-U.S. laws and regulations, many of which are evolving.</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54"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5"/>
          <w:szCs w:val="15"/>
          <w:color w:val="auto"/>
        </w:rPr>
        <w:t>.</w:t>
      </w:r>
    </w:p>
    <w:p>
      <w:pPr>
        <w:spacing w:after="0" w:line="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20"/>
          </w:cols>
          <w:pgMar w:left="320" w:top="407"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which could have a material adverse effect on our business, financial condition, and results of operations.</w:t>
      </w:r>
    </w:p>
    <w:p>
      <w:pPr>
        <w:spacing w:after="0" w:line="159"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5"/>
          <w:szCs w:val="15"/>
          <w:color w:val="auto"/>
        </w:rPr>
        <w:t>.</w:t>
      </w:r>
    </w:p>
    <w:p>
      <w:pPr>
        <w:spacing w:after="0" w:line="58"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3"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00"/>
          </w:cols>
          <w:pgMar w:left="320" w:top="407" w:right="137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71"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07"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55" w:lineRule="exact"/>
        <w:rPr>
          <w:sz w:val="20"/>
          <w:szCs w:val="20"/>
          <w:color w:val="auto"/>
        </w:rPr>
      </w:pPr>
    </w:p>
    <w:p>
      <w:pPr>
        <w:ind w:left="1020" w:right="380" w:firstLine="460"/>
        <w:spacing w:after="0" w:line="270" w:lineRule="auto"/>
        <w:rPr>
          <w:sz w:val="20"/>
          <w:szCs w:val="20"/>
          <w:color w:val="auto"/>
        </w:rPr>
      </w:pPr>
      <w:r>
        <w:rPr>
          <w:rFonts w:ascii="Arial" w:cs="Arial" w:eastAsia="Arial" w:hAnsi="Arial"/>
          <w:sz w:val="15"/>
          <w:szCs w:val="15"/>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w:t>
      </w:r>
    </w:p>
    <w:p>
      <w:pPr>
        <w:spacing w:after="0" w:line="2"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7"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spacing w:after="0"/>
        <w:rPr>
          <w:sz w:val="20"/>
          <w:szCs w:val="20"/>
          <w:color w:val="auto"/>
        </w:rPr>
      </w:pPr>
      <w:r>
        <w:rPr>
          <w:rFonts w:ascii="Arial" w:cs="Arial" w:eastAsia="Arial" w:hAnsi="Arial"/>
          <w:sz w:val="15"/>
          <w:szCs w:val="15"/>
          <w:color w:val="auto"/>
        </w:rPr>
        <w:t>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52"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77"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8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In addition, the Telephone Consumer Protection Act, or TCPA, imposes significant restrictions on the ability to make telephone calls or send text messages to mobile telephone numbers without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00"/>
          </w:cols>
          <w:pgMar w:left="320" w:top="407" w:right="137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8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00"/>
          </w:cols>
          <w:pgMar w:left="320" w:top="407" w:right="137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52"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157" w:lineRule="exact"/>
        <w:rPr>
          <w:sz w:val="20"/>
          <w:szCs w:val="20"/>
          <w:color w:val="auto"/>
        </w:rPr>
      </w:pPr>
    </w:p>
    <w:p>
      <w:pPr>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7" w:right="135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settlements, these matters, and the time and resources necessary to litigate or resolve them, could harm our business, financial condition, and results of operations.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52"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r>
        <w:rPr>
          <w:rFonts w:ascii="Arial" w:cs="Arial" w:eastAsia="Arial" w:hAnsi="Arial"/>
          <w:sz w:val="15"/>
          <w:szCs w:val="15"/>
          <w:color w:val="auto"/>
        </w:rPr>
        <w:t>.</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We are subject to income and other taxes in the United States and in various states within the United States. Our effective tax rate or tax liability could be adversely affected due to several factors, including:</w:t>
      </w:r>
    </w:p>
    <w:p>
      <w:pPr>
        <w:spacing w:after="0" w:line="87" w:lineRule="exact"/>
        <w:rPr>
          <w:sz w:val="20"/>
          <w:szCs w:val="20"/>
          <w:color w:val="auto"/>
        </w:rPr>
      </w:pPr>
    </w:p>
    <w:p>
      <w:pPr>
        <w:ind w:left="1660" w:right="50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changes in the relative amounts of income before taxes in the various jurisdictions in which we operate that have differing statutory tax rates;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00"/>
          </w:cols>
          <w:pgMar w:left="32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the United States or foreign tax laws, tax treaties, and regulations or the interpretation of them;</w:t>
      </w:r>
    </w:p>
    <w:p>
      <w:pPr>
        <w:spacing w:after="0" w:line="97" w:lineRule="exact"/>
        <w:rPr>
          <w:rFonts w:ascii="Arial" w:cs="Arial" w:eastAsia="Arial" w:hAnsi="Arial"/>
          <w:sz w:val="15"/>
          <w:szCs w:val="15"/>
          <w:color w:val="auto"/>
        </w:rPr>
      </w:pPr>
    </w:p>
    <w:p>
      <w:pPr>
        <w:ind w:left="1660" w:right="10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outcome of current and future tax audits, examinations, or administrative appeals;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limitations or adverse findings regarding our ability to do business in some jurisdictions.</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72"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Dependence on Third Parties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face risks associated with brand partners from whom our products are sourced or co-manufactured.</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91" w:lineRule="exact"/>
        <w:rPr>
          <w:sz w:val="20"/>
          <w:szCs w:val="20"/>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discontinue selling products to us;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enter into arrangements with competitors that could impair our ability to source their products, including by giving our competitors exclusivity arrangements or limiting our access to certain products;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raise the prices they charge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are not satisfied with the value proposition we offer them;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do not view our brand favorably;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change pricing terms to require us to pay a significant portion of the cost of items on delivery or upfront;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experience negative publicity or reputational issues;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00"/>
          </w:cols>
          <w:pgMar w:left="320" w:top="407" w:right="1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do not follow our vendor code of conduct and/or violate legal and regulatory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experience supply chain disruptions that cause lead times to be lengthened;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 to execute on the design we have provided for co-manufactured products.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53" w:lineRule="exact"/>
        <w:rPr>
          <w:sz w:val="20"/>
          <w:szCs w:val="20"/>
          <w:color w:val="auto"/>
        </w:rPr>
      </w:pPr>
    </w:p>
    <w:p>
      <w:pPr>
        <w:ind w:left="1020" w:right="300" w:firstLine="460"/>
        <w:spacing w:after="0" w:line="270" w:lineRule="auto"/>
        <w:rPr>
          <w:sz w:val="20"/>
          <w:szCs w:val="20"/>
          <w:color w:val="auto"/>
        </w:rPr>
      </w:pPr>
      <w:r>
        <w:rPr>
          <w:rFonts w:ascii="Arial" w:cs="Arial" w:eastAsia="Arial" w:hAnsi="Arial"/>
          <w:sz w:val="15"/>
          <w:szCs w:val="15"/>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73"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180"/>
          </w:cols>
          <w:pgMar w:left="320" w:top="407" w:right="139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reason, the transition would require significant time and management resources, and may not be available on acceptable terms or as effective, efficient, or well-received by our customers.</w:t>
      </w:r>
    </w:p>
    <w:p>
      <w:pPr>
        <w:spacing w:after="0" w:line="148" w:lineRule="exact"/>
        <w:rPr>
          <w:sz w:val="20"/>
          <w:szCs w:val="20"/>
          <w:color w:val="auto"/>
        </w:rPr>
      </w:pPr>
    </w:p>
    <w:p>
      <w:pPr>
        <w:ind w:left="1020" w:right="440" w:firstLine="460"/>
        <w:spacing w:after="0" w:line="270" w:lineRule="auto"/>
        <w:rPr>
          <w:sz w:val="20"/>
          <w:szCs w:val="20"/>
          <w:color w:val="auto"/>
        </w:rPr>
      </w:pPr>
      <w:r>
        <w:rPr>
          <w:rFonts w:ascii="Arial" w:cs="Arial" w:eastAsia="Arial" w:hAnsi="Arial"/>
          <w:sz w:val="15"/>
          <w:szCs w:val="15"/>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20"/>
          </w:cols>
          <w:pgMar w:left="320" w:top="407"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5"/>
          <w:szCs w:val="15"/>
          <w:color w:val="auto"/>
        </w:rPr>
        <w:t>.</w:t>
      </w:r>
    </w:p>
    <w:p>
      <w:pPr>
        <w:spacing w:after="0" w:line="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66"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52" w:lineRule="exact"/>
        <w:rPr>
          <w:sz w:val="20"/>
          <w:szCs w:val="20"/>
          <w:color w:val="auto"/>
        </w:rPr>
      </w:pPr>
    </w:p>
    <w:p>
      <w:pPr>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72"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may incur significant losses from fraud</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However, our failure to adequately prevent fraudulent transactions could damage our reputation, result in litigation or regulatory action, and lead to expenses that could substantially impact our operating results.</w:t>
      </w:r>
    </w:p>
    <w:p>
      <w:pPr>
        <w:spacing w:after="0" w:line="148"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this Offering and Ownership of Our Class A Common Stock</w:t>
      </w:r>
    </w:p>
    <w:p>
      <w:pPr>
        <w:spacing w:after="0" w:line="87"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r>
        <w:rPr>
          <w:rFonts w:ascii="Arial" w:cs="Arial" w:eastAsia="Arial" w:hAnsi="Arial"/>
          <w:sz w:val="15"/>
          <w:szCs w:val="15"/>
          <w:color w:val="auto"/>
        </w:rPr>
        <w:t>.</w:t>
      </w:r>
    </w:p>
    <w:p>
      <w:pPr>
        <w:spacing w:after="0" w:line="77"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Our Class B common stock has 20 votes per share, and our Class A common stock, which is the stock we are listing on Nasdaq and is being registered pursuant to the registration statement of which this prospectus forms a part, has one vote per share. As of July 31, 2021, our Co-Founders, and their affiliates held in the aggregate 49.5%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intend to enter into a stockholders’ agreement in connection with this offering with respect to the election of directors. This concentrated control may limit or preclude your ability to influence corporate matters for the foreseeable future, including the election of directors, amendments of our organizational documents, and any merger, consolidation, sale of all or substantially all of our assets,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152"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An active, liquid, and orderly market for our Class A common stock may not develop or be sustained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You may be unable to sell your shares of Class A common stock at or above the price at which you purchased them.</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currently expect our Class A common stock to be listed and traded on Nasdaq. Prior to listing on Nasdaq,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7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 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Moreover, if funds affiliated with Franklin Templeton are allocated all or a portion of the shares in which they have indicated an interest in this offering, and they purchase any such shares, such purchases could reduce the available public float for shares of our Class A common stock if these funds hold shares long-term as existing holders of our common stock.</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share price may be volatile, and you may be unable to sell your shares at or above the offering price</w:t>
      </w:r>
      <w:r>
        <w:rPr>
          <w:rFonts w:ascii="Arial" w:cs="Arial" w:eastAsia="Arial" w:hAnsi="Arial"/>
          <w:sz w:val="15"/>
          <w:szCs w:val="15"/>
          <w:color w:val="auto"/>
        </w:rPr>
        <w:t>.</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market price of our Class A common stock is likely to be volatile and could be subject to wide fluctuations in response to the risk factors described in this prospectus, and others beyond our control, including:</w:t>
      </w:r>
    </w:p>
    <w:p>
      <w:pPr>
        <w:spacing w:after="0" w:line="87" w:lineRule="exact"/>
        <w:rPr>
          <w:sz w:val="20"/>
          <w:szCs w:val="20"/>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or other operating metrics;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actual or anticipated operating performance and the operating performance of our competitors;</w:t>
      </w:r>
    </w:p>
    <w:p>
      <w:pPr>
        <w:spacing w:after="0" w:line="97" w:lineRule="exact"/>
        <w:rPr>
          <w:rFonts w:ascii="Arial" w:cs="Arial" w:eastAsia="Arial" w:hAnsi="Arial"/>
          <w:sz w:val="15"/>
          <w:szCs w:val="15"/>
          <w:color w:val="auto"/>
        </w:rPr>
      </w:pPr>
    </w:p>
    <w:p>
      <w:pPr>
        <w:ind w:left="5540" w:right="1920" w:hanging="4063"/>
        <w:spacing w:after="0" w:line="417" w:lineRule="auto"/>
        <w:tabs>
          <w:tab w:leader="none" w:pos="165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changes in the financial projections we provide to the public or our failure to meet these projections; 64</w:t>
      </w:r>
    </w:p>
    <w:p>
      <w:pPr>
        <w:sectPr>
          <w:pgSz w:w="11900" w:h="16838" w:orient="portrait"/>
          <w:cols w:equalWidth="0" w:num="1">
            <w:col w:w="10180"/>
          </w:cols>
          <w:pgMar w:left="320" w:top="407" w:right="139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perceived adequacy of our ESG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positive or negative publicity;</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major change in our board of directors, management, or key personnel;</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economy as a whole and market conditions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innovations, new products, services, features, integrations, or capabilities, acquisitions, strategic investments, partnerships, joint ventures, or capital commitments;</w:t>
      </w:r>
    </w:p>
    <w:p>
      <w:pPr>
        <w:spacing w:after="0" w:line="87" w:lineRule="exact"/>
        <w:rPr>
          <w:rFonts w:ascii="Arial" w:cs="Arial" w:eastAsia="Arial" w:hAnsi="Arial"/>
          <w:sz w:val="15"/>
          <w:szCs w:val="15"/>
          <w:color w:val="auto"/>
        </w:rPr>
      </w:pPr>
    </w:p>
    <w:p>
      <w:pPr>
        <w:ind w:left="1660" w:right="48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legal and regulatory landscape and changes in the application of existing laws or adoption of new laws that impact our business, including changes in e-commerce and tax laws;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legal and regulatory claims, litigation, or pre-litigation disputes and other proceedings;</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pace of the COVID-19 pandemic recovery and its impact on our business or the fashion industry and sharing economy generally;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sales or expected sales of our Class A common stock by us, our officers, directors, principal stockholders, and employees;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or responses to these events.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57" w:lineRule="exact"/>
        <w:rPr>
          <w:sz w:val="20"/>
          <w:szCs w:val="20"/>
          <w:color w:val="auto"/>
        </w:rPr>
      </w:pPr>
    </w:p>
    <w:p>
      <w:pPr>
        <w:ind w:left="1020" w:right="520" w:firstLine="460"/>
        <w:spacing w:after="0" w:line="270" w:lineRule="auto"/>
        <w:rPr>
          <w:sz w:val="20"/>
          <w:szCs w:val="20"/>
          <w:color w:val="auto"/>
        </w:rPr>
      </w:pPr>
      <w:r>
        <w:rPr>
          <w:rFonts w:ascii="Arial" w:cs="Arial" w:eastAsia="Arial" w:hAnsi="Arial"/>
          <w:sz w:val="15"/>
          <w:szCs w:val="15"/>
          <w:b w:val="1"/>
          <w:bCs w:val="1"/>
          <w:i w:val="1"/>
          <w:iCs w:val="1"/>
          <w:color w:val="auto"/>
        </w:rPr>
        <w:t>After this offering, company insiders will continue to have the ability to control or significantly influence all matters submitted to stockholders for approval.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Following the completion of this offering, our executive officers, directors, and greater than 5% stockholders, in the aggregate, will beneficially own approximately 42%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Our management has broad discretion in the use of the net proceeds from this offering and may not use the net proceeds effectively</w:t>
      </w:r>
      <w:r>
        <w:rPr>
          <w:rFonts w:ascii="Arial" w:cs="Arial" w:eastAsia="Arial" w:hAnsi="Arial"/>
          <w:sz w:val="15"/>
          <w:szCs w:val="15"/>
          <w:color w:val="auto"/>
        </w:rPr>
        <w:t>.</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cannot predict the effect our dual class structure may have on the trading price of our Class A common stock</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52"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20"/>
          </w:cols>
          <w:pgMar w:left="320" w:top="407" w:right="135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share price to fall</w:t>
      </w:r>
      <w:r>
        <w:rPr>
          <w:rFonts w:ascii="Arial" w:cs="Arial" w:eastAsia="Arial" w:hAnsi="Arial"/>
          <w:sz w:val="15"/>
          <w:szCs w:val="15"/>
          <w:color w:val="auto"/>
        </w:rPr>
        <w:t>.</w:t>
      </w:r>
    </w:p>
    <w:p>
      <w:pPr>
        <w:spacing w:after="0" w:line="105"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Upon closing of this offering, based on the shares outstanding as of July 31, 2021, we will have 59,928,745 shares of Class A common stock outstanding, assuming no exercise of the underwriters’ option to purchase additional shares, and 2,939,928 shares of Class B common stock outstanding. Of the outstanding shares, the 17,000,000 shares of Class A common stock sold or issued in this offering (or 19,550,000 shares if the underwriters exercise their over-allotment option in full) will be freely tradable without restriction or 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171" w:lineRule="exact"/>
        <w:rPr>
          <w:sz w:val="20"/>
          <w:szCs w:val="20"/>
          <w:color w:val="auto"/>
        </w:rPr>
      </w:pPr>
    </w:p>
    <w:p>
      <w:pPr>
        <w:ind w:left="1020" w:right="280" w:firstLine="460"/>
        <w:spacing w:after="0"/>
        <w:rPr>
          <w:sz w:val="20"/>
          <w:szCs w:val="20"/>
          <w:color w:val="auto"/>
        </w:rPr>
      </w:pPr>
      <w:r>
        <w:rPr>
          <w:rFonts w:ascii="Arial" w:cs="Arial" w:eastAsia="Arial" w:hAnsi="Arial"/>
          <w:sz w:val="15"/>
          <w:szCs w:val="15"/>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00"/>
          </w:cols>
          <w:pgMar w:left="320" w:top="407" w:right="137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subject to certain customary exceptions, restrict the sale of the shares of our common stock and certain other securities held by them for 180 days following the date of this prospectus. Goldman Sachs &amp; Co. LLC, Morgan Stanley &amp; Co. LLC and Barclays Capital Inc., or the Lock-Up Release Parties, may, in their sole discretion and at any time without notice, release all or any portion of the shares or securities subject to any such lock-up agreements. See “Underwriting” for a description of these lock-up agreements.</w:t>
      </w:r>
    </w:p>
    <w:p>
      <w:pPr>
        <w:spacing w:after="0" w:line="172" w:lineRule="exact"/>
        <w:rPr>
          <w:sz w:val="20"/>
          <w:szCs w:val="20"/>
          <w:color w:val="auto"/>
        </w:rPr>
      </w:pPr>
    </w:p>
    <w:p>
      <w:pPr>
        <w:jc w:val="both"/>
        <w:ind w:left="1020" w:right="300" w:firstLine="460"/>
        <w:spacing w:after="0" w:line="245" w:lineRule="auto"/>
        <w:rPr>
          <w:sz w:val="20"/>
          <w:szCs w:val="20"/>
          <w:color w:val="auto"/>
        </w:rPr>
      </w:pPr>
      <w:r>
        <w:rPr>
          <w:rFonts w:ascii="Arial" w:cs="Arial" w:eastAsia="Arial" w:hAnsi="Arial"/>
          <w:sz w:val="15"/>
          <w:szCs w:val="15"/>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Existing Credit Agreements and Amended Credit Facility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you purchase shares of our Class A common stock in this offering, you will incur immediate and substantial dilution</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initial public offering price of $21.00 per share of our Class A common stock is substantially higher than the net tangible book value per share of our Class A common stock, which on a pro forma as adjusted basis was $2.15 per share of our common stock as of July 31,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52"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5"/>
          <w:szCs w:val="15"/>
          <w:color w:val="auto"/>
        </w:rPr>
        <w:t>.</w:t>
      </w:r>
    </w:p>
    <w:p>
      <w:pPr>
        <w:spacing w:after="0" w:line="72"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There are provisions in our Amended Charter and Amended Bylaws, as they will be in effect following the effectiveness of the registration statement of which this prospectus forms a part, that may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00"/>
          </w:cols>
          <w:pgMar w:left="320" w:top="407" w:right="137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make it difficult for a third party to acquire, or attempt to acquire, control of our company, even if a change in control were considered favorable by our stockholders. These anti-takeover provisions include:</w:t>
      </w:r>
    </w:p>
    <w:p>
      <w:pPr>
        <w:spacing w:after="0" w:line="87" w:lineRule="exact"/>
        <w:rPr>
          <w:sz w:val="20"/>
          <w:szCs w:val="20"/>
          <w:color w:val="auto"/>
        </w:rPr>
      </w:pPr>
    </w:p>
    <w:p>
      <w:pPr>
        <w:ind w:left="1660" w:right="20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authorization of the issuance of “blank check” preferred stock that our board of directors could use to implement a stockholder rights plan;</w:t>
      </w:r>
    </w:p>
    <w:p>
      <w:pPr>
        <w:spacing w:after="0" w:line="87" w:lineRule="exact"/>
        <w:rPr>
          <w:rFonts w:ascii="Arial" w:cs="Arial" w:eastAsia="Arial" w:hAnsi="Arial"/>
          <w:sz w:val="15"/>
          <w:szCs w:val="15"/>
          <w:color w:val="auto"/>
        </w:rPr>
      </w:pPr>
    </w:p>
    <w:p>
      <w:pPr>
        <w:ind w:left="1660" w:right="180" w:hanging="183"/>
        <w:spacing w:after="0" w:line="238"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3"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classified board of directors so that not all members of our board of directors are elected at one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requirement that our directors may only be removed for cause;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ability of our directors to fill all board vacancies, subject to the rights granted pursuant to the stockholders’ agreement;</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prohibition on stockholder actions by written consent, thereby requiring that all stockholder actions be taken at a meeting of our stockholders;</w:t>
      </w:r>
    </w:p>
    <w:p>
      <w:pPr>
        <w:spacing w:after="0" w:line="8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advance notice procedures for stockholder director nominees and annual meeting matters (other than the parties to our stockholders’ agreement for nominations made pursuant to the terms of the stockholders’ agreement);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inability of our stockholders to call special meetings of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ability of our directors to amend our Amended Bylaws without stockholder consent;</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requirement of a super-majority to amend some provisions in our Amended Charter and for stockholders to amend the Amended Bylaws;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prohibition on cumulative voting for directors.</w:t>
      </w:r>
    </w:p>
    <w:p>
      <w:pPr>
        <w:spacing w:after="0" w:line="177"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71"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00"/>
          </w:cols>
          <w:pgMar w:left="320" w:top="407"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52"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Our Amended Charter will provide that the doctrine of “corporate opportunity” does not apply with respect to any directors (or their affiliates) who are not our employees.</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160"/>
          </w:cols>
          <w:pgMar w:left="320" w:top="407" w:right="14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180"/>
          </w:cols>
          <w:pgMar w:left="320" w:top="407" w:right="139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59" w:firstLine="460"/>
        <w:spacing w:after="0" w:line="237"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92" w:lineRule="exact"/>
        <w:rPr>
          <w:sz w:val="20"/>
          <w:szCs w:val="20"/>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manage our future growth effectively;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effects of the COVID-19 pandemic, including new variants of the virus, such as the Delta variant;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compete successfully;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attract new, and retain existing,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accurately estimate our market opportunity and forecast market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anticipate and respond successfully to changing fashion trends and consumer preferences;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receive inbound products from brand partners and ship products to and from customers efficiently;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ability of our brand partners to adequately and timely deliver products to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effects of seasonal trends on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remain in compliance with extensive laws and regulations that apply to our business and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adequately maintain and protect our intellectual property and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w:t>
      </w:r>
    </w:p>
    <w:p>
      <w:pPr>
        <w:spacing w:after="0" w:line="97" w:lineRule="exact"/>
        <w:rPr>
          <w:rFonts w:ascii="Arial" w:cs="Arial" w:eastAsia="Arial" w:hAnsi="Arial"/>
          <w:sz w:val="15"/>
          <w:szCs w:val="15"/>
          <w:color w:val="auto"/>
        </w:rPr>
      </w:pPr>
    </w:p>
    <w:p>
      <w:pPr>
        <w:ind w:left="1660" w:right="59"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risks and uncertainties, including those described in the sections titled “Risk Factors” and “Management’s Discussion and Analysis of Financial Condition and Results of Operations”;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completion of the concurrent Refinancing.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right="59" w:firstLine="460"/>
        <w:spacing w:after="0" w:line="238"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139"/>
          </w:cols>
          <w:pgMar w:left="320" w:top="407" w:right="1440"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72"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07" w:right="13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INDUSTRY AND OTHER DATA</w:t>
      </w:r>
    </w:p>
    <w:p>
      <w:pPr>
        <w:spacing w:after="0" w:line="19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172"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2021. Paused subscribers and subscribers who joined for the first time between February 22, 2021 and April 30, 2021 were not included. We give no weight to subscribers who decline to answer the survey question.</w:t>
      </w:r>
    </w:p>
    <w:p>
      <w:pPr>
        <w:spacing w:after="0" w:line="170"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6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also includes references to our July 2021 survey we commissioned with Lab42 Research, LLC, or the July 2021 Lab42 Survey, which we use to measure consumer preferences. Our methodology of conducting the consumer survey measures responses from 3,000 individuals that indicated that they met the following criteria when completing the survey: female, ages 18 to 44, with a household income of $50,000 or more that spend $150 or more on clothing in an average year and describe themselves as at least neutrally agreeing with the statements “I am interested in style and fashion” and “I am comfortable shopping online.” The survey included soft quotas such that 75% of respondents were between the ages of 25 and 45 and at least 50% of the respondents had a household income of greater than $100,000. We give no weight to customers who decline to answer the survey question.</w:t>
      </w:r>
    </w:p>
    <w:p>
      <w:pPr>
        <w:spacing w:after="0" w:line="17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This prospectus also includes references to our June 2021 Rent the Runway Brand Survey, which we use to measure brand partner engagement. Our methodology of conducting the Brand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20"/>
          </w:cols>
          <w:pgMar w:left="320" w:top="407" w:right="135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Survey measures responses from a pool of respondents we actively partnered with for the Spring 2021 season. Brand partners responded to the survey questions from June 24, 2021 through July 12, 2021.</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70" w:lineRule="exact"/>
        <w:rPr>
          <w:sz w:val="20"/>
          <w:szCs w:val="20"/>
          <w:color w:val="auto"/>
        </w:rPr>
      </w:pPr>
    </w:p>
    <w:p>
      <w:pPr>
        <w:ind w:left="1020" w:right="580" w:firstLine="460"/>
        <w:spacing w:after="0" w:line="245" w:lineRule="auto"/>
        <w:rPr>
          <w:sz w:val="20"/>
          <w:szCs w:val="20"/>
          <w:color w:val="auto"/>
        </w:rPr>
      </w:pPr>
      <w:r>
        <w:rPr>
          <w:rFonts w:ascii="Arial" w:cs="Arial" w:eastAsia="Arial" w:hAnsi="Arial"/>
          <w:sz w:val="15"/>
          <w:szCs w:val="15"/>
          <w:color w:val="auto"/>
        </w:rPr>
        <w:t>This prospectus also includes customer case studies from Rent the Runway customers. One of these customers is a brand ambassador. In that capacity, she has previously been gifted extra spots or months of membership to promote Rent the Runway.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estimate that we will receive approximately $327.3 million from the sale of 17,000,000 shares of Class A common stock in this offering, or approximately $377.3 million if the underwriters exercise in full their option to purchase additional shares, based on an initial public offering price of $21.00 per share, after deducting underwriting discounts and commissions and estimated offering expenses payable by us.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Ares Facility and $30.0 million outstanding under our Credit Facility. We intend to use any remaining net proceeds from this offering after such repayment to fund growth, fund other general corporate purposes, or to pay down additional amounts under the Credit Facility.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the outstanding balance on the Ares Facility consisted of $74.5 million of outstanding principal, $4.7 million of payment-in-kind interest, netted with $9.0 million of unamortized debt discount and debt issuance costs. The Ares Facility bears an interest rate of 8% per annum to be accrued as non-cash interest, or we can elect to pay cash interest at 6.5% per annum, and the facility matures at the earlier of October 2023 or 91 days prior to the maturity of the Credit Facility. Under the terms of the Ares Facility, we are required to pay an exit payment of $ 1.5 million and a debt prepayment penalty of $ 3.2 million to be paid once the facility matures or the original principal is paid in full. As of July 31, 2021, the outstanding balance on the Credit Facility consisted of $230.0 million of outstanding principal and $82.4 million of payment-in-kind interest. The initial commitments under the Credit Facility bear an interest rate of 15% per annum that accrue as non-cash interest and, after the third anniversary of the loan, we can elect to pay cash interest at 13% per annum in lieu of the 15% non-cash interest. The subsequent commitments under the Credit Facility bear a cash interest rate of 13% per annum, payable quarterly. The Credit Facility matures in July 2023. The interest rates and maturity, among other provisions, under the Credit Facility will be amended by the Credit Facility Amendment. For further information on the Existing Credit Agreements and the Credit Facility Amendment, see “Management’s Discussion and Analysis of Financial Condition and Results of Operations—Liquidity and Capital Resources—Indebtedness.”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00"/>
          </w:cols>
          <w:pgMar w:left="320" w:top="407" w:right="137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70"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cash equivalents, and our capitalization as of July 31, 2021 as follows:</w:t>
      </w:r>
    </w:p>
    <w:p>
      <w:pPr>
        <w:spacing w:after="0" w:line="98" w:lineRule="exact"/>
        <w:rPr>
          <w:sz w:val="20"/>
          <w:szCs w:val="20"/>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 pro forma basis to give effect to (i) the Transactions and (ii) the filing and effectiveness of our Amended Charter and the adoption of our Amended Bylaws, in each case as if such event had occurred on July 31, 2021; and</w:t>
      </w:r>
    </w:p>
    <w:p>
      <w:pPr>
        <w:spacing w:after="0" w:line="87" w:lineRule="exact"/>
        <w:rPr>
          <w:rFonts w:ascii="Arial" w:cs="Arial" w:eastAsia="Arial" w:hAnsi="Arial"/>
          <w:sz w:val="15"/>
          <w:szCs w:val="15"/>
          <w:color w:val="auto"/>
        </w:rPr>
      </w:pPr>
    </w:p>
    <w:p>
      <w:pPr>
        <w:ind w:left="1660" w:right="140" w:hanging="183"/>
        <w:spacing w:after="0" w:line="238"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 pro forma as adjusted basis to give effect to (i) the pro forma adjustments described above, (ii) the issuance and sale of Class A common stock in this offering based on initial public offering price of $21.00 per share, after deducting the underwriting discounts and commissions and estimated offering expenses payable by us and (iii) the application of the net proceeds therefrom as described under “Use of Proceeds,” including the Refinancing, in each case as if such event had occurred on July 31, 2021.</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2"/>
                <w:szCs w:val="12"/>
                <w:b w:val="1"/>
                <w:bCs w:val="1"/>
                <w:color w:val="auto"/>
                <w:w w:val="99"/>
              </w:rPr>
              <w:t>As of July 31 , 2021</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46"/>
              <w:spacing w:after="0" w:line="113" w:lineRule="exact"/>
              <w:rPr>
                <w:sz w:val="20"/>
                <w:szCs w:val="20"/>
                <w:color w:val="auto"/>
              </w:rPr>
            </w:pPr>
            <w:r>
              <w:rPr>
                <w:rFonts w:ascii="Arial" w:cs="Arial" w:eastAsia="Arial" w:hAnsi="Arial"/>
                <w:sz w:val="12"/>
                <w:szCs w:val="12"/>
                <w:b w:val="1"/>
                <w:bCs w:val="1"/>
                <w:color w:val="auto"/>
                <w:w w:val="96"/>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Actual</w:t>
            </w:r>
          </w:p>
        </w:tc>
        <w:tc>
          <w:tcPr>
            <w:tcW w:w="360" w:type="dxa"/>
            <w:vAlign w:val="bottom"/>
          </w:tcPr>
          <w:p>
            <w:pPr>
              <w:spacing w:after="0"/>
              <w:rPr>
                <w:sz w:val="12"/>
                <w:szCs w:val="12"/>
                <w:color w:val="auto"/>
              </w:rPr>
            </w:pPr>
          </w:p>
        </w:tc>
        <w:tc>
          <w:tcPr>
            <w:tcW w:w="112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Pro Forma</w:t>
            </w:r>
            <w:r>
              <w:rPr>
                <w:rFonts w:ascii="Arial" w:cs="Arial" w:eastAsia="Arial" w:hAnsi="Arial"/>
                <w:sz w:val="17"/>
                <w:szCs w:val="17"/>
                <w:b w:val="1"/>
                <w:bCs w:val="1"/>
                <w:color w:val="auto"/>
                <w:vertAlign w:val="superscript"/>
              </w:rPr>
              <w:t>(1)</w:t>
            </w:r>
          </w:p>
        </w:tc>
        <w:tc>
          <w:tcPr>
            <w:tcW w:w="40" w:type="dxa"/>
            <w:vAlign w:val="bottom"/>
          </w:tcPr>
          <w:p>
            <w:pPr>
              <w:spacing w:after="0"/>
              <w:rPr>
                <w:sz w:val="12"/>
                <w:szCs w:val="12"/>
                <w:color w:val="auto"/>
              </w:rPr>
            </w:pPr>
          </w:p>
        </w:tc>
        <w:tc>
          <w:tcPr>
            <w:tcW w:w="92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16"/>
        </w:trPr>
        <w:tc>
          <w:tcPr>
            <w:tcW w:w="5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gridSpan w:val="7"/>
          </w:tcPr>
          <w:p>
            <w:pPr>
              <w:jc w:val="center"/>
              <w:ind w:right="506"/>
              <w:spacing w:after="0" w:line="117" w:lineRule="exact"/>
              <w:rPr>
                <w:sz w:val="20"/>
                <w:szCs w:val="20"/>
                <w:color w:val="auto"/>
              </w:rPr>
            </w:pPr>
            <w:r>
              <w:rPr>
                <w:rFonts w:ascii="Arial" w:cs="Arial" w:eastAsia="Arial" w:hAnsi="Arial"/>
                <w:sz w:val="12"/>
                <w:szCs w:val="12"/>
                <w:b w:val="1"/>
                <w:bCs w:val="1"/>
                <w:color w:val="auto"/>
                <w:w w:val="99"/>
              </w:rPr>
              <w:t>(in millions, except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per share data)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(3)</w:t>
            </w:r>
          </w:p>
        </w:tc>
        <w:tc>
          <w:tcPr>
            <w:tcW w:w="780" w:type="dxa"/>
            <w:vAlign w:val="bottom"/>
            <w:gridSpan w:val="3"/>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$ 104.0</w:t>
            </w:r>
          </w:p>
        </w:tc>
        <w:tc>
          <w:tcPr>
            <w:tcW w:w="44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104.0</w:t>
            </w:r>
          </w:p>
        </w:tc>
        <w:tc>
          <w:tcPr>
            <w:tcW w:w="14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317.3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5"/>
                <w:szCs w:val="15"/>
                <w:color w:val="auto"/>
              </w:rPr>
              <w:t>Indebtedness:</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liabilities</w:t>
            </w:r>
          </w:p>
        </w:tc>
        <w:tc>
          <w:tcPr>
            <w:tcW w:w="780" w:type="dxa"/>
            <w:vAlign w:val="bottom"/>
            <w:gridSpan w:val="3"/>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19.3</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5980" w:type="dxa"/>
            <w:vAlign w:val="bottom"/>
          </w:tcPr>
          <w:p>
            <w:pPr>
              <w:spacing w:after="0" w:line="169" w:lineRule="exact"/>
              <w:rPr>
                <w:sz w:val="20"/>
                <w:szCs w:val="20"/>
                <w:color w:val="auto"/>
              </w:rPr>
            </w:pPr>
            <w:r>
              <w:rPr>
                <w:rFonts w:ascii="Arial" w:cs="Arial" w:eastAsia="Arial" w:hAnsi="Arial"/>
                <w:sz w:val="15"/>
                <w:szCs w:val="15"/>
                <w:color w:val="auto"/>
              </w:rPr>
              <w:t>Long-term debt, net</w:t>
            </w:r>
            <w:r>
              <w:rPr>
                <w:rFonts w:ascii="Arial" w:cs="Arial" w:eastAsia="Arial" w:hAnsi="Arial"/>
                <w:sz w:val="12"/>
                <w:szCs w:val="12"/>
                <w:color w:val="auto"/>
              </w:rPr>
              <w:t>(4)</w:t>
            </w:r>
          </w:p>
        </w:tc>
        <w:tc>
          <w:tcPr>
            <w:tcW w:w="780" w:type="dxa"/>
            <w:vAlign w:val="bottom"/>
            <w:gridSpan w:val="3"/>
          </w:tcPr>
          <w:p>
            <w:pPr>
              <w:jc w:val="right"/>
              <w:ind w:right="80"/>
              <w:spacing w:after="0" w:line="169" w:lineRule="exact"/>
              <w:rPr>
                <w:sz w:val="20"/>
                <w:szCs w:val="20"/>
                <w:color w:val="auto"/>
              </w:rPr>
            </w:pPr>
            <w:r>
              <w:rPr>
                <w:rFonts w:ascii="Arial" w:cs="Arial" w:eastAsia="Arial" w:hAnsi="Arial"/>
                <w:sz w:val="15"/>
                <w:szCs w:val="15"/>
                <w:color w:val="auto"/>
              </w:rPr>
              <w:t>381.8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381.8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276.0</w:t>
            </w:r>
          </w:p>
        </w:tc>
        <w:tc>
          <w:tcPr>
            <w:tcW w:w="0" w:type="dxa"/>
            <w:vAlign w:val="bottom"/>
          </w:tcPr>
          <w:p>
            <w:pPr>
              <w:spacing w:after="0"/>
              <w:rPr>
                <w:sz w:val="1"/>
                <w:szCs w:val="1"/>
                <w:color w:val="auto"/>
              </w:rPr>
            </w:pPr>
          </w:p>
        </w:tc>
      </w:tr>
      <w:tr>
        <w:trPr>
          <w:trHeight w:val="168"/>
        </w:trPr>
        <w:tc>
          <w:tcPr>
            <w:tcW w:w="5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per share; 36,055,409 shares</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32,575,462 shares issued and outstanding, actual; no shares authorized,</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issued and outstanding, pro forma and pro forma as adjusted</w:t>
            </w:r>
          </w:p>
        </w:tc>
        <w:tc>
          <w:tcPr>
            <w:tcW w:w="780" w:type="dxa"/>
            <w:vAlign w:val="bottom"/>
            <w:gridSpan w:val="3"/>
            <w:shd w:val="clear" w:color="auto" w:fill="CCEEFF"/>
          </w:tcPr>
          <w:p>
            <w:pPr>
              <w:jc w:val="right"/>
              <w:ind w:right="80"/>
              <w:spacing w:after="0" w:line="170" w:lineRule="exact"/>
              <w:rPr>
                <w:sz w:val="20"/>
                <w:szCs w:val="20"/>
                <w:color w:val="auto"/>
              </w:rPr>
            </w:pPr>
            <w:r>
              <w:rPr>
                <w:rFonts w:ascii="Arial" w:cs="Arial" w:eastAsia="Arial" w:hAnsi="Arial"/>
                <w:sz w:val="15"/>
                <w:szCs w:val="15"/>
                <w:color w:val="auto"/>
              </w:rPr>
              <w:t>409.3</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980" w:type="dxa"/>
            <w:vAlign w:val="bottom"/>
          </w:tcPr>
          <w:p>
            <w:pPr>
              <w:spacing w:after="0"/>
              <w:rPr>
                <w:sz w:val="20"/>
                <w:szCs w:val="20"/>
                <w:color w:val="auto"/>
              </w:rPr>
            </w:pPr>
            <w:r>
              <w:rPr>
                <w:rFonts w:ascii="Arial" w:cs="Arial" w:eastAsia="Arial" w:hAnsi="Arial"/>
                <w:sz w:val="15"/>
                <w:szCs w:val="15"/>
                <w:color w:val="auto"/>
              </w:rPr>
              <w:t>Total deficit:</w:t>
            </w:r>
          </w:p>
        </w:tc>
        <w:tc>
          <w:tcPr>
            <w:tcW w:w="2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Stockholders’ deficit:</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80" w:type="dxa"/>
            <w:vAlign w:val="bottom"/>
          </w:tcPr>
          <w:p>
            <w:pPr>
              <w:ind w:left="300"/>
              <w:spacing w:after="0" w:line="169" w:lineRule="exact"/>
              <w:rPr>
                <w:sz w:val="20"/>
                <w:szCs w:val="20"/>
                <w:color w:val="auto"/>
              </w:rPr>
            </w:pPr>
            <w:r>
              <w:rPr>
                <w:rFonts w:ascii="Arial" w:cs="Arial" w:eastAsia="Arial" w:hAnsi="Arial"/>
                <w:sz w:val="15"/>
                <w:szCs w:val="15"/>
                <w:color w:val="auto"/>
              </w:rPr>
              <w:t>Common stock, $0.001 par value per share; 62,500,000 shares authorized,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ind w:left="460"/>
              <w:spacing w:after="0" w:line="169" w:lineRule="exact"/>
              <w:rPr>
                <w:sz w:val="20"/>
                <w:szCs w:val="20"/>
                <w:color w:val="auto"/>
              </w:rPr>
            </w:pPr>
            <w:r>
              <w:rPr>
                <w:rFonts w:ascii="Arial" w:cs="Arial" w:eastAsia="Arial" w:hAnsi="Arial"/>
                <w:sz w:val="15"/>
                <w:szCs w:val="15"/>
                <w:color w:val="auto"/>
              </w:rPr>
              <w:t>10,791,253 shares issued and outstanding, actual; no shares authorized, issued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60"/>
              <w:spacing w:after="0" w:line="170" w:lineRule="exact"/>
              <w:rPr>
                <w:sz w:val="20"/>
                <w:szCs w:val="20"/>
                <w:color w:val="auto"/>
              </w:rPr>
            </w:pPr>
            <w:r>
              <w:rPr>
                <w:rFonts w:ascii="Arial" w:cs="Arial" w:eastAsia="Arial" w:hAnsi="Arial"/>
                <w:sz w:val="15"/>
                <w:szCs w:val="15"/>
                <w:color w:val="auto"/>
              </w:rPr>
              <w:t>and outstanding, pro forma and pro forma as adjusted</w:t>
            </w:r>
          </w:p>
        </w:tc>
        <w:tc>
          <w:tcPr>
            <w:tcW w:w="200" w:type="dxa"/>
            <w:vAlign w:val="bottom"/>
          </w:tcPr>
          <w:p>
            <w:pPr>
              <w:spacing w:after="0"/>
              <w:rPr>
                <w:sz w:val="14"/>
                <w:szCs w:val="14"/>
                <w:color w:val="auto"/>
              </w:rPr>
            </w:pPr>
          </w:p>
        </w:tc>
        <w:tc>
          <w:tcPr>
            <w:tcW w:w="580" w:type="dxa"/>
            <w:vAlign w:val="bottom"/>
            <w:gridSpan w:val="2"/>
          </w:tcPr>
          <w:p>
            <w:pPr>
              <w:jc w:val="right"/>
              <w:ind w:right="80"/>
              <w:spacing w:after="0" w:line="170"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5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Class A common stock, $0.001 par value per share; no shares authorized, no</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shares issued or outstanding, actual; 300,000,000 shares authorized,</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42,928,745 shares issued and outstanding, pro forma; 300,000,000 shares</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authorized, 59,928,745 shares issued and outstanding, pro forma as adjusted</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5980" w:type="dxa"/>
            <w:vAlign w:val="bottom"/>
          </w:tcPr>
          <w:p>
            <w:pPr>
              <w:ind w:left="300"/>
              <w:spacing w:after="0" w:line="169" w:lineRule="exact"/>
              <w:rPr>
                <w:sz w:val="20"/>
                <w:szCs w:val="20"/>
                <w:color w:val="auto"/>
              </w:rPr>
            </w:pPr>
            <w:r>
              <w:rPr>
                <w:rFonts w:ascii="Arial" w:cs="Arial" w:eastAsia="Arial" w:hAnsi="Arial"/>
                <w:sz w:val="15"/>
                <w:szCs w:val="15"/>
                <w:color w:val="auto"/>
              </w:rPr>
              <w:t>Class B common stock, $0.001 par value per share; no shares authorized, no</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ind w:left="460"/>
              <w:spacing w:after="0" w:line="169" w:lineRule="exact"/>
              <w:rPr>
                <w:sz w:val="20"/>
                <w:szCs w:val="20"/>
                <w:color w:val="auto"/>
              </w:rPr>
            </w:pPr>
            <w:r>
              <w:rPr>
                <w:rFonts w:ascii="Arial" w:cs="Arial" w:eastAsia="Arial" w:hAnsi="Arial"/>
                <w:sz w:val="15"/>
                <w:szCs w:val="15"/>
                <w:color w:val="auto"/>
              </w:rPr>
              <w:t>shares issued or outstanding, actual; 50,000,000 shares authorized, 2,939,928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ind w:left="460"/>
              <w:spacing w:after="0" w:line="169" w:lineRule="exact"/>
              <w:rPr>
                <w:sz w:val="20"/>
                <w:szCs w:val="20"/>
                <w:color w:val="auto"/>
              </w:rPr>
            </w:pPr>
            <w:r>
              <w:rPr>
                <w:rFonts w:ascii="Arial" w:cs="Arial" w:eastAsia="Arial" w:hAnsi="Arial"/>
                <w:sz w:val="15"/>
                <w:szCs w:val="15"/>
                <w:color w:val="auto"/>
              </w:rPr>
              <w:t>shares issued and outstanding, pro forma; 50,000,000 shares authorized,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80" w:type="dxa"/>
            <w:vAlign w:val="bottom"/>
          </w:tcPr>
          <w:p>
            <w:pPr>
              <w:ind w:left="460"/>
              <w:spacing w:after="0" w:line="170" w:lineRule="exact"/>
              <w:rPr>
                <w:sz w:val="20"/>
                <w:szCs w:val="20"/>
                <w:color w:val="auto"/>
              </w:rPr>
            </w:pPr>
            <w:r>
              <w:rPr>
                <w:rFonts w:ascii="Arial" w:cs="Arial" w:eastAsia="Arial" w:hAnsi="Arial"/>
                <w:sz w:val="15"/>
                <w:szCs w:val="15"/>
                <w:color w:val="auto"/>
              </w:rPr>
              <w:t>2,939,928 shares issued and outstanding, pro forma as adjusted</w:t>
            </w:r>
          </w:p>
        </w:tc>
        <w:tc>
          <w:tcPr>
            <w:tcW w:w="200" w:type="dxa"/>
            <w:vAlign w:val="bottom"/>
          </w:tcPr>
          <w:p>
            <w:pPr>
              <w:spacing w:after="0"/>
              <w:rPr>
                <w:sz w:val="14"/>
                <w:szCs w:val="14"/>
                <w:color w:val="auto"/>
              </w:rPr>
            </w:pPr>
          </w:p>
        </w:tc>
        <w:tc>
          <w:tcPr>
            <w:tcW w:w="580" w:type="dxa"/>
            <w:vAlign w:val="bottom"/>
            <w:gridSpan w:val="2"/>
          </w:tcPr>
          <w:p>
            <w:pPr>
              <w:jc w:val="right"/>
              <w:ind w:right="80"/>
              <w:spacing w:after="0" w:line="170"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780" w:type="dxa"/>
            <w:vAlign w:val="bottom"/>
            <w:gridSpan w:val="3"/>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68.9</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497.2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829.7</w:t>
            </w:r>
          </w:p>
        </w:tc>
        <w:tc>
          <w:tcPr>
            <w:tcW w:w="0" w:type="dxa"/>
            <w:vAlign w:val="bottom"/>
          </w:tcPr>
          <w:p>
            <w:pPr>
              <w:spacing w:after="0"/>
              <w:rPr>
                <w:sz w:val="1"/>
                <w:szCs w:val="1"/>
                <w:color w:val="auto"/>
              </w:rPr>
            </w:pPr>
          </w:p>
        </w:tc>
      </w:tr>
      <w:tr>
        <w:trPr>
          <w:trHeight w:val="169"/>
        </w:trPr>
        <w:tc>
          <w:tcPr>
            <w:tcW w:w="5980" w:type="dxa"/>
            <w:vAlign w:val="bottom"/>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200" w:type="dxa"/>
            <w:vAlign w:val="bottom"/>
          </w:tcPr>
          <w:p>
            <w:pPr>
              <w:spacing w:after="0"/>
              <w:rPr>
                <w:sz w:val="14"/>
                <w:szCs w:val="14"/>
                <w:color w:val="auto"/>
              </w:rPr>
            </w:pPr>
          </w:p>
        </w:tc>
        <w:tc>
          <w:tcPr>
            <w:tcW w:w="5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(674.1)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(674.1)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(687.4)</w:t>
            </w:r>
          </w:p>
        </w:tc>
        <w:tc>
          <w:tcPr>
            <w:tcW w:w="0" w:type="dxa"/>
            <w:vAlign w:val="bottom"/>
          </w:tcPr>
          <w:p>
            <w:pPr>
              <w:spacing w:after="0"/>
              <w:rPr>
                <w:sz w:val="1"/>
                <w:szCs w:val="1"/>
                <w:color w:val="auto"/>
              </w:rPr>
            </w:pPr>
          </w:p>
        </w:tc>
      </w:tr>
      <w:tr>
        <w:trPr>
          <w:trHeight w:val="23"/>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stockholders’ deficit</w:t>
            </w:r>
          </w:p>
        </w:tc>
        <w:tc>
          <w:tcPr>
            <w:tcW w:w="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(605.2)</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(176.9)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80" w:type="dxa"/>
            <w:vAlign w:val="bottom"/>
          </w:tcPr>
          <w:p>
            <w:pPr>
              <w:spacing w:after="0"/>
              <w:rPr>
                <w:sz w:val="20"/>
                <w:szCs w:val="20"/>
                <w:color w:val="auto"/>
              </w:rPr>
            </w:pPr>
            <w:r>
              <w:rPr>
                <w:rFonts w:ascii="Arial" w:cs="Arial" w:eastAsia="Arial" w:hAnsi="Arial"/>
                <w:sz w:val="15"/>
                <w:szCs w:val="15"/>
                <w:color w:val="auto"/>
              </w:rPr>
              <w:t>Total capitalization</w:t>
            </w:r>
          </w:p>
        </w:tc>
        <w:tc>
          <w:tcPr>
            <w:tcW w:w="780" w:type="dxa"/>
            <w:vAlign w:val="bottom"/>
            <w:gridSpan w:val="3"/>
          </w:tcPr>
          <w:p>
            <w:pPr>
              <w:jc w:val="right"/>
              <w:ind w:right="80"/>
              <w:spacing w:after="0"/>
              <w:rPr>
                <w:sz w:val="20"/>
                <w:szCs w:val="20"/>
                <w:color w:val="auto"/>
              </w:rPr>
            </w:pPr>
            <w:r>
              <w:rPr>
                <w:rFonts w:ascii="Arial" w:cs="Arial" w:eastAsia="Arial" w:hAnsi="Arial"/>
                <w:sz w:val="15"/>
                <w:szCs w:val="15"/>
                <w:color w:val="auto"/>
              </w:rPr>
              <w:t>$ 185.9</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5"/>
                <w:szCs w:val="15"/>
                <w:color w:val="auto"/>
              </w:rPr>
              <w:t>204.9</w:t>
            </w:r>
          </w:p>
        </w:tc>
        <w:tc>
          <w:tcPr>
            <w:tcW w:w="140" w:type="dxa"/>
            <w:vAlign w:val="bottom"/>
            <w:gridSpan w:val="2"/>
          </w:tcPr>
          <w:p>
            <w:pPr>
              <w:ind w:left="40"/>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418.3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520"/>
              <w:spacing w:after="0"/>
              <w:rPr>
                <w:sz w:val="20"/>
                <w:szCs w:val="20"/>
                <w:color w:val="auto"/>
              </w:rPr>
            </w:pPr>
            <w:r>
              <w:rPr>
                <w:rFonts w:ascii="Arial" w:cs="Arial" w:eastAsia="Arial" w:hAnsi="Arial"/>
                <w:sz w:val="15"/>
                <w:szCs w:val="15"/>
                <w:color w:val="auto"/>
              </w:rPr>
              <w:t>78</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300" w:hanging="353"/>
        <w:spacing w:after="0" w:line="235" w:lineRule="auto"/>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 forma warrant liabilities and pro forma additional paid-in capital reflects liability classified warrants of $19.0 million that will result in the issuance of shares of common stock upon completion of this offering and pro forma redeemable preferred stock and pro forma additional paid-in capital reflects the conversion of all outstanding shares of our preferred stock into shares of common stock which will occur immediately prior to the completion of this offering.</w:t>
      </w:r>
    </w:p>
    <w:p>
      <w:pPr>
        <w:ind w:left="1380" w:hanging="353"/>
        <w:spacing w:after="0" w:line="235" w:lineRule="auto"/>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 forma as adjusted includes the pro forma adjustments described in footnote (1) and the following: (i) cash and cash equivalents reflects the following:</w:t>
      </w:r>
    </w:p>
    <w:p>
      <w:pPr>
        <w:ind w:left="1380" w:right="80"/>
        <w:spacing w:after="0" w:line="235" w:lineRule="auto"/>
        <w:rPr>
          <w:rFonts w:ascii="Arial" w:cs="Arial" w:eastAsia="Arial" w:hAnsi="Arial"/>
          <w:sz w:val="12"/>
          <w:szCs w:val="12"/>
          <w:color w:val="auto"/>
        </w:rPr>
      </w:pPr>
      <w:r>
        <w:rPr>
          <w:rFonts w:ascii="Arial" w:cs="Arial" w:eastAsia="Arial" w:hAnsi="Arial"/>
          <w:sz w:val="12"/>
          <w:szCs w:val="12"/>
          <w:color w:val="auto"/>
        </w:rPr>
        <w:t>(a) estimated net proceeds of this offering of $327.3 million resulting from the issuance of 17,000,000 shares at a price of $21.00 per share, after deducting underwriting discounts and commissions and estimated offering expenses payable by us; (b) paydown of long-term and current portion of long-term debt of $113.9 million; and (c) payment of legal fees of $0.1 million related to the Refinancing; (ii) long-term debt, net reflects the following: (a) paydown of long-term debt of</w:t>
      </w:r>
    </w:p>
    <w:p>
      <w:pPr>
        <w:ind w:left="1380"/>
        <w:spacing w:after="0" w:line="235" w:lineRule="auto"/>
        <w:rPr>
          <w:rFonts w:ascii="Arial" w:cs="Arial" w:eastAsia="Arial" w:hAnsi="Arial"/>
          <w:sz w:val="12"/>
          <w:szCs w:val="12"/>
          <w:color w:val="auto"/>
        </w:rPr>
      </w:pPr>
      <w:r>
        <w:rPr>
          <w:rFonts w:ascii="Arial" w:cs="Arial" w:eastAsia="Arial" w:hAnsi="Arial"/>
          <w:sz w:val="12"/>
          <w:szCs w:val="12"/>
          <w:color w:val="auto"/>
        </w:rPr>
        <w:t>$99.4 million related to the Refinancing; (b) $5.3 million of common stock warrants that will be issued to Lenders in connection with the Refinancing upon completion of this offering; (c) $1.0 million related to the modification of certain existing warrants held by the Lenders in connection with the Refinancing to extend the expiration date for an additional six months following the date of this offering; and (d) $0.1 million of lender fees to be paid by us related to the Refinancing; (iii) additional paid-in capital reflects the following: (a) estimated net proceeds of this offering of $327.3 million resulting from the issuance of 17,000,000 shares at a price of $21.00 per share, after deducting underwriting discounts and commissions and estimated offering expenses payable by us; (b) the deferred offering costs directly related to the offering of $1.1 million which are charged against additional paid-in capital upon completion of this offering; (c) $5.3 million of common stock warrants that will be issued to Lenders in connection with the Refinancing upon completion of this offering; and (d) $1.0 million related to the modification of certain existing warrants held by the Lenders in connection with the Refinancing to extend the expiration date for an additional six months following the date of this offering; and (iv) accumulated deficit reflects the impact of the loss on debt extinguishment charge of $13.3 million resulting from the Refinancing.</w:t>
      </w:r>
    </w:p>
    <w:p>
      <w:pPr>
        <w:ind w:left="1380" w:hanging="353"/>
        <w:spacing w:after="0" w:line="235" w:lineRule="auto"/>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jc w:val="both"/>
        <w:ind w:left="1380" w:right="300" w:hanging="353"/>
        <w:spacing w:after="0" w:line="241" w:lineRule="auto"/>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Actual long-term debt, net consists of our Ares Facility, which had an outstanding balance as of July 31, 2021 of $73.7 million of outstanding long-term principal, $4.7 million of payment-in-kind interest, netted with $9.0 million of unamortized debt discount, and our Temasek Facility, which had an outstanding balance as of July 31, 2021 of $230.0 million of outstanding principal and $82.4 million of payment-in-kind interest.</w:t>
      </w:r>
    </w:p>
    <w:p>
      <w:pPr>
        <w:spacing w:after="0" w:line="166"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 42,928,745 shares of our Class A common stock and 2,939,928 shares of our Class B common stock outstanding as of July 31, 2021, after giving effect to the Transactions, and excludes:</w:t>
      </w:r>
    </w:p>
    <w:p>
      <w:pPr>
        <w:spacing w:after="0" w:line="91" w:lineRule="exact"/>
        <w:rPr>
          <w:sz w:val="20"/>
          <w:szCs w:val="20"/>
          <w:color w:val="auto"/>
        </w:rPr>
      </w:pPr>
    </w:p>
    <w:p>
      <w:pPr>
        <w:ind w:left="1660" w:right="16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8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8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160"/>
          </w:cols>
          <w:pgMar w:left="320" w:top="407" w:right="141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line="245" w:lineRule="auto"/>
        <w:rPr>
          <w:sz w:val="20"/>
          <w:szCs w:val="20"/>
          <w:color w:val="auto"/>
        </w:rPr>
      </w:pPr>
      <w:r>
        <w:rPr>
          <w:rFonts w:ascii="Arial" w:cs="Arial" w:eastAsia="Arial" w:hAnsi="Arial"/>
          <w:sz w:val="15"/>
          <w:szCs w:val="15"/>
          <w:color w:val="auto"/>
        </w:rPr>
        <w:t>$13.63 per share and (ii) 181,224 shares of our Class A common stock issuable upon exercise of stock options that we intend to grant to certain new hires and other employees in the ordinary course at the time of this offering;</w:t>
      </w:r>
    </w:p>
    <w:p>
      <w:pPr>
        <w:spacing w:after="0" w:line="87" w:lineRule="exact"/>
        <w:rPr>
          <w:sz w:val="20"/>
          <w:szCs w:val="20"/>
          <w:color w:val="auto"/>
        </w:rPr>
      </w:pPr>
    </w:p>
    <w:p>
      <w:pPr>
        <w:ind w:left="1660" w:right="120" w:hanging="183"/>
        <w:spacing w:after="0"/>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 as defined 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hanging="183"/>
        <w:spacing w:after="0" w:line="255" w:lineRule="auto"/>
        <w:tabs>
          <w:tab w:leader="none" w:pos="1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5,221,848 shares of common stock (including 5,154,006 shares of Class A common stock and 67,842 shares of Class B common stock solely with respect to the IPO RSU Award (as defined in “Executive Compensation”) that will be granted to Jennifer Y. Hyman on (or within 30 days following) the effective date of this offering) reserved for future issuance under our 2021 Plan (which amount includes the stock options and RSUs that we intend to grant to certain new hires and other employees in the ordinary course at the time of this offering and the 203,526 IPO RSU Awards (as defined in “Executive Compensation”), of which 50,883 are fully vested upon the consummation of this offering and this prospectus gives effect to as described below), which has become effective, as well as any shares that become issuable pursuant to provisions in the 2021 Plan that automatically increase the share reserve under the 2021 Plan, as described in “Executive Compensation—Equity Compensation;”</w:t>
      </w:r>
    </w:p>
    <w:p>
      <w:pPr>
        <w:spacing w:after="0" w:line="85" w:lineRule="exact"/>
        <w:rPr>
          <w:rFonts w:ascii="Arial" w:cs="Arial" w:eastAsia="Arial" w:hAnsi="Arial"/>
          <w:sz w:val="14"/>
          <w:szCs w:val="14"/>
          <w:color w:val="auto"/>
        </w:rPr>
      </w:pPr>
    </w:p>
    <w:p>
      <w:pPr>
        <w:jc w:val="both"/>
        <w:ind w:left="1660" w:right="80" w:hanging="183"/>
        <w:spacing w:after="0" w:line="266" w:lineRule="auto"/>
        <w:tabs>
          <w:tab w:leader="none" w:pos="1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870,308 shares of Class A common stock reserved for future issuance under our Employee Stock Purchase Plan, or the ESPP, which has become effective, as well as any shares that become issuable pursuant to provisions in the ESPP that automatically increase the share reserve under the ESPP, as described in “Executive Compensation—Equity Compensation;” and</w:t>
      </w:r>
    </w:p>
    <w:p>
      <w:pPr>
        <w:spacing w:after="0" w:line="73" w:lineRule="exact"/>
        <w:rPr>
          <w:rFonts w:ascii="Arial" w:cs="Arial" w:eastAsia="Arial" w:hAnsi="Arial"/>
          <w:sz w:val="14"/>
          <w:szCs w:val="14"/>
          <w:color w:val="auto"/>
        </w:rPr>
      </w:pPr>
    </w:p>
    <w:p>
      <w:pPr>
        <w:ind w:left="1660" w:right="120" w:hanging="183"/>
        <w:spacing w:after="0" w:line="238"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394,343 shares of Class A common stock issuable upon exercise of warrants we intend to issue to the Lenders in connection with the Credit Facility Amendment, with an exercise price of $21.00 per share.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180"/>
          </w:cols>
          <w:pgMar w:left="320" w:top="407" w:right="139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pro forma net tangible book value as of July 31, 2021 after giving effect to the Transactions was $(184.9) million, or $(4.03)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Transactions.</w:t>
      </w:r>
    </w:p>
    <w:p>
      <w:pPr>
        <w:spacing w:after="0" w:line="172" w:lineRule="exact"/>
        <w:rPr>
          <w:sz w:val="20"/>
          <w:szCs w:val="20"/>
          <w:color w:val="auto"/>
        </w:rPr>
      </w:pPr>
    </w:p>
    <w:p>
      <w:pPr>
        <w:ind w:left="1020" w:right="20" w:firstLine="460"/>
        <w:spacing w:after="0" w:line="256" w:lineRule="auto"/>
        <w:rPr>
          <w:sz w:val="20"/>
          <w:szCs w:val="20"/>
          <w:color w:val="auto"/>
        </w:rPr>
      </w:pPr>
      <w:r>
        <w:rPr>
          <w:rFonts w:ascii="Arial" w:cs="Arial" w:eastAsia="Arial" w:hAnsi="Arial"/>
          <w:sz w:val="14"/>
          <w:szCs w:val="14"/>
          <w:color w:val="auto"/>
        </w:rPr>
        <w:t>Our pro forma as adjusted net tangible book value as of July 31, 2021, after giving effect to the pro forma adjustments as described above and further effect to this offering and the Refinancing, including the application of the net proceeds from this offering as described in “Use of Proceeds,” would have been approximately $135.4 million, or $2.15 per share of Class A common stock. This amount represents an immediate increase in pro forma as adjusted net tangible book value of $6.18 per share to our existing stockholders and an immediate dilution in pro forma as adjusted net tangible book value of approximately $ 18.85 per share to new investors purchasing shares of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Initial public offering price per share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72"/>
        </w:trPr>
        <w:tc>
          <w:tcPr>
            <w:tcW w:w="7860" w:type="dxa"/>
            <w:vAlign w:val="bottom"/>
          </w:tcPr>
          <w:p>
            <w:pPr>
              <w:spacing w:after="0" w:line="169" w:lineRule="exact"/>
              <w:rPr>
                <w:sz w:val="20"/>
                <w:szCs w:val="20"/>
                <w:color w:val="auto"/>
              </w:rPr>
            </w:pPr>
            <w:r>
              <w:rPr>
                <w:rFonts w:ascii="Arial" w:cs="Arial" w:eastAsia="Arial" w:hAnsi="Arial"/>
                <w:sz w:val="15"/>
                <w:szCs w:val="15"/>
                <w:color w:val="auto"/>
              </w:rPr>
              <w:t>Pro forma net tangible book value (deficit) per share as of July 31, 2021 before this offering(a)</w:t>
            </w: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(4.03)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Increase in pro forma as adjusted net tangible book value (deficit) per share attributable to investors in this offering</w:t>
            </w: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60" w:type="dxa"/>
            <w:vAlign w:val="bottom"/>
          </w:tcPr>
          <w:p>
            <w:pPr>
              <w:spacing w:after="0" w:line="169" w:lineRule="exact"/>
              <w:rPr>
                <w:sz w:val="20"/>
                <w:szCs w:val="20"/>
                <w:color w:val="auto"/>
              </w:rPr>
            </w:pPr>
            <w:r>
              <w:rPr>
                <w:rFonts w:ascii="Arial" w:cs="Arial" w:eastAsia="Arial" w:hAnsi="Arial"/>
                <w:sz w:val="15"/>
                <w:szCs w:val="15"/>
                <w:color w:val="auto"/>
              </w:rPr>
              <w:t>Pro forma as adjusted net tangible book value (deficit) per share after this offering(b)</w:t>
            </w:r>
          </w:p>
        </w:tc>
        <w:tc>
          <w:tcPr>
            <w:tcW w:w="8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Dilution in pro forma as adjusted net tangible book value (deficit) per share to new Class A common stock investors</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in this offering</w:t>
            </w:r>
          </w:p>
        </w:tc>
        <w:tc>
          <w:tcPr>
            <w:tcW w:w="80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18.85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auto"/>
              </w:rPr>
              <w:t>Numerator</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Historical book value of tangible assets as of July 31, 2021</w:t>
            </w:r>
          </w:p>
        </w:tc>
        <w:tc>
          <w:tcPr>
            <w:tcW w:w="8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294.9</w:t>
            </w:r>
          </w:p>
        </w:tc>
        <w:tc>
          <w:tcPr>
            <w:tcW w:w="0" w:type="dxa"/>
            <w:vAlign w:val="bottom"/>
          </w:tcPr>
          <w:p>
            <w:pPr>
              <w:spacing w:after="0"/>
              <w:rPr>
                <w:sz w:val="1"/>
                <w:szCs w:val="1"/>
                <w:color w:val="auto"/>
              </w:rPr>
            </w:pPr>
          </w:p>
        </w:tc>
      </w:tr>
      <w:tr>
        <w:trPr>
          <w:trHeight w:val="169"/>
        </w:trPr>
        <w:tc>
          <w:tcPr>
            <w:tcW w:w="7860" w:type="dxa"/>
            <w:vAlign w:val="bottom"/>
          </w:tcPr>
          <w:p>
            <w:pPr>
              <w:ind w:left="300"/>
              <w:spacing w:after="0" w:line="169" w:lineRule="exact"/>
              <w:rPr>
                <w:sz w:val="20"/>
                <w:szCs w:val="20"/>
                <w:color w:val="auto"/>
              </w:rPr>
            </w:pPr>
            <w:r>
              <w:rPr>
                <w:rFonts w:ascii="Arial" w:cs="Arial" w:eastAsia="Arial" w:hAnsi="Arial"/>
                <w:sz w:val="15"/>
                <w:szCs w:val="15"/>
                <w:color w:val="auto"/>
              </w:rPr>
              <w:t>Less: Total liabilities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(479.8)</w:t>
            </w:r>
          </w:p>
        </w:tc>
        <w:tc>
          <w:tcPr>
            <w:tcW w:w="0" w:type="dxa"/>
            <w:vAlign w:val="bottom"/>
          </w:tcPr>
          <w:p>
            <w:pPr>
              <w:spacing w:after="0"/>
              <w:rPr>
                <w:sz w:val="1"/>
                <w:szCs w:val="1"/>
                <w:color w:val="auto"/>
              </w:rPr>
            </w:pPr>
          </w:p>
        </w:tc>
      </w:tr>
      <w:tr>
        <w:trPr>
          <w:trHeight w:val="23"/>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Pro forma net tangible book value (deficit)</w:t>
            </w:r>
          </w:p>
        </w:tc>
        <w:tc>
          <w:tcPr>
            <w:tcW w:w="72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(184.9)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8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outstanding prior to this offering on a preferred stock “as converted” basis as a result of the</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automatic conversion of all outstanding shares of our redeemable preferred stock and the exercise of</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warrants in connection with this offering</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45.87</w:t>
            </w:r>
          </w:p>
        </w:tc>
        <w:tc>
          <w:tcPr>
            <w:tcW w:w="0" w:type="dxa"/>
            <w:vAlign w:val="bottom"/>
          </w:tcPr>
          <w:p>
            <w:pPr>
              <w:spacing w:after="0"/>
              <w:rPr>
                <w:sz w:val="1"/>
                <w:szCs w:val="1"/>
                <w:color w:val="auto"/>
              </w:rPr>
            </w:pPr>
          </w:p>
        </w:tc>
      </w:tr>
      <w:tr>
        <w:trPr>
          <w:trHeight w:val="180"/>
        </w:trPr>
        <w:tc>
          <w:tcPr>
            <w:tcW w:w="7860" w:type="dxa"/>
            <w:vAlign w:val="bottom"/>
          </w:tcPr>
          <w:p>
            <w:pPr>
              <w:ind w:left="300"/>
              <w:spacing w:after="0"/>
              <w:rPr>
                <w:sz w:val="20"/>
                <w:szCs w:val="20"/>
                <w:color w:val="auto"/>
              </w:rPr>
            </w:pPr>
            <w:r>
              <w:rPr>
                <w:rFonts w:ascii="Arial" w:cs="Arial" w:eastAsia="Arial" w:hAnsi="Arial"/>
                <w:sz w:val="15"/>
                <w:szCs w:val="15"/>
                <w:color w:val="auto"/>
              </w:rPr>
              <w:t>Pro forma net tangible book value (deficit) per share as of July 31, 2021 before this offering</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34"/>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b w:val="1"/>
                <w:bCs w:val="1"/>
                <w:color w:val="auto"/>
              </w:rPr>
              <w:t>Numerator</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300"/>
              <w:spacing w:after="0" w:line="169" w:lineRule="exact"/>
              <w:rPr>
                <w:sz w:val="20"/>
                <w:szCs w:val="20"/>
                <w:color w:val="auto"/>
              </w:rPr>
            </w:pPr>
            <w:r>
              <w:rPr>
                <w:rFonts w:ascii="Arial" w:cs="Arial" w:eastAsia="Arial" w:hAnsi="Arial"/>
                <w:sz w:val="15"/>
                <w:szCs w:val="15"/>
                <w:color w:val="auto"/>
              </w:rPr>
              <w:t>Pro forma book value of tangible assets as of July 31, 2021 after giving effect to this offering</w:t>
            </w:r>
          </w:p>
        </w:tc>
        <w:tc>
          <w:tcPr>
            <w:tcW w:w="8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508.2</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Less: Total liabilities</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(372.8)</w:t>
            </w:r>
          </w:p>
        </w:tc>
        <w:tc>
          <w:tcPr>
            <w:tcW w:w="0" w:type="dxa"/>
            <w:vAlign w:val="bottom"/>
          </w:tcPr>
          <w:p>
            <w:pPr>
              <w:spacing w:after="0"/>
              <w:rPr>
                <w:sz w:val="1"/>
                <w:szCs w:val="1"/>
                <w:color w:val="auto"/>
              </w:rPr>
            </w:pPr>
          </w:p>
        </w:tc>
      </w:tr>
      <w:tr>
        <w:trPr>
          <w:trHeight w:val="172"/>
        </w:trPr>
        <w:tc>
          <w:tcPr>
            <w:tcW w:w="7860" w:type="dxa"/>
            <w:vAlign w:val="bottom"/>
          </w:tcPr>
          <w:p>
            <w:pPr>
              <w:ind w:left="300"/>
              <w:spacing w:after="0"/>
              <w:rPr>
                <w:sz w:val="20"/>
                <w:szCs w:val="20"/>
                <w:color w:val="auto"/>
              </w:rPr>
            </w:pPr>
            <w:r>
              <w:rPr>
                <w:rFonts w:ascii="Arial" w:cs="Arial" w:eastAsia="Arial" w:hAnsi="Arial"/>
                <w:sz w:val="15"/>
                <w:szCs w:val="15"/>
                <w:color w:val="auto"/>
              </w:rPr>
              <w:t>Pro forma as adjusted net tangible book value</w:t>
            </w:r>
          </w:p>
        </w:tc>
        <w:tc>
          <w:tcPr>
            <w:tcW w:w="72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8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860" w:type="dxa"/>
            <w:vAlign w:val="bottom"/>
          </w:tcPr>
          <w:p>
            <w:pPr>
              <w:ind w:left="300"/>
              <w:spacing w:after="0" w:line="169" w:lineRule="exact"/>
              <w:rPr>
                <w:sz w:val="20"/>
                <w:szCs w:val="20"/>
                <w:color w:val="auto"/>
              </w:rPr>
            </w:pPr>
            <w:r>
              <w:rPr>
                <w:rFonts w:ascii="Arial" w:cs="Arial" w:eastAsia="Arial" w:hAnsi="Arial"/>
                <w:sz w:val="15"/>
                <w:szCs w:val="15"/>
                <w:color w:val="auto"/>
              </w:rPr>
              <w:t>Class A common stock outstanding after giving effect to this offering and the Transactions, the reclassification</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460"/>
              <w:spacing w:after="0" w:line="169" w:lineRule="exact"/>
              <w:rPr>
                <w:sz w:val="20"/>
                <w:szCs w:val="20"/>
                <w:color w:val="auto"/>
              </w:rPr>
            </w:pPr>
            <w:r>
              <w:rPr>
                <w:rFonts w:ascii="Arial" w:cs="Arial" w:eastAsia="Arial" w:hAnsi="Arial"/>
                <w:sz w:val="15"/>
                <w:szCs w:val="15"/>
                <w:color w:val="auto"/>
              </w:rPr>
              <w:t>of all outstanding shares of common stock, the preferred stock on an “as converted” basis as a result of the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460"/>
              <w:spacing w:after="0" w:line="169" w:lineRule="exact"/>
              <w:rPr>
                <w:sz w:val="20"/>
                <w:szCs w:val="20"/>
                <w:color w:val="auto"/>
              </w:rPr>
            </w:pPr>
            <w:r>
              <w:rPr>
                <w:rFonts w:ascii="Arial" w:cs="Arial" w:eastAsia="Arial" w:hAnsi="Arial"/>
                <w:sz w:val="15"/>
                <w:szCs w:val="15"/>
                <w:color w:val="auto"/>
              </w:rPr>
              <w:t>automatic conversion of all outstanding shares of our redeemable preferred stock and the exercise of</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460"/>
              <w:spacing w:after="0" w:line="170" w:lineRule="exact"/>
              <w:rPr>
                <w:sz w:val="20"/>
                <w:szCs w:val="20"/>
                <w:color w:val="auto"/>
              </w:rPr>
            </w:pPr>
            <w:r>
              <w:rPr>
                <w:rFonts w:ascii="Arial" w:cs="Arial" w:eastAsia="Arial" w:hAnsi="Arial"/>
                <w:sz w:val="15"/>
                <w:szCs w:val="15"/>
                <w:color w:val="auto"/>
              </w:rPr>
              <w:t>warrants in connection with this offering</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62.87</w:t>
            </w:r>
          </w:p>
        </w:tc>
        <w:tc>
          <w:tcPr>
            <w:tcW w:w="0" w:type="dxa"/>
            <w:vAlign w:val="bottom"/>
          </w:tcPr>
          <w:p>
            <w:pPr>
              <w:spacing w:after="0"/>
              <w:rPr>
                <w:sz w:val="1"/>
                <w:szCs w:val="1"/>
                <w:color w:val="auto"/>
              </w:rPr>
            </w:pPr>
          </w:p>
        </w:tc>
      </w:tr>
      <w:tr>
        <w:trPr>
          <w:trHeight w:val="169"/>
        </w:trPr>
        <w:tc>
          <w:tcPr>
            <w:tcW w:w="7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Pro forma as adjusted net tangible book value per share as of July 31, 2021 after this offering</w:t>
            </w:r>
          </w:p>
        </w:tc>
        <w:tc>
          <w:tcPr>
            <w:tcW w:w="80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860" w:type="dxa"/>
            <w:vAlign w:val="bottom"/>
          </w:tcPr>
          <w:p>
            <w:pPr>
              <w:ind w:left="4520"/>
              <w:spacing w:after="0"/>
              <w:rPr>
                <w:sz w:val="20"/>
                <w:szCs w:val="20"/>
                <w:color w:val="auto"/>
              </w:rPr>
            </w:pPr>
            <w:r>
              <w:rPr>
                <w:rFonts w:ascii="Arial" w:cs="Arial" w:eastAsia="Arial" w:hAnsi="Arial"/>
                <w:sz w:val="15"/>
                <w:szCs w:val="15"/>
                <w:color w:val="auto"/>
              </w:rPr>
              <w:t>81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the underwriters exercise in full their option to purchase additional shares of Class A common stock from us , the pro forma as adjusted net tangible book value after the offering would be $2.83 per share, the increase in pro forma as adjusted net tangible book value per share to existing stockholders would be $ 6.86 per share and the dilution in pro forma as adjusted net tangible book value to new investors would be $18.17 per share, in each case based on an initial public offering price of $21.00 per share.</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following table summarizes, as of July 31, 2021, after giving effect to this offering, the number of shares of Class A common stock purchased from us, the total consideration paid, or to be paid, to us and the average price per share paid, or to be paid, by existing stockholders and by the new investors. The calculation below is based on an initial public offering price of $21.00 per share before deducting the underwriting discounts and commissions and estimated offering expenses payable by us.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480" w:type="dxa"/>
            <w:vAlign w:val="bottom"/>
          </w:tcPr>
          <w:p>
            <w:pPr>
              <w:spacing w:after="0"/>
              <w:rPr>
                <w:sz w:val="12"/>
                <w:szCs w:val="12"/>
                <w:color w:val="auto"/>
              </w:rPr>
            </w:pPr>
          </w:p>
        </w:tc>
        <w:tc>
          <w:tcPr>
            <w:tcW w:w="198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Shares Purchased</w:t>
            </w:r>
          </w:p>
        </w:tc>
        <w:tc>
          <w:tcPr>
            <w:tcW w:w="80" w:type="dxa"/>
            <w:vAlign w:val="bottom"/>
          </w:tcPr>
          <w:p>
            <w:pPr>
              <w:spacing w:after="0"/>
              <w:rPr>
                <w:sz w:val="12"/>
                <w:szCs w:val="12"/>
                <w:color w:val="auto"/>
              </w:rPr>
            </w:pP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Total Consideration</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8"/>
              </w:rPr>
              <w:t>Average price</w:t>
            </w:r>
          </w:p>
        </w:tc>
      </w:tr>
      <w:tr>
        <w:trPr>
          <w:trHeight w:val="126"/>
        </w:trPr>
        <w:tc>
          <w:tcPr>
            <w:tcW w:w="4480" w:type="dxa"/>
            <w:vAlign w:val="bottom"/>
          </w:tcPr>
          <w:p>
            <w:pPr>
              <w:spacing w:after="0"/>
              <w:rPr>
                <w:sz w:val="10"/>
                <w:szCs w:val="10"/>
                <w:color w:val="auto"/>
              </w:rPr>
            </w:pPr>
          </w:p>
        </w:tc>
        <w:tc>
          <w:tcPr>
            <w:tcW w:w="800" w:type="dxa"/>
            <w:vAlign w:val="bottom"/>
            <w:tcBorders>
              <w:top w:val="single" w:sz="8" w:color="auto"/>
            </w:tcBorders>
          </w:tcPr>
          <w:p>
            <w:pPr>
              <w:jc w:val="right"/>
              <w:ind w:right="111"/>
              <w:spacing w:after="0" w:line="126"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5"/>
              </w:rPr>
              <w:t>Percent</w:t>
            </w: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80"/>
              <w:spacing w:after="0" w:line="126" w:lineRule="exact"/>
              <w:rPr>
                <w:sz w:val="20"/>
                <w:szCs w:val="20"/>
                <w:color w:val="auto"/>
              </w:rPr>
            </w:pPr>
            <w:r>
              <w:rPr>
                <w:rFonts w:ascii="Arial" w:cs="Arial" w:eastAsia="Arial" w:hAnsi="Arial"/>
                <w:sz w:val="12"/>
                <w:szCs w:val="12"/>
                <w:b w:val="1"/>
                <w:bCs w:val="1"/>
                <w:color w:val="auto"/>
              </w:rPr>
              <w:t>Amount</w:t>
            </w:r>
          </w:p>
        </w:tc>
        <w:tc>
          <w:tcPr>
            <w:tcW w:w="4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9"/>
              </w:rPr>
              <w:t>Percent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per Share</w:t>
            </w:r>
          </w:p>
        </w:tc>
      </w:tr>
      <w:tr>
        <w:trPr>
          <w:trHeight w:val="126"/>
        </w:trPr>
        <w:tc>
          <w:tcPr>
            <w:tcW w:w="44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4"/>
              </w:rPr>
              <w:t>(in millions)</w:t>
            </w:r>
          </w:p>
        </w:tc>
        <w:tc>
          <w:tcPr>
            <w:tcW w:w="3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4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45,868,673</w:t>
            </w:r>
          </w:p>
        </w:tc>
        <w:tc>
          <w:tcPr>
            <w:tcW w:w="1180" w:type="dxa"/>
            <w:vAlign w:val="bottom"/>
            <w:gridSpan w:val="3"/>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73.0%</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497.2</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58.2%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10.84</w:t>
            </w:r>
          </w:p>
        </w:tc>
      </w:tr>
      <w:tr>
        <w:trPr>
          <w:trHeight w:val="169"/>
        </w:trPr>
        <w:tc>
          <w:tcPr>
            <w:tcW w:w="4480" w:type="dxa"/>
            <w:vAlign w:val="bottom"/>
          </w:tcPr>
          <w:p>
            <w:pPr>
              <w:spacing w:after="0" w:line="169" w:lineRule="exact"/>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17,000,000</w:t>
            </w:r>
          </w:p>
        </w:tc>
        <w:tc>
          <w:tcPr>
            <w:tcW w:w="22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27.0%</w:t>
            </w:r>
          </w:p>
        </w:tc>
        <w:tc>
          <w:tcPr>
            <w:tcW w:w="8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357.0</w:t>
            </w:r>
          </w:p>
        </w:tc>
        <w:tc>
          <w:tcPr>
            <w:tcW w:w="8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41.8%</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21.00</w:t>
            </w:r>
          </w:p>
        </w:tc>
      </w:tr>
      <w:tr>
        <w:trPr>
          <w:trHeight w:val="23"/>
        </w:trPr>
        <w:tc>
          <w:tcPr>
            <w:tcW w:w="4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4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62,868,673</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854.2</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15.09</w:t>
            </w:r>
          </w:p>
        </w:tc>
      </w:tr>
      <w:tr>
        <w:trPr>
          <w:trHeight w:val="20"/>
        </w:trPr>
        <w:tc>
          <w:tcPr>
            <w:tcW w:w="4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otherwise indicated, the discussion and the tables above assume no exercise by the underwriters’ of their option to purchase additional shares of Class A common stock from us. The number of shares of our Class A common stock outstanding after this offering as shown in the tables above is based on the number of shares outstanding as of July 31, 2021, after giving effect to the Transactions, and excludes:</w:t>
      </w:r>
    </w:p>
    <w:p>
      <w:pPr>
        <w:spacing w:after="0" w:line="93" w:lineRule="exact"/>
        <w:rPr>
          <w:sz w:val="20"/>
          <w:szCs w:val="20"/>
          <w:color w:val="auto"/>
        </w:rPr>
      </w:pPr>
    </w:p>
    <w:p>
      <w:pPr>
        <w:ind w:left="1660" w:right="2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120" w:hanging="183"/>
        <w:spacing w:after="0" w:line="238"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 255,570 shares of our Class A common stock issuable upon exercise of stock options granted net of forfeitures after July 31, 2021, having a weighted-average exercise price of $13.63 per share and (ii) 181,224 shares of our Class A common stock issuable upon exercise of stock options that we intend to grant to certain new hires and other employees in the ordinary course at the time of this offering;</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20"/>
          </w:cols>
          <w:pgMar w:left="320" w:top="407" w:right="135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20" w:hanging="183"/>
        <w:spacing w:after="0"/>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 73,356 shares of our Class A common stock subject to RSUs granted, net of forfeitures, after July 31, 2021 (which includes the IPO RSU Awards as defined herein) and (ii) 56,989 shares of our Class A common stock subject to RSUs that we intend to grant to certain new hires and other employees in the ordinary course at the time of this offering;</w:t>
      </w:r>
    </w:p>
    <w:p>
      <w:pPr>
        <w:spacing w:after="0" w:line="91"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 (which includes the IPO RSU Awards as defined 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hanging="183"/>
        <w:spacing w:after="0" w:line="255" w:lineRule="auto"/>
        <w:tabs>
          <w:tab w:leader="none" w:pos="1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5,221,848 shares of common stock (including 5,154,006 shares of Class A common stock and 67,842 shares of Class B common stock solely with respect to the IPO RSU Award (as defined in “Executive Compensation”) that will be granted to Jennifer Y. Hyman on (or within 30 days following) the effective date of this offering) reserved for future issuance under our 2021 Plan (which amount includes the stock options and RSUs that we intend to grant to certain new hires and other employees in the ordinary course at the time of this offering and the 203,526 IPO RSU Awards (as defined in “Executive Compensation”), of which 50,883 are fully vested upon the consummation of this offering and this prospectus gives effect to as described below), which has become effective, as well as any shares that become issuable pursuant to provisions in the 2021 Plan that automatically increase the share reserve under the 2021 Plan, as described in “Executive Compensation—Equity Compensation;”</w:t>
      </w:r>
    </w:p>
    <w:p>
      <w:pPr>
        <w:spacing w:after="0" w:line="85" w:lineRule="exact"/>
        <w:rPr>
          <w:rFonts w:ascii="Arial" w:cs="Arial" w:eastAsia="Arial" w:hAnsi="Arial"/>
          <w:sz w:val="14"/>
          <w:szCs w:val="14"/>
          <w:color w:val="auto"/>
        </w:rPr>
      </w:pPr>
    </w:p>
    <w:p>
      <w:pPr>
        <w:jc w:val="both"/>
        <w:ind w:left="1660" w:right="80" w:hanging="183"/>
        <w:spacing w:after="0" w:line="266" w:lineRule="auto"/>
        <w:tabs>
          <w:tab w:leader="none" w:pos="1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870,308 shares of Class A common stock reserved for future issuance under our Employee Stock Purchase Plan, or the ESPP, which has become effective, as well as any shares that become issuable pursuant to provisions in the ESPP that automatically increase the share reserve under the ESPP, as described in “Executive Compensation—Equity Compensation;” and</w:t>
      </w:r>
    </w:p>
    <w:p>
      <w:pPr>
        <w:spacing w:after="0" w:line="73" w:lineRule="exact"/>
        <w:rPr>
          <w:rFonts w:ascii="Arial" w:cs="Arial" w:eastAsia="Arial" w:hAnsi="Arial"/>
          <w:sz w:val="14"/>
          <w:szCs w:val="14"/>
          <w:color w:val="auto"/>
        </w:rPr>
      </w:pPr>
    </w:p>
    <w:p>
      <w:pPr>
        <w:ind w:left="1660" w:right="120" w:hanging="183"/>
        <w:spacing w:after="0" w:line="238"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394,343 shares of Class A common stock issuable upon exercise of warrants we intend to issue to the Lenders in connection with the Credit Facility Amendment, with an exercise price of $21.00 per share.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To the extent any of these outstanding options are exercised, there will be further dilution to new investors.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180"/>
          </w:cols>
          <w:pgMar w:left="320" w:top="407" w:right="139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126,841 ending total subscribers (active and paused) as of July 31, 2021. For fiscal year 2019 and 2020, respectively, 78% and 89% of our total revenue (including Reserve and Resale revenue) was generated by subscribers while they were active or paused. For the six months ended July 31, 2020 and 2021, respectively, 89% and 83% of our total revenue was generated by subscribers while they were active or paused.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graph illustrates key developments in the evolution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127000</wp:posOffset>
            </wp:positionV>
            <wp:extent cx="5867400" cy="48298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740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right="399"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We had 147,866 and 95,245 ending total subscribers at the end of fiscal year 2019 and fiscal year 2020,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660" w:right="599"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139"/>
          </w:cols>
          <w:pgMar w:left="320" w:top="407" w:right="1440"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20" w:hanging="183"/>
        <w:spacing w:after="0" w:line="245"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Our Business Model</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Power of Subscription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operate an innovative subscription model with the following attributes:</w:t>
      </w:r>
    </w:p>
    <w:p>
      <w:pPr>
        <w:spacing w:after="0" w:line="98" w:lineRule="exact"/>
        <w:rPr>
          <w:sz w:val="20"/>
          <w:szCs w:val="20"/>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monetize our products over multiple years;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acquire a large and broad assortment of products to provide variety to subscribers and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incur fulfillment expense to ship items to/from subscribers and customers and restore products to excellent condition.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business model aligns the success and engagement of our subscribers, our customers, our brand partners and our business.</w:t>
      </w:r>
    </w:p>
    <w:p>
      <w:pPr>
        <w:ind w:left="1020"/>
        <w:spacing w:after="0"/>
        <w:rPr>
          <w:sz w:val="20"/>
          <w:szCs w:val="20"/>
          <w:color w:val="auto"/>
        </w:rPr>
      </w:pPr>
      <w:r>
        <w:rPr>
          <w:rFonts w:ascii="Arial" w:cs="Arial" w:eastAsia="Arial" w:hAnsi="Arial"/>
          <w:sz w:val="15"/>
          <w:szCs w:val="15"/>
          <w:color w:val="auto"/>
        </w:rPr>
        <w:t>Our success is a function of:</w:t>
      </w:r>
    </w:p>
    <w:p>
      <w:pPr>
        <w:spacing w:after="0" w:line="98" w:lineRule="exact"/>
        <w:rPr>
          <w:sz w:val="20"/>
          <w:szCs w:val="20"/>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Our ability to grow revenue through growth and loyalty of subscribers and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products;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How We Make Money</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generate revenue when subscribers and customers access our Closet in the Cloud across subscription, a-la-carte rentals and resale. The majority of revenue is highly recurring and is generated by our subscribers, representing 83%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20"/>
          </w:cols>
          <w:pgMar w:left="320" w:top="407" w:right="13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color w:val="auto"/>
        </w:rPr>
        <w:t xml:space="preserve">Subscription and Reserve Rental Revenue: </w:t>
      </w:r>
      <w:r>
        <w:rPr>
          <w:rFonts w:ascii="Arial" w:cs="Arial" w:eastAsia="Arial" w:hAnsi="Arial"/>
          <w:sz w:val="15"/>
          <w:szCs w:val="15"/>
          <w:color w:val="auto"/>
        </w:rPr>
        <w:t>Subscription and Reserve rental revenue was $135.9 million in fiscal year 2020 and</w:t>
      </w:r>
      <w:r>
        <w:rPr>
          <w:rFonts w:ascii="Arial" w:cs="Arial" w:eastAsia="Arial" w:hAnsi="Arial"/>
          <w:sz w:val="15"/>
          <w:szCs w:val="15"/>
          <w:b w:val="1"/>
          <w:bCs w:val="1"/>
          <w:color w:val="auto"/>
        </w:rPr>
        <w:t xml:space="preserve"> </w:t>
      </w:r>
      <w:r>
        <w:rPr>
          <w:rFonts w:ascii="Arial" w:cs="Arial" w:eastAsia="Arial" w:hAnsi="Arial"/>
          <w:sz w:val="15"/>
          <w:szCs w:val="15"/>
          <w:color w:val="auto"/>
        </w:rPr>
        <w:t>$72.7 million in the six months ended July 31, 2021, representing 86.3% and 90.6% of total revenue, respectively.</w:t>
      </w:r>
    </w:p>
    <w:p>
      <w:pPr>
        <w:spacing w:after="0" w:line="51" w:lineRule="exact"/>
        <w:rPr>
          <w:sz w:val="20"/>
          <w:szCs w:val="20"/>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Subscription</w:t>
      </w:r>
    </w:p>
    <w:p>
      <w:pPr>
        <w:spacing w:after="0" w:line="105" w:lineRule="exact"/>
        <w:rPr>
          <w:sz w:val="20"/>
          <w:szCs w:val="20"/>
          <w:color w:val="auto"/>
        </w:rPr>
      </w:pPr>
    </w:p>
    <w:p>
      <w:pPr>
        <w:ind w:left="1400" w:right="140"/>
        <w:spacing w:after="0"/>
        <w:rPr>
          <w:sz w:val="20"/>
          <w:szCs w:val="20"/>
          <w:color w:val="auto"/>
        </w:rPr>
      </w:pPr>
      <w:r>
        <w:rPr>
          <w:rFonts w:ascii="Arial" w:cs="Arial" w:eastAsia="Arial" w:hAnsi="Arial"/>
          <w:sz w:val="15"/>
          <w:szCs w:val="15"/>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91" w:lineRule="exact"/>
        <w:rPr>
          <w:sz w:val="20"/>
          <w:szCs w:val="20"/>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$89 for 4 items per month (max 1 swap, 4 spots; more limited assortment)</w:t>
      </w:r>
    </w:p>
    <w:p>
      <w:pPr>
        <w:spacing w:after="0" w:line="81" w:lineRule="exact"/>
        <w:rPr>
          <w:rFonts w:ascii="Arial" w:cs="Arial" w:eastAsia="Arial" w:hAnsi="Arial"/>
          <w:sz w:val="15"/>
          <w:szCs w:val="15"/>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$135 for 8 items per month (max 2 swaps, 4 spots each) </w:t>
      </w:r>
      <w:r>
        <w:rPr>
          <w:rFonts w:ascii="Arial" w:cs="Arial" w:eastAsia="Arial" w:hAnsi="Arial"/>
          <w:sz w:val="15"/>
          <w:szCs w:val="15"/>
          <w:i w:val="1"/>
          <w:iCs w:val="1"/>
          <w:color w:val="auto"/>
        </w:rPr>
        <w:t>(our most popular plan)</w:t>
      </w:r>
    </w:p>
    <w:p>
      <w:pPr>
        <w:spacing w:after="0" w:line="113" w:lineRule="exact"/>
        <w:rPr>
          <w:rFonts w:ascii="Arial" w:cs="Arial" w:eastAsia="Arial" w:hAnsi="Arial"/>
          <w:sz w:val="15"/>
          <w:szCs w:val="15"/>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$174 for 12 items per month (max 3 swaps, 4 spots each)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$199 for 16 items per month (max 4 swaps, 4 spots each)</w:t>
      </w:r>
    </w:p>
    <w:p>
      <w:pPr>
        <w:spacing w:after="0" w:line="87"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75" w:lineRule="exact"/>
        <w:rPr>
          <w:sz w:val="20"/>
          <w:szCs w:val="20"/>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Reserve</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54"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15"/>
          <w:szCs w:val="15"/>
          <w:color w:val="auto"/>
        </w:rPr>
        <w:t>Through our Resale offering, subscribers and customers can purchase pre-worn items they love from our closet—</w:t>
      </w:r>
      <w:r>
        <w:rPr>
          <w:rFonts w:ascii="Arial" w:cs="Arial" w:eastAsia="Arial" w:hAnsi="Arial"/>
          <w:sz w:val="15"/>
          <w:szCs w:val="15"/>
          <w:b w:val="1"/>
          <w:bCs w:val="1"/>
          <w:color w:val="auto"/>
        </w:rPr>
        <w:t xml:space="preserve"> </w:t>
      </w:r>
      <w:r>
        <w:rPr>
          <w:rFonts w:ascii="Arial" w:cs="Arial" w:eastAsia="Arial" w:hAnsi="Arial"/>
          <w:sz w:val="15"/>
          <w:szCs w:val="15"/>
          <w:color w:val="auto"/>
        </w:rPr>
        <w:t>no subscription is required. Our Other revenue was $21.6 million in fiscal year 2020 and $7.5 million in the six months ended July 31, 2021 representing 13.7% and 9.4% of total revenue, respectively.</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Product Acquisition Strategy</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 We anticipate a similar acquisition mix to fiscal year 2020 for the full year of fiscal year 2021.</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07" w:right="135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69475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740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139"/>
          </w:cols>
          <w:pgMar w:left="320" w:top="407" w:right="1440"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minimum commitment other than the upfront payment if applicable. Nearly all Share by RTR deals consummated after September 2020 include a cap on total potential payments to the brand partner.</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for items acquired in a period divided by the number of items acquired. For items ordered in fiscal year 2021 year to date (as of September 2021), our average upfront cost per item has decreased by 18% compared to items acquired in fiscal year 2019. Our average upfront cost per item decreased by approximately 40% for items acquired in fiscal year 2019 compared to items acquired in fiscal year 2014. We define total upfront spend as the total cost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Our total upfront spend was $113.1 million in fiscal year 2019 and $6.5 million in the first six months of fiscal year 2021.</w:t>
      </w:r>
    </w:p>
    <w:p>
      <w:pPr>
        <w:spacing w:after="0" w:line="24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9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Subscribers and Customers</w:t>
      </w:r>
    </w:p>
    <w:p>
      <w:pPr>
        <w:spacing w:after="0" w:line="87"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Our Attractive Cohort Trends. </w:t>
      </w:r>
      <w:r>
        <w:rPr>
          <w:rFonts w:ascii="Arial" w:cs="Arial" w:eastAsia="Arial" w:hAnsi="Arial"/>
          <w:sz w:val="15"/>
          <w:szCs w:val="15"/>
          <w:color w:val="auto"/>
        </w:rPr>
        <w:t>We believe that we have a significant market opportunity ahead of us to increase our base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67"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We assess the health of our business,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52"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Customer Cohorts. </w:t>
      </w:r>
      <w:r>
        <w:rPr>
          <w:rFonts w:ascii="Arial" w:cs="Arial" w:eastAsia="Arial" w:hAnsi="Arial"/>
          <w:sz w:val="15"/>
          <w:szCs w:val="15"/>
          <w:color w:val="auto"/>
        </w:rPr>
        <w:t>The chart below indicates cumulative revenue per customer by customer cohort, which is defined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We define the FY 2021 YTD cohort as new customers who joined from February 2021 to May 2021. Our customer cohorts demonstrate the continued spend and expansion of our customers:</w:t>
      </w:r>
    </w:p>
    <w:p>
      <w:pPr>
        <w:spacing w:after="0" w:line="92" w:lineRule="exact"/>
        <w:rPr>
          <w:sz w:val="20"/>
          <w:szCs w:val="20"/>
          <w:color w:val="auto"/>
        </w:rPr>
      </w:pPr>
    </w:p>
    <w:p>
      <w:pPr>
        <w:ind w:left="1660" w:right="2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 significant portion of our total revenue in each year is generated from customers acquired in previous years.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00"/>
          </w:cols>
          <w:pgMar w:left="320" w:top="407" w:right="137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19" w:hanging="183"/>
        <w:spacing w:after="0" w:line="245"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Our FY 2020 Late COVID cohort and our FY 2021 YTD cohort, which are less impacted by COVID-19, are exhibiting better trends than our FY 2019 cohort.</w:t>
      </w:r>
    </w:p>
    <w:p>
      <w:pPr>
        <w:spacing w:after="0" w:line="87" w:lineRule="exact"/>
        <w:rPr>
          <w:rFonts w:ascii="Arial" w:cs="Arial" w:eastAsia="Arial" w:hAnsi="Arial"/>
          <w:sz w:val="15"/>
          <w:szCs w:val="15"/>
          <w:color w:val="auto"/>
        </w:rPr>
      </w:pPr>
    </w:p>
    <w:p>
      <w:pPr>
        <w:ind w:left="1660" w:right="159" w:hanging="183"/>
        <w:spacing w:after="0" w:line="238"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Over the last two and a half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188595</wp:posOffset>
            </wp:positionV>
            <wp:extent cx="4164330" cy="2203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6433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right="139" w:firstLine="460"/>
        <w:spacing w:after="0" w:line="246" w:lineRule="auto"/>
        <w:rPr>
          <w:sz w:val="20"/>
          <w:szCs w:val="20"/>
          <w:color w:val="auto"/>
        </w:rPr>
      </w:pPr>
      <w:r>
        <w:rPr>
          <w:rFonts w:ascii="Arial" w:cs="Arial" w:eastAsia="Arial" w:hAnsi="Arial"/>
          <w:sz w:val="15"/>
          <w:szCs w:val="15"/>
          <w:b w:val="1"/>
          <w:bCs w:val="1"/>
          <w:i w:val="1"/>
          <w:iCs w:val="1"/>
          <w:color w:val="auto"/>
        </w:rPr>
        <w:t xml:space="preserve">Subscriber Cohorts. </w:t>
      </w:r>
      <w:r>
        <w:rPr>
          <w:rFonts w:ascii="Arial" w:cs="Arial" w:eastAsia="Arial" w:hAnsi="Arial"/>
          <w:sz w:val="15"/>
          <w:szCs w:val="15"/>
          <w:color w:val="auto"/>
        </w:rPr>
        <w:t>In addition to evaluating the behavior of our entire customer base, we also focus specifically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behavior of subscribers given they contribute to the majority of our revenue. For the first six months of fiscal year 2021, 83% of our total revenue was generated by subscribers, while they were active or paused. This makes understanding their continued spend, expansion and potential lifetime value relative to customer acquisition cost particularly important.</w:t>
      </w:r>
    </w:p>
    <w:p>
      <w:pPr>
        <w:spacing w:after="0" w:line="167"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93" w:lineRule="exact"/>
        <w:rPr>
          <w:sz w:val="20"/>
          <w:szCs w:val="20"/>
          <w:color w:val="auto"/>
        </w:rPr>
      </w:pPr>
    </w:p>
    <w:p>
      <w:pPr>
        <w:ind w:left="1660" w:right="219" w:hanging="183"/>
        <w:spacing w:after="0" w:line="245"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Within 3, 6 and 12 months, subscribers from our fiscal year 2018 and 2019 cohorts generated an average of $286, $460 and $691 in cumulative revenue, respectively.</w:t>
      </w:r>
    </w:p>
    <w:p>
      <w:pPr>
        <w:spacing w:after="0" w:line="87" w:lineRule="exact"/>
        <w:rPr>
          <w:rFonts w:ascii="Arial" w:cs="Arial" w:eastAsia="Arial" w:hAnsi="Arial"/>
          <w:sz w:val="15"/>
          <w:szCs w:val="15"/>
          <w:color w:val="auto"/>
        </w:rPr>
      </w:pPr>
    </w:p>
    <w:p>
      <w:pPr>
        <w:ind w:left="1660" w:right="259" w:hanging="183"/>
        <w:spacing w:after="0" w:line="245"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Our FY 2020 Late COVID and FY 2021 YTD cohorts are exhibiting similar or better trends compared to our FY 2018 and FY 2019 cohorts.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139"/>
          </w:cols>
          <w:pgMar w:left="320" w:top="407" w:right="1440"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171450</wp:posOffset>
            </wp:positionV>
            <wp:extent cx="4250055" cy="146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5005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provide a flexible offering that allows our subscribers to pause their membership. We have seen historically that many subscribers customize their subscription as their everyday life changes, choosing to pause and reactivate their membership as needed. We give customers the flexibility to adapt the usage of their membership and have increased functionality to allow subscribers to pause more easily. We have historically seen that many subscribers who cancel their subscription will often return to the platform and resubscribe when membership again makes sense for their everyday life.</w:t>
      </w:r>
    </w:p>
    <w:p>
      <w:pPr>
        <w:spacing w:after="0" w:line="170" w:lineRule="exact"/>
        <w:rPr>
          <w:sz w:val="20"/>
          <w:szCs w:val="20"/>
          <w:color w:val="auto"/>
        </w:rPr>
      </w:pPr>
    </w:p>
    <w:p>
      <w:pPr>
        <w:ind w:left="1020" w:right="120" w:firstLine="460"/>
        <w:spacing w:after="0" w:line="266" w:lineRule="auto"/>
        <w:rPr>
          <w:sz w:val="20"/>
          <w:szCs w:val="20"/>
          <w:color w:val="auto"/>
        </w:rPr>
      </w:pPr>
      <w:r>
        <w:rPr>
          <w:rFonts w:ascii="Arial" w:cs="Arial" w:eastAsia="Arial" w:hAnsi="Arial"/>
          <w:sz w:val="14"/>
          <w:szCs w:val="14"/>
          <w:color w:val="auto"/>
        </w:rPr>
        <w:t>We acquire subscribers efficiently as evidenced by approximately 88% of our lifetime customers having joined organically. Historically, our annual cost to acquire a customer, or CAC, has remained below $ 55 and we define our CAC as total marketing expense, other than employee expenses, during a twelve month fiscal period divided by the number of new customers acquired in that period.</w:t>
      </w: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Brands and Products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Ability to Acquire and Monetize Products Efficiently. </w:t>
      </w:r>
      <w:r>
        <w:rPr>
          <w:rFonts w:ascii="Arial" w:cs="Arial" w:eastAsia="Arial" w:hAnsi="Arial"/>
          <w:sz w:val="15"/>
          <w:szCs w:val="15"/>
          <w:color w:val="auto"/>
        </w:rPr>
        <w:t>Our ability to deliver an elevated experience for our subscribers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that keeps them loyal to RTR relies on us having the right assortment. Due to our deep partnerships with brands, we can acquire products directly from them in multiple ways: Wholesale, Share by RTR and Exclusive Designs, and due to our expertise in reverse logistics and garment restoration we can monetize our products effectively over their useful life. We have demonstrated the ability to diversify our product acquisition away from 100% Wholesale, driving high overall product return on investment and reducing the capital needs of the business. In fiscal year 2020, approximately 54% of new items were acquired through Share by RTR and Exclusive Designs, our more capital efficient channels, compared to 26% in fiscal year 2019. We anticipate a similar acquisition mix to fiscal year 2020 for the full year of fiscal year 2021. We continuously evaluate our product acquisition mix to maximize our strategic priorities.</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evaluate the potential revenue and profit we generate on products over their lifetime, relative to the upfront cost of the products. We are presenting fiscal year 2019 in this prospectus because it was a more normalized period for our business and operations prior to the onset of the COVID-19 pandemic than fiscal year 2020, as well as the first six months of fiscal year 2021 because it is our most recent period. We also present fiscal year 2020 below, however we note that revenue and profit per turn in fiscal year 2020 benefited from reduced usage of our subscription programs during peak COVID-19 periods.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measure product return on investment, or ROI, of a single item on a revenue and profit basis over its predicted lifetime. Product ROI is defined as the average revenue or profit per turn of all items calculated in a given period, divided by the upfront cost per item of items acquired in that period. We define profit as revenue less fulfillment costs, credit card fees, and performance based revenue share expense.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20"/>
          </w:cols>
          <w:pgMar w:left="320" w:top="407" w:right="1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items ordered to date as of September 2021, our average upfront cost per item was $90, representing an 18% decrease from an average upfront cost of $111 for items acquired in fiscal year 2019. Our diversification into acquiring a greater portion of our product through Share by RTR and Exclusive Designs meaningfully reduced our upfront spend.</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ROI calculation assumes an average of 20 lifetime turns per unit. Based on the average lifetime turns as of June 2021 of all items we acquired in fiscal years 2015, 2016 and 2017, we have determined that an item can turn a minimum of 20 times on average over its lifetime. Our calculation of lifetime turns is inclusive of items that have been taken out of circulation due to damage, deactivation or resale, and we expect turns for these historical cohorts to increase as a portion of these items are still in circulation.</w:t>
      </w:r>
    </w:p>
    <w:p>
      <w:pPr>
        <w:spacing w:after="0" w:line="172"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From fiscal year 2019 to the first six months of fiscal year 2021, we improved revenue per turn by 20% from $22 to $27, respectively, and improved profit per turn by 52% from $11 to $16, respectively.</w:t>
      </w:r>
    </w:p>
    <w:p>
      <w:pPr>
        <w:spacing w:after="0" w:line="166"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When we multiply the item economics from fiscal year 2019 and the first six months of fiscal year 2021 by 20 turns, this implies total lifetime revenue of $445 and $536, respectively, and total lifetime profit of $212 and $324, respectively.</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Therefore, our product ROI has improved from 4.0x to 5.9x on a revenue basis, and from 1.9x to 3.6x on a profit basis based on item economics in fiscal year 2019 and the first six months of fiscal year 2021 applied over the expected lifetime of units, respectively. We believe we have the ability to drive improvements in product ROI over time as we continue to decrease our fulfillment expenses to improve profitability per item and use more efficient product acquisition channels to reduce upfront product cost.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7" w:right="135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285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7400" cy="428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w:t>
      </w:r>
    </w:p>
    <w:p>
      <w:pPr>
        <w:spacing w:after="0" w:line="87" w:lineRule="exact"/>
        <w:rPr>
          <w:sz w:val="20"/>
          <w:szCs w:val="20"/>
          <w:color w:val="auto"/>
        </w:rPr>
      </w:pPr>
    </w:p>
    <w:p>
      <w:pPr>
        <w:ind w:left="10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Ability to Achieve Leverage in our Cost Structure. </w:t>
      </w:r>
      <w:r>
        <w:rPr>
          <w:rFonts w:ascii="Arial" w:cs="Arial" w:eastAsia="Arial" w:hAnsi="Arial"/>
          <w:sz w:val="15"/>
          <w:szCs w:val="15"/>
          <w:color w:val="auto"/>
        </w:rPr>
        <w:t>Improving operational efficiency of our platform is imperative to maintaining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increasing profitability. As we continue to grow, we expect our operating costs to increase but do not expect these costs to grow at the same pace as our total revenue.</w:t>
      </w:r>
    </w:p>
    <w:p>
      <w:pPr>
        <w:spacing w:after="0" w:line="139"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72"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Over time, we have improved our margins, profitability and cash flow, and we believe we will continue to benefit from economies of scale and are focused on driving additional efficiencies in our operating expenses.</w:t>
      </w:r>
    </w:p>
    <w:p>
      <w:pPr>
        <w:spacing w:after="0" w:line="166"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152"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We experience seasonality in our business, which may change due to the effects of the COVID-19 pandemic.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Subscription offering, we typically acquire the highest number of</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180"/>
          </w:cols>
          <w:pgMar w:left="320" w:top="407" w:right="139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rPr>
          <w:sz w:val="20"/>
          <w:szCs w:val="20"/>
          <w:color w:val="auto"/>
        </w:rPr>
      </w:pPr>
      <w:r>
        <w:rPr>
          <w:rFonts w:ascii="Arial" w:cs="Arial" w:eastAsia="Arial" w:hAnsi="Arial"/>
          <w:sz w:val="15"/>
          <w:szCs w:val="15"/>
          <w:color w:val="auto"/>
        </w:rPr>
        <w:t>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Impact of COVID-19 on Our Business</w:t>
      </w:r>
    </w:p>
    <w:p>
      <w:pPr>
        <w:spacing w:after="0" w:line="19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Immediate Response to COVID-19</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 -site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Agility and Resilience During COVID-19</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addition to cost cutting, we took a number of steps to emerge from COVID-19 as a stronger business financially and strategically.</w:t>
      </w:r>
    </w:p>
    <w:p>
      <w:pPr>
        <w:ind w:left="1020"/>
        <w:spacing w:after="0"/>
        <w:rPr>
          <w:sz w:val="20"/>
          <w:szCs w:val="20"/>
          <w:color w:val="auto"/>
        </w:rPr>
      </w:pPr>
      <w:r>
        <w:rPr>
          <w:rFonts w:ascii="Arial" w:cs="Arial" w:eastAsia="Arial" w:hAnsi="Arial"/>
          <w:sz w:val="15"/>
          <w:szCs w:val="15"/>
          <w:color w:val="auto"/>
        </w:rPr>
        <w:t>We believed that the pandemic would shift consumer values and behaviors. With that goal in mind, we took the following actions:</w:t>
      </w:r>
    </w:p>
    <w:p>
      <w:pPr>
        <w:spacing w:after="0" w:line="98" w:lineRule="exact"/>
        <w:rPr>
          <w:sz w:val="20"/>
          <w:szCs w:val="20"/>
          <w:color w:val="auto"/>
        </w:rPr>
      </w:pPr>
    </w:p>
    <w:p>
      <w:pPr>
        <w:ind w:left="2020" w:right="60" w:hanging="543"/>
        <w:spacing w:after="0" w:line="245" w:lineRule="auto"/>
        <w:tabs>
          <w:tab w:leader="none" w:pos="20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Transformed product acquisition from a majority Wholesale model to more Share by RTR. We increased the penetration of Share by RTR from 32% of units acquired in our original</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00"/>
          </w:cols>
          <w:pgMar w:left="320" w:top="407" w:right="137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00"/>
        <w:spacing w:after="0"/>
        <w:rPr>
          <w:sz w:val="20"/>
          <w:szCs w:val="20"/>
          <w:color w:val="auto"/>
        </w:rPr>
      </w:pPr>
      <w:r>
        <w:rPr>
          <w:rFonts w:ascii="Arial" w:cs="Arial" w:eastAsia="Arial" w:hAnsi="Arial"/>
          <w:sz w:val="15"/>
          <w:szCs w:val="15"/>
          <w:color w:val="auto"/>
        </w:rPr>
        <w:t>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91" w:lineRule="exact"/>
        <w:rPr>
          <w:sz w:val="20"/>
          <w:szCs w:val="20"/>
          <w:color w:val="auto"/>
        </w:rPr>
      </w:pPr>
    </w:p>
    <w:p>
      <w:pPr>
        <w:ind w:left="2020" w:right="100" w:hanging="543"/>
        <w:spacing w:after="0" w:line="238" w:lineRule="auto"/>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93" w:lineRule="exact"/>
        <w:rPr>
          <w:rFonts w:ascii="Arial" w:cs="Arial" w:eastAsia="Arial" w:hAnsi="Arial"/>
          <w:sz w:val="15"/>
          <w:szCs w:val="15"/>
          <w:color w:val="auto"/>
        </w:rPr>
      </w:pPr>
    </w:p>
    <w:p>
      <w:pPr>
        <w:ind w:left="2020" w:right="60" w:hanging="543"/>
        <w:spacing w:after="0"/>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91" w:lineRule="exact"/>
        <w:rPr>
          <w:rFonts w:ascii="Arial" w:cs="Arial" w:eastAsia="Arial" w:hAnsi="Arial"/>
          <w:sz w:val="15"/>
          <w:szCs w:val="15"/>
          <w:color w:val="auto"/>
        </w:rPr>
      </w:pPr>
    </w:p>
    <w:p>
      <w:pPr>
        <w:ind w:left="2020" w:right="460" w:hanging="543"/>
        <w:spacing w:after="0"/>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91" w:lineRule="exact"/>
        <w:rPr>
          <w:rFonts w:ascii="Arial" w:cs="Arial" w:eastAsia="Arial" w:hAnsi="Arial"/>
          <w:sz w:val="15"/>
          <w:szCs w:val="15"/>
          <w:color w:val="auto"/>
        </w:rPr>
      </w:pPr>
    </w:p>
    <w:p>
      <w:pPr>
        <w:ind w:left="2020" w:right="20" w:hanging="543"/>
        <w:spacing w:after="0" w:line="238" w:lineRule="auto"/>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93" w:lineRule="exact"/>
        <w:rPr>
          <w:rFonts w:ascii="Arial" w:cs="Arial" w:eastAsia="Arial" w:hAnsi="Arial"/>
          <w:sz w:val="15"/>
          <w:szCs w:val="15"/>
          <w:color w:val="auto"/>
        </w:rPr>
      </w:pPr>
    </w:p>
    <w:p>
      <w:pPr>
        <w:ind w:left="2020" w:right="140" w:hanging="543"/>
        <w:spacing w:after="0"/>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91" w:lineRule="exact"/>
        <w:rPr>
          <w:rFonts w:ascii="Arial" w:cs="Arial" w:eastAsia="Arial" w:hAnsi="Arial"/>
          <w:sz w:val="15"/>
          <w:szCs w:val="15"/>
          <w:color w:val="auto"/>
        </w:rPr>
      </w:pPr>
    </w:p>
    <w:p>
      <w:pPr>
        <w:ind w:left="2020" w:hanging="543"/>
        <w:spacing w:after="0" w:line="236" w:lineRule="auto"/>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94" w:lineRule="exact"/>
        <w:rPr>
          <w:rFonts w:ascii="Arial" w:cs="Arial" w:eastAsia="Arial" w:hAnsi="Arial"/>
          <w:sz w:val="15"/>
          <w:szCs w:val="15"/>
          <w:color w:val="auto"/>
        </w:rPr>
      </w:pPr>
    </w:p>
    <w:p>
      <w:pPr>
        <w:jc w:val="both"/>
        <w:ind w:left="2020" w:right="40" w:hanging="543"/>
        <w:spacing w:after="0"/>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5"/>
          <w:szCs w:val="15"/>
          <w:b w:val="1"/>
          <w:bCs w:val="1"/>
          <w:color w:val="auto"/>
        </w:rPr>
        <w:t>.</w:t>
      </w:r>
    </w:p>
    <w:p>
      <w:pPr>
        <w:spacing w:after="0" w:line="91" w:lineRule="exact"/>
        <w:rPr>
          <w:rFonts w:ascii="Arial" w:cs="Arial" w:eastAsia="Arial" w:hAnsi="Arial"/>
          <w:sz w:val="15"/>
          <w:szCs w:val="15"/>
          <w:color w:val="auto"/>
        </w:rPr>
      </w:pPr>
    </w:p>
    <w:p>
      <w:pPr>
        <w:ind w:left="2020" w:right="120" w:hanging="543"/>
        <w:spacing w:after="0" w:line="238" w:lineRule="auto"/>
        <w:tabs>
          <w:tab w:leader="none" w:pos="20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00"/>
          </w:cols>
          <w:pgMar w:left="320" w:top="407" w:right="137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Financial Impact</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33.7% in fiscal year 2020, compared to 46.0% in fiscal year 2019.</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Marketing expense as a percentage of total revenue decreased from 8.9% in fiscal year 2019 to 5.1%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ind w:left="1020" w:right="160"/>
        <w:spacing w:after="0" w:line="245" w:lineRule="auto"/>
        <w:rPr>
          <w:sz w:val="20"/>
          <w:szCs w:val="20"/>
          <w:color w:val="auto"/>
        </w:rPr>
      </w:pPr>
      <w:r>
        <w:rPr>
          <w:rFonts w:ascii="Arial" w:cs="Arial" w:eastAsia="Arial" w:hAnsi="Arial"/>
          <w:sz w:val="15"/>
          <w:szCs w:val="15"/>
          <w:color w:val="auto"/>
        </w:rPr>
        <w:t>$37.7 million and $77.2 million in fiscal year 2020, respectively, but increased as a percentage of total revenue due to the decline in total revenue.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Ongoing Impact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Since March 2021, we have seen indications of COVID-19 recovery, with a significant number of paused subscribers resuming their subscriptions, new subscribers joining our platform, and an increased level of Reserve orders. In response to the growth in demand, we have increased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7" w:right="135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Business and Financial Metrics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2"/>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2"/>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5"/>
          </w:tcPr>
          <w:p>
            <w:pPr>
              <w:jc w:val="right"/>
              <w:ind w:right="572"/>
              <w:spacing w:after="0" w:line="126" w:lineRule="exact"/>
              <w:rPr>
                <w:sz w:val="20"/>
                <w:szCs w:val="20"/>
                <w:color w:val="auto"/>
              </w:rPr>
            </w:pPr>
            <w:r>
              <w:rPr>
                <w:rFonts w:ascii="Arial" w:cs="Arial" w:eastAsia="Arial" w:hAnsi="Arial"/>
                <w:sz w:val="12"/>
                <w:szCs w:val="12"/>
                <w:b w:val="1"/>
                <w:bCs w:val="1"/>
                <w:color w:val="auto"/>
              </w:rPr>
              <w:t>($ in millions)</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52"/>
              <w:spacing w:after="0" w:line="169" w:lineRule="exact"/>
              <w:rPr>
                <w:sz w:val="20"/>
                <w:szCs w:val="20"/>
                <w:color w:val="auto"/>
              </w:rPr>
            </w:pPr>
            <w:r>
              <w:rPr>
                <w:rFonts w:ascii="Arial" w:cs="Arial" w:eastAsia="Arial" w:hAnsi="Arial"/>
                <w:sz w:val="15"/>
                <w:szCs w:val="15"/>
                <w:color w:val="auto"/>
                <w:w w:val="99"/>
              </w:rPr>
              <w:t>133,572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52"/>
              <w:spacing w:after="0" w:line="169" w:lineRule="exact"/>
              <w:rPr>
                <w:sz w:val="20"/>
                <w:szCs w:val="20"/>
                <w:color w:val="auto"/>
              </w:rPr>
            </w:pPr>
            <w:r>
              <w:rPr>
                <w:rFonts w:ascii="Arial" w:cs="Arial" w:eastAsia="Arial" w:hAnsi="Arial"/>
                <w:sz w:val="15"/>
                <w:szCs w:val="15"/>
                <w:color w:val="auto"/>
              </w:rPr>
              <w:t>54,228</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97,614</w:t>
            </w:r>
          </w:p>
        </w:tc>
      </w:tr>
      <w:tr>
        <w:trPr>
          <w:trHeight w:val="169"/>
        </w:trPr>
        <w:tc>
          <w:tcPr>
            <w:tcW w:w="410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5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52"/>
              <w:spacing w:after="0" w:line="169" w:lineRule="exact"/>
              <w:rPr>
                <w:sz w:val="20"/>
                <w:szCs w:val="20"/>
                <w:color w:val="auto"/>
              </w:rPr>
            </w:pPr>
            <w:r>
              <w:rPr>
                <w:rFonts w:ascii="Arial" w:cs="Arial" w:eastAsia="Arial" w:hAnsi="Arial"/>
                <w:sz w:val="15"/>
                <w:szCs w:val="15"/>
                <w:color w:val="auto"/>
              </w:rPr>
              <w:t>53.6</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15.5</w:t>
            </w: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52"/>
              <w:spacing w:after="0" w:line="169" w:lineRule="exact"/>
              <w:rPr>
                <w:sz w:val="20"/>
                <w:szCs w:val="20"/>
                <w:color w:val="auto"/>
              </w:rPr>
            </w:pPr>
            <w:r>
              <w:rPr>
                <w:rFonts w:ascii="Arial" w:cs="Arial" w:eastAsia="Arial" w:hAnsi="Arial"/>
                <w:sz w:val="15"/>
                <w:szCs w:val="15"/>
                <w:color w:val="auto"/>
              </w:rPr>
              <w:t>8.7</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5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12"/>
              <w:spacing w:after="0" w:line="169" w:lineRule="exact"/>
              <w:rPr>
                <w:sz w:val="20"/>
                <w:szCs w:val="20"/>
                <w:color w:val="auto"/>
              </w:rPr>
            </w:pPr>
            <w:r>
              <w:rPr>
                <w:rFonts w:ascii="Arial" w:cs="Arial" w:eastAsia="Arial" w:hAnsi="Arial"/>
                <w:sz w:val="15"/>
                <w:szCs w:val="15"/>
                <w:color w:val="auto"/>
              </w:rPr>
              <w:t>(18.0)</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12"/>
              <w:spacing w:after="0" w:line="169" w:lineRule="exact"/>
              <w:rPr>
                <w:sz w:val="20"/>
                <w:szCs w:val="20"/>
                <w:color w:val="auto"/>
              </w:rPr>
            </w:pPr>
            <w:r>
              <w:rPr>
                <w:rFonts w:ascii="Arial" w:cs="Arial" w:eastAsia="Arial" w:hAnsi="Arial"/>
                <w:sz w:val="15"/>
                <w:szCs w:val="15"/>
                <w:color w:val="auto"/>
              </w:rPr>
              <w:t>(10.6)</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340" w:hanging="353"/>
        <w:spacing w:after="0" w:line="246" w:lineRule="auto"/>
        <w:tabs>
          <w:tab w:leader="none" w:pos="13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Adjusted EBITDA is a non-GAAP financial measure; for a reconciliation to the most directly comparable GAAP financial measure, net loss, and why we consider Adjusted EBITDA to be a useful metric, see “—Non-GAAP Financial Metric” below.</w:t>
      </w:r>
    </w:p>
    <w:p>
      <w:pPr>
        <w:spacing w:after="0" w:line="23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Key Business Metrics</w:t>
      </w:r>
    </w:p>
    <w:p>
      <w:pPr>
        <w:spacing w:after="0" w:line="87"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color w:val="auto"/>
        </w:rPr>
        <w:t>Active Subscribers</w:t>
      </w:r>
      <w:r>
        <w:rPr>
          <w:rFonts w:ascii="Arial" w:cs="Arial" w:eastAsia="Arial" w:hAnsi="Arial"/>
          <w:sz w:val="15"/>
          <w:szCs w:val="15"/>
          <w:color w:val="auto"/>
        </w:rPr>
        <w:t>: Active Subscribers represent the number of subscribers with an active membership as of the last day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 had 97,614 active subscribers, up 78% from the end of fiscal year 2020.</w:t>
      </w:r>
    </w:p>
    <w:p>
      <w:pPr>
        <w:spacing w:after="0" w:line="149"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b w:val="1"/>
          <w:bCs w:val="1"/>
          <w:color w:val="auto"/>
        </w:rPr>
        <w:t xml:space="preserve">Gross Profit and Gross Margin: </w:t>
      </w:r>
      <w:r>
        <w:rPr>
          <w:rFonts w:ascii="Arial" w:cs="Arial" w:eastAsia="Arial" w:hAnsi="Arial"/>
          <w:sz w:val="15"/>
          <w:szCs w:val="15"/>
          <w:color w:val="auto"/>
        </w:rPr>
        <w:t>We define Gross Profit as total revenue less fulfillment expense, revenue share and rental</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 In fiscal year 2020, Gross Profit was $15.5 million compared to $53.6 million in fiscal year 2019 representing Gross Margins of 9.8%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Gross Profit was $26.3 million for the six months ended July 31, 2021 compared to $8.7 million for the six months ended July 31, 2020 representing Gross Margins of 32.8% and 9.8%, respectively. The increase in Gross Profit and Gross Margin in the first six months of fiscal year 2021 was driven by the improvement in fulfillment costs and lower rental product depreciation and revenue share, which represented a lower percentage of total revenue than in the prior period. We expect to have the opportunity to improve Gross Profit by driving growth in total revenue, fulfillment and operational efficiency gains, and strategically evolving our mix of product acquisition.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Adjusted EBITDA and Adjusted EBITDA Margin: </w:t>
      </w:r>
      <w:r>
        <w:rPr>
          <w:rFonts w:ascii="Arial" w:cs="Arial" w:eastAsia="Arial" w:hAnsi="Arial"/>
          <w:sz w:val="15"/>
          <w:szCs w:val="15"/>
          <w:color w:val="auto"/>
        </w:rPr>
        <w:t>We define Adjusted EBITDA as net loss, adjusted to exclude interest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rental product depreciation, other depreciation and amortization, 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decreased due to the decrease in profitability and net loss. Adjusted EBITDA was $(8.1) million for the six months ended July 31, 2021 compared to $ (10.6) million for the six months ended July 31, 2020, representing margins of (10.1)% and (12.0)%, respectively. Adjusted EBITDA has increased due to the improvement in profitability and net loss compared to the prior period. We have the opportunity to improve Adjusted EBITDA as we drive operating expense leverage.</w:t>
      </w:r>
    </w:p>
    <w:p>
      <w:pPr>
        <w:spacing w:after="0" w:line="246"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Total Revenue, Net</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Our total revenue, net consists of Subscription and Reserve rental revenue and Other revenue. Total revenue is presented net of promotional discounts, credits and refunds, and taxes.</w:t>
      </w:r>
    </w:p>
    <w:p>
      <w:pPr>
        <w:spacing w:after="0" w:line="148"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We generate Subscription and Reserve rental revenue from subscription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a-la-carte (through our Reserve offering)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325"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We generate Other revenue primarily from the sale of products while they are in rental condition. We offer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8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consist of all variable costs to receive, process and fulfill customer orders. This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00"/>
          </w:cols>
          <w:pgMar w:left="320" w:top="407" w:right="137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consist of personnel and related costs for employees engaged in software development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51" w:lineRule="exact"/>
        <w:rPr>
          <w:sz w:val="20"/>
          <w:szCs w:val="20"/>
          <w:color w:val="auto"/>
        </w:rPr>
      </w:pPr>
    </w:p>
    <w:p>
      <w:pPr>
        <w:jc w:val="both"/>
        <w:ind w:left="1020" w:right="2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include online and mobile marketing, search engine optimization and email costs, marketing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4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consist of all other personnel and related costs,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expenses consist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53"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expenses consist of depreciation and amortization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for fixed assets, intangible assets including capitalized software, and financing right-of-use assets.</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 (Expense)</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Interest income / (expense) consists primarily of accrued paid-in-kind interest, cash interest and debt issuance cost amortization associated with our Ares Facility and Credit Facility (each as defined below).</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160"/>
          </w:cols>
          <w:pgMar w:left="320" w:top="407" w:right="141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 / (Expense)</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 from Income Taxes</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Income taxes consist primarily of state minimum taxes and Irish refundable tax credits.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2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w w:val="98"/>
              </w:rPr>
              <w:t>Six Months Ended</w:t>
            </w:r>
          </w:p>
        </w:tc>
      </w:tr>
      <w:tr>
        <w:trPr>
          <w:trHeight w:val="145"/>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49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60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60"/>
        </w:trPr>
        <w:tc>
          <w:tcPr>
            <w:tcW w:w="49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Consolidated Statements of Operations Data:</w:t>
            </w: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$ 235.4</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$ 135.9</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21.5</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12.2</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256.9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157.5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118.1</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40.2</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37.7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18.6</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22.9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98.9</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77.2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42.0</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85.2</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288.0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157.2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132.0</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498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(130.0)</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(130.5)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(24.0)</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(29.4)</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(3.6)</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 taxes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(154.1)</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(84.8)</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0.1</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(153.9)</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(171.1)</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(84.7)</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Years Ended January 31, 2021 and 2020</w:t>
      </w:r>
    </w:p>
    <w:p>
      <w:pPr>
        <w:spacing w:after="0" w:line="87"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$157.5 million for fiscal year 2020, a decrease of $99.4 million, or 38.7%,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$256.9 million for fiscal year 2019. This decrease was primarily driven by the reduction in overall demand directly attributable to the COVID-19 pandemic.</w:t>
      </w:r>
    </w:p>
    <w:p>
      <w:pPr>
        <w:spacing w:after="0" w:line="144" w:lineRule="exact"/>
        <w:rPr>
          <w:sz w:val="20"/>
          <w:szCs w:val="20"/>
          <w:color w:val="auto"/>
        </w:rPr>
      </w:pPr>
    </w:p>
    <w:p>
      <w:pPr>
        <w:ind w:left="1020" w:right="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$135.9 million for fiscal year 2020,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$99.5 million, or 42.3%, compared to $235.4 million for fiscal year 2019. This decrease was primarily driven by the 59.0% year over year decrease in active subscriber counts as a result of the COVID-19 pandemic.</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20"/>
          </w:cols>
          <w:pgMar w:left="320" w:top="407" w:right="135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$ 21.6 million for fiscal year 2020, an increase of $0.1 million, or 0.5%,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49"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$288.0 million for fiscal year 2020, a decrease of $98.9 million, or 25.6%,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49" w:lineRule="exact"/>
        <w:rPr>
          <w:sz w:val="20"/>
          <w:szCs w:val="20"/>
          <w:color w:val="auto"/>
        </w:rPr>
      </w:pPr>
    </w:p>
    <w:p>
      <w:pPr>
        <w:ind w:left="1020" w:right="1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$53.0 million for fiscal year 2020, a decrease of $65.1 million, or 55.1%,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49" w:lineRule="exact"/>
        <w:rPr>
          <w:sz w:val="20"/>
          <w:szCs w:val="20"/>
          <w:color w:val="auto"/>
        </w:rPr>
      </w:pPr>
    </w:p>
    <w:p>
      <w:pPr>
        <w:ind w:left="1480"/>
        <w:spacing w:after="0"/>
        <w:tabs>
          <w:tab w:leader="none" w:pos="2500" w:val="left"/>
        </w:tabs>
        <w:rPr>
          <w:sz w:val="20"/>
          <w:szCs w:val="20"/>
          <w:color w:val="auto"/>
        </w:rPr>
      </w:pPr>
      <w:r>
        <w:rPr>
          <w:rFonts w:ascii="Arial" w:cs="Arial" w:eastAsia="Arial" w:hAnsi="Arial"/>
          <w:sz w:val="15"/>
          <w:szCs w:val="15"/>
          <w:b w:val="1"/>
          <w:bCs w:val="1"/>
          <w:i w:val="1"/>
          <w:iCs w:val="1"/>
          <w:color w:val="auto"/>
        </w:rPr>
        <w:t>Technology.</w:t>
      </w:r>
      <w:r>
        <w:rPr>
          <w:sz w:val="20"/>
          <w:szCs w:val="20"/>
          <w:color w:val="auto"/>
        </w:rPr>
        <w:tab/>
      </w:r>
      <w:r>
        <w:rPr>
          <w:rFonts w:ascii="Arial" w:cs="Arial" w:eastAsia="Arial" w:hAnsi="Arial"/>
          <w:sz w:val="14"/>
          <w:szCs w:val="14"/>
          <w:color w:val="auto"/>
        </w:rPr>
        <w:t>Technology expenses were $37.7 million for fiscal year 2020, a decrease of $2.5 million, or 6.2%,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$40.2 million in fiscal year 2019. This decrease was primarily driven by cost saving initiatives put in place as a result of the impact of the</w:t>
      </w:r>
    </w:p>
    <w:p>
      <w:pPr>
        <w:ind w:left="1020"/>
        <w:spacing w:after="0"/>
        <w:rPr>
          <w:sz w:val="20"/>
          <w:szCs w:val="20"/>
          <w:color w:val="auto"/>
        </w:rPr>
      </w:pPr>
      <w:r>
        <w:rPr>
          <w:rFonts w:ascii="Arial" w:cs="Arial" w:eastAsia="Arial" w:hAnsi="Arial"/>
          <w:sz w:val="15"/>
          <w:szCs w:val="15"/>
          <w:color w:val="auto"/>
        </w:rPr>
        <w:t>COVID-19 pandemic, including contract renegotiations and technology personnel cost reductions.</w:t>
      </w:r>
    </w:p>
    <w:p>
      <w:pPr>
        <w:spacing w:after="0" w:line="155" w:lineRule="exact"/>
        <w:rPr>
          <w:sz w:val="20"/>
          <w:szCs w:val="20"/>
          <w:color w:val="auto"/>
        </w:rPr>
      </w:pPr>
    </w:p>
    <w:p>
      <w:pPr>
        <w:ind w:left="1480"/>
        <w:spacing w:after="0"/>
        <w:tabs>
          <w:tab w:leader="none" w:pos="2380" w:val="left"/>
        </w:tabs>
        <w:rPr>
          <w:sz w:val="20"/>
          <w:szCs w:val="20"/>
          <w:color w:val="auto"/>
        </w:rPr>
      </w:pPr>
      <w:r>
        <w:rPr>
          <w:rFonts w:ascii="Arial" w:cs="Arial" w:eastAsia="Arial" w:hAnsi="Arial"/>
          <w:sz w:val="15"/>
          <w:szCs w:val="15"/>
          <w:b w:val="1"/>
          <w:bCs w:val="1"/>
          <w:i w:val="1"/>
          <w:iCs w:val="1"/>
          <w:color w:val="auto"/>
        </w:rPr>
        <w:t>Marketing.</w:t>
      </w:r>
      <w:r>
        <w:rPr>
          <w:sz w:val="20"/>
          <w:szCs w:val="20"/>
          <w:color w:val="auto"/>
        </w:rPr>
        <w:tab/>
      </w:r>
      <w:r>
        <w:rPr>
          <w:rFonts w:ascii="Arial" w:cs="Arial" w:eastAsia="Arial" w:hAnsi="Arial"/>
          <w:sz w:val="15"/>
          <w:szCs w:val="15"/>
          <w:color w:val="auto"/>
        </w:rPr>
        <w:t>Marketing expenses were $8.1 million for fiscal year 2020, a decrease of $14.8 million, or 64.6%,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$22.9 million in fiscal year 2019. This decrease was primarily driven by the decision to reduce paid and brand marketing spend during the</w:t>
      </w:r>
    </w:p>
    <w:p>
      <w:pPr>
        <w:ind w:left="1020"/>
        <w:spacing w:after="0" w:line="235" w:lineRule="auto"/>
        <w:rPr>
          <w:sz w:val="20"/>
          <w:szCs w:val="20"/>
          <w:color w:val="auto"/>
        </w:rPr>
      </w:pPr>
      <w:r>
        <w:rPr>
          <w:rFonts w:ascii="Arial" w:cs="Arial" w:eastAsia="Arial" w:hAnsi="Arial"/>
          <w:sz w:val="15"/>
          <w:szCs w:val="15"/>
          <w:color w:val="auto"/>
        </w:rPr>
        <w:t>COVID-19 pandemic in addition to marketing personnel cost reductions. Marketing expenses unrelated to personnel costs were</w:t>
      </w:r>
    </w:p>
    <w:p>
      <w:pPr>
        <w:ind w:left="1020"/>
        <w:spacing w:after="0"/>
        <w:rPr>
          <w:sz w:val="20"/>
          <w:szCs w:val="20"/>
          <w:color w:val="auto"/>
        </w:rPr>
      </w:pPr>
      <w:r>
        <w:rPr>
          <w:rFonts w:ascii="Arial" w:cs="Arial" w:eastAsia="Arial" w:hAnsi="Arial"/>
          <w:sz w:val="15"/>
          <w:szCs w:val="15"/>
          <w:color w:val="auto"/>
        </w:rPr>
        <w:t>$4.2 million in fiscal year 2020 and $18.1 million in fiscal year 2019, representing 2.7% and 7.0% of total revenue, respectively.</w:t>
      </w:r>
    </w:p>
    <w:p>
      <w:pPr>
        <w:spacing w:after="0" w:line="155" w:lineRule="exact"/>
        <w:rPr>
          <w:sz w:val="20"/>
          <w:szCs w:val="20"/>
          <w:color w:val="auto"/>
        </w:rPr>
      </w:pPr>
    </w:p>
    <w:p>
      <w:pPr>
        <w:ind w:left="1480"/>
        <w:spacing w:after="0"/>
        <w:tabs>
          <w:tab w:leader="none" w:pos="3620" w:val="left"/>
        </w:tabs>
        <w:rPr>
          <w:sz w:val="20"/>
          <w:szCs w:val="20"/>
          <w:color w:val="auto"/>
        </w:rPr>
      </w:pPr>
      <w:r>
        <w:rPr>
          <w:rFonts w:ascii="Arial" w:cs="Arial" w:eastAsia="Arial" w:hAnsi="Arial"/>
          <w:sz w:val="15"/>
          <w:szCs w:val="15"/>
          <w:b w:val="1"/>
          <w:bCs w:val="1"/>
          <w:i w:val="1"/>
          <w:iCs w:val="1"/>
          <w:color w:val="auto"/>
        </w:rPr>
        <w:t>General and Administrative.</w:t>
      </w:r>
      <w:r>
        <w:rPr>
          <w:sz w:val="20"/>
          <w:szCs w:val="20"/>
          <w:color w:val="auto"/>
        </w:rPr>
        <w:tab/>
      </w:r>
      <w:r>
        <w:rPr>
          <w:rFonts w:ascii="Arial" w:cs="Arial" w:eastAsia="Arial" w:hAnsi="Arial"/>
          <w:sz w:val="15"/>
          <w:szCs w:val="15"/>
          <w:color w:val="auto"/>
        </w:rPr>
        <w:t>General and administrative expenses were $77.2 million for fiscal year 2020, a decrease of</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$21.7 million, or 21.9%, compared to $98.9 million in fiscal year 2019. This decrease was primarily driven by cost saving initiatives put in</w:t>
      </w:r>
    </w:p>
    <w:p>
      <w:pPr>
        <w:ind w:left="1020"/>
        <w:spacing w:after="0" w:line="235" w:lineRule="auto"/>
        <w:rPr>
          <w:sz w:val="20"/>
          <w:szCs w:val="20"/>
          <w:color w:val="auto"/>
        </w:rPr>
      </w:pPr>
      <w:r>
        <w:rPr>
          <w:rFonts w:ascii="Arial" w:cs="Arial" w:eastAsia="Arial" w:hAnsi="Arial"/>
          <w:sz w:val="15"/>
          <w:szCs w:val="15"/>
          <w:color w:val="auto"/>
        </w:rPr>
        <w:t>place as a result of the impact of the COVID-19 pandemic, including retail store closures and associated personnel and operating expense</w:t>
      </w:r>
    </w:p>
    <w:p>
      <w:pPr>
        <w:ind w:left="1020"/>
        <w:spacing w:after="0" w:line="235" w:lineRule="auto"/>
        <w:rPr>
          <w:sz w:val="20"/>
          <w:szCs w:val="20"/>
          <w:color w:val="auto"/>
        </w:rPr>
      </w:pPr>
      <w:r>
        <w:rPr>
          <w:rFonts w:ascii="Arial" w:cs="Arial" w:eastAsia="Arial" w:hAnsi="Arial"/>
          <w:sz w:val="15"/>
          <w:szCs w:val="15"/>
          <w:color w:val="auto"/>
        </w:rPr>
        <w:t>reductions, contract renegotiations, and other general and administrative personnel cost reductions, partially offset by operating lease</w:t>
      </w:r>
    </w:p>
    <w:p>
      <w:pPr>
        <w:ind w:left="1020"/>
        <w:spacing w:after="0" w:line="235" w:lineRule="auto"/>
        <w:rPr>
          <w:sz w:val="20"/>
          <w:szCs w:val="20"/>
          <w:color w:val="auto"/>
        </w:rPr>
      </w:pPr>
      <w:r>
        <w:rPr>
          <w:rFonts w:ascii="Arial" w:cs="Arial" w:eastAsia="Arial" w:hAnsi="Arial"/>
          <w:sz w:val="15"/>
          <w:szCs w:val="15"/>
          <w:color w:val="auto"/>
        </w:rPr>
        <w:t>disposals as a result of the COVID-19 pandemic. Occupancy expenses (including warehouse-related expenses) contributed to the</w:t>
      </w:r>
    </w:p>
    <w:p>
      <w:pPr>
        <w:ind w:left="1020"/>
        <w:spacing w:after="0" w:line="235" w:lineRule="auto"/>
        <w:rPr>
          <w:sz w:val="20"/>
          <w:szCs w:val="20"/>
          <w:color w:val="auto"/>
        </w:rPr>
      </w:pPr>
      <w:r>
        <w:rPr>
          <w:rFonts w:ascii="Arial" w:cs="Arial" w:eastAsia="Arial" w:hAnsi="Arial"/>
          <w:sz w:val="15"/>
          <w:szCs w:val="15"/>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fiscal year 2020.</w:t>
      </w:r>
    </w:p>
    <w:p>
      <w:pPr>
        <w:spacing w:after="0" w:line="15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$89.0 million for fiscal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2020, an increase of $3.8 million, or 4.5%,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lower active subscriber and revenue levels due to COVID-19.</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00"/>
          </w:cols>
          <w:pgMar w:left="32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$23.0 million for fiscal year 2020,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$1.4 million, or 6.5%,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4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$(46.6) million for fiscal year 2020, an increase of $22.6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94.2%, compared to $(24.0) million for fiscal year 2019. This increase was primarily driven by the incremental accrued payment-in-kind interest and cash interest related to the additional draw downs on our Credit Facility and payment-in-kind interest, or PIK, related to the addition of our Ares Facility. Of the $(46.6) million total interest expense in fiscal year 2020, $(36.9) million was PIK interest, $(4.7) million was cash, financing lease interest and other interest, and $(5.0) million was debt discount amortization, compared with $(19.0) million PIK interest, $(1.0) million cash, financing lease interest and other interest and $(4.0) million debt amortization in fiscal year 2019.</w:t>
      </w:r>
    </w:p>
    <w:p>
      <w:pPr>
        <w:spacing w:after="0" w:line="151"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$ 6.0 million for fiscal year 2020, an increase of $6.1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Six Months Ended July 31, 2021 and 2020</w:t>
      </w:r>
    </w:p>
    <w:p>
      <w:pPr>
        <w:spacing w:after="0" w:line="87"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$80.2 million for the six months ended July 31, 2021, a decrease of $8.3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 compared to $88.5 million for the six months ended July 31, 2020. This decrease was primarily driven by the lower average subscriber count in the current period due to COVID-19.</w:t>
      </w:r>
    </w:p>
    <w:p>
      <w:pPr>
        <w:spacing w:after="0" w:line="144"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$72.7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July 31, 2021, a decrease of $3.6 million, or 4.7%, compared to $76.3 million for the six months ended July 31, 2020. While the active subscriber count at July 31, 2021 was 80.0% higher than at July 31, 2020, the average number of active subscribers during the six months ended July 31, 2021 (defined as the average of the number of active subscribers at the end of the current period and the number of active subscribers at the end of the prior period) was 18.8% lower than in the prior period due to timing differences in the impact of COVID-19 on each respective period.</w:t>
      </w:r>
    </w:p>
    <w:p>
      <w:pPr>
        <w:spacing w:after="0" w:line="151" w:lineRule="exact"/>
        <w:rPr>
          <w:sz w:val="20"/>
          <w:szCs w:val="20"/>
          <w:color w:val="auto"/>
        </w:rPr>
      </w:pPr>
    </w:p>
    <w:p>
      <w:pPr>
        <w:ind w:left="1020" w:right="1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$7.5 million for the six months ended July 31, 2021, a decrease of $4.7 million, or 38.5%,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$12.2 million for the six months ended July 31, 2020. This decrease in the current period was primarily driven by an intentional mix shift of revenue during the first half of fiscal year 2020 (at the peak of the COVID-19 pandemic) from Subscription and Reserve rental revenue to Other revenue which was not done in the first half of fiscal year 2021. In the prior period, we launched additional resale initiatives and increased promotional activities for resale items in order to increase revenue from subscribers. These promotional activities were reduced in the first six months of fiscal year 2021 which resulted in Other revenue representing 9.4% of total revenue in the first six months of fiscal year 2021, down from 13.8% in the same period of fiscal year 2020.</w:t>
      </w:r>
    </w:p>
    <w:p>
      <w:pPr>
        <w:spacing w:after="0" w:line="1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$132.0 million for the six months ended July 31, 2021, a decrease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$25.2 million, or 16.0%, compared to $157.2 million for the six months ended July 31, 2020. This decrease to the prior period was primarily driven by reduced total shipments and lower fulfillment expenses partly as a result of the COVID-19 pandemic and also due to the phase out of the unlimited swap program, as well as lower rental product depreciation and revenue share driven by lower levels of product sold and the partial right-sizing of product relative to the level of active subscribers and revenue and lower revenue share.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160"/>
          </w:cols>
          <w:pgMar w:left="320" w:top="407" w:right="141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$22.3 million for the six months ended July 31, 2021, a decrease of $10.5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32.0%, compared to $ 32.8 million for the six months ended July 31, 2020. The decrease in dollars and as a percentage of revenue was primarily driven by the reduction in total shipments to be fulfilled from the reduced average number of active subscribers during the COVID-19 pandemic impacted periods and due to the phase out of the unlimited swap program, as well as fulfillment process efficiencies compared to the prior period.</w:t>
      </w:r>
    </w:p>
    <w:p>
      <w:pPr>
        <w:spacing w:after="0" w:line="149" w:lineRule="exact"/>
        <w:rPr>
          <w:sz w:val="20"/>
          <w:szCs w:val="20"/>
          <w:color w:val="auto"/>
        </w:rPr>
      </w:pPr>
    </w:p>
    <w:p>
      <w:pPr>
        <w:ind w:left="1020" w:right="2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were $20.2 million for the six months ended July 31, 2021, an increase of $1.6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8.6%, compared to $18.6 million for the six months ended July 31, 2020. This increase was primarily driven by an increase in hiring and personnel costs for the first six months of fiscal year 2021 to support future technology growth initiatives, compared to the prior period which was impacted by COVID-19 related personnel cost reductions.</w:t>
      </w:r>
    </w:p>
    <w:p>
      <w:pPr>
        <w:spacing w:after="0" w:line="149"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were $7.4 million for the six months ended July 31, 2021, an increase of $ 2.3 million, or 45.1%,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$5.1 million for the six months ended July 31, 2020. This increase was primarily driven by the increase in paid marketing spend compared to the prior period which had reduced marketing spend during the COVID-19 pandemic. Marketing expenses unrelated to personnel costs were $ 5.3 million in the six months ended July 31, 2021 and $3.0 million in the six months ended July 31, 2020, representing 6.6% and 3.4% of total revenue, respectively.</w:t>
      </w:r>
    </w:p>
    <w:p>
      <w:pPr>
        <w:spacing w:after="0" w:line="149"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were $40.6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$ 1.4 million, or 3.3%, compared to $42.0 million in the six months ended July 31, 2020. This decrease was partially driven by a $1.9 million decrease in customer experience personnel costs due to fewer subscribers requiring support during the six months ended July 31, 2021, compared to the support required at the onset of COVID-19 in the same period last year. The decrease is also attributable to a $1.2 million increase in the gain/loss from liquidated rental product sales and to a lesser extent the continued benefits of cost-saving initiatives undertaken at the onset of COVID-19, including retail store closures, associated expense reductions and contract renegotiations. This decrease was partially offset by an increase in public readiness preparation costs incurred in the first six months of fiscal year 2021 and $1.8 million of higher corporate personnel costs as the prior period was impacted by COVID-19 related corporate personnel cost reductions.</w:t>
      </w:r>
    </w:p>
    <w:p>
      <w:pPr>
        <w:spacing w:after="0" w:line="156"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$31.6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July 31, 2021, a decrease of $15.4 million, or 32.8%, compared to $47.0 million in the six months ended July 31, 2020. Rental product depreciation and revenue share was 39.4% of revenue in the six months ended July 31, 2021, down from 53.1% in the prior period as a result of lower levels of product sold, the partial right-sizing of product relative to the level of active subscribers and lower revenue share.</w:t>
      </w:r>
    </w:p>
    <w:p>
      <w:pPr>
        <w:spacing w:after="0" w:line="149"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$9.9 million for the six months ended July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a decrease of $1.8 million, or 15.4%, compared to $11.7 million in the six months ended July 31, 2020. This decrease was primarily driven by lower depreciation associated with our reusable garment bags as this depreciation is time based and fewer bags were purchased and depreciated, as a result of the reduction in shipment volume over the past year.</w:t>
      </w:r>
    </w:p>
    <w:p>
      <w:pPr>
        <w:spacing w:after="0" w:line="149" w:lineRule="exact"/>
        <w:rPr>
          <w:sz w:val="20"/>
          <w:szCs w:val="20"/>
          <w:color w:val="auto"/>
        </w:rPr>
      </w:pPr>
    </w:p>
    <w:p>
      <w:pPr>
        <w:jc w:val="both"/>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$(29.4) million for the six months ended July 31, 2021,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$9.0 million, or 44.1%, compared to $(20.4) million for the six months ended July 31, 2020. This increase was driven by the incremental accrued payment-in-kind interest related to the additional Ares debt entered in October 2020. Of the $(29.4) million total interest expense in the six months ended July 31, 2021, $(23.2) million was PIK interest, $(2.3) million was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spacing w:after="0" w:line="245" w:lineRule="auto"/>
        <w:rPr>
          <w:sz w:val="20"/>
          <w:szCs w:val="20"/>
          <w:color w:val="auto"/>
        </w:rPr>
      </w:pPr>
      <w:r>
        <w:rPr>
          <w:rFonts w:ascii="Arial" w:cs="Arial" w:eastAsia="Arial" w:hAnsi="Arial"/>
          <w:sz w:val="15"/>
          <w:szCs w:val="15"/>
          <w:color w:val="auto"/>
        </w:rPr>
        <w:t>cash, financing lease interest and other interest and $(3.9) million was debt discount amortization, compared with $(16.2) million PIK interest, $(2.2) million cash and financing lease interest and $(2.0) million debt amortization in the six months ended July 31, 2020.</w:t>
      </w:r>
    </w:p>
    <w:p>
      <w:pPr>
        <w:spacing w:after="0" w:line="148" w:lineRule="exact"/>
        <w:rPr>
          <w:sz w:val="20"/>
          <w:szCs w:val="20"/>
          <w:color w:val="auto"/>
        </w:rPr>
      </w:pPr>
    </w:p>
    <w:p>
      <w:pPr>
        <w:ind w:left="1020" w:right="1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$(3.6)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$4.7 million, compared to $1.1 million for the six months ended July 31, 2020. This decrease was primarily driven by a non-cash warrant revaluation expense, which did not occur in the prior year, partially offset by the receipt of insurance claim proceeds.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139"/>
          </w:cols>
          <w:pgMar w:left="320" w:top="407" w:right="1440"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statements of operations data by quarter from the first quarter of fiscal year 2019 to the second quarter of fiscal year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1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80" w:type="dxa"/>
            <w:vAlign w:val="bottom"/>
          </w:tcPr>
          <w:p>
            <w:pPr>
              <w:spacing w:after="0"/>
              <w:rPr>
                <w:sz w:val="8"/>
                <w:szCs w:val="8"/>
                <w:color w:val="auto"/>
              </w:rPr>
            </w:pPr>
          </w:p>
        </w:tc>
        <w:tc>
          <w:tcPr>
            <w:tcW w:w="68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July 31,</w:t>
            </w:r>
          </w:p>
        </w:tc>
        <w:tc>
          <w:tcPr>
            <w:tcW w:w="2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8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68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July 31,</w:t>
            </w:r>
          </w:p>
        </w:tc>
        <w:tc>
          <w:tcPr>
            <w:tcW w:w="4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Consolidated Statement of</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Operations Data:</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Subscription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Reserve rental</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50.6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58.6</w:t>
            </w:r>
          </w:p>
        </w:tc>
        <w:tc>
          <w:tcPr>
            <w:tcW w:w="1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59.2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67.0</w:t>
            </w:r>
          </w:p>
        </w:tc>
        <w:tc>
          <w:tcPr>
            <w:tcW w:w="80" w:type="dxa"/>
            <w:vAlign w:val="bottom"/>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52.3</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24.0</w:t>
            </w:r>
          </w:p>
        </w:tc>
        <w:tc>
          <w:tcPr>
            <w:tcW w:w="1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29.1</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29.8</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Other revenue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360"/>
              <w:spacing w:after="0"/>
              <w:rPr>
                <w:sz w:val="20"/>
                <w:szCs w:val="20"/>
                <w:color w:val="auto"/>
              </w:rPr>
            </w:pPr>
            <w:r>
              <w:rPr>
                <w:rFonts w:ascii="Arial" w:cs="Arial" w:eastAsia="Arial" w:hAnsi="Arial"/>
                <w:sz w:val="12"/>
                <w:szCs w:val="12"/>
                <w:color w:val="auto"/>
              </w:rPr>
              <w:t>Total revenue, net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64.3</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33.5</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Costs and expenses: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Fulfillment</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32.8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11.0</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Technology</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Marketing</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3.9</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administrative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28.5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24.6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19.0</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Rental product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depreciation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 share</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27.7</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26.5</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22.1</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16.6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depreciation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amortization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2"/>
        </w:trPr>
        <w:tc>
          <w:tcPr>
            <w:tcW w:w="1480" w:type="dxa"/>
            <w:vAlign w:val="bottom"/>
          </w:tcPr>
          <w:p>
            <w:pPr>
              <w:ind w:left="360"/>
              <w:spacing w:after="0"/>
              <w:rPr>
                <w:sz w:val="20"/>
                <w:szCs w:val="20"/>
                <w:color w:val="auto"/>
              </w:rPr>
            </w:pPr>
            <w:r>
              <w:rPr>
                <w:rFonts w:ascii="Arial" w:cs="Arial" w:eastAsia="Arial" w:hAnsi="Arial"/>
                <w:sz w:val="12"/>
                <w:szCs w:val="12"/>
                <w:color w:val="auto"/>
              </w:rPr>
              <w:t>Total costs and</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480"/>
              <w:spacing w:after="0" w:line="132" w:lineRule="exact"/>
              <w:rPr>
                <w:sz w:val="20"/>
                <w:szCs w:val="20"/>
                <w:color w:val="auto"/>
              </w:rPr>
            </w:pPr>
            <w:r>
              <w:rPr>
                <w:rFonts w:ascii="Arial" w:cs="Arial" w:eastAsia="Arial" w:hAnsi="Arial"/>
                <w:sz w:val="12"/>
                <w:szCs w:val="12"/>
                <w:color w:val="auto"/>
              </w:rPr>
              <w:t>expenses</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107.4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113.6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94.7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62.5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63.3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61.8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(24.9)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(39.8)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left="240"/>
              <w:spacing w:after="0" w:line="136" w:lineRule="exact"/>
              <w:rPr>
                <w:sz w:val="20"/>
                <w:szCs w:val="20"/>
                <w:color w:val="auto"/>
              </w:rPr>
            </w:pPr>
            <w:r>
              <w:rPr>
                <w:rFonts w:ascii="Arial" w:cs="Arial" w:eastAsia="Arial" w:hAnsi="Arial"/>
                <w:sz w:val="12"/>
                <w:szCs w:val="12"/>
                <w:color w:val="auto"/>
                <w:w w:val="95"/>
              </w:rPr>
              <w:t>(29.8)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(28.3)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Arial" w:cs="Arial" w:eastAsia="Arial" w:hAnsi="Arial"/>
                <w:sz w:val="12"/>
                <w:szCs w:val="12"/>
                <w:color w:val="auto"/>
              </w:rPr>
              <w:t>Interest income /</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(expense), net</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(7.6)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(8.9)</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(11.8)</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(14.4)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spacing w:after="0"/>
              <w:rPr>
                <w:sz w:val="20"/>
                <w:szCs w:val="20"/>
                <w:color w:val="auto"/>
              </w:rPr>
            </w:pPr>
            <w:r>
              <w:rPr>
                <w:rFonts w:ascii="Arial" w:cs="Arial" w:eastAsia="Arial" w:hAnsi="Arial"/>
                <w:sz w:val="12"/>
                <w:szCs w:val="12"/>
                <w:color w:val="auto"/>
              </w:rPr>
              <w:t>Other income /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net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0.9</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2"/>
        </w:trPr>
        <w:tc>
          <w:tcPr>
            <w:tcW w:w="1480" w:type="dxa"/>
            <w:vAlign w:val="bottom"/>
          </w:tcPr>
          <w:p>
            <w:pPr>
              <w:ind w:left="540"/>
              <w:spacing w:after="0"/>
              <w:rPr>
                <w:sz w:val="20"/>
                <w:szCs w:val="20"/>
                <w:color w:val="auto"/>
              </w:rPr>
            </w:pPr>
            <w:r>
              <w:rPr>
                <w:rFonts w:ascii="Arial" w:cs="Arial" w:eastAsia="Arial" w:hAnsi="Arial"/>
                <w:sz w:val="12"/>
                <w:szCs w:val="12"/>
                <w:color w:val="auto"/>
              </w:rPr>
              <w:t>Net loss before</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660"/>
              <w:spacing w:after="0" w:line="136" w:lineRule="exact"/>
              <w:rPr>
                <w:sz w:val="20"/>
                <w:szCs w:val="20"/>
                <w:color w:val="auto"/>
              </w:rPr>
            </w:pPr>
            <w:r>
              <w:rPr>
                <w:rFonts w:ascii="Arial" w:cs="Arial" w:eastAsia="Arial" w:hAnsi="Arial"/>
                <w:sz w:val="12"/>
                <w:szCs w:val="12"/>
                <w:color w:val="auto"/>
              </w:rPr>
              <w:t>benefit from</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660"/>
              <w:spacing w:after="0" w:line="132" w:lineRule="exact"/>
              <w:rPr>
                <w:sz w:val="20"/>
                <w:szCs w:val="20"/>
                <w:color w:val="auto"/>
              </w:rPr>
            </w:pPr>
            <w:r>
              <w:rPr>
                <w:rFonts w:ascii="Arial" w:cs="Arial" w:eastAsia="Arial" w:hAnsi="Arial"/>
                <w:sz w:val="12"/>
                <w:szCs w:val="12"/>
                <w:color w:val="auto"/>
              </w:rPr>
              <w:t>income taxes</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(27.8)</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(48.7)</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(47.4)</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(43.1)</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(44.9)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(44.3)</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(38.8)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Benefit from income taxes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00"/>
              <w:spacing w:after="0" w:line="136"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540"/>
              <w:spacing w:after="0"/>
              <w:rPr>
                <w:sz w:val="20"/>
                <w:szCs w:val="20"/>
                <w:color w:val="auto"/>
              </w:rPr>
            </w:pPr>
            <w:r>
              <w:rPr>
                <w:rFonts w:ascii="Arial" w:cs="Arial" w:eastAsia="Arial" w:hAnsi="Arial"/>
                <w:sz w:val="12"/>
                <w:szCs w:val="12"/>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(30.2)</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(47.2)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(44.9)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(44.3)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center"/>
              <w:ind w:left="240"/>
              <w:spacing w:after="0"/>
              <w:rPr>
                <w:sz w:val="20"/>
                <w:szCs w:val="20"/>
                <w:color w:val="auto"/>
              </w:rPr>
            </w:pPr>
            <w:r>
              <w:rPr>
                <w:rFonts w:ascii="Arial" w:cs="Arial" w:eastAsia="Arial" w:hAnsi="Arial"/>
                <w:sz w:val="12"/>
                <w:szCs w:val="12"/>
                <w:color w:val="auto"/>
                <w:w w:val="95"/>
              </w:rPr>
              <w:t>(38.8)</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loss per share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stockholders, based and</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(2.78)</w:t>
            </w:r>
          </w:p>
        </w:tc>
        <w:tc>
          <w:tcPr>
            <w:tcW w:w="1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(3.88)</w:t>
            </w:r>
          </w:p>
        </w:tc>
        <w:tc>
          <w:tcPr>
            <w:tcW w:w="100" w:type="dxa"/>
            <w:vAlign w:val="bottom"/>
            <w:tcBorders>
              <w:right w:val="single" w:sz="8" w:color="CCEEFF"/>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(4.04)</w:t>
            </w:r>
          </w:p>
        </w:tc>
        <w:tc>
          <w:tcPr>
            <w:tcW w:w="1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(3.98)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center"/>
              <w:ind w:left="240"/>
              <w:spacing w:after="0" w:line="132" w:lineRule="exact"/>
              <w:rPr>
                <w:sz w:val="20"/>
                <w:szCs w:val="20"/>
                <w:color w:val="auto"/>
              </w:rPr>
            </w:pPr>
            <w:r>
              <w:rPr>
                <w:rFonts w:ascii="Arial" w:cs="Arial" w:eastAsia="Arial" w:hAnsi="Arial"/>
                <w:sz w:val="12"/>
                <w:szCs w:val="12"/>
                <w:color w:val="auto"/>
                <w:w w:val="95"/>
              </w:rPr>
              <w:t>(3.48)</w:t>
            </w:r>
          </w:p>
        </w:tc>
        <w:tc>
          <w:tcPr>
            <w:tcW w:w="1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2"/>
                <w:szCs w:val="12"/>
                <w:color w:val="auto"/>
              </w:rPr>
              <w:t>Weighted-average shares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used in computing net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loss per share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stockholders, basic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10,838,607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10,894,782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10,945,994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w w:val="99"/>
              </w:rPr>
              <w:t>10,976,735</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11,112,667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w w:val="99"/>
              </w:rPr>
              <w:t>11,112,706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11,115,005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11,127,721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11,287,251</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11,300,395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340"/>
          </w:cols>
          <w:pgMar w:left="320" w:top="407" w:right="123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following table sets forth our quarterly key business and financial metrics by quarter from the first quarter of fiscal year 2019 to the second quarter of fiscal year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220" w:type="dxa"/>
            <w:vAlign w:val="bottom"/>
          </w:tcPr>
          <w:p>
            <w:pPr>
              <w:spacing w:after="0"/>
              <w:rPr>
                <w:sz w:val="8"/>
                <w:szCs w:val="8"/>
                <w:color w:val="auto"/>
              </w:rPr>
            </w:pPr>
          </w:p>
        </w:tc>
        <w:tc>
          <w:tcPr>
            <w:tcW w:w="580" w:type="dxa"/>
            <w:vAlign w:val="bottom"/>
            <w:gridSpan w:val="2"/>
          </w:tcPr>
          <w:p>
            <w:pPr>
              <w:jc w:val="right"/>
              <w:ind w:right="41"/>
              <w:spacing w:after="0" w:line="101" w:lineRule="exact"/>
              <w:rPr>
                <w:sz w:val="20"/>
                <w:szCs w:val="20"/>
                <w:color w:val="auto"/>
              </w:rPr>
            </w:pPr>
            <w:r>
              <w:rPr>
                <w:rFonts w:ascii="Arial" w:cs="Arial" w:eastAsia="Arial" w:hAnsi="Arial"/>
                <w:sz w:val="11"/>
                <w:szCs w:val="11"/>
                <w:b w:val="1"/>
                <w:bCs w:val="1"/>
                <w:color w:val="auto"/>
              </w:rPr>
              <w:t>April 30,</w:t>
            </w:r>
          </w:p>
        </w:tc>
        <w:tc>
          <w:tcPr>
            <w:tcW w:w="680" w:type="dxa"/>
            <w:vAlign w:val="bottom"/>
            <w:gridSpan w:val="2"/>
          </w:tcPr>
          <w:p>
            <w:pPr>
              <w:jc w:val="right"/>
              <w:ind w:right="10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78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680" w:type="dxa"/>
            <w:vAlign w:val="bottom"/>
          </w:tcPr>
          <w:p>
            <w:pPr>
              <w:jc w:val="right"/>
              <w:ind w:right="82"/>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tcPr>
          <w:p>
            <w:pPr>
              <w:jc w:val="right"/>
              <w:ind w:right="6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00" w:type="dxa"/>
            <w:vAlign w:val="bottom"/>
            <w:gridSpan w:val="2"/>
          </w:tcPr>
          <w:p>
            <w:pPr>
              <w:ind w:left="60"/>
              <w:spacing w:after="0" w:line="101" w:lineRule="exact"/>
              <w:rPr>
                <w:sz w:val="20"/>
                <w:szCs w:val="20"/>
                <w:color w:val="auto"/>
              </w:rPr>
            </w:pPr>
            <w:r>
              <w:rPr>
                <w:rFonts w:ascii="Arial" w:cs="Arial" w:eastAsia="Arial" w:hAnsi="Arial"/>
                <w:sz w:val="11"/>
                <w:szCs w:val="11"/>
                <w:b w:val="1"/>
                <w:bCs w:val="1"/>
                <w:color w:val="auto"/>
              </w:rPr>
              <w:t>January 31,</w:t>
            </w:r>
          </w:p>
        </w:tc>
        <w:tc>
          <w:tcPr>
            <w:tcW w:w="70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April 30,</w:t>
            </w:r>
          </w:p>
        </w:tc>
        <w:tc>
          <w:tcPr>
            <w:tcW w:w="4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r>
      <w:tr>
        <w:trPr>
          <w:trHeight w:val="115"/>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Active subscribers (at the end of</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2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period)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w w:val="96"/>
              </w:rPr>
              <w:t>101,607</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1"/>
              <w:spacing w:after="0" w:line="132" w:lineRule="exact"/>
              <w:rPr>
                <w:sz w:val="20"/>
                <w:szCs w:val="20"/>
                <w:color w:val="auto"/>
              </w:rPr>
            </w:pPr>
            <w:r>
              <w:rPr>
                <w:rFonts w:ascii="Arial" w:cs="Arial" w:eastAsia="Arial" w:hAnsi="Arial"/>
                <w:sz w:val="12"/>
                <w:szCs w:val="12"/>
                <w:color w:val="auto"/>
                <w:w w:val="96"/>
              </w:rPr>
              <w:t>106,192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118,827</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133,572</w:t>
            </w:r>
          </w:p>
        </w:tc>
        <w:tc>
          <w:tcPr>
            <w:tcW w:w="68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52,886</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54,228</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65,545</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41"/>
              <w:spacing w:after="0" w:line="132" w:lineRule="exact"/>
              <w:rPr>
                <w:sz w:val="20"/>
                <w:szCs w:val="20"/>
                <w:color w:val="auto"/>
              </w:rPr>
            </w:pPr>
            <w:r>
              <w:rPr>
                <w:rFonts w:ascii="Arial" w:cs="Arial" w:eastAsia="Arial" w:hAnsi="Arial"/>
                <w:sz w:val="12"/>
                <w:szCs w:val="12"/>
                <w:color w:val="auto"/>
              </w:rPr>
              <w:t>54,797</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97"/>
              </w:rPr>
              <w:t>74,018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97,614</w:t>
            </w:r>
          </w:p>
        </w:tc>
      </w:tr>
      <w:tr>
        <w:trPr>
          <w:trHeight w:val="135"/>
        </w:trPr>
        <w:tc>
          <w:tcPr>
            <w:tcW w:w="2220" w:type="dxa"/>
            <w:vAlign w:val="bottom"/>
          </w:tcPr>
          <w:p>
            <w:pPr>
              <w:spacing w:after="0" w:line="136" w:lineRule="exact"/>
              <w:rPr>
                <w:sz w:val="20"/>
                <w:szCs w:val="20"/>
                <w:color w:val="auto"/>
              </w:rPr>
            </w:pPr>
            <w:r>
              <w:rPr>
                <w:rFonts w:ascii="Arial" w:cs="Arial" w:eastAsia="Arial" w:hAnsi="Arial"/>
                <w:sz w:val="12"/>
                <w:szCs w:val="12"/>
                <w:color w:val="auto"/>
              </w:rPr>
              <w:t>Gross profit</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tcPr>
          <w:p>
            <w:pPr>
              <w:jc w:val="right"/>
              <w:ind w:right="1"/>
              <w:spacing w:after="0" w:line="136" w:lineRule="exact"/>
              <w:rPr>
                <w:sz w:val="20"/>
                <w:szCs w:val="20"/>
                <w:color w:val="auto"/>
              </w:rPr>
            </w:pPr>
            <w:r>
              <w:rPr>
                <w:rFonts w:ascii="Arial" w:cs="Arial" w:eastAsia="Arial" w:hAnsi="Arial"/>
                <w:sz w:val="12"/>
                <w:szCs w:val="12"/>
                <w:color w:val="auto"/>
              </w:rPr>
              <w:t>13.8</w:t>
            </w:r>
          </w:p>
        </w:tc>
        <w:tc>
          <w:tcPr>
            <w:tcW w:w="1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tcPr>
          <w:p>
            <w:pPr>
              <w:jc w:val="right"/>
              <w:ind w:right="41"/>
              <w:spacing w:after="0" w:line="136" w:lineRule="exact"/>
              <w:rPr>
                <w:sz w:val="20"/>
                <w:szCs w:val="20"/>
                <w:color w:val="auto"/>
              </w:rPr>
            </w:pPr>
            <w:r>
              <w:rPr>
                <w:rFonts w:ascii="Arial" w:cs="Arial" w:eastAsia="Arial" w:hAnsi="Arial"/>
                <w:sz w:val="12"/>
                <w:szCs w:val="12"/>
                <w:color w:val="auto"/>
              </w:rPr>
              <w:t>17.6</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8.9</w:t>
            </w:r>
          </w:p>
        </w:tc>
        <w:tc>
          <w:tcPr>
            <w:tcW w:w="200" w:type="dxa"/>
            <w:vAlign w:val="bottom"/>
          </w:tcPr>
          <w:p>
            <w:pPr>
              <w:ind w:left="60"/>
              <w:spacing w:after="0" w:line="136"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21"/>
              <w:spacing w:after="0" w:line="136" w:lineRule="exact"/>
              <w:rPr>
                <w:sz w:val="20"/>
                <w:szCs w:val="20"/>
                <w:color w:val="auto"/>
              </w:rPr>
            </w:pPr>
            <w:r>
              <w:rPr>
                <w:rFonts w:ascii="Arial" w:cs="Arial" w:eastAsia="Arial" w:hAnsi="Arial"/>
                <w:sz w:val="12"/>
                <w:szCs w:val="12"/>
                <w:color w:val="auto"/>
              </w:rPr>
              <w:t>13.3</w:t>
            </w:r>
          </w:p>
        </w:tc>
        <w:tc>
          <w:tcPr>
            <w:tcW w:w="680" w:type="dxa"/>
            <w:vAlign w:val="bottom"/>
          </w:tcPr>
          <w:p>
            <w:pPr>
              <w:jc w:val="right"/>
              <w:ind w:right="82"/>
              <w:spacing w:after="0" w:line="136" w:lineRule="exact"/>
              <w:rPr>
                <w:sz w:val="20"/>
                <w:szCs w:val="20"/>
                <w:color w:val="auto"/>
              </w:rPr>
            </w:pPr>
            <w:r>
              <w:rPr>
                <w:rFonts w:ascii="Arial" w:cs="Arial" w:eastAsia="Arial" w:hAnsi="Arial"/>
                <w:sz w:val="12"/>
                <w:szCs w:val="12"/>
                <w:color w:val="auto"/>
              </w:rPr>
              <w:t>$   10.1</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   (1.4)</w:t>
            </w:r>
          </w:p>
        </w:tc>
        <w:tc>
          <w:tcPr>
            <w:tcW w:w="200" w:type="dxa"/>
            <w:vAlign w:val="bottom"/>
          </w:tcPr>
          <w:p>
            <w:pPr>
              <w:ind w:left="6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2.4</w:t>
            </w:r>
          </w:p>
        </w:tc>
        <w:tc>
          <w:tcPr>
            <w:tcW w:w="180" w:type="dxa"/>
            <w:vAlign w:val="bottom"/>
          </w:tcPr>
          <w:p>
            <w:pPr>
              <w:ind w:left="6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41"/>
              <w:spacing w:after="0" w:line="136" w:lineRule="exact"/>
              <w:rPr>
                <w:sz w:val="20"/>
                <w:szCs w:val="20"/>
                <w:color w:val="auto"/>
              </w:rPr>
            </w:pPr>
            <w:r>
              <w:rPr>
                <w:rFonts w:ascii="Arial" w:cs="Arial" w:eastAsia="Arial" w:hAnsi="Arial"/>
                <w:sz w:val="12"/>
                <w:szCs w:val="12"/>
                <w:color w:val="auto"/>
              </w:rPr>
              <w:t>4.4</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8.1</w:t>
            </w:r>
          </w:p>
        </w:tc>
        <w:tc>
          <w:tcPr>
            <w:tcW w:w="180" w:type="dxa"/>
            <w:vAlign w:val="bottom"/>
          </w:tcPr>
          <w:p>
            <w:pPr>
              <w:spacing w:after="0"/>
              <w:rPr>
                <w:sz w:val="11"/>
                <w:szCs w:val="11"/>
                <w:color w:val="auto"/>
              </w:rPr>
            </w:pPr>
          </w:p>
        </w:tc>
        <w:tc>
          <w:tcPr>
            <w:tcW w:w="5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18.2</w:t>
            </w:r>
          </w:p>
        </w:tc>
      </w:tr>
      <w:tr>
        <w:trPr>
          <w:trHeight w:val="135"/>
        </w:trPr>
        <w:tc>
          <w:tcPr>
            <w:tcW w:w="2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6" w:lineRule="exact"/>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
              <w:spacing w:after="0" w:line="136" w:lineRule="exact"/>
              <w:rPr>
                <w:sz w:val="20"/>
                <w:szCs w:val="20"/>
                <w:color w:val="auto"/>
              </w:rPr>
            </w:pPr>
            <w:r>
              <w:rPr>
                <w:rFonts w:ascii="Arial" w:cs="Arial" w:eastAsia="Arial" w:hAnsi="Arial"/>
                <w:sz w:val="12"/>
                <w:szCs w:val="12"/>
                <w:color w:val="auto"/>
              </w:rPr>
              <w:t>(1.1)</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1"/>
              <w:spacing w:after="0" w:line="136" w:lineRule="exact"/>
              <w:rPr>
                <w:sz w:val="20"/>
                <w:szCs w:val="20"/>
                <w:color w:val="auto"/>
              </w:rPr>
            </w:pPr>
            <w:r>
              <w:rPr>
                <w:rFonts w:ascii="Arial" w:cs="Arial" w:eastAsia="Arial" w:hAnsi="Arial"/>
                <w:sz w:val="12"/>
                <w:szCs w:val="12"/>
                <w:color w:val="auto"/>
              </w:rPr>
              <w:t>(10.6)</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(7.1)</w:t>
            </w:r>
          </w:p>
        </w:tc>
        <w:tc>
          <w:tcPr>
            <w:tcW w:w="680" w:type="dxa"/>
            <w:vAlign w:val="bottom"/>
            <w:shd w:val="clear" w:color="auto" w:fill="CCEEFF"/>
          </w:tcPr>
          <w:p>
            <w:pPr>
              <w:jc w:val="right"/>
              <w:ind w:right="42"/>
              <w:spacing w:after="0" w:line="136" w:lineRule="exact"/>
              <w:rPr>
                <w:sz w:val="20"/>
                <w:szCs w:val="20"/>
                <w:color w:val="auto"/>
              </w:rPr>
            </w:pPr>
            <w:r>
              <w:rPr>
                <w:rFonts w:ascii="Arial" w:cs="Arial" w:eastAsia="Arial" w:hAnsi="Arial"/>
                <w:sz w:val="12"/>
                <w:szCs w:val="12"/>
                <w:color w:val="auto"/>
              </w:rPr>
              <w:t>(3.1)</w:t>
            </w:r>
          </w:p>
        </w:tc>
        <w:tc>
          <w:tcPr>
            <w:tcW w:w="600" w:type="dxa"/>
            <w:vAlign w:val="bottom"/>
            <w:shd w:val="clear" w:color="auto" w:fill="CCEEFF"/>
          </w:tcPr>
          <w:p>
            <w:pPr>
              <w:jc w:val="right"/>
              <w:ind w:right="21"/>
              <w:spacing w:after="0" w:line="136" w:lineRule="exact"/>
              <w:rPr>
                <w:sz w:val="20"/>
                <w:szCs w:val="20"/>
                <w:color w:val="auto"/>
              </w:rPr>
            </w:pPr>
            <w:r>
              <w:rPr>
                <w:rFonts w:ascii="Arial" w:cs="Arial" w:eastAsia="Arial" w:hAnsi="Arial"/>
                <w:sz w:val="12"/>
                <w:szCs w:val="12"/>
                <w:color w:val="auto"/>
              </w:rPr>
              <w:t>(7.5)</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1"/>
              <w:spacing w:after="0" w:line="136" w:lineRule="exact"/>
              <w:rPr>
                <w:sz w:val="20"/>
                <w:szCs w:val="20"/>
                <w:color w:val="auto"/>
              </w:rPr>
            </w:pPr>
            <w:r>
              <w:rPr>
                <w:rFonts w:ascii="Arial" w:cs="Arial" w:eastAsia="Arial" w:hAnsi="Arial"/>
                <w:sz w:val="12"/>
                <w:szCs w:val="12"/>
                <w:color w:val="auto"/>
              </w:rPr>
              <w:t>(5.4)</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
              <w:spacing w:after="0" w:line="136" w:lineRule="exact"/>
              <w:rPr>
                <w:sz w:val="20"/>
                <w:szCs w:val="20"/>
                <w:color w:val="auto"/>
              </w:rPr>
            </w:pPr>
            <w:r>
              <w:rPr>
                <w:rFonts w:ascii="Arial" w:cs="Arial" w:eastAsia="Arial" w:hAnsi="Arial"/>
                <w:sz w:val="12"/>
                <w:szCs w:val="12"/>
                <w:color w:val="auto"/>
              </w:rPr>
              <w:t>(4.3)</w:t>
            </w: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(6.2)</w:t>
            </w:r>
          </w:p>
        </w:tc>
        <w:tc>
          <w:tcPr>
            <w:tcW w:w="5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w:t>
            </w:r>
          </w:p>
        </w:tc>
      </w:tr>
    </w:tbl>
    <w:p>
      <w:pPr>
        <w:spacing w:after="0" w:line="18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by quarter from the first quarter of fiscal year 2019 to the second quarter of fiscal year 2021:</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380" w:type="dxa"/>
            <w:vAlign w:val="bottom"/>
          </w:tcPr>
          <w:p>
            <w:pPr>
              <w:spacing w:after="0"/>
              <w:rPr>
                <w:sz w:val="8"/>
                <w:szCs w:val="8"/>
                <w:color w:val="auto"/>
              </w:rPr>
            </w:pP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8"/>
                <w:szCs w:val="8"/>
                <w:color w:val="auto"/>
              </w:rPr>
            </w:pPr>
          </w:p>
        </w:tc>
        <w:tc>
          <w:tcPr>
            <w:tcW w:w="68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15"/>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right"/>
              <w:ind w:right="100"/>
              <w:spacing w:after="0" w:line="115" w:lineRule="exact"/>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(48.7)</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(47.2)</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(44.9)</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(44.3)</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(38.8)</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(42.3)</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Interest (income) / expense, net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14.9</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Rental product depreciation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133"/>
        </w:trPr>
        <w:tc>
          <w:tcPr>
            <w:tcW w:w="2380" w:type="dxa"/>
            <w:vAlign w:val="bottom"/>
          </w:tcPr>
          <w:p>
            <w:pPr>
              <w:ind w:left="240"/>
              <w:spacing w:after="0" w:line="133" w:lineRule="exact"/>
              <w:rPr>
                <w:sz w:val="20"/>
                <w:szCs w:val="20"/>
                <w:color w:val="auto"/>
              </w:rPr>
            </w:pPr>
            <w:r>
              <w:rPr>
                <w:rFonts w:ascii="Arial" w:cs="Arial" w:eastAsia="Arial" w:hAnsi="Arial"/>
                <w:sz w:val="12"/>
                <w:szCs w:val="12"/>
                <w:color w:val="auto"/>
              </w:rPr>
              <w:t>Other depreciation and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380" w:type="dxa"/>
            <w:vAlign w:val="bottom"/>
          </w:tcPr>
          <w:p>
            <w:pPr>
              <w:ind w:left="360"/>
              <w:spacing w:after="0" w:line="138" w:lineRule="exact"/>
              <w:rPr>
                <w:sz w:val="20"/>
                <w:szCs w:val="20"/>
                <w:color w:val="auto"/>
              </w:rPr>
            </w:pPr>
            <w:r>
              <w:rPr>
                <w:rFonts w:ascii="Arial" w:cs="Arial" w:eastAsia="Arial" w:hAnsi="Arial"/>
                <w:sz w:val="10"/>
                <w:szCs w:val="10"/>
                <w:color w:val="auto"/>
              </w:rPr>
              <w:t xml:space="preserve">amortization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4.8</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Stock compensation </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Write-off of liquidated assets </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0.6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Non-recurring adjustments </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2"/>
                <w:szCs w:val="12"/>
                <w:color w:val="auto"/>
              </w:rPr>
              <w:t>Benefit from income taxes</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(0.1)</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Other (income) / expense, net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Other (gains) / losses </w:t>
            </w:r>
            <w:r>
              <w:rPr>
                <w:rFonts w:ascii="Arial" w:cs="Arial" w:eastAsia="Arial" w:hAnsi="Arial"/>
                <w:sz w:val="15"/>
                <w:szCs w:val="15"/>
                <w:color w:val="auto"/>
                <w:vertAlign w:val="superscript"/>
              </w:rPr>
              <w:t>(6)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0.2</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r>
      <w:tr>
        <w:trPr>
          <w:trHeight w:val="23"/>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w:t>
            </w:r>
            <w:r>
              <w:rPr>
                <w:rFonts w:ascii="Arial" w:cs="Arial" w:eastAsia="Arial" w:hAnsi="Arial"/>
                <w:sz w:val="12"/>
                <w:szCs w:val="12"/>
                <w:u w:val="single" w:color="auto"/>
                <w:color w:val="auto"/>
              </w:rPr>
              <w:t>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(10.6)</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(5.4)</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(4.3)</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(6.2)</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w:t>
            </w: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380" w:right="240" w:hanging="353"/>
        <w:spacing w:after="0" w:line="241" w:lineRule="auto"/>
        <w:tabs>
          <w:tab w:leader="none" w:pos="13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Includes debt discount amortization of $1.1 million, $0.9 million, $1.0 million, $1.0 million, $1.0 million, $1.0 million, $1.0 million, $2.0 million, $2.2 million and $1.7 million in the three months ended April 30, 2019, July 31, 2019, October 31, 2019, January 31, 2020, April 30, 2020, July 31, 2020, October 31, 2020, January 31, 2021, April 30, 2021 and July 31, 2021 respectively.</w:t>
      </w:r>
    </w:p>
    <w:p>
      <w:pPr>
        <w:spacing w:after="0" w:line="91" w:lineRule="exact"/>
        <w:rPr>
          <w:rFonts w:ascii="Arial" w:cs="Arial" w:eastAsia="Arial" w:hAnsi="Arial"/>
          <w:sz w:val="12"/>
          <w:szCs w:val="12"/>
          <w:color w:val="auto"/>
        </w:rPr>
      </w:pPr>
    </w:p>
    <w:p>
      <w:pPr>
        <w:ind w:left="1380" w:hanging="353"/>
        <w:spacing w:after="0"/>
        <w:tabs>
          <w:tab w:leader="none" w:pos="13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spacing w:after="0" w:line="98" w:lineRule="exact"/>
        <w:rPr>
          <w:rFonts w:ascii="Arial" w:cs="Arial" w:eastAsia="Arial" w:hAnsi="Arial"/>
          <w:sz w:val="12"/>
          <w:szCs w:val="12"/>
          <w:color w:val="auto"/>
        </w:rPr>
      </w:pPr>
    </w:p>
    <w:p>
      <w:pPr>
        <w:ind w:left="1380" w:right="180" w:hanging="353"/>
        <w:spacing w:after="0" w:line="235" w:lineRule="auto"/>
        <w:tabs>
          <w:tab w:leader="none" w:pos="13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ind w:left="1380" w:right="80"/>
        <w:spacing w:after="0" w:line="239" w:lineRule="auto"/>
        <w:rPr>
          <w:rFonts w:ascii="Arial" w:cs="Arial" w:eastAsia="Arial" w:hAnsi="Arial"/>
          <w:sz w:val="12"/>
          <w:szCs w:val="12"/>
          <w:color w:val="auto"/>
        </w:rPr>
      </w:pPr>
      <w:r>
        <w:rPr>
          <w:rFonts w:ascii="Arial" w:cs="Arial" w:eastAsia="Arial" w:hAnsi="Arial"/>
          <w:sz w:val="12"/>
          <w:szCs w:val="12"/>
          <w:color w:val="auto"/>
        </w:rPr>
        <w:t>$0.2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 and for the three months ended July 31, 2021 include $1.8 million of costs associated with public readiness preparation.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hanging="353"/>
        <w:spacing w:after="0"/>
        <w:tabs>
          <w:tab w:leader="none" w:pos="13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the number of active subscribers decrease. However, a significant number of our subscribers put their membership on pause rather than canceling. Throughout fiscal year 2020 and in the first two quarters of fiscal year 2021, we observed that the number of active subscribers was closely tied to COVID-19 positivity rates and social distancing/shelter-at-home restrictions, resulting in an overall reduction in revenue and revenue growth rates compared to pre-COVID-19 levels during this period.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Throughout the first two quarters of fiscal year 2021, our operating and fulfillment expenses have increased to support additional customer demand, hiring, marketing and continued scaling.</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Non-GAAP Financial Metric</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addition to our results determined in accordance with GAAP, we believe the following non-GAAP financial metric is useful in evaluating our performance. This non-GAAP financial metric is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 presented in this prospectus. For example, our non-GAAP financial metric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07" w:right="137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54"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is included in this prospectus because it is a key performance measure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assess our operating performance and the operating leverage of our business prior to capital expenditures. Our Adjusted EBITDA margin increased from (12.9)% in fiscal year 2020 to (10.1)% in the six months ended July 31, 2021. Adjusted EBITDA margins have also improved quarter-to-quarter in the six months ended July 31, 2021, from (18.5)% in the first quarter to (4.1)% in the second quarter.</w:t>
      </w:r>
    </w:p>
    <w:p>
      <w:pPr>
        <w:spacing w:after="0" w:line="167"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8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July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0"/>
                <w:szCs w:val="10"/>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480"/>
              <w:spacing w:after="0" w:line="126" w:lineRule="exact"/>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(153.9)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(171.1)</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$(88.0)</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(84.7)</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Interest (income) / expense, net </w:t>
            </w:r>
            <w:r>
              <w:rPr>
                <w:rFonts w:ascii="Arial" w:cs="Arial" w:eastAsia="Arial" w:hAnsi="Arial"/>
                <w:sz w:val="12"/>
                <w:szCs w:val="12"/>
                <w:color w:val="auto"/>
              </w:rPr>
              <w:t>(1)</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depreciation and amortization </w:t>
            </w:r>
            <w:r>
              <w:rPr>
                <w:rFonts w:ascii="Arial" w:cs="Arial" w:eastAsia="Arial" w:hAnsi="Arial"/>
                <w:sz w:val="12"/>
                <w:szCs w:val="12"/>
                <w:color w:val="auto"/>
              </w:rPr>
              <w:t>(2)</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Stock compensation </w:t>
            </w:r>
            <w:r>
              <w:rPr>
                <w:rFonts w:ascii="Arial" w:cs="Arial" w:eastAsia="Arial" w:hAnsi="Arial"/>
                <w:sz w:val="12"/>
                <w:szCs w:val="12"/>
                <w:color w:val="auto"/>
              </w:rPr>
              <w:t>(3)</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4.3</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Write-off of liquidated assets </w:t>
            </w:r>
            <w:r>
              <w:rPr>
                <w:rFonts w:ascii="Arial" w:cs="Arial" w:eastAsia="Arial" w:hAnsi="Arial"/>
                <w:sz w:val="12"/>
                <w:szCs w:val="12"/>
                <w:color w:val="auto"/>
              </w:rPr>
              <w:t>(4)</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3.3</w:t>
            </w: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Non-recurring adjustments </w:t>
            </w:r>
            <w:r>
              <w:rPr>
                <w:rFonts w:ascii="Arial" w:cs="Arial" w:eastAsia="Arial" w:hAnsi="Arial"/>
                <w:sz w:val="12"/>
                <w:szCs w:val="12"/>
                <w:color w:val="auto"/>
              </w:rPr>
              <w:t>(5)</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(0.2)</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(6.0)</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3.6</w:t>
            </w:r>
          </w:p>
        </w:tc>
      </w:tr>
      <w:tr>
        <w:trPr>
          <w:trHeight w:val="172"/>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(gains) / losses </w:t>
            </w:r>
            <w:r>
              <w:rPr>
                <w:rFonts w:ascii="Arial" w:cs="Arial" w:eastAsia="Arial" w:hAnsi="Arial"/>
                <w:sz w:val="12"/>
                <w:szCs w:val="12"/>
                <w:color w:val="auto"/>
              </w:rPr>
              <w:t>(6)</w:t>
            </w: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(20.3)</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(10.6)</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w:t>
            </w: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280" w:hanging="353"/>
        <w:spacing w:after="0" w:line="235" w:lineRule="auto"/>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380" w:hanging="353"/>
        <w:spacing w:after="0" w:line="235" w:lineRule="auto"/>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380" w:hanging="353"/>
        <w:spacing w:after="0" w:line="235" w:lineRule="auto"/>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380" w:hanging="353"/>
        <w:spacing w:after="0" w:line="235" w:lineRule="auto"/>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380" w:right="20" w:hanging="353"/>
        <w:spacing w:after="0" w:line="235" w:lineRule="auto"/>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380" w:hanging="353"/>
        <w:spacing w:after="0"/>
        <w:tabs>
          <w:tab w:leader="none" w:pos="13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 As of July 31, 2021, we had cash and cash equivalents of $104.0 million and restricted cash of $11.5 million ($1.8 million current and $9.7 million noncurrent), and an accumulated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deficit of $674.1 million. On a pro forma basis, after giving effect to this offering and the Refinancing, our aggregate principal amount of indebtedness outstanding under our Existing Credit Agreements would have been approximately $276.8 million as of July 31, 2021.</w:t>
      </w:r>
    </w:p>
    <w:p>
      <w:pPr>
        <w:spacing w:after="0" w:line="166"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172"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9"/>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6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right"/>
              <w:ind w:right="207"/>
              <w:spacing w:after="0" w:line="126" w:lineRule="exact"/>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(37.6)</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 (42.8)</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(26.1)</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 (12.7)</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(138.6)</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(45.6)</w:t>
            </w: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177.9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168.5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115.9</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Net increase in cash and cash equivalents and restricted cash</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44.2</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and restricted cash at beginning of year</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41.9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41.9</w:t>
            </w: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109.2</w:t>
            </w: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Cash and cash equivalents and restricted cash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41.9</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109.2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86.1</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115.5</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We also measure the cash consumption of the business including capital expenditures, by assessing net cash used in operating activities and net cash used in investing activities on a combined basis, which decreased from $(176.2) million in fiscal year 2019 to $(101.2) million in fiscal year 2020, and from $(71.7) million in the six months ended July 31, 2020 to $(16.1) million in the six months ended July 31, 2021.</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The sum of net cash used in operating activities and net cash used in investing activities, as a percentage of revenue, decreased from (68.6)% in fiscal year 2019 to (64.3)% in fiscal year 2020, and from (81.0)% in the six months ended July 31, 2020 to (20.1)% in the six months ended July 31, 2021.</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b w:val="1"/>
          <w:bCs w:val="1"/>
          <w:i w:val="1"/>
          <w:iCs w:val="1"/>
          <w:color w:val="auto"/>
        </w:rPr>
        <w:t xml:space="preserve">Cash Flows from Operating Activities. </w:t>
      </w:r>
      <w:r>
        <w:rPr>
          <w:rFonts w:ascii="Arial" w:cs="Arial" w:eastAsia="Arial" w:hAnsi="Arial"/>
          <w:sz w:val="15"/>
          <w:szCs w:val="15"/>
          <w:color w:val="auto"/>
        </w:rPr>
        <w:t>For fiscal year 2020, net cash used in operating activities was $42.8 million,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consisted of a net loss of $(171.1) million, partially offset by 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fiscal year 2019, net cash used in operating activities was $37.6 million, which consisted of a net loss of $(153.9) million, partially offset by non-cash charges of $127.5 million, proceeds of sale of rental product of $19.3 million and a net change of $8.1 million in our operating assets and liabilities. The non-cash charges were primarily comprised of $ 76.1 million of rental product depreciation and write-off expenses, $19.0 million of payment-in-kind interest, $6.8 million of stock-based compensation, $4.0 million of debt discount amortization and $21.6 million of other PPE and software depreciation and amortization.</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2021, net cash used in operating activities was $12.7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$(84.7) million, partially offset by non-cash charges of $72.0 million, proceeds of sale of rental product of $5.6 million and a net change of</w:t>
      </w:r>
    </w:p>
    <w:p>
      <w:pPr>
        <w:ind w:left="1020"/>
        <w:spacing w:after="0" w:line="235" w:lineRule="auto"/>
        <w:rPr>
          <w:sz w:val="20"/>
          <w:szCs w:val="20"/>
          <w:color w:val="auto"/>
        </w:rPr>
      </w:pPr>
      <w:r>
        <w:rPr>
          <w:rFonts w:ascii="Arial" w:cs="Arial" w:eastAsia="Arial" w:hAnsi="Arial"/>
          <w:sz w:val="15"/>
          <w:szCs w:val="15"/>
          <w:color w:val="auto"/>
        </w:rPr>
        <w:t>$5.6 million in our operating assets and liabilities. The non-cash charges were primarily comprised of $23.2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$23.2 million of payment-in-kind interest, $4.3 million of stock-based compensation, $7.5 million loss</w:t>
      </w:r>
    </w:p>
    <w:p>
      <w:pPr>
        <w:ind w:left="1020"/>
        <w:spacing w:after="0" w:line="235" w:lineRule="auto"/>
        <w:rPr>
          <w:sz w:val="20"/>
          <w:szCs w:val="20"/>
          <w:color w:val="auto"/>
        </w:rPr>
      </w:pPr>
      <w:r>
        <w:rPr>
          <w:rFonts w:ascii="Arial" w:cs="Arial" w:eastAsia="Arial" w:hAnsi="Arial"/>
          <w:sz w:val="15"/>
          <w:szCs w:val="15"/>
          <w:color w:val="auto"/>
        </w:rPr>
        <w:t>on remeasurement of warrant liability, $3.9 million of debt discount amortization and $9.9 million of other PPE and software depreciation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and amortization.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2020, net cash used in operating activities was $26.1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$(88.0) million, partially offset by non-cash charges of $72.8 million, proceeds of sale of rental product of $10.3 million and a net change of</w:t>
      </w:r>
    </w:p>
    <w:p>
      <w:pPr>
        <w:ind w:left="1020"/>
        <w:spacing w:after="0" w:line="235" w:lineRule="auto"/>
        <w:rPr>
          <w:sz w:val="20"/>
          <w:szCs w:val="20"/>
          <w:color w:val="auto"/>
        </w:rPr>
      </w:pPr>
      <w:r>
        <w:rPr>
          <w:rFonts w:ascii="Arial" w:cs="Arial" w:eastAsia="Arial" w:hAnsi="Arial"/>
          <w:sz w:val="15"/>
          <w:szCs w:val="15"/>
          <w:color w:val="auto"/>
        </w:rPr>
        <w:t>$(0.6) million in our operating assets and liabilities. The non-cash charges were primarily comprised of $38.6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$16.2 million of payment-in-kind interest, $3.8 million of stock-based compensation, $2.0 million of</w:t>
      </w:r>
    </w:p>
    <w:p>
      <w:pPr>
        <w:ind w:left="1020"/>
        <w:spacing w:after="0"/>
        <w:rPr>
          <w:sz w:val="20"/>
          <w:szCs w:val="20"/>
          <w:color w:val="auto"/>
        </w:rPr>
      </w:pPr>
      <w:r>
        <w:rPr>
          <w:rFonts w:ascii="Arial" w:cs="Arial" w:eastAsia="Arial" w:hAnsi="Arial"/>
          <w:sz w:val="15"/>
          <w:szCs w:val="15"/>
          <w:color w:val="auto"/>
        </w:rPr>
        <w:t>debt discount amortization and $12.2 million of other PPE and software depreciation and amortization.</w:t>
      </w:r>
    </w:p>
    <w:p>
      <w:pPr>
        <w:spacing w:after="0" w:line="15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Cash Flows from Investing Activities. </w:t>
      </w:r>
      <w:r>
        <w:rPr>
          <w:rFonts w:ascii="Arial" w:cs="Arial" w:eastAsia="Arial" w:hAnsi="Arial"/>
          <w:sz w:val="15"/>
          <w:szCs w:val="15"/>
          <w:color w:val="auto"/>
        </w:rPr>
        <w:t>For fiscal year 2020, net cash used in investing activities was $58.4 million, consisting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the build-out of the new subscription programs. The cash used in investing activities was partially offset by $17.9 million of proceeds from sale of owned rental products and $2.4 million of proceeds from sales of liquidated rental products.</w:t>
      </w:r>
    </w:p>
    <w:p>
      <w:pPr>
        <w:spacing w:after="0" w:line="174"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20"/>
          </w:cols>
          <w:pgMar w:left="320" w:top="407" w:right="135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For the six months ended July 31, 2021, net cash used in investing activities was $ 3.4 million, consisting of $8.5 million of purchases of rental product and $3.9 million of purchases of property and equipment. The investment in rental product was to support our growth in customer demand as a result of the COVID-19 recovery. The majority of the investment in property and equipment was related to investments in automation assets, additional processing machinery and equipment for our Secaucus and Arlington warehouses, and capitalized technology labor for warehouse operation automation, internal systems evolution and security and compliance. The cash used in investing activities was partially offset by $5.6 million of proceeds from sale of owned rental products and $3.4 million of proceeds from sales of liquidated rental products.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the six months ended July 31, 2020, net cash used in investing activities was $45.6 million, consisting of $42.3 million of purchases of rental product and $13.9 million of purchases of property and equipment. The investment in rental product was to support growth in planned customer demand prior to the onset of COVID-19. The majority of the investment in property and equipment was related to the buildout of our new headquarters in Brooklyn, NY, the investment in automation assets and additional processing machinery and equipment for our warehouses in addition to capitalized technology labor for multi-warehouse operations processing, site reliability and the build-out of new subscription programs. The cash used in investing activities was partially offset by $10.3 million of proceeds from sale of owned rental products and $0.3 million of proceeds from sales of liquidated rental products.</w:t>
      </w:r>
    </w:p>
    <w:p>
      <w:pPr>
        <w:spacing w:after="0" w:line="153" w:lineRule="exact"/>
        <w:rPr>
          <w:sz w:val="20"/>
          <w:szCs w:val="20"/>
          <w:color w:val="auto"/>
        </w:rPr>
      </w:pPr>
    </w:p>
    <w:p>
      <w:pPr>
        <w:ind w:left="1020" w:right="1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Cash Flows from Financing Activities. </w:t>
      </w:r>
      <w:r>
        <w:rPr>
          <w:rFonts w:ascii="Arial" w:cs="Arial" w:eastAsia="Arial" w:hAnsi="Arial"/>
          <w:sz w:val="15"/>
          <w:szCs w:val="15"/>
          <w:color w:val="auto"/>
        </w:rPr>
        <w:t>During fiscal year 2020, net cash provided by financing activities was $168.5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consisting primarily of net proceeds from issuance of debt of $107.7 million and $60.4 million from the issuance of redeemable preferred stock.</w:t>
      </w:r>
    </w:p>
    <w:p>
      <w:pPr>
        <w:spacing w:after="0" w:line="162"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166"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During the six months ended July 31, 2021, net cash provided in financing activities was $22.4 million, consisting primarily of $21.2 million from the issuance of redeemable preferred stock.</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During the six months ended July 31, 2020, net cash provided in financing activities was $115.9 million, consisting primarily of net proceeds from issuance of debt of $80.5 million and $35.2 million from the issuance of redeemable preferred stock.</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Indebtedness</w:t>
      </w:r>
    </w:p>
    <w:p>
      <w:pPr>
        <w:spacing w:after="0" w:line="87"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Prior Credit Facilities. </w:t>
      </w:r>
      <w:r>
        <w:rPr>
          <w:rFonts w:ascii="Arial" w:cs="Arial" w:eastAsia="Arial" w:hAnsi="Arial"/>
          <w:sz w:val="15"/>
          <w:szCs w:val="15"/>
          <w:color w:val="auto"/>
        </w:rPr>
        <w:t>We entered into a revolving credit facility in April 2019, as subsequently amended in June 2020,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Bank of America as agent and lender, and Barclays Bank PLC and Goldman Sachs Bank USA as additional lenders, which we refer to as our Bank of America Credit Facility. In October 2020, we entered into the Ares Facility (as defined below) and repaid in full the outstanding balance of the Bank of America Facility in the amount of $29.5 million, and terminated the credit commitments. The outstanding balance on the Bank of America Credit Facility as of January 31, 2020 and 2021, was $44.0 million and $0, respectively.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7" w:right="135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b w:val="1"/>
          <w:bCs w:val="1"/>
          <w:i w:val="1"/>
          <w:iCs w:val="1"/>
          <w:color w:val="auto"/>
        </w:rPr>
        <w:t xml:space="preserve">Credit Facility. </w:t>
      </w:r>
      <w:r>
        <w:rPr>
          <w:rFonts w:ascii="Arial" w:cs="Arial" w:eastAsia="Arial" w:hAnsi="Arial"/>
          <w:sz w:val="15"/>
          <w:szCs w:val="15"/>
          <w:color w:val="auto"/>
        </w:rPr>
        <w:t>We entered into a term loan agreement in July 2018, as subsequently amended to date, with Double Helix Pte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Ltd. as administrative agent for the lenders party thereto, which we refer to as our Credit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Credit Facility contains various events of default, the occurrence of which could result in the acceleration of obligations under the Credit Facility. The Credit Facility matures in July 2023 and will be amended upon effectiveness of the Credit Facility Amendment.</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outstanding balance on the Credit Facility as of January 31, 2021 consisted of $230.0 million of outstanding principal,</w:t>
      </w:r>
    </w:p>
    <w:p>
      <w:pPr>
        <w:ind w:left="1020"/>
        <w:spacing w:after="0" w:line="235" w:lineRule="auto"/>
        <w:rPr>
          <w:sz w:val="20"/>
          <w:szCs w:val="20"/>
          <w:color w:val="auto"/>
        </w:rPr>
      </w:pPr>
      <w:r>
        <w:rPr>
          <w:rFonts w:ascii="Arial" w:cs="Arial" w:eastAsia="Arial" w:hAnsi="Arial"/>
          <w:sz w:val="15"/>
          <w:szCs w:val="15"/>
          <w:color w:val="auto"/>
        </w:rPr>
        <w:t>$62.2 million of payment-in-kind interest, netted with $1.9 million of unamortized debt discount. The outstanding balance on the Credit</w:t>
      </w:r>
    </w:p>
    <w:p>
      <w:pPr>
        <w:ind w:left="1020"/>
        <w:spacing w:after="0" w:line="235" w:lineRule="auto"/>
        <w:rPr>
          <w:sz w:val="20"/>
          <w:szCs w:val="20"/>
          <w:color w:val="auto"/>
        </w:rPr>
      </w:pPr>
      <w:r>
        <w:rPr>
          <w:rFonts w:ascii="Arial" w:cs="Arial" w:eastAsia="Arial" w:hAnsi="Arial"/>
          <w:sz w:val="15"/>
          <w:szCs w:val="15"/>
          <w:color w:val="auto"/>
        </w:rPr>
        <w:t>Facility as of July 31, 2021 consisted of $230.0 million of outstanding principal and $82.4 million of payment-in-kind interest. We intend to</w:t>
      </w:r>
    </w:p>
    <w:p>
      <w:pPr>
        <w:ind w:left="1020"/>
        <w:spacing w:after="0"/>
        <w:rPr>
          <w:sz w:val="20"/>
          <w:szCs w:val="20"/>
          <w:color w:val="auto"/>
        </w:rPr>
      </w:pPr>
      <w:r>
        <w:rPr>
          <w:rFonts w:ascii="Arial" w:cs="Arial" w:eastAsia="Arial" w:hAnsi="Arial"/>
          <w:sz w:val="15"/>
          <w:szCs w:val="15"/>
          <w:color w:val="auto"/>
        </w:rPr>
        <w:t>use the net proceeds from this offering to repay $30.0 million outstanding under our Credit Facility, see “Use of Proceeds.”</w:t>
      </w:r>
    </w:p>
    <w:p>
      <w:pPr>
        <w:spacing w:after="0" w:line="177"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On October 18, 2021, we entered into the Credit Facility Amendment, and we intend to use the net proceeds from this offering to repay all amounts outstanding under our Ares Facility and $30.0 million outstanding under our Credit Facility, which we refer to as the Debt Repayment. The Credit Facility Amendment and the Debt Repayment are collectively referred to herein as the Refinancing. The Credit Facility Amendment is conditioned upon the closing of this offering and certain other customary conditions to effectiveness.</w:t>
      </w:r>
    </w:p>
    <w:p>
      <w:pPr>
        <w:spacing w:after="0" w:line="172"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The following is a summary of the expected material terms of our Amended Credit Facility. However, the final terms may not be determined until shortly before completion of this offering and may differ from those described below.</w:t>
      </w:r>
    </w:p>
    <w:p>
      <w:pPr>
        <w:spacing w:after="0" w:line="166"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Amended Credit Facility will, among other things, (i) extend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referred to below), (iii) amend the interest rate to 12% with up to 5% payable in kind, (iv) add a minimum liquidity maintenance covenant of $50 million and (v) amend the call protection applicable to the loans outstanding thereunder. The Amended Credit Facility contains covenants restricting our ability to, among other things, incur additional indebtedness, incur liens on assets, enter into agreements related to mergers and acquisitions, dispose of assets or pay dividends and make distributions.</w:t>
      </w:r>
    </w:p>
    <w:p>
      <w:pPr>
        <w:spacing w:after="0" w:line="153"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Ares Credit Facility. </w:t>
      </w:r>
      <w:r>
        <w:rPr>
          <w:rFonts w:ascii="Arial" w:cs="Arial" w:eastAsia="Arial" w:hAnsi="Arial"/>
          <w:sz w:val="15"/>
          <w:szCs w:val="15"/>
          <w:color w:val="auto"/>
        </w:rPr>
        <w:t>We entered into a first lien facility in October 2020, as subsequently amended in April 2021, with Alter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Domus (US) LLC as administrative agent for Ares Corporate Opportunities Fund V, L.P., or Ares, which we call the Ares Facility. In conjunction with the incurrence of the Ares Facility, we issued 1,695,955 shares of our Series G preferred stock to Ares for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00"/>
          </w:cols>
          <w:pgMar w:left="320" w:top="407" w:right="137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Ares Facility matures at the earlier of October 2023 or 91 days prior to the maturity of the Credit Facility. The outstanding balance on the Ares Facility as of January 31, 2021 consisted of $75.0 million of outstanding principal, $1.6 million of payment-in-kind interest, netted with $10.9 million of unamortized debt discount and debt issuance costs. The outstanding balance on the Ares Facility as of July 31, 2021 consisted of $74.5 million of outstanding principal, $4.7 million of payment-in-kind interest, netted with $9.0 million of unamortized debt discount and debt issuance costs. We intend to use the net proceeds from this offering to repay all amounts outstanding under our Ares Facility, see “Use of Proceeds.” Under the terms of the Ares Facility, we are required to pay an exit payment of $1.5 million and a debt prepayment penalty of $3.2 million to be paid once the facility matures or the original principal is paid in full.</w:t>
      </w:r>
    </w:p>
    <w:p>
      <w:pPr>
        <w:spacing w:after="0" w:line="243"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contractual obligations and commitments as of January 31,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jc w:val="center"/>
              <w:ind w:left="290"/>
              <w:spacing w:after="0"/>
              <w:rPr>
                <w:sz w:val="20"/>
                <w:szCs w:val="20"/>
                <w:color w:val="auto"/>
              </w:rPr>
            </w:pPr>
            <w:r>
              <w:rPr>
                <w:rFonts w:ascii="Arial" w:cs="Arial" w:eastAsia="Arial" w:hAnsi="Arial"/>
                <w:sz w:val="12"/>
                <w:szCs w:val="12"/>
                <w:b w:val="1"/>
                <w:bCs w:val="1"/>
                <w:color w:val="auto"/>
                <w:w w:val="99"/>
              </w:rPr>
              <w:t>Payments Due by Period</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3"/>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Less than 1</w:t>
            </w:r>
          </w:p>
        </w:tc>
        <w:tc>
          <w:tcPr>
            <w:tcW w:w="260" w:type="dxa"/>
            <w:vAlign w:val="bottom"/>
          </w:tcPr>
          <w:p>
            <w:pPr>
              <w:spacing w:after="0"/>
              <w:rPr>
                <w:sz w:val="10"/>
                <w:szCs w:val="10"/>
                <w:color w:val="auto"/>
              </w:rPr>
            </w:pPr>
          </w:p>
        </w:tc>
        <w:tc>
          <w:tcPr>
            <w:tcW w:w="84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1 to 3</w:t>
            </w:r>
          </w:p>
        </w:tc>
        <w:tc>
          <w:tcPr>
            <w:tcW w:w="38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3 to 5</w:t>
            </w:r>
          </w:p>
        </w:tc>
        <w:tc>
          <w:tcPr>
            <w:tcW w:w="380" w:type="dxa"/>
            <w:vAlign w:val="bottom"/>
          </w:tcPr>
          <w:p>
            <w:pPr>
              <w:spacing w:after="0"/>
              <w:rPr>
                <w:sz w:val="10"/>
                <w:szCs w:val="10"/>
                <w:color w:val="auto"/>
              </w:rPr>
            </w:pPr>
          </w:p>
        </w:tc>
        <w:tc>
          <w:tcPr>
            <w:tcW w:w="6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More than 5</w:t>
            </w:r>
          </w:p>
        </w:tc>
        <w:tc>
          <w:tcPr>
            <w:tcW w:w="40" w:type="dxa"/>
            <w:vAlign w:val="bottom"/>
          </w:tcPr>
          <w:p>
            <w:pPr>
              <w:spacing w:after="0"/>
              <w:rPr>
                <w:sz w:val="10"/>
                <w:szCs w:val="10"/>
                <w:color w:val="auto"/>
              </w:rPr>
            </w:pPr>
          </w:p>
        </w:tc>
      </w:tr>
      <w:tr>
        <w:trPr>
          <w:trHeight w:val="145"/>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2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w:t>
            </w: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years</w:t>
            </w:r>
          </w:p>
        </w:tc>
      </w:tr>
      <w:tr>
        <w:trPr>
          <w:trHeight w:val="126"/>
        </w:trPr>
        <w:tc>
          <w:tcPr>
            <w:tcW w:w="5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18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Financing lease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5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0.2</w:t>
            </w:r>
          </w:p>
        </w:tc>
        <w:tc>
          <w:tcPr>
            <w:tcW w:w="3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ind w:left="380"/>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117.8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15.7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24.8</w:t>
            </w:r>
          </w:p>
        </w:tc>
        <w:tc>
          <w:tcPr>
            <w:tcW w:w="1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57.8</w:t>
            </w: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 term debt</w:t>
            </w: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368.8</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w w:val="95"/>
              </w:rPr>
              <w:t>367.9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5000" w:type="dxa"/>
            <w:vAlign w:val="bottom"/>
          </w:tcPr>
          <w:p>
            <w:pPr>
              <w:ind w:left="300"/>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487.0</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392.9</w:t>
            </w: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57.8</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140" w:hanging="353"/>
        <w:spacing w:after="0" w:line="241" w:lineRule="auto"/>
        <w:tabs>
          <w:tab w:leader="none" w:pos="13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Consists of our Ares Facility, which had an outstanding balance as of January 31, 2021 of $75.0 million of outstanding principal, $1.6 million of payment-in-kind interest, and our Credit Facility, which had an outstanding balance as of January 31, 2021 of $230.0 million of outstanding principal, $62.2 million of payment-in-kind interest.</w:t>
      </w:r>
    </w:p>
    <w:p>
      <w:pPr>
        <w:spacing w:after="0" w:line="166"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For additional discussion on our financing lease liabilities, operating lease liabilities and long term debt, see Notes 4 and 7 to our audited consolidated financial statements included elsewhere in this prospectus.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jc w:val="center"/>
        <w:ind w:right="-699"/>
        <w:spacing w:after="0"/>
        <w:rPr>
          <w:sz w:val="20"/>
          <w:szCs w:val="20"/>
          <w:color w:val="auto"/>
        </w:rPr>
      </w:pPr>
      <w:r>
        <w:rPr>
          <w:rFonts w:ascii="Arial" w:cs="Arial" w:eastAsia="Arial" w:hAnsi="Arial"/>
          <w:sz w:val="15"/>
          <w:szCs w:val="15"/>
          <w:color w:val="auto"/>
        </w:rPr>
        <w:t>We have not entered into any off-balance sheet arrangements and do not have any holdings in variable interest entities.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Inflation Risk</w:t>
      </w:r>
    </w:p>
    <w:p>
      <w:pPr>
        <w:spacing w:after="0" w:line="10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172"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00"/>
          </w:cols>
          <w:pgMar w:left="320" w:top="407" w:right="137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45" w:lineRule="auto"/>
        <w:rPr>
          <w:sz w:val="20"/>
          <w:szCs w:val="20"/>
          <w:color w:val="auto"/>
        </w:rPr>
      </w:pPr>
      <w:r>
        <w:rPr>
          <w:rFonts w:ascii="Arial" w:cs="Arial" w:eastAsia="Arial" w:hAnsi="Arial"/>
          <w:sz w:val="15"/>
          <w:szCs w:val="15"/>
          <w:color w:val="auto"/>
        </w:rPr>
        <w:t>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Rental Product</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Right of Use Assets</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Right-of-use assets and lease liabilities are measured and recognized at the lease commencement date based on the present value of lease payments over the expected lease term. 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Share-Based Compensation</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75" w:lineRule="exact"/>
        <w:rPr>
          <w:sz w:val="20"/>
          <w:szCs w:val="20"/>
          <w:color w:val="auto"/>
        </w:rPr>
      </w:pPr>
    </w:p>
    <w:p>
      <w:pPr>
        <w:ind w:left="1660" w:hanging="183"/>
        <w:spacing w:after="0" w:line="242"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Fair value of common stock</w:t>
      </w:r>
      <w:r>
        <w:rPr>
          <w:rFonts w:ascii="Arial" w:cs="Arial" w:eastAsia="Arial" w:hAnsi="Arial"/>
          <w:sz w:val="15"/>
          <w:szCs w:val="15"/>
          <w:color w:val="auto"/>
        </w:rPr>
        <w:t>. Because our common stock is not yet publicly traded, we are required to estimate the fair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71" w:lineRule="exact"/>
        <w:rPr>
          <w:rFonts w:ascii="Arial" w:cs="Arial" w:eastAsia="Arial" w:hAnsi="Arial"/>
          <w:sz w:val="15"/>
          <w:szCs w:val="15"/>
          <w:color w:val="auto"/>
        </w:rPr>
      </w:pPr>
    </w:p>
    <w:p>
      <w:pPr>
        <w:ind w:left="1660" w:hanging="183"/>
        <w:spacing w:after="0" w:line="244"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Expected volatility</w:t>
      </w:r>
      <w:r>
        <w:rPr>
          <w:rFonts w:ascii="Arial" w:cs="Arial" w:eastAsia="Arial" w:hAnsi="Arial"/>
          <w:sz w:val="15"/>
          <w:szCs w:val="15"/>
          <w:color w:val="auto"/>
        </w:rPr>
        <w:t>. As a result of the lack of historical and implied volatility data of our common stock, the expected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69"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b w:val="1"/>
          <w:bCs w:val="1"/>
          <w:i w:val="1"/>
          <w:iCs w:val="1"/>
          <w:color w:val="auto"/>
        </w:rPr>
        <w:t>Expected term</w:t>
      </w:r>
      <w:r>
        <w:rPr>
          <w:rFonts w:ascii="Arial" w:cs="Arial" w:eastAsia="Arial" w:hAnsi="Arial"/>
          <w:sz w:val="15"/>
          <w:szCs w:val="15"/>
          <w:color w:val="auto"/>
        </w:rPr>
        <w:t>. The expected term of stock options represents the weighted-average period the stock options are expected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remain outstanding and is estimated under the simplified method using the vesting and contractual terms.</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00"/>
          </w:cols>
          <w:pgMar w:left="320" w:top="407" w:right="137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520" w:hanging="183"/>
        <w:spacing w:after="0" w:line="270" w:lineRule="auto"/>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Risk-free interest rate</w:t>
      </w:r>
      <w:r>
        <w:rPr>
          <w:rFonts w:ascii="Arial" w:cs="Arial" w:eastAsia="Arial" w:hAnsi="Arial"/>
          <w:sz w:val="15"/>
          <w:szCs w:val="15"/>
          <w:color w:val="auto"/>
        </w:rPr>
        <w:t>. The expected risk-free rate assumption is based on the U.S. Treasury instruments whose term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 with the expected term of the stock options.</w:t>
      </w:r>
    </w:p>
    <w:p>
      <w:pPr>
        <w:spacing w:after="0" w:line="51" w:lineRule="exact"/>
        <w:rPr>
          <w:rFonts w:ascii="Arial" w:cs="Arial" w:eastAsia="Arial" w:hAnsi="Arial"/>
          <w:sz w:val="15"/>
          <w:szCs w:val="15"/>
          <w:color w:val="auto"/>
        </w:rPr>
      </w:pPr>
    </w:p>
    <w:p>
      <w:pPr>
        <w:ind w:left="1660" w:right="100" w:hanging="183"/>
        <w:spacing w:after="0" w:line="270" w:lineRule="auto"/>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Expected dividend yield</w:t>
      </w:r>
      <w:r>
        <w:rPr>
          <w:rFonts w:ascii="Arial" w:cs="Arial" w:eastAsia="Arial" w:hAnsi="Arial"/>
          <w:sz w:val="15"/>
          <w:szCs w:val="15"/>
          <w:color w:val="auto"/>
        </w:rPr>
        <w:t>. The expected dividend assumption is based on our history and expectation of dividend. We have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paid dividends and do not expect to do so in the foreseeable future.</w:t>
      </w:r>
    </w:p>
    <w:p>
      <w:pPr>
        <w:spacing w:after="0" w:line="148"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 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our financial statements had the initial public offering been determined to be probable at January 31, 2021 and July 31, 2021, respectively. Based on a price of $21.00 per share, we expect we will incur stock compensation expense of $1.1 million upon the consummation of this offering in connection with the 50,883 fully vested portion of 203,526 RSUs IPO RSU Awards (as defined in “Executive Compensation”) that will be granted upon the consummation of this offering. See “Executive Compensation—Elements of Our Executive Compensation Program—Equity Compensation—IPO RSU Awards.”</w:t>
      </w:r>
    </w:p>
    <w:p>
      <w:pPr>
        <w:spacing w:after="0" w:line="36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See Note 2 to our consolidated financial statements included elsewhere in this prospectus for a description of recently adopted accounting pronouncements and recently issued accounting pronouncements not yet adopted.</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JOBS Act</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80"/>
          </w:cols>
          <w:pgMar w:left="320" w:top="407" w:right="139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total subscribers (active and paused) as of July 31, 2021. In the first six months of fiscal year 2021, 83% of our total revenue was generated by subscribers.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160"/>
          </w:cols>
          <w:pgMar w:left="320" w:top="407" w:right="141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37992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740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18</w:t>
      </w:r>
      <w:r>
        <w:rPr>
          <w:rFonts w:ascii="Arial" w:cs="Arial" w:eastAsia="Arial" w:hAnsi="Arial"/>
          <w:sz w:val="15"/>
          <w:szCs w:val="15"/>
          <w:color w:val="auto"/>
        </w:rPr>
        <w:t xml:space="preserve"> We have become an everyday utility; our average subscriber wears Rent the Runway 83 days per year. Even in fiscal year 2020, a year impacted by shelter-in-place orders and lack of in-office work or social events, our average subscriber wore RTR 74 days of the year. We believe that the convenience of our service and access to a broad assortment of designer brands, categories and styles helps drive our strong customer engagement.</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younger and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5" w:lineRule="exact"/>
        <w:rPr>
          <w:sz w:val="20"/>
          <w:szCs w:val="20"/>
          <w:color w:val="auto"/>
        </w:rPr>
      </w:pPr>
    </w:p>
    <w:p>
      <w:pPr>
        <w:ind w:left="1300" w:right="240" w:hanging="273"/>
        <w:spacing w:after="0" w:line="196" w:lineRule="auto"/>
        <w:tabs>
          <w:tab w:leader="none" w:pos="1300" w:val="left"/>
        </w:tabs>
        <w:numPr>
          <w:ilvl w:val="0"/>
          <w:numId w:val="90"/>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00"/>
          </w:cols>
          <w:pgMar w:left="320" w:top="407" w:right="137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69" w:lineRule="exact"/>
        <w:rPr>
          <w:sz w:val="20"/>
          <w:szCs w:val="20"/>
          <w:color w:val="auto"/>
        </w:rPr>
      </w:pPr>
    </w:p>
    <w:p>
      <w:pPr>
        <w:ind w:left="1660" w:right="20" w:hanging="183"/>
        <w:spacing w:after="0" w:line="244"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Brand Partner Advantage</w:t>
      </w:r>
      <w:r>
        <w:rPr>
          <w:rFonts w:ascii="Arial" w:cs="Arial" w:eastAsia="Arial" w:hAnsi="Arial"/>
          <w:sz w:val="15"/>
          <w:szCs w:val="15"/>
          <w:color w:val="auto"/>
        </w:rPr>
        <w:t>. Our assortment contains thousands of new, current season styles procured from our brand partners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w:t>
      </w:r>
    </w:p>
    <w:p>
      <w:pPr>
        <w:spacing w:after="0" w:line="69"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Data Advantage</w:t>
      </w:r>
      <w:r>
        <w:rPr>
          <w:rFonts w:ascii="Arial" w:cs="Arial" w:eastAsia="Arial" w:hAnsi="Arial"/>
          <w:sz w:val="15"/>
          <w:szCs w:val="15"/>
          <w:color w:val="auto"/>
        </w:rPr>
        <w:t>. We capture a vast amount of unique, actionable data on our customers and products. We leverage this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91"/>
        </w:numPr>
        <w:rPr>
          <w:rFonts w:ascii="Arial" w:cs="Arial" w:eastAsia="Arial" w:hAnsi="Arial"/>
          <w:sz w:val="15"/>
          <w:szCs w:val="15"/>
          <w:color w:val="auto"/>
        </w:rPr>
      </w:pPr>
      <w:r>
        <w:rPr>
          <w:rFonts w:ascii="Arial" w:cs="Arial" w:eastAsia="Arial" w:hAnsi="Arial"/>
          <w:sz w:val="15"/>
          <w:szCs w:val="15"/>
          <w:b w:val="1"/>
          <w:bCs w:val="1"/>
          <w:i w:val="1"/>
          <w:iCs w:val="1"/>
          <w:color w:val="auto"/>
        </w:rPr>
        <w:t>Technology and Logistics Advantage</w:t>
      </w:r>
      <w:r>
        <w:rPr>
          <w:rFonts w:ascii="Arial" w:cs="Arial" w:eastAsia="Arial" w:hAnsi="Arial"/>
          <w:sz w:val="15"/>
          <w:szCs w:val="15"/>
          <w:color w:val="auto"/>
        </w:rPr>
        <w:t>. We have developed a proprietary operating system for the sharing economy of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6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1"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7" w:right="135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20" w:hanging="183"/>
        <w:spacing w:after="0" w:line="245"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 Trends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80" w:lineRule="exact"/>
        <w:rPr>
          <w:sz w:val="20"/>
          <w:szCs w:val="20"/>
          <w:color w:val="auto"/>
        </w:rPr>
      </w:pPr>
    </w:p>
    <w:p>
      <w:pPr>
        <w:ind w:left="1660" w:right="8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Shift from Ownership to Access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shift from ownership to access has been rapid across many categories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73" w:lineRule="exact"/>
        <w:rPr>
          <w:rFonts w:ascii="Arial" w:cs="Arial" w:eastAsia="Arial" w:hAnsi="Arial"/>
          <w:sz w:val="15"/>
          <w:szCs w:val="15"/>
          <w:color w:val="auto"/>
        </w:rPr>
      </w:pPr>
    </w:p>
    <w:p>
      <w:pPr>
        <w:ind w:left="1660" w:right="160" w:hanging="183"/>
        <w:spacing w:after="0" w:line="244"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 Yet as we buy more, we wear less. The consumer preference for newness means 55% of the closet is not worn regularly, leading to massive financial and environmental waste. The average consumer already operates with a rental mentality. 33% of women consider an outfit to be “old” after wearing it fewer than three times.</w:t>
      </w:r>
      <w:r>
        <w:rPr>
          <w:rFonts w:ascii="Arial" w:cs="Arial" w:eastAsia="Arial" w:hAnsi="Arial"/>
          <w:sz w:val="12"/>
          <w:szCs w:val="12"/>
          <w:color w:val="auto"/>
        </w:rPr>
        <w:t>19</w:t>
      </w:r>
    </w:p>
    <w:p>
      <w:pPr>
        <w:spacing w:after="0" w:line="69" w:lineRule="exact"/>
        <w:rPr>
          <w:rFonts w:ascii="Arial" w:cs="Arial" w:eastAsia="Arial" w:hAnsi="Arial"/>
          <w:sz w:val="15"/>
          <w:szCs w:val="15"/>
          <w:color w:val="auto"/>
        </w:rPr>
      </w:pPr>
    </w:p>
    <w:p>
      <w:pPr>
        <w:jc w:val="both"/>
        <w:ind w:left="1660" w:right="240" w:hanging="183"/>
        <w:spacing w:after="0" w:line="252"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market. U.S. online apparel grew at a 17% CAGR between 2015 and 2020 while the broader apparel sector declined, according to Euromonitor.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 w:lineRule="exact"/>
        <w:rPr>
          <w:sz w:val="20"/>
          <w:szCs w:val="20"/>
          <w:color w:val="auto"/>
        </w:rPr>
      </w:pPr>
    </w:p>
    <w:p>
      <w:pPr>
        <w:ind w:left="1300" w:hanging="273"/>
        <w:spacing w:after="0"/>
        <w:tabs>
          <w:tab w:leader="none" w:pos="1300" w:val="left"/>
        </w:tabs>
        <w:numPr>
          <w:ilvl w:val="0"/>
          <w:numId w:val="96"/>
        </w:numPr>
        <w:rPr>
          <w:rFonts w:ascii="Arial" w:cs="Arial" w:eastAsia="Arial" w:hAnsi="Arial"/>
          <w:sz w:val="20"/>
          <w:szCs w:val="20"/>
          <w:color w:val="auto"/>
          <w:vertAlign w:val="superscript"/>
        </w:rPr>
      </w:pPr>
      <w:r>
        <w:rPr>
          <w:rFonts w:ascii="Arial" w:cs="Arial" w:eastAsia="Arial" w:hAnsi="Arial"/>
          <w:sz w:val="12"/>
          <w:szCs w:val="12"/>
          <w:color w:val="auto"/>
        </w:rPr>
        <w:t>Hubbub, Inc.</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7" w:right="135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Mobile has seen even faster growth as consumers increasingly use their smartphones to discover and shop. According to Euromonitor, U.S. mobile e-commerce grew at a 35% CAGR between 2015 and 2020.</w:t>
      </w:r>
      <w:r>
        <w:rPr>
          <w:rFonts w:ascii="Arial" w:cs="Arial" w:eastAsia="Arial" w:hAnsi="Arial"/>
          <w:sz w:val="12"/>
          <w:szCs w:val="12"/>
          <w:color w:val="auto"/>
        </w:rPr>
        <w:t>20</w:t>
      </w:r>
      <w:r>
        <w:rPr>
          <w:rFonts w:ascii="Arial" w:cs="Arial" w:eastAsia="Arial" w:hAnsi="Arial"/>
          <w:sz w:val="15"/>
          <w:szCs w:val="15"/>
          <w:color w:val="auto"/>
        </w:rPr>
        <w:t xml:space="preserve"> These trends have been accelerated by the COVID-19 crisis as consumers have moved their shopping online.</w:t>
      </w:r>
    </w:p>
    <w:p>
      <w:pPr>
        <w:spacing w:after="0" w:line="73" w:lineRule="exact"/>
        <w:rPr>
          <w:sz w:val="20"/>
          <w:szCs w:val="20"/>
          <w:color w:val="auto"/>
        </w:rPr>
      </w:pPr>
    </w:p>
    <w:p>
      <w:pPr>
        <w:ind w:left="1660" w:right="40" w:hanging="183"/>
        <w:spacing w:after="0" w:line="242"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Social media is driving a greater awareness and participation in fashion. The ubiquity of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social media has meant that consumers have a higher awareness of aspirational brands outside their income level and are taking fashion cues from their friends and influencers as opposed to industry experts. Millennials post nine selfies a week, according to Now Sourcing, and one in seven women considers it a fashion faux-pas to be photographed in an outfit twice, according to McKinsey.</w:t>
      </w:r>
      <w:r>
        <w:rPr>
          <w:rFonts w:ascii="Arial" w:cs="Arial" w:eastAsia="Arial" w:hAnsi="Arial"/>
          <w:sz w:val="12"/>
          <w:szCs w:val="12"/>
          <w:color w:val="auto"/>
        </w:rPr>
        <w:t>21</w:t>
      </w:r>
      <w:r>
        <w:rPr>
          <w:rFonts w:ascii="Arial" w:cs="Arial" w:eastAsia="Arial" w:hAnsi="Arial"/>
          <w:sz w:val="15"/>
          <w:szCs w:val="15"/>
          <w:color w:val="auto"/>
        </w:rPr>
        <w:t xml:space="preserve"> It’s no surprise that, based on our July 2021 Lab42 Survey, the majority of women say social media has increased the pressure they feel to have variety in their wardrobes.</w:t>
      </w:r>
    </w:p>
    <w:p>
      <w:pPr>
        <w:spacing w:after="0" w:line="71" w:lineRule="exact"/>
        <w:rPr>
          <w:rFonts w:ascii="Arial" w:cs="Arial" w:eastAsia="Arial" w:hAnsi="Arial"/>
          <w:sz w:val="15"/>
          <w:szCs w:val="15"/>
          <w:color w:val="auto"/>
        </w:rPr>
      </w:pPr>
    </w:p>
    <w:p>
      <w:pPr>
        <w:ind w:left="1660" w:right="180" w:hanging="183"/>
        <w:spacing w:after="0" w:line="241"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up from 38% in 1970,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according to the U.S. Bureau for Labor Statistics and U.S. Census, but control 70 to 80% of household spending (according to Forbes).</w:t>
      </w:r>
      <w:r>
        <w:rPr>
          <w:rFonts w:ascii="Arial" w:cs="Arial" w:eastAsia="Arial" w:hAnsi="Arial"/>
          <w:sz w:val="12"/>
          <w:szCs w:val="12"/>
          <w:color w:val="auto"/>
        </w:rPr>
        <w:t>22</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2"/>
          <w:szCs w:val="12"/>
          <w:color w:val="auto"/>
        </w:rPr>
        <w:t>23</w:t>
      </w:r>
    </w:p>
    <w:p>
      <w:pPr>
        <w:spacing w:after="0" w:line="72" w:lineRule="exact"/>
        <w:rPr>
          <w:rFonts w:ascii="Arial" w:cs="Arial" w:eastAsia="Arial" w:hAnsi="Arial"/>
          <w:sz w:val="15"/>
          <w:szCs w:val="15"/>
          <w:color w:val="auto"/>
        </w:rPr>
      </w:pPr>
    </w:p>
    <w:p>
      <w:pPr>
        <w:ind w:left="1660" w:right="80" w:hanging="183"/>
        <w:spacing w:after="0" w:line="244"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 environment,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2"/>
          <w:szCs w:val="12"/>
          <w:color w:val="auto"/>
        </w:rPr>
        <w:t>24</w:t>
      </w:r>
      <w:r>
        <w:rPr>
          <w:rFonts w:ascii="Arial" w:cs="Arial" w:eastAsia="Arial" w:hAnsi="Arial"/>
          <w:sz w:val="15"/>
          <w:szCs w:val="15"/>
          <w:color w:val="auto"/>
        </w:rPr>
        <w:t xml:space="preserve"> The COVID-19 pandemic accelerated this tailwind. 56% of women place more value on sustainability as it relates to fashion choices than they did five years ago.</w:t>
      </w:r>
    </w:p>
    <w:p>
      <w:pPr>
        <w:spacing w:after="0" w:line="69" w:lineRule="exact"/>
        <w:rPr>
          <w:rFonts w:ascii="Arial" w:cs="Arial" w:eastAsia="Arial" w:hAnsi="Arial"/>
          <w:sz w:val="15"/>
          <w:szCs w:val="15"/>
          <w:color w:val="auto"/>
        </w:rPr>
      </w:pPr>
    </w:p>
    <w:p>
      <w:pPr>
        <w:ind w:left="1660" w:right="320" w:hanging="183"/>
        <w:spacing w:after="0" w:line="252"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300" w:hanging="273"/>
        <w:spacing w:after="0"/>
        <w:tabs>
          <w:tab w:leader="none" w:pos="130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Euromonitor, Retailing 2020. Retail Value RSP excludes sales tax, current prices and year-over-year exchange rates.</w:t>
      </w:r>
    </w:p>
    <w:p>
      <w:pPr>
        <w:ind w:left="1300" w:hanging="273"/>
        <w:spacing w:after="0" w:line="188" w:lineRule="auto"/>
        <w:tabs>
          <w:tab w:leader="none" w:pos="1300" w:val="left"/>
        </w:tabs>
        <w:numPr>
          <w:ilvl w:val="0"/>
          <w:numId w:val="98"/>
        </w:numPr>
        <w:rPr>
          <w:rFonts w:ascii="Arial" w:cs="Arial" w:eastAsia="Arial" w:hAnsi="Arial"/>
          <w:sz w:val="15"/>
          <w:szCs w:val="15"/>
          <w:color w:val="auto"/>
          <w:vertAlign w:val="superscript"/>
        </w:rPr>
      </w:pPr>
      <w:r>
        <w:rPr>
          <w:rFonts w:ascii="Arial" w:cs="Arial" w:eastAsia="Arial" w:hAnsi="Arial"/>
          <w:sz w:val="10"/>
          <w:szCs w:val="10"/>
          <w:color w:val="auto"/>
        </w:rPr>
        <w:t>Workforce representation according to McKinsey &amp; Co., The State of Fashion, 2019.</w:t>
      </w:r>
    </w:p>
    <w:p>
      <w:pPr>
        <w:ind w:left="1300" w:right="140" w:hanging="273"/>
        <w:spacing w:after="0" w:line="182" w:lineRule="auto"/>
        <w:tabs>
          <w:tab w:leader="none" w:pos="1300" w:val="left"/>
        </w:tabs>
        <w:numPr>
          <w:ilvl w:val="0"/>
          <w:numId w:val="98"/>
        </w:numPr>
        <w:rPr>
          <w:rFonts w:ascii="Arial" w:cs="Arial" w:eastAsia="Arial" w:hAnsi="Arial"/>
          <w:sz w:val="19"/>
          <w:szCs w:val="19"/>
          <w:color w:val="auto"/>
          <w:vertAlign w:val="superscript"/>
        </w:rPr>
      </w:pPr>
      <w:r>
        <w:rPr>
          <w:rFonts w:ascii="Arial" w:cs="Arial" w:eastAsia="Arial" w:hAnsi="Arial"/>
          <w:sz w:val="12"/>
          <w:szCs w:val="12"/>
          <w:color w:val="auto"/>
        </w:rPr>
        <w:t>U.S. Census Bureau, Women Are Nearly Half of U.S. Workforce But Only 27% of STEM Workers, January 2021. Control of household spending according to Forbes, 20 Facts and Figures to Know When Marketing to Women, May 2019.</w:t>
      </w:r>
    </w:p>
    <w:p>
      <w:pPr>
        <w:ind w:left="1300" w:hanging="273"/>
        <w:spacing w:after="0" w:line="188" w:lineRule="auto"/>
        <w:tabs>
          <w:tab w:leader="none" w:pos="1300" w:val="left"/>
        </w:tabs>
        <w:numPr>
          <w:ilvl w:val="0"/>
          <w:numId w:val="98"/>
        </w:numPr>
        <w:rPr>
          <w:rFonts w:ascii="Arial" w:cs="Arial" w:eastAsia="Arial" w:hAnsi="Arial"/>
          <w:sz w:val="15"/>
          <w:szCs w:val="15"/>
          <w:color w:val="auto"/>
          <w:vertAlign w:val="superscript"/>
        </w:rPr>
      </w:pPr>
      <w:r>
        <w:rPr>
          <w:rFonts w:ascii="Arial" w:cs="Arial" w:eastAsia="Arial" w:hAnsi="Arial"/>
          <w:sz w:val="10"/>
          <w:szCs w:val="10"/>
          <w:color w:val="auto"/>
        </w:rPr>
        <w:t>Refinery29 Survey.</w:t>
      </w:r>
    </w:p>
    <w:p>
      <w:pPr>
        <w:ind w:left="1300" w:hanging="273"/>
        <w:spacing w:after="0" w:line="188" w:lineRule="auto"/>
        <w:tabs>
          <w:tab w:leader="none" w:pos="1300" w:val="left"/>
        </w:tabs>
        <w:numPr>
          <w:ilvl w:val="0"/>
          <w:numId w:val="98"/>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00"/>
          </w:cols>
          <w:pgMar w:left="320" w:top="407" w:right="137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400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67400" cy="440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660" w:right="40" w:hanging="183"/>
        <w:spacing w:after="0" w:line="244"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Customers are shopping less in wholesale channels such as physical stores,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69"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 It has also forced designer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2"/>
          <w:szCs w:val="12"/>
          <w:color w:val="auto"/>
        </w:rPr>
        <w:t>23</w:t>
      </w:r>
      <w:r>
        <w:rPr>
          <w:rFonts w:ascii="Arial" w:cs="Arial" w:eastAsia="Arial" w:hAnsi="Arial"/>
          <w:sz w:val="15"/>
          <w:szCs w:val="15"/>
          <w:color w:val="auto"/>
        </w:rPr>
        <w:t xml:space="preserve"> Additionally, consumers’ desire for variety has led to losses for brands.</w:t>
      </w:r>
    </w:p>
    <w:p>
      <w:pPr>
        <w:spacing w:after="0" w:line="71" w:lineRule="exact"/>
        <w:rPr>
          <w:rFonts w:ascii="Arial" w:cs="Arial" w:eastAsia="Arial" w:hAnsi="Arial"/>
          <w:sz w:val="15"/>
          <w:szCs w:val="15"/>
          <w:color w:val="auto"/>
        </w:rPr>
      </w:pPr>
    </w:p>
    <w:p>
      <w:pPr>
        <w:ind w:left="1660" w:right="280" w:hanging="183"/>
        <w:spacing w:after="0" w:line="252"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Larger, More Fractured Discovery Landscape: </w:t>
      </w:r>
      <w:r>
        <w:rPr>
          <w:rFonts w:ascii="Arial" w:cs="Arial" w:eastAsia="Arial" w:hAnsi="Arial"/>
          <w:sz w:val="15"/>
          <w:szCs w:val="15"/>
          <w:color w:val="auto"/>
        </w:rPr>
        <w:t>It is increasingly important for brands to innovate their approach to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According to Publicis Sapient, 87% of</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160"/>
          </w:cols>
          <w:pgMar w:left="320" w:top="407" w:right="141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73" w:lineRule="exact"/>
        <w:rPr>
          <w:sz w:val="20"/>
          <w:szCs w:val="20"/>
          <w:color w:val="auto"/>
        </w:rPr>
      </w:pPr>
    </w:p>
    <w:p>
      <w:pPr>
        <w:ind w:left="1660" w:right="260" w:hanging="183"/>
        <w:spacing w:after="0" w:line="247"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combination of a decline in traditional offline channels, the difficulty for brands in moving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fractured discovery landscape has left brands with</w:t>
      </w:r>
    </w:p>
    <w:p>
      <w:pPr>
        <w:spacing w:after="0" w:line="1" w:lineRule="exact"/>
        <w:rPr>
          <w:rFonts w:ascii="Arial" w:cs="Arial" w:eastAsia="Arial" w:hAnsi="Arial"/>
          <w:sz w:val="15"/>
          <w:szCs w:val="15"/>
          <w:color w:val="auto"/>
        </w:rPr>
      </w:pPr>
    </w:p>
    <w:p>
      <w:pPr>
        <w:ind w:left="1660" w:right="160"/>
        <w:spacing w:after="0" w:line="245" w:lineRule="auto"/>
        <w:rPr>
          <w:rFonts w:ascii="Arial" w:cs="Arial" w:eastAsia="Arial" w:hAnsi="Arial"/>
          <w:sz w:val="15"/>
          <w:szCs w:val="15"/>
          <w:color w:val="auto"/>
        </w:rPr>
      </w:pPr>
      <w:r>
        <w:rPr>
          <w:rFonts w:ascii="Arial" w:cs="Arial" w:eastAsia="Arial" w:hAnsi="Arial"/>
          <w:sz w:val="15"/>
          <w:szCs w:val="15"/>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69"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Growing Importance of Data: </w:t>
      </w:r>
      <w:r>
        <w:rPr>
          <w:rFonts w:ascii="Arial" w:cs="Arial" w:eastAsia="Arial" w:hAnsi="Arial"/>
          <w:sz w:val="15"/>
          <w:szCs w:val="15"/>
          <w:color w:val="auto"/>
        </w:rPr>
        <w:t>Data is critical to helping brands assess their product and efficiently acquire customers. Brands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 information about trends, product quality and fit and need data to help them fuel customer acquisition and loyalty. Through traditional wholesale channels, brands receive very minimal data, and the data they do receive is often a season old.</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Our Platform: The Closet in the Cloud</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designer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 lifetime customers across all of our offerings and in the first six months of fiscal year 2021, 83% of our total revenue came from subscribers.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73" w:lineRule="exact"/>
        <w:rPr>
          <w:sz w:val="20"/>
          <w:szCs w:val="20"/>
          <w:color w:val="auto"/>
        </w:rPr>
      </w:pPr>
    </w:p>
    <w:p>
      <w:pPr>
        <w:ind w:left="1660" w:hanging="183"/>
        <w:spacing w:after="0" w:line="242"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Our Customers</w:t>
      </w:r>
      <w:r>
        <w:rPr>
          <w:rFonts w:ascii="Arial" w:cs="Arial" w:eastAsia="Arial" w:hAnsi="Arial"/>
          <w:sz w:val="15"/>
          <w:szCs w:val="15"/>
          <w:color w:val="auto"/>
        </w:rPr>
        <w:t>: In fiscal year 2019, approximately 700,000 unique customers discovered and engaged with brands on our</w:t>
      </w:r>
      <w:r>
        <w:rPr>
          <w:rFonts w:ascii="Arial" w:cs="Arial" w:eastAsia="Arial" w:hAnsi="Arial"/>
          <w:sz w:val="15"/>
          <w:szCs w:val="15"/>
          <w:b w:val="1"/>
          <w:bCs w:val="1"/>
          <w:color w:val="auto"/>
        </w:rPr>
        <w:t xml:space="preserve"> </w:t>
      </w:r>
      <w:r>
        <w:rPr>
          <w:rFonts w:ascii="Arial" w:cs="Arial" w:eastAsia="Arial" w:hAnsi="Arial"/>
          <w:sz w:val="15"/>
          <w:szCs w:val="15"/>
          <w:color w:val="auto"/>
        </w:rPr>
        <w:t>platform. During the first half of fiscal year 2021, we had approximately 134,000 unique customers in the first quarter and 197,000 unique customers in the second quarter.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25</w:t>
      </w:r>
      <w:r>
        <w:rPr>
          <w:rFonts w:ascii="Arial" w:cs="Arial" w:eastAsia="Arial" w:hAnsi="Arial"/>
          <w:sz w:val="15"/>
          <w:szCs w:val="15"/>
          <w:color w:val="auto"/>
        </w:rPr>
        <w:t xml:space="preserve"> We have become an everyday utility, with our average subscriber wearing Rent the Runway 83 days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right="60" w:hanging="453"/>
        <w:spacing w:after="0" w:line="196" w:lineRule="auto"/>
        <w:tabs>
          <w:tab w:leader="none" w:pos="1480" w:val="left"/>
        </w:tabs>
        <w:numPr>
          <w:ilvl w:val="0"/>
          <w:numId w:val="102"/>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00"/>
          </w:cols>
          <w:pgMar w:left="320" w:top="407" w:right="137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9489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67400" cy="7948930"/>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139"/>
          </w:cols>
          <w:pgMar w:left="320" w:top="407" w:right="1440" w:bottom="1440" w:gutter="0" w:footer="0" w:header="0"/>
          <w:type w:val="continuous"/>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760" w:right="40"/>
        <w:spacing w:after="0" w:line="238" w:lineRule="auto"/>
        <w:rPr>
          <w:sz w:val="20"/>
          <w:szCs w:val="20"/>
          <w:color w:val="auto"/>
        </w:rPr>
      </w:pPr>
      <w:r>
        <w:rPr>
          <w:rFonts w:ascii="Arial" w:cs="Arial" w:eastAsia="Arial" w:hAnsi="Arial"/>
          <w:sz w:val="15"/>
          <w:szCs w:val="15"/>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73" w:lineRule="exact"/>
        <w:rPr>
          <w:sz w:val="20"/>
          <w:szCs w:val="20"/>
          <w:color w:val="auto"/>
        </w:rPr>
      </w:pPr>
    </w:p>
    <w:p>
      <w:pPr>
        <w:ind w:left="1660" w:hanging="183"/>
        <w:spacing w:after="0" w:line="241"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 xml:space="preserve">Our Brand Partners: </w:t>
      </w:r>
      <w:r>
        <w:rPr>
          <w:rFonts w:ascii="Arial" w:cs="Arial" w:eastAsia="Arial" w:hAnsi="Arial"/>
          <w:sz w:val="15"/>
          <w:szCs w:val="15"/>
          <w:color w:val="auto"/>
        </w:rPr>
        <w:t>We source our products directly from over 750 brand partners. Our partners include many of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1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170"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2"/>
          <w:szCs w:val="12"/>
          <w:color w:val="auto"/>
        </w:rPr>
        <w:t>26</w:t>
      </w:r>
      <w:r>
        <w:rPr>
          <w:rFonts w:ascii="Arial" w:cs="Arial" w:eastAsia="Arial" w:hAnsi="Arial"/>
          <w:sz w:val="15"/>
          <w:szCs w:val="15"/>
          <w:color w:val="auto"/>
        </w:rPr>
        <w:t xml:space="preserve"> Compared to 2016, our subscribers in the first half of fiscal year 2021 rented from 25% more brands in their first 90 days as a subscriber.</w:t>
      </w:r>
      <w:r>
        <w:rPr>
          <w:rFonts w:ascii="Arial" w:cs="Arial" w:eastAsia="Arial" w:hAnsi="Arial"/>
          <w:sz w:val="12"/>
          <w:szCs w:val="12"/>
          <w:color w:val="auto"/>
        </w:rPr>
        <w:t>27</w:t>
      </w:r>
      <w:r>
        <w:rPr>
          <w:rFonts w:ascii="Arial" w:cs="Arial" w:eastAsia="Arial" w:hAnsi="Arial"/>
          <w:sz w:val="15"/>
          <w:szCs w:val="15"/>
          <w:color w:val="auto"/>
        </w:rPr>
        <w:t xml:space="preserve"> Our deep customer engagement further fuels our data advantage and our value proposition to new and existing brand partners.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platform and business model are driven by three core advantages:</w:t>
      </w:r>
    </w:p>
    <w:p>
      <w:pPr>
        <w:spacing w:after="0" w:line="80" w:lineRule="exact"/>
        <w:rPr>
          <w:sz w:val="20"/>
          <w:szCs w:val="20"/>
          <w:color w:val="auto"/>
        </w:rPr>
      </w:pPr>
    </w:p>
    <w:p>
      <w:pPr>
        <w:ind w:left="1660" w:hanging="183"/>
        <w:spacing w:after="0" w:line="258" w:lineRule="auto"/>
        <w:tabs>
          <w:tab w:leader="none" w:pos="1660" w:val="left"/>
        </w:tabs>
        <w:numPr>
          <w:ilvl w:val="0"/>
          <w:numId w:val="10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Brand Partner Advantage: </w:t>
      </w:r>
      <w:r>
        <w:rPr>
          <w:rFonts w:ascii="Arial" w:cs="Arial" w:eastAsia="Arial" w:hAnsi="Arial"/>
          <w:sz w:val="14"/>
          <w:szCs w:val="14"/>
          <w:color w:val="auto"/>
        </w:rPr>
        <w:t>Unlike most other players in the secondhand economy, we procure our assortment directly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 revenue share arrangements through our “Share by RTR” capability and co-manufacturing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105"/>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ind w:left="1480" w:hanging="453"/>
        <w:spacing w:after="0" w:line="188" w:lineRule="auto"/>
        <w:tabs>
          <w:tab w:leader="none" w:pos="1480" w:val="left"/>
        </w:tabs>
        <w:numPr>
          <w:ilvl w:val="0"/>
          <w:numId w:val="105"/>
        </w:numPr>
        <w:rPr>
          <w:rFonts w:ascii="Arial" w:cs="Arial" w:eastAsia="Arial" w:hAnsi="Arial"/>
          <w:sz w:val="16"/>
          <w:szCs w:val="16"/>
          <w:color w:val="auto"/>
          <w:vertAlign w:val="superscript"/>
        </w:rPr>
      </w:pPr>
      <w:r>
        <w:rPr>
          <w:rFonts w:ascii="Arial" w:cs="Arial" w:eastAsia="Arial" w:hAnsi="Arial"/>
          <w:sz w:val="10"/>
          <w:szCs w:val="10"/>
          <w:color w:val="auto"/>
        </w:rPr>
        <w:t>Refers to the majority of subscribers, who receive at least two shipments per month.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59"/>
        <w:spacing w:after="0" w:line="245" w:lineRule="auto"/>
        <w:rPr>
          <w:sz w:val="20"/>
          <w:szCs w:val="20"/>
          <w:color w:val="auto"/>
        </w:rPr>
      </w:pPr>
      <w:r>
        <w:rPr>
          <w:rFonts w:ascii="Arial" w:cs="Arial" w:eastAsia="Arial" w:hAnsi="Arial"/>
          <w:sz w:val="15"/>
          <w:szCs w:val="15"/>
          <w:color w:val="auto"/>
        </w:rPr>
        <w:t>“Exclusive Designs” driven by RTR’s data platform. 91% of our brand partners say that they see RTR as part of the future of fashion.</w:t>
      </w:r>
    </w:p>
    <w:p>
      <w:pPr>
        <w:spacing w:after="0" w:line="69" w:lineRule="exact"/>
        <w:rPr>
          <w:sz w:val="20"/>
          <w:szCs w:val="20"/>
          <w:color w:val="auto"/>
        </w:rPr>
      </w:pPr>
    </w:p>
    <w:p>
      <w:pPr>
        <w:ind w:left="1660" w:right="19" w:hanging="183"/>
        <w:spacing w:after="0" w:line="244"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Data Advantage: </w:t>
      </w:r>
      <w:r>
        <w:rPr>
          <w:rFonts w:ascii="Arial" w:cs="Arial" w:eastAsia="Arial" w:hAnsi="Arial"/>
          <w:sz w:val="15"/>
          <w:szCs w:val="15"/>
          <w:color w:val="auto"/>
        </w:rPr>
        <w:t>Our ability to best serve customers and brand partners stems from our deep understanding of both sides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69" w:lineRule="exact"/>
        <w:rPr>
          <w:rFonts w:ascii="Arial" w:cs="Arial" w:eastAsia="Arial" w:hAnsi="Arial"/>
          <w:sz w:val="15"/>
          <w:szCs w:val="15"/>
          <w:color w:val="auto"/>
        </w:rPr>
      </w:pPr>
    </w:p>
    <w:p>
      <w:pPr>
        <w:ind w:left="1660" w:right="19" w:hanging="183"/>
        <w:spacing w:after="0" w:line="239"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Technology and Logistics Advantage: </w:t>
      </w:r>
      <w:r>
        <w:rPr>
          <w:rFonts w:ascii="Arial" w:cs="Arial" w:eastAsia="Arial" w:hAnsi="Arial"/>
          <w:sz w:val="15"/>
          <w:szCs w:val="15"/>
          <w:color w:val="auto"/>
        </w:rPr>
        <w:t>Over the last 12 years, we have developed a proprietary operating system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 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$15.9 billion in GMV.</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139"/>
          </w:cols>
          <w:pgMar w:left="320" w:top="407" w:right="1440"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How It Works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offer customers three ways to access our closet: subscription, a-la-carte rentals and resale.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Browse</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65252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7400" cy="652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00"/>
          </w:cols>
          <w:pgMar w:left="320" w:top="407" w:right="137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Once customers find a style they love, they choose to access it through our monthly Subscription offering or an a-la-carte rental, or purchase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120015</wp:posOffset>
            </wp:positionV>
            <wp:extent cx="5867400" cy="5574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140"/>
          </w:cols>
          <w:pgMar w:left="320" w:top="407" w:right="143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w:t>
      </w:r>
    </w:p>
    <w:p>
      <w:pPr>
        <w:spacing w:after="0" w:line="89" w:lineRule="exact"/>
        <w:rPr>
          <w:sz w:val="20"/>
          <w:szCs w:val="20"/>
          <w:color w:val="auto"/>
        </w:rPr>
      </w:pPr>
    </w:p>
    <w:p>
      <w:pPr>
        <w:jc w:val="both"/>
        <w:ind w:left="1020" w:right="19" w:firstLine="460"/>
        <w:spacing w:after="0" w:line="246" w:lineRule="auto"/>
        <w:rPr>
          <w:sz w:val="20"/>
          <w:szCs w:val="20"/>
          <w:color w:val="auto"/>
        </w:rPr>
      </w:pPr>
      <w:r>
        <w:rPr>
          <w:rFonts w:ascii="Arial" w:cs="Arial" w:eastAsia="Arial" w:hAnsi="Arial"/>
          <w:sz w:val="15"/>
          <w:szCs w:val="15"/>
          <w:i w:val="1"/>
          <w:iCs w:val="1"/>
          <w:color w:val="auto"/>
        </w:rPr>
        <w:t xml:space="preserve">Pick a Plan. </w:t>
      </w:r>
      <w:r>
        <w:rPr>
          <w:rFonts w:ascii="Arial" w:cs="Arial" w:eastAsia="Arial" w:hAnsi="Arial"/>
          <w:sz w:val="15"/>
          <w:szCs w:val="15"/>
          <w:color w:val="auto"/>
        </w:rPr>
        <w:t>While our subscription plans are customizable, when customers subscribe to the Closet in the Cloud, they select from</w:t>
      </w:r>
      <w:r>
        <w:rPr>
          <w:rFonts w:ascii="Arial" w:cs="Arial" w:eastAsia="Arial" w:hAnsi="Arial"/>
          <w:sz w:val="15"/>
          <w:szCs w:val="15"/>
          <w:i w:val="1"/>
          <w:iCs w:val="1"/>
          <w:color w:val="auto"/>
        </w:rPr>
        <w:t xml:space="preserve"> </w:t>
      </w:r>
      <w:r>
        <w:rPr>
          <w:rFonts w:ascii="Arial" w:cs="Arial" w:eastAsia="Arial" w:hAnsi="Arial"/>
          <w:sz w:val="15"/>
          <w:szCs w:val="15"/>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119380</wp:posOffset>
            </wp:positionV>
            <wp:extent cx="4350385" cy="5574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5038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139"/>
          </w:cols>
          <w:pgMar w:left="320" w:top="407" w:right="1440"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79" w:firstLine="460"/>
        <w:spacing w:after="0" w:line="267" w:lineRule="auto"/>
        <w:rPr>
          <w:sz w:val="20"/>
          <w:szCs w:val="20"/>
          <w:color w:val="auto"/>
        </w:rPr>
      </w:pPr>
      <w:r>
        <w:rPr>
          <w:rFonts w:ascii="Arial" w:cs="Arial" w:eastAsia="Arial" w:hAnsi="Arial"/>
          <w:sz w:val="15"/>
          <w:szCs w:val="15"/>
          <w:i w:val="1"/>
          <w:iCs w:val="1"/>
          <w:color w:val="auto"/>
        </w:rPr>
        <w:t xml:space="preserve">Customize. </w:t>
      </w:r>
      <w:r>
        <w:rPr>
          <w:rFonts w:ascii="Arial" w:cs="Arial" w:eastAsia="Arial" w:hAnsi="Arial"/>
          <w:sz w:val="15"/>
          <w:szCs w:val="15"/>
          <w:color w:val="auto"/>
        </w:rPr>
        <w:t>Subscribers can customize their plans to adapt to their changing lifestyles, needs and budgets by adding or removing</w:t>
      </w:r>
      <w:r>
        <w:rPr>
          <w:rFonts w:ascii="Arial" w:cs="Arial" w:eastAsia="Arial" w:hAnsi="Arial"/>
          <w:sz w:val="15"/>
          <w:szCs w:val="15"/>
          <w:i w:val="1"/>
          <w:iCs w:val="1"/>
          <w:color w:val="auto"/>
        </w:rPr>
        <w:t xml:space="preserve"> </w:t>
      </w:r>
      <w:r>
        <w:rPr>
          <w:rFonts w:ascii="Arial" w:cs="Arial" w:eastAsia="Arial" w:hAnsi="Arial"/>
          <w:sz w:val="15"/>
          <w:szCs w:val="15"/>
          <w:color w:val="auto"/>
        </w:rPr>
        <w:t>spots for $25 or $29 per item per month and shipments for $25 - $39 per shipment per month,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110490</wp:posOffset>
            </wp:positionV>
            <wp:extent cx="5688330" cy="6682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88330" cy="668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139"/>
          </w:cols>
          <w:pgMar w:left="320" w:top="407" w:right="1440"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19" w:firstLine="460"/>
        <w:spacing w:after="0" w:line="267" w:lineRule="auto"/>
        <w:rPr>
          <w:sz w:val="20"/>
          <w:szCs w:val="20"/>
          <w:color w:val="auto"/>
        </w:rPr>
      </w:pPr>
      <w:r>
        <w:rPr>
          <w:rFonts w:ascii="Arial" w:cs="Arial" w:eastAsia="Arial" w:hAnsi="Arial"/>
          <w:sz w:val="15"/>
          <w:szCs w:val="15"/>
          <w:i w:val="1"/>
          <w:iCs w:val="1"/>
          <w:color w:val="auto"/>
        </w:rPr>
        <w:t xml:space="preserve">Choose Items. </w:t>
      </w:r>
      <w:r>
        <w:rPr>
          <w:rFonts w:ascii="Arial" w:cs="Arial" w:eastAsia="Arial" w:hAnsi="Arial"/>
          <w:sz w:val="15"/>
          <w:szCs w:val="15"/>
          <w:color w:val="auto"/>
        </w:rPr>
        <w:t>After picking a plan, subscribers browse our broad assortment of items to build their first shipment. Our subscribers</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visit our app five times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6548755" cy="73482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48755" cy="734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ectPr>
          <w:pgSz w:w="11900" w:h="16838" w:orient="portrait"/>
          <w:cols w:equalWidth="0" w:num="1">
            <w:col w:w="10139"/>
          </w:cols>
          <w:pgMar w:left="320" w:top="407" w:right="1440" w:bottom="1440" w:gutter="0" w:footer="0" w:header="0"/>
        </w:sectPr>
      </w:pP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139"/>
          </w:cols>
          <w:pgMar w:left="320" w:top="407" w:right="1440" w:bottom="1440" w:gutter="0" w:footer="0" w:header="0"/>
          <w:type w:val="continuous"/>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19" w:firstLine="460"/>
        <w:spacing w:after="0" w:line="267" w:lineRule="auto"/>
        <w:rPr>
          <w:sz w:val="20"/>
          <w:szCs w:val="20"/>
          <w:color w:val="auto"/>
        </w:rPr>
      </w:pPr>
      <w:r>
        <w:rPr>
          <w:rFonts w:ascii="Arial" w:cs="Arial" w:eastAsia="Arial" w:hAnsi="Arial"/>
          <w:sz w:val="15"/>
          <w:szCs w:val="15"/>
          <w:i w:val="1"/>
          <w:iCs w:val="1"/>
          <w:color w:val="auto"/>
        </w:rPr>
        <w:t xml:space="preserve">Wear, Repeat. </w:t>
      </w:r>
      <w:r>
        <w:rPr>
          <w:rFonts w:ascii="Arial" w:cs="Arial" w:eastAsia="Arial" w:hAnsi="Arial"/>
          <w:sz w:val="15"/>
          <w:szCs w:val="15"/>
          <w:color w:val="auto"/>
        </w:rPr>
        <w:t>When subscribers place an order, we aim to deliver their order within two days of shipping from our fulfillment</w:t>
      </w:r>
      <w:r>
        <w:rPr>
          <w:rFonts w:ascii="Arial" w:cs="Arial" w:eastAsia="Arial" w:hAnsi="Arial"/>
          <w:sz w:val="15"/>
          <w:szCs w:val="15"/>
          <w:i w:val="1"/>
          <w:iCs w:val="1"/>
          <w:color w:val="auto"/>
        </w:rPr>
        <w:t xml:space="preserve"> </w:t>
      </w:r>
      <w:r>
        <w:rPr>
          <w:rFonts w:ascii="Arial" w:cs="Arial" w:eastAsia="Arial" w:hAnsi="Arial"/>
          <w:sz w:val="15"/>
          <w:szCs w:val="15"/>
          <w:color w:val="auto"/>
        </w:rPr>
        <w:t>centers in our patented, reusable garment bags, cleaned and ready to 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5867400" cy="39135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7400" cy="391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139"/>
          </w:cols>
          <w:pgMar w:left="320" w:top="407" w:right="1440"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rPr>
          <w:sz w:val="20"/>
          <w:szCs w:val="20"/>
          <w:color w:val="auto"/>
        </w:rPr>
      </w:pPr>
      <w:r>
        <w:rPr>
          <w:rFonts w:ascii="Arial" w:cs="Arial" w:eastAsia="Arial" w:hAnsi="Arial"/>
          <w:sz w:val="15"/>
          <w:szCs w:val="15"/>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122555</wp:posOffset>
            </wp:positionV>
            <wp:extent cx="4293235" cy="5574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9323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139"/>
          </w:cols>
          <w:pgMar w:left="320" w:top="407" w:right="1440"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line="238" w:lineRule="auto"/>
        <w:rPr>
          <w:sz w:val="20"/>
          <w:szCs w:val="20"/>
          <w:color w:val="auto"/>
        </w:rPr>
      </w:pPr>
      <w:r>
        <w:rPr>
          <w:rFonts w:ascii="Arial" w:cs="Arial" w:eastAsia="Arial" w:hAnsi="Arial"/>
          <w:sz w:val="15"/>
          <w:szCs w:val="15"/>
          <w:color w:val="auto"/>
        </w:rPr>
        <w:t>Subscribers give us real-time feedback on the size, fit and quality of the items they are returning every time they rent. The structured data we collect through our “happiness survey” allows us to both improve her experience as well as optimize our care and therefore return on investment of the items returned. As of June 2021, we’ve collected over 20 million happiness surveys since this feedback collection feature launched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3942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7400" cy="394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139"/>
          </w:cols>
          <w:pgMar w:left="320" w:top="407" w:right="1440"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574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140"/>
          </w:cols>
          <w:pgMar w:left="320" w:top="407" w:right="143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Reserve</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122555</wp:posOffset>
            </wp:positionV>
            <wp:extent cx="5831205" cy="5574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3120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140"/>
          </w:cols>
          <w:pgMar w:left="320" w:top="407" w:right="143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Resale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124460</wp:posOffset>
            </wp:positionV>
            <wp:extent cx="5659755" cy="5574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975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7" w:right="135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40640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7400" cy="406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 portion of our customers are subscribers and for fiscal year 2020, they accounted for 89% of our revenue and 83%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 cities by population, and approximately 53% lived elsewhere. As of</w:t>
      </w:r>
    </w:p>
    <w:p>
      <w:pPr>
        <w:spacing w:after="0" w:line="1"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July 31, 2021, we had 97,614 active subscribers on Rent the Runway and 126,841 total subscribers including paused subscribers. Many of our subscribers started as customers in Reserve and Resale and we continue to see activation from Reserve and Resale customers into subscribers for many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140"/>
          </w:cols>
          <w:pgMar w:left="320" w:top="407" w:right="14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660" w:right="60" w:hanging="183"/>
        <w:spacing w:after="0" w:line="241" w:lineRule="auto"/>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Cloud, Rent the Runway gives customers the ability to always wear something new to them and inspires customers to expand their fashion tastes without risk of buyer’s remorse.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41" w:lineRule="auto"/>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 monthly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20"/>
          </w:cols>
          <w:pgMar w:left="320" w:top="407" w:right="135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line="238" w:lineRule="auto"/>
        <w:rPr>
          <w:sz w:val="20"/>
          <w:szCs w:val="20"/>
          <w:color w:val="auto"/>
        </w:rPr>
      </w:pPr>
      <w:r>
        <w:rPr>
          <w:rFonts w:ascii="Arial" w:cs="Arial" w:eastAsia="Arial" w:hAnsi="Arial"/>
          <w:sz w:val="15"/>
          <w:szCs w:val="15"/>
          <w:color w:val="auto"/>
        </w:rPr>
        <w:t>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40424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740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60" w:right="20" w:hanging="183"/>
        <w:spacing w:after="0" w:line="244"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Self-Confidence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83% of our subscribers say RTR makes them the most confident version of themselves at work or in social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69" w:lineRule="exact"/>
        <w:rPr>
          <w:rFonts w:ascii="Arial" w:cs="Arial" w:eastAsia="Arial" w:hAnsi="Arial"/>
          <w:sz w:val="15"/>
          <w:szCs w:val="15"/>
          <w:color w:val="auto"/>
        </w:rPr>
      </w:pPr>
    </w:p>
    <w:p>
      <w:pPr>
        <w:ind w:left="1660" w:hanging="183"/>
        <w:spacing w:after="0"/>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73"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 reviews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through June 2021. As of June 2021, 20% of our customers in the past six months have provided a photo with their review on RTR without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200"/>
          </w:cols>
          <w:pgMar w:left="320" w:top="407" w:right="137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0"/>
        <w:spacing w:after="0" w:line="238" w:lineRule="auto"/>
        <w:rPr>
          <w:sz w:val="20"/>
          <w:szCs w:val="20"/>
          <w:color w:val="auto"/>
        </w:rPr>
      </w:pPr>
      <w:r>
        <w:rPr>
          <w:rFonts w:ascii="Arial" w:cs="Arial" w:eastAsia="Arial" w:hAnsi="Arial"/>
          <w:sz w:val="15"/>
          <w:szCs w:val="15"/>
          <w:color w:val="auto"/>
        </w:rPr>
        <w:t>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73" w:lineRule="exact"/>
        <w:rPr>
          <w:sz w:val="20"/>
          <w:szCs w:val="20"/>
          <w:color w:val="auto"/>
        </w:rPr>
      </w:pPr>
    </w:p>
    <w:p>
      <w:pPr>
        <w:ind w:left="1660" w:hanging="183"/>
        <w:spacing w:after="0" w:line="244" w:lineRule="auto"/>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business model aims to teach customers a rent versus buy mindset when it comes to building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COVID-19 pandemic has accelerated our consumer tailwinds. Changed consumer values have shifted the landscape towards the Closet in the Cloud and access over ownership. According to the July 2021 Lab42 Survey, 51% of women care more about saving money on clothes compared to before the pandemic; 38% of women are more excited about expressing themselves through fashion compared to before the pandemic; 38% of women care more about having a wardrobe that adapts to their lifestyle; and 56% of women place more value on sustainability as it relates to their fashion choices than they did five years ago.</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Our customers use Rent the Runway for a variety of reasons and derive significant value from their subscriptions as demonstrated by the following customer case studies.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180"/>
          </w:cols>
          <w:pgMar w:left="320" w:top="407" w:right="139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39"/>
          </w:cols>
          <w:pgMar w:left="320" w:top="407" w:right="1440"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139"/>
          </w:cols>
          <w:pgMar w:left="320" w:top="407" w:right="1440"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39"/>
          </w:cols>
          <w:pgMar w:left="320" w:top="407" w:right="1440"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39"/>
          </w:cols>
          <w:pgMar w:left="320" w:top="407" w:right="1440"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75914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0139"/>
          </w:cols>
          <w:pgMar w:left="320" w:top="407" w:right="1440" w:bottom="1440" w:gutter="0" w:footer="0" w:header="0"/>
          <w:type w:val="continuous"/>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4507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7400" cy="450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660" w:right="200" w:hanging="183"/>
        <w:spacing w:after="0" w:line="252"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180"/>
          </w:cols>
          <w:pgMar w:left="320" w:top="407" w:right="139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64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02960" cy="764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139"/>
          </w:cols>
          <w:pgMar w:left="320" w:top="407" w:right="1440"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60" w:hanging="183"/>
        <w:spacing w:after="0" w:line="241"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brand partners with a new way to reach both current luxury consumers and aspirational luxury consumers. 91% of our brand partners say that RTR introduces them to new, desirable customers and deepens awareness of their brand. The value 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5867400" cy="42570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7400" cy="425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60" w:hanging="183"/>
        <w:spacing w:after="0" w:line="238"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 We even have the ability to launch blockbuster styles for our brand partners through our engaged and social customer base.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20"/>
          </w:cols>
          <w:pgMar w:left="320" w:top="407" w:right="135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139"/>
          </w:cols>
          <w:pgMar w:left="320" w:top="407" w:right="1440"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320" w:hanging="183"/>
        <w:spacing w:after="0" w:line="252"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70" w:lineRule="exact"/>
        <w:rPr>
          <w:rFonts w:ascii="Arial" w:cs="Arial" w:eastAsia="Arial" w:hAnsi="Arial"/>
          <w:sz w:val="15"/>
          <w:szCs w:val="15"/>
          <w:color w:val="auto"/>
        </w:rPr>
      </w:pPr>
    </w:p>
    <w:p>
      <w:pPr>
        <w:ind w:left="1660" w:right="140" w:hanging="183"/>
        <w:spacing w:after="0" w:line="244"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 wholesale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120650</wp:posOffset>
            </wp:positionV>
            <wp:extent cx="5867400" cy="41281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67400" cy="412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60" w:right="120" w:hanging="183"/>
        <w:spacing w:after="0" w:line="252"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81% of our brand partners believed that sustainability is important to their brand’s customer and 67% believed that RTR is an important part of their business’s sustainability strategy.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180"/>
          </w:cols>
          <w:pgMar w:left="320" w:top="407" w:right="139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Unique Brand Partner Approach</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 Due to the strength of our partnerships we are able to customize some of the styles we acquire, whether it is changing fabrics used or the way an item is manufactured to extend its longevity. Customization represents 28% of all styles acquired in fiscal year 2020.</w:t>
      </w:r>
    </w:p>
    <w:p>
      <w:pPr>
        <w:spacing w:after="0" w:line="14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Wholesale</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Share by RTR</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Exclusive Designs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180"/>
          </w:cols>
          <w:pgMar w:left="320" w:top="407" w:right="139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180"/>
          </w:cols>
          <w:pgMar w:left="320" w:top="407" w:right="139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84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7400"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139"/>
          </w:cols>
          <w:pgMar w:left="320" w:top="407" w:right="1440"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5914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0296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139"/>
          </w:cols>
          <w:pgMar w:left="320" w:top="407" w:right="1440"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139"/>
          </w:cols>
          <w:pgMar w:left="320" w:top="407" w:right="1440"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Data Advantage</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gather insights from the following:</w:t>
      </w:r>
    </w:p>
    <w:p>
      <w:pPr>
        <w:spacing w:after="0" w:line="80" w:lineRule="exact"/>
        <w:rPr>
          <w:sz w:val="20"/>
          <w:szCs w:val="20"/>
          <w:color w:val="auto"/>
        </w:rPr>
      </w:pPr>
    </w:p>
    <w:p>
      <w:pPr>
        <w:ind w:left="1660" w:hanging="183"/>
        <w:spacing w:after="0"/>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Site Data: </w:t>
      </w:r>
      <w:r>
        <w:rPr>
          <w:rFonts w:ascii="Arial" w:cs="Arial" w:eastAsia="Arial" w:hAnsi="Arial"/>
          <w:sz w:val="15"/>
          <w:szCs w:val="15"/>
          <w:color w:val="auto"/>
        </w:rPr>
        <w:t>Site activity, including hearts and dislikes, shortlists, clicks, browse time, and add to carts.</w:t>
      </w:r>
    </w:p>
    <w:p>
      <w:pPr>
        <w:spacing w:after="0" w:line="97" w:lineRule="exact"/>
        <w:rPr>
          <w:rFonts w:ascii="Arial" w:cs="Arial" w:eastAsia="Arial" w:hAnsi="Arial"/>
          <w:sz w:val="15"/>
          <w:szCs w:val="15"/>
          <w:color w:val="auto"/>
        </w:rPr>
      </w:pPr>
    </w:p>
    <w:p>
      <w:pPr>
        <w:jc w:val="both"/>
        <w:ind w:left="1660" w:right="40" w:hanging="183"/>
        <w:spacing w:after="0" w:line="270" w:lineRule="auto"/>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Post-Rental Feedback Loop: </w:t>
      </w:r>
      <w:r>
        <w:rPr>
          <w:rFonts w:ascii="Arial" w:cs="Arial" w:eastAsia="Arial" w:hAnsi="Arial"/>
          <w:sz w:val="15"/>
          <w:szCs w:val="15"/>
          <w:color w:val="auto"/>
        </w:rPr>
        <w:t>Overall happiness with experience, single-SKU usage including how many times she wears each</w:t>
      </w:r>
      <w:r>
        <w:rPr>
          <w:rFonts w:ascii="Arial" w:cs="Arial" w:eastAsia="Arial" w:hAnsi="Arial"/>
          <w:sz w:val="15"/>
          <w:szCs w:val="15"/>
          <w:b w:val="1"/>
          <w:bCs w:val="1"/>
          <w:color w:val="auto"/>
        </w:rPr>
        <w:t xml:space="preserve"> </w:t>
      </w:r>
      <w:r>
        <w:rPr>
          <w:rFonts w:ascii="Arial" w:cs="Arial" w:eastAsia="Arial" w:hAnsi="Arial"/>
          <w:sz w:val="15"/>
          <w:szCs w:val="15"/>
          <w:color w:val="auto"/>
        </w:rPr>
        <w:t>item, fit across many dimensions (for example, if the item is too small in her waist), quality of the item, and occasion she wore it.</w:t>
      </w:r>
    </w:p>
    <w:p>
      <w:pPr>
        <w:spacing w:after="0" w:line="51" w:lineRule="exact"/>
        <w:rPr>
          <w:rFonts w:ascii="Arial" w:cs="Arial" w:eastAsia="Arial" w:hAnsi="Arial"/>
          <w:sz w:val="15"/>
          <w:szCs w:val="15"/>
          <w:color w:val="auto"/>
        </w:rPr>
      </w:pPr>
    </w:p>
    <w:p>
      <w:pPr>
        <w:ind w:left="1660" w:hanging="183"/>
        <w:spacing w:after="0"/>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Operations: </w:t>
      </w:r>
      <w:r>
        <w:rPr>
          <w:rFonts w:ascii="Arial" w:cs="Arial" w:eastAsia="Arial" w:hAnsi="Arial"/>
          <w:sz w:val="15"/>
          <w:szCs w:val="15"/>
          <w:color w:val="auto"/>
        </w:rPr>
        <w:t>Unit-level wears, cleans, repairs and customer damage data, and insight on fabrics and garment specs.</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00"/>
          </w:cols>
          <w:pgMar w:left="320" w:top="407" w:right="137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00" w:right="1460" w:firstLine="77"/>
        <w:spacing w:after="0" w:line="368" w:lineRule="auto"/>
        <w:tabs>
          <w:tab w:leader="none" w:pos="1663"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Customer Data: </w:t>
      </w:r>
      <w:r>
        <w:rPr>
          <w:rFonts w:ascii="Arial" w:cs="Arial" w:eastAsia="Arial" w:hAnsi="Arial"/>
          <w:sz w:val="15"/>
          <w:szCs w:val="15"/>
          <w:color w:val="auto"/>
        </w:rPr>
        <w:t>Photo reviews, events, preferences, size and body dimensions, life stage, and profession.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way we collect data also differentiates us:</w:t>
      </w:r>
    </w:p>
    <w:p>
      <w:pPr>
        <w:ind w:left="1660" w:right="300" w:hanging="183"/>
        <w:spacing w:after="0" w:line="252"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Depth of Data: </w:t>
      </w:r>
      <w:r>
        <w:rPr>
          <w:rFonts w:ascii="Arial" w:cs="Arial" w:eastAsia="Arial" w:hAnsi="Arial"/>
          <w:sz w:val="15"/>
          <w:szCs w:val="15"/>
          <w:color w:val="auto"/>
        </w:rPr>
        <w:t>Given the frequency of subscriber engagement with RTR (our average subscribers visit our app 20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2"/>
          <w:szCs w:val="12"/>
          <w:color w:val="auto"/>
        </w:rPr>
        <w:t>28</w:t>
      </w:r>
      <w:r>
        <w:rPr>
          <w:rFonts w:ascii="Arial" w:cs="Arial" w:eastAsia="Arial" w:hAnsi="Arial"/>
          <w:sz w:val="15"/>
          <w:szCs w:val="15"/>
          <w:color w:val="auto"/>
        </w:rPr>
        <w:t xml:space="preserve"> We also have 12 years of aggregating this data.</w:t>
      </w:r>
    </w:p>
    <w:p>
      <w:pPr>
        <w:spacing w:after="0" w:line="65" w:lineRule="exact"/>
        <w:rPr>
          <w:rFonts w:ascii="Arial" w:cs="Arial" w:eastAsia="Arial" w:hAnsi="Arial"/>
          <w:sz w:val="15"/>
          <w:szCs w:val="15"/>
          <w:color w:val="auto"/>
        </w:rPr>
      </w:pPr>
    </w:p>
    <w:p>
      <w:pPr>
        <w:ind w:left="1660" w:right="40" w:hanging="183"/>
        <w:spacing w:after="0" w:line="279" w:lineRule="auto"/>
        <w:tabs>
          <w:tab w:leader="none" w:pos="1660" w:val="left"/>
        </w:tabs>
        <w:numPr>
          <w:ilvl w:val="0"/>
          <w:numId w:val="117"/>
        </w:numPr>
        <w:rPr>
          <w:rFonts w:ascii="Arial" w:cs="Arial" w:eastAsia="Arial" w:hAnsi="Arial"/>
          <w:sz w:val="14"/>
          <w:szCs w:val="14"/>
          <w:color w:val="auto"/>
        </w:rPr>
      </w:pPr>
      <w:r>
        <w:rPr>
          <w:rFonts w:ascii="Arial" w:cs="Arial" w:eastAsia="Arial" w:hAnsi="Arial"/>
          <w:sz w:val="14"/>
          <w:szCs w:val="14"/>
          <w:b w:val="1"/>
          <w:bCs w:val="1"/>
          <w:color w:val="auto"/>
        </w:rPr>
        <w:t xml:space="preserve">Speed of Data: </w:t>
      </w:r>
      <w:r>
        <w:rPr>
          <w:rFonts w:ascii="Arial" w:cs="Arial" w:eastAsia="Arial" w:hAnsi="Arial"/>
          <w:sz w:val="14"/>
          <w:szCs w:val="14"/>
          <w:color w:val="auto"/>
        </w:rPr>
        <w:t>Our real-time feedback from customers enables faster feedback for our brand partners, our buying team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46" w:lineRule="exact"/>
        <w:rPr>
          <w:rFonts w:ascii="Arial" w:cs="Arial" w:eastAsia="Arial" w:hAnsi="Arial"/>
          <w:sz w:val="14"/>
          <w:szCs w:val="14"/>
          <w:color w:val="auto"/>
        </w:rPr>
      </w:pPr>
    </w:p>
    <w:p>
      <w:pPr>
        <w:ind w:left="1660" w:hanging="183"/>
        <w:spacing w:after="0" w:line="246"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Explicit Data: </w:t>
      </w:r>
      <w:r>
        <w:rPr>
          <w:rFonts w:ascii="Arial" w:cs="Arial" w:eastAsia="Arial" w:hAnsi="Arial"/>
          <w:sz w:val="15"/>
          <w:szCs w:val="15"/>
          <w:color w:val="auto"/>
        </w:rPr>
        <w:t>The vast majority of our data is voluntarily provided by our customers in the form of structured post-rental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70" w:lineRule="exact"/>
        <w:rPr>
          <w:rFonts w:ascii="Arial" w:cs="Arial" w:eastAsia="Arial" w:hAnsi="Arial"/>
          <w:sz w:val="15"/>
          <w:szCs w:val="15"/>
          <w:color w:val="auto"/>
        </w:rPr>
      </w:pPr>
    </w:p>
    <w:p>
      <w:pPr>
        <w:ind w:left="1660" w:right="180" w:hanging="183"/>
        <w:spacing w:after="0" w:line="252"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SKU-level: </w:t>
      </w:r>
      <w:r>
        <w:rPr>
          <w:rFonts w:ascii="Arial" w:cs="Arial" w:eastAsia="Arial" w:hAnsi="Arial"/>
          <w:sz w:val="15"/>
          <w:szCs w:val="15"/>
          <w:color w:val="auto"/>
        </w:rPr>
        <w:t>We track our items at the SKU level, mapping every interaction with customers and our operations over its lifetime.</w:t>
      </w:r>
      <w:r>
        <w:rPr>
          <w:rFonts w:ascii="Arial" w:cs="Arial" w:eastAsia="Arial" w:hAnsi="Arial"/>
          <w:sz w:val="15"/>
          <w:szCs w:val="15"/>
          <w:b w:val="1"/>
          <w:bCs w:val="1"/>
          <w:color w:val="auto"/>
        </w:rPr>
        <w:t xml:space="preserve"> </w:t>
      </w:r>
      <w:r>
        <w:rPr>
          <w:rFonts w:ascii="Arial" w:cs="Arial" w:eastAsia="Arial" w:hAnsi="Arial"/>
          <w:sz w:val="15"/>
          <w:szCs w:val="15"/>
          <w:color w:val="auto"/>
        </w:rPr>
        <w:t>This enables us to note any issues at the item level, and perform specific garment restoration to maximize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 w:lineRule="exact"/>
        <w:rPr>
          <w:sz w:val="20"/>
          <w:szCs w:val="20"/>
          <w:color w:val="auto"/>
        </w:rPr>
      </w:pPr>
    </w:p>
    <w:p>
      <w:pPr>
        <w:ind w:left="1480" w:hanging="453"/>
        <w:spacing w:after="0"/>
        <w:tabs>
          <w:tab w:leader="none" w:pos="1480" w:val="left"/>
        </w:tabs>
        <w:numPr>
          <w:ilvl w:val="0"/>
          <w:numId w:val="118"/>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20"/>
          </w:cols>
          <w:pgMar w:left="320" w:top="407" w:right="135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56953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7400" cy="569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74" w:lineRule="exact"/>
        <w:rPr>
          <w:sz w:val="20"/>
          <w:szCs w:val="20"/>
          <w:color w:val="auto"/>
        </w:rPr>
      </w:pPr>
    </w:p>
    <w:p>
      <w:pPr>
        <w:ind w:left="1660" w:hanging="183"/>
        <w:spacing w:after="0" w:line="246"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color w:val="auto"/>
        </w:rPr>
        <w:t xml:space="preserve">Relevant Assortment: </w:t>
      </w:r>
      <w:r>
        <w:rPr>
          <w:rFonts w:ascii="Arial" w:cs="Arial" w:eastAsia="Arial" w:hAnsi="Arial"/>
          <w:sz w:val="15"/>
          <w:szCs w:val="15"/>
          <w:color w:val="auto"/>
        </w:rPr>
        <w:t>Our goal is to create the most relevant assortment of products for each customer so that we can retain</w:t>
      </w:r>
      <w:r>
        <w:rPr>
          <w:rFonts w:ascii="Arial" w:cs="Arial" w:eastAsia="Arial" w:hAnsi="Arial"/>
          <w:sz w:val="15"/>
          <w:szCs w:val="15"/>
          <w:b w:val="1"/>
          <w:bCs w:val="1"/>
          <w:color w:val="auto"/>
        </w:rPr>
        <w:t xml:space="preserve"> </w:t>
      </w:r>
      <w:r>
        <w:rPr>
          <w:rFonts w:ascii="Arial" w:cs="Arial" w:eastAsia="Arial" w:hAnsi="Arial"/>
          <w:sz w:val="15"/>
          <w:szCs w:val="15"/>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140"/>
          </w:cols>
          <w:pgMar w:left="320" w:top="407" w:right="14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660" w:right="120"/>
        <w:spacing w:after="0"/>
        <w:rPr>
          <w:sz w:val="20"/>
          <w:szCs w:val="20"/>
          <w:color w:val="auto"/>
        </w:rPr>
      </w:pPr>
      <w:r>
        <w:rPr>
          <w:rFonts w:ascii="Arial" w:cs="Arial" w:eastAsia="Arial" w:hAnsi="Arial"/>
          <w:sz w:val="15"/>
          <w:szCs w:val="15"/>
          <w:color w:val="auto"/>
        </w:rPr>
        <w:t>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73" w:lineRule="exact"/>
        <w:rPr>
          <w:sz w:val="20"/>
          <w:szCs w:val="20"/>
          <w:color w:val="auto"/>
        </w:rPr>
      </w:pPr>
    </w:p>
    <w:p>
      <w:pPr>
        <w:ind w:left="1660" w:hanging="183"/>
        <w:spacing w:after="0" w:line="241" w:lineRule="auto"/>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 xml:space="preserve">Personalized Storefront: </w:t>
      </w:r>
      <w:r>
        <w:rPr>
          <w:rFonts w:ascii="Arial" w:cs="Arial" w:eastAsia="Arial" w:hAnsi="Arial"/>
          <w:sz w:val="15"/>
          <w:szCs w:val="15"/>
          <w:color w:val="auto"/>
        </w:rPr>
        <w:t>We personalize the storefront for each of our subscribers; no two subscribers see the same storefront.</w:t>
      </w:r>
      <w:r>
        <w:rPr>
          <w:rFonts w:ascii="Arial" w:cs="Arial" w:eastAsia="Arial" w:hAnsi="Arial"/>
          <w:sz w:val="15"/>
          <w:szCs w:val="15"/>
          <w:b w:val="1"/>
          <w:bCs w:val="1"/>
          <w:color w:val="auto"/>
        </w:rPr>
        <w:t xml:space="preserve"> </w:t>
      </w:r>
      <w:r>
        <w:rPr>
          <w:rFonts w:ascii="Arial" w:cs="Arial" w:eastAsia="Arial" w:hAnsi="Arial"/>
          <w:sz w:val="15"/>
          <w:szCs w:val="15"/>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the first half of fiscal year 2021, on average, our subscribers rented seven brands in their first month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121920</wp:posOffset>
            </wp:positionV>
            <wp:extent cx="5867400" cy="52876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7400" cy="528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52"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Fit: </w:t>
      </w:r>
      <w:r>
        <w:rPr>
          <w:rFonts w:ascii="Arial" w:cs="Arial" w:eastAsia="Arial" w:hAnsi="Arial"/>
          <w:sz w:val="15"/>
          <w:szCs w:val="15"/>
          <w:color w:val="auto"/>
        </w:rPr>
        <w:t>We make personalized size recommendations to each customer at the item level. Since we launched our fit recommendation</w:t>
      </w:r>
      <w:r>
        <w:rPr>
          <w:rFonts w:ascii="Arial" w:cs="Arial" w:eastAsia="Arial" w:hAnsi="Arial"/>
          <w:sz w:val="15"/>
          <w:szCs w:val="15"/>
          <w:b w:val="1"/>
          <w:bCs w:val="1"/>
          <w:color w:val="auto"/>
        </w:rPr>
        <w:t xml:space="preserve"> </w:t>
      </w:r>
      <w:r>
        <w:rPr>
          <w:rFonts w:ascii="Arial" w:cs="Arial" w:eastAsia="Arial" w:hAnsi="Arial"/>
          <w:sz w:val="15"/>
          <w:szCs w:val="15"/>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65" w:lineRule="exact"/>
        <w:rPr>
          <w:rFonts w:ascii="Arial" w:cs="Arial" w:eastAsia="Arial" w:hAnsi="Arial"/>
          <w:sz w:val="15"/>
          <w:szCs w:val="15"/>
          <w:color w:val="auto"/>
        </w:rPr>
      </w:pPr>
    </w:p>
    <w:p>
      <w:pPr>
        <w:ind w:left="1660" w:right="240" w:hanging="183"/>
        <w:spacing w:after="0" w:line="252"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Review Data: </w:t>
      </w:r>
      <w:r>
        <w:rPr>
          <w:rFonts w:ascii="Arial" w:cs="Arial" w:eastAsia="Arial" w:hAnsi="Arial"/>
          <w:sz w:val="15"/>
          <w:szCs w:val="15"/>
          <w:color w:val="auto"/>
        </w:rPr>
        <w:t>We surface the most relevant product reviews to each customer so she sees how women with similar height,</w:t>
      </w:r>
      <w:r>
        <w:rPr>
          <w:rFonts w:ascii="Arial" w:cs="Arial" w:eastAsia="Arial" w:hAnsi="Arial"/>
          <w:sz w:val="15"/>
          <w:szCs w:val="15"/>
          <w:b w:val="1"/>
          <w:bCs w:val="1"/>
          <w:color w:val="auto"/>
        </w:rPr>
        <w:t xml:space="preserve"> </w:t>
      </w:r>
      <w:r>
        <w:rPr>
          <w:rFonts w:ascii="Arial" w:cs="Arial" w:eastAsia="Arial" w:hAnsi="Arial"/>
          <w:sz w:val="15"/>
          <w:szCs w:val="15"/>
          <w:color w:val="auto"/>
        </w:rPr>
        <w:t>weight and body dimensions to her look in each style. Conversion on items with eight or more reviews is 264% higher than on items with less than eight reviews.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20"/>
          </w:cols>
          <w:pgMar w:left="320" w:top="407" w:right="135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39"/>
          </w:cols>
          <w:pgMar w:left="320" w:top="407" w:right="1440"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data advantage benefits brand partners in numerous ways:</w:t>
      </w:r>
    </w:p>
    <w:p>
      <w:pPr>
        <w:spacing w:after="0" w:line="80" w:lineRule="exact"/>
        <w:rPr>
          <w:sz w:val="20"/>
          <w:szCs w:val="20"/>
          <w:color w:val="auto"/>
        </w:rPr>
      </w:pPr>
    </w:p>
    <w:p>
      <w:pPr>
        <w:ind w:left="1660" w:right="280" w:hanging="183"/>
        <w:spacing w:after="0" w:line="246"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the Garment Life Cycle: </w:t>
      </w:r>
      <w:r>
        <w:rPr>
          <w:rFonts w:ascii="Arial" w:cs="Arial" w:eastAsia="Arial" w:hAnsi="Arial"/>
          <w:sz w:val="15"/>
          <w:szCs w:val="15"/>
          <w:color w:val="auto"/>
        </w:rPr>
        <w:t>We help partners grow their business through the data we provide. Every brand</w:t>
      </w:r>
      <w:r>
        <w:rPr>
          <w:rFonts w:ascii="Arial" w:cs="Arial" w:eastAsia="Arial" w:hAnsi="Arial"/>
          <w:sz w:val="15"/>
          <w:szCs w:val="15"/>
          <w:b w:val="1"/>
          <w:bCs w:val="1"/>
          <w:color w:val="auto"/>
        </w:rPr>
        <w:t xml:space="preserve"> </w:t>
      </w:r>
      <w:r>
        <w:rPr>
          <w:rFonts w:ascii="Arial" w:cs="Arial" w:eastAsia="Arial" w:hAnsi="Arial"/>
          <w:sz w:val="15"/>
          <w:szCs w:val="15"/>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70"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Customer Demand: </w:t>
      </w:r>
      <w:r>
        <w:rPr>
          <w:rFonts w:ascii="Arial" w:cs="Arial" w:eastAsia="Arial" w:hAnsi="Arial"/>
          <w:sz w:val="15"/>
          <w:szCs w:val="15"/>
          <w:color w:val="auto"/>
        </w:rPr>
        <w:t>As our customers wear (or don’t wear) and review items, we can determine demand for</w:t>
      </w:r>
      <w:r>
        <w:rPr>
          <w:rFonts w:ascii="Arial" w:cs="Arial" w:eastAsia="Arial" w:hAnsi="Arial"/>
          <w:sz w:val="15"/>
          <w:szCs w:val="15"/>
          <w:b w:val="1"/>
          <w:bCs w:val="1"/>
          <w:color w:val="auto"/>
        </w:rPr>
        <w:t xml:space="preserve"> </w:t>
      </w:r>
      <w:r>
        <w:rPr>
          <w:rFonts w:ascii="Arial" w:cs="Arial" w:eastAsia="Arial" w:hAnsi="Arial"/>
          <w:sz w:val="15"/>
          <w:szCs w:val="15"/>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6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data also allows us to continually optimize the return on investment on products and customer lifetime value, which are dependent on the following inputs, all of which continuously improve as our business scales.</w:t>
      </w:r>
    </w:p>
    <w:p>
      <w:pPr>
        <w:spacing w:after="0" w:line="69" w:lineRule="exact"/>
        <w:rPr>
          <w:sz w:val="20"/>
          <w:szCs w:val="20"/>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 xml:space="preserve">Scientific Product Acquisition: </w:t>
      </w:r>
      <w:r>
        <w:rPr>
          <w:rFonts w:ascii="Arial" w:cs="Arial" w:eastAsia="Arial" w:hAnsi="Arial"/>
          <w:sz w:val="15"/>
          <w:szCs w:val="15"/>
          <w:color w:val="auto"/>
        </w:rPr>
        <w:t>Our data provides a comprehensive picture of our products by bringing together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63% utilized in the first half of fiscal year 2021, while the business was still ramping back from the COVID-19 pandemic. We track the demand arc of styles over time and have disproved the misconception that fashion quickly goes out of style. Over 40% of our styles continue to turn for three or more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140"/>
          </w:cols>
          <w:pgMar w:left="320" w:top="407" w:right="143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60" w:right="219" w:hanging="183"/>
        <w:spacing w:after="0" w:line="270"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b w:val="1"/>
          <w:bCs w:val="1"/>
          <w:color w:val="auto"/>
        </w:rPr>
        <w:t xml:space="preserve">Price Optimization: </w:t>
      </w:r>
      <w:r>
        <w:rPr>
          <w:rFonts w:ascii="Arial" w:cs="Arial" w:eastAsia="Arial" w:hAnsi="Arial"/>
          <w:sz w:val="15"/>
          <w:szCs w:val="15"/>
          <w:color w:val="auto"/>
        </w:rPr>
        <w:t>Our dynamic pricing algorithm optimizes how our products are consumed across Subscription, Reserve</w:t>
      </w:r>
      <w:r>
        <w:rPr>
          <w:rFonts w:ascii="Arial" w:cs="Arial" w:eastAsia="Arial" w:hAnsi="Arial"/>
          <w:sz w:val="15"/>
          <w:szCs w:val="15"/>
          <w:b w:val="1"/>
          <w:bCs w:val="1"/>
          <w:color w:val="auto"/>
        </w:rPr>
        <w:t xml:space="preserve"> </w:t>
      </w:r>
      <w:r>
        <w:rPr>
          <w:rFonts w:ascii="Arial" w:cs="Arial" w:eastAsia="Arial" w:hAnsi="Arial"/>
          <w:sz w:val="15"/>
          <w:szCs w:val="15"/>
          <w:color w:val="auto"/>
        </w:rPr>
        <w:t>rentals and Resale by taking into account demand signals and</w:t>
      </w:r>
    </w:p>
    <w:p>
      <w:pPr>
        <w:sectPr>
          <w:pgSz w:w="11900" w:h="16838" w:orient="portrait"/>
          <w:cols w:equalWidth="0" w:num="1">
            <w:col w:w="10139"/>
          </w:cols>
          <w:pgMar w:left="320" w:top="407" w:right="1440" w:bottom="1440" w:gutter="0" w:footer="0" w:header="0"/>
        </w:sectPr>
      </w:pP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0139"/>
          </w:cols>
          <w:pgMar w:left="320" w:top="407" w:right="1440" w:bottom="1440" w:gutter="0" w:footer="0" w:header="0"/>
          <w:type w:val="continuous"/>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the expected useful life and turns of each item. We have the flexibility to optimize prices for revenue, margin and product return on investment based on the business needs.</w:t>
      </w:r>
    </w:p>
    <w:p>
      <w:pPr>
        <w:spacing w:after="0" w:line="69" w:lineRule="exact"/>
        <w:rPr>
          <w:sz w:val="20"/>
          <w:szCs w:val="20"/>
          <w:color w:val="auto"/>
        </w:rPr>
      </w:pPr>
    </w:p>
    <w:p>
      <w:pPr>
        <w:ind w:left="1660" w:hanging="183"/>
        <w:spacing w:after="0" w:line="270"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 xml:space="preserve">Lower Cost Product: </w:t>
      </w:r>
      <w:r>
        <w:rPr>
          <w:rFonts w:ascii="Arial" w:cs="Arial" w:eastAsia="Arial" w:hAnsi="Arial"/>
          <w:sz w:val="15"/>
          <w:szCs w:val="15"/>
          <w:color w:val="auto"/>
        </w:rPr>
        <w:t>We leverage our data to create highly desirable Exclusive Designs in collaboration with our brand partners</w:t>
      </w:r>
      <w:r>
        <w:rPr>
          <w:rFonts w:ascii="Arial" w:cs="Arial" w:eastAsia="Arial" w:hAnsi="Arial"/>
          <w:sz w:val="15"/>
          <w:szCs w:val="15"/>
          <w:b w:val="1"/>
          <w:bCs w:val="1"/>
          <w:color w:val="auto"/>
        </w:rPr>
        <w:t xml:space="preserve"> </w:t>
      </w:r>
      <w:r>
        <w:rPr>
          <w:rFonts w:ascii="Arial" w:cs="Arial" w:eastAsia="Arial" w:hAnsi="Arial"/>
          <w:sz w:val="15"/>
          <w:szCs w:val="15"/>
          <w:color w:val="auto"/>
        </w:rPr>
        <w:t>that we manufacture to be more durable at significantly lower cost.</w:t>
      </w:r>
    </w:p>
    <w:p>
      <w:pPr>
        <w:spacing w:after="0" w:line="51" w:lineRule="exact"/>
        <w:rPr>
          <w:rFonts w:ascii="Arial" w:cs="Arial" w:eastAsia="Arial" w:hAnsi="Arial"/>
          <w:sz w:val="15"/>
          <w:szCs w:val="15"/>
          <w:color w:val="auto"/>
        </w:rPr>
      </w:pPr>
    </w:p>
    <w:p>
      <w:pPr>
        <w:ind w:left="1660" w:right="200" w:hanging="183"/>
        <w:spacing w:after="0" w:line="270"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 xml:space="preserve">Longer Product Life: </w:t>
      </w:r>
      <w:r>
        <w:rPr>
          <w:rFonts w:ascii="Arial" w:cs="Arial" w:eastAsia="Arial" w:hAnsi="Arial"/>
          <w:sz w:val="15"/>
          <w:szCs w:val="15"/>
          <w:color w:val="auto"/>
        </w:rPr>
        <w:t>Our feedback to brands helps us customize for higher longevity of our products - we understand how to</w:t>
      </w:r>
      <w:r>
        <w:rPr>
          <w:rFonts w:ascii="Arial" w:cs="Arial" w:eastAsia="Arial" w:hAnsi="Arial"/>
          <w:sz w:val="15"/>
          <w:szCs w:val="15"/>
          <w:b w:val="1"/>
          <w:bCs w:val="1"/>
          <w:color w:val="auto"/>
        </w:rPr>
        <w:t xml:space="preserve"> </w:t>
      </w:r>
      <w:r>
        <w:rPr>
          <w:rFonts w:ascii="Arial" w:cs="Arial" w:eastAsia="Arial" w:hAnsi="Arial"/>
          <w:sz w:val="15"/>
          <w:szCs w:val="15"/>
          <w:color w:val="auto"/>
        </w:rPr>
        <w:t>clean and care for garments to maximize multi-year monetization and incremental turns per unit.</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Science Capabilities and Algorithms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our two of our biggest levers: customer lifetime value and product monetization. As our data sets grow, our algorithms become more powerful and gain leverage.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our most impactful proprietary algorithms include:</w:t>
      </w:r>
    </w:p>
    <w:p>
      <w:pPr>
        <w:spacing w:after="0" w:line="80" w:lineRule="exact"/>
        <w:rPr>
          <w:sz w:val="20"/>
          <w:szCs w:val="20"/>
          <w:color w:val="auto"/>
        </w:rPr>
      </w:pPr>
    </w:p>
    <w:p>
      <w:pPr>
        <w:ind w:left="1660" w:right="160" w:hanging="183"/>
        <w:spacing w:after="0" w:line="244"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Deep 1:1 Personalization: </w:t>
      </w:r>
      <w:r>
        <w:rPr>
          <w:rFonts w:ascii="Arial" w:cs="Arial" w:eastAsia="Arial" w:hAnsi="Arial"/>
          <w:sz w:val="15"/>
          <w:szCs w:val="15"/>
          <w:color w:val="auto"/>
        </w:rPr>
        <w:t>For each customer and item, we compute several scores that measure the affinity of item and</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69"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Retention Predictive Model: </w:t>
      </w:r>
      <w:r>
        <w:rPr>
          <w:rFonts w:ascii="Arial" w:cs="Arial" w:eastAsia="Arial" w:hAnsi="Arial"/>
          <w:sz w:val="15"/>
          <w:szCs w:val="15"/>
          <w:color w:val="auto"/>
        </w:rPr>
        <w:t>We leverage a retention predictive model to understand the relative importance of more than 180</w:t>
      </w:r>
      <w:r>
        <w:rPr>
          <w:rFonts w:ascii="Arial" w:cs="Arial" w:eastAsia="Arial" w:hAnsi="Arial"/>
          <w:sz w:val="15"/>
          <w:szCs w:val="15"/>
          <w:b w:val="1"/>
          <w:bCs w:val="1"/>
          <w:color w:val="auto"/>
        </w:rPr>
        <w:t xml:space="preserve"> </w:t>
      </w:r>
      <w:r>
        <w:rPr>
          <w:rFonts w:ascii="Arial" w:cs="Arial" w:eastAsia="Arial" w:hAnsi="Arial"/>
          <w:sz w:val="15"/>
          <w:szCs w:val="15"/>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70"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Computer Vision for Products: </w:t>
      </w:r>
      <w:r>
        <w:rPr>
          <w:rFonts w:ascii="Arial" w:cs="Arial" w:eastAsia="Arial" w:hAnsi="Arial"/>
          <w:sz w:val="15"/>
          <w:szCs w:val="15"/>
          <w:color w:val="auto"/>
        </w:rPr>
        <w:t>For each style in our assortment, we generate over 2,000 visual style embeddings using deep</w:t>
      </w:r>
      <w:r>
        <w:rPr>
          <w:rFonts w:ascii="Arial" w:cs="Arial" w:eastAsia="Arial" w:hAnsi="Arial"/>
          <w:sz w:val="15"/>
          <w:szCs w:val="15"/>
          <w:b w:val="1"/>
          <w:bCs w:val="1"/>
          <w:color w:val="auto"/>
        </w:rPr>
        <w:t xml:space="preserve"> </w:t>
      </w:r>
      <w:r>
        <w:rPr>
          <w:rFonts w:ascii="Arial" w:cs="Arial" w:eastAsia="Arial" w:hAnsi="Arial"/>
          <w:sz w:val="15"/>
          <w:szCs w:val="15"/>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Technology and Logistics Advantage</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Proprietary Software and Systems</w:t>
      </w:r>
    </w:p>
    <w:p>
      <w:pPr>
        <w:spacing w:after="0" w:line="105"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Because our product offering is highly innovative, we have purpose-built a technology stack to support three key areas of our business:</w:t>
      </w:r>
    </w:p>
    <w:p>
      <w:pPr>
        <w:spacing w:after="0" w:line="87" w:lineRule="exact"/>
        <w:rPr>
          <w:sz w:val="20"/>
          <w:szCs w:val="20"/>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2-Way e-commerce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Rental Reverse Logistics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Merchandising &amp; Products Control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20"/>
          </w:cols>
          <w:pgMar w:left="320" w:top="407" w:right="13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2-Way e-commerce</w:t>
      </w:r>
    </w:p>
    <w:p>
      <w:pPr>
        <w:spacing w:after="0" w:line="103" w:lineRule="exact"/>
        <w:rPr>
          <w:sz w:val="20"/>
          <w:szCs w:val="20"/>
          <w:color w:val="auto"/>
        </w:rPr>
      </w:pPr>
    </w:p>
    <w:p>
      <w:pPr>
        <w:ind w:left="1020" w:right="39" w:firstLine="460"/>
        <w:spacing w:after="0"/>
        <w:rPr>
          <w:sz w:val="20"/>
          <w:szCs w:val="20"/>
          <w:color w:val="auto"/>
        </w:rPr>
      </w:pPr>
      <w:r>
        <w:rPr>
          <w:rFonts w:ascii="Arial" w:cs="Arial" w:eastAsia="Arial" w:hAnsi="Arial"/>
          <w:sz w:val="15"/>
          <w:szCs w:val="15"/>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8458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7400" cy="584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20" w:right="39" w:hanging="351"/>
        <w:spacing w:after="0" w:line="252" w:lineRule="auto"/>
        <w:tabs>
          <w:tab w:leader="none" w:pos="202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Membership Platform</w:t>
      </w:r>
      <w:r>
        <w:rPr>
          <w:rFonts w:ascii="Arial" w:cs="Arial" w:eastAsia="Arial" w:hAnsi="Arial"/>
          <w:sz w:val="15"/>
          <w:szCs w:val="15"/>
          <w:color w:val="auto"/>
        </w:rPr>
        <w:t>: Provides flexibility of creating new subscription offerings and collects detailed feedback from</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during every action. Subscribers control their membership and can customize based on their current needs or schedule changes in advance.</w:t>
      </w:r>
    </w:p>
    <w:p>
      <w:pPr>
        <w:spacing w:after="0" w:line="65"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Rapid Iteration and Experimentation: </w:t>
      </w:r>
      <w:r>
        <w:rPr>
          <w:rFonts w:ascii="Arial" w:cs="Arial" w:eastAsia="Arial" w:hAnsi="Arial"/>
          <w:sz w:val="15"/>
          <w:szCs w:val="15"/>
          <w:color w:val="auto"/>
        </w:rPr>
        <w:t>Our custom frontend platform is built from the ground up to enable rapid iteration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experimentation across all components, from site layout to product placement, product recommendations and conversion funnel.</w:t>
      </w:r>
    </w:p>
    <w:p>
      <w:pPr>
        <w:spacing w:after="0" w:line="65" w:lineRule="exact"/>
        <w:rPr>
          <w:rFonts w:ascii="Arial" w:cs="Arial" w:eastAsia="Arial" w:hAnsi="Arial"/>
          <w:sz w:val="15"/>
          <w:szCs w:val="15"/>
          <w:color w:val="auto"/>
        </w:rPr>
      </w:pPr>
    </w:p>
    <w:p>
      <w:pPr>
        <w:ind w:left="2020" w:right="39" w:hanging="351"/>
        <w:spacing w:after="0" w:line="270" w:lineRule="auto"/>
        <w:tabs>
          <w:tab w:leader="none" w:pos="202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Reservation Calendar: </w:t>
      </w:r>
      <w:r>
        <w:rPr>
          <w:rFonts w:ascii="Arial" w:cs="Arial" w:eastAsia="Arial" w:hAnsi="Arial"/>
          <w:sz w:val="15"/>
          <w:szCs w:val="15"/>
          <w:color w:val="auto"/>
        </w:rPr>
        <w:t>Our booking engine manages a single pool of products across our three offerings and maximizes</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availability utilization by calculating current and projected product needs.</w:t>
      </w:r>
    </w:p>
    <w:p>
      <w:pPr>
        <w:spacing w:after="0" w:line="51" w:lineRule="exact"/>
        <w:rPr>
          <w:rFonts w:ascii="Arial" w:cs="Arial" w:eastAsia="Arial" w:hAnsi="Arial"/>
          <w:sz w:val="15"/>
          <w:szCs w:val="15"/>
          <w:color w:val="auto"/>
        </w:rPr>
      </w:pPr>
    </w:p>
    <w:p>
      <w:pPr>
        <w:ind w:left="2020" w:right="139" w:hanging="351"/>
        <w:spacing w:after="0" w:line="270" w:lineRule="auto"/>
        <w:tabs>
          <w:tab w:leader="none" w:pos="202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Flexible Referrals and Promotions: </w:t>
      </w:r>
      <w:r>
        <w:rPr>
          <w:rFonts w:ascii="Arial" w:cs="Arial" w:eastAsia="Arial" w:hAnsi="Arial"/>
          <w:sz w:val="15"/>
          <w:szCs w:val="15"/>
          <w:color w:val="auto"/>
        </w:rPr>
        <w:t>We utilize dynamic and highly targeted marketing incentives to stimulate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acquisition and conversion.</w:t>
      </w:r>
    </w:p>
    <w:p>
      <w:pPr>
        <w:spacing w:after="0" w:line="51"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Customer Service: </w:t>
      </w:r>
      <w:r>
        <w:rPr>
          <w:rFonts w:ascii="Arial" w:cs="Arial" w:eastAsia="Arial" w:hAnsi="Arial"/>
          <w:sz w:val="15"/>
          <w:szCs w:val="15"/>
          <w:color w:val="auto"/>
        </w:rPr>
        <w:t>We service our customers through both self-service tools as well as live support via chat, email and</w:t>
      </w:r>
      <w:r>
        <w:rPr>
          <w:rFonts w:ascii="Arial" w:cs="Arial" w:eastAsia="Arial" w:hAnsi="Arial"/>
          <w:sz w:val="15"/>
          <w:szCs w:val="15"/>
          <w:b w:val="1"/>
          <w:bCs w:val="1"/>
          <w:color w:val="auto"/>
        </w:rPr>
        <w:t xml:space="preserve"> </w:t>
      </w:r>
      <w:r>
        <w:rPr>
          <w:rFonts w:ascii="Arial" w:cs="Arial" w:eastAsia="Arial" w:hAnsi="Arial"/>
          <w:sz w:val="15"/>
          <w:szCs w:val="15"/>
          <w:color w:val="auto"/>
        </w:rPr>
        <w:t>phone. Our customer service team is powered by an internally built platform that manages all elements of our customers’ experience, and connects to best-in-class third party software.</w:t>
      </w:r>
    </w:p>
    <w:p>
      <w:pPr>
        <w:sectPr>
          <w:pgSz w:w="11900" w:h="16838" w:orient="portrait"/>
          <w:cols w:equalWidth="0" w:num="1">
            <w:col w:w="10139"/>
          </w:cols>
          <w:pgMar w:left="320" w:top="407" w:right="1440" w:bottom="1440" w:gutter="0" w:footer="0" w:header="0"/>
        </w:sectPr>
      </w:pP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0139"/>
          </w:cols>
          <w:pgMar w:left="320" w:top="407" w:right="1440" w:bottom="1440" w:gutter="0" w:footer="0" w:header="0"/>
          <w:type w:val="continuous"/>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Rental Reverse Logistics</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We designed our patented technology to support the processes in our fulfilment centers and ensure that we can process orders efficiently and extend the useful life of our products.</w:t>
      </w:r>
    </w:p>
    <w:p>
      <w:pPr>
        <w:spacing w:after="0" w:line="69" w:lineRule="exact"/>
        <w:rPr>
          <w:sz w:val="20"/>
          <w:szCs w:val="20"/>
          <w:color w:val="auto"/>
        </w:rPr>
      </w:pPr>
    </w:p>
    <w:p>
      <w:pPr>
        <w:ind w:left="1660" w:hanging="183"/>
        <w:spacing w:after="0"/>
        <w:tabs>
          <w:tab w:leader="none" w:pos="1660" w:val="left"/>
        </w:tabs>
        <w:numPr>
          <w:ilvl w:val="0"/>
          <w:numId w:val="129"/>
        </w:numPr>
        <w:rPr>
          <w:rFonts w:ascii="Arial" w:cs="Arial" w:eastAsia="Arial" w:hAnsi="Arial"/>
          <w:sz w:val="15"/>
          <w:szCs w:val="15"/>
          <w:b w:val="1"/>
          <w:bCs w:val="1"/>
          <w:color w:val="auto"/>
        </w:rPr>
      </w:pPr>
      <w:r>
        <w:rPr>
          <w:rFonts w:ascii="Arial" w:cs="Arial" w:eastAsia="Arial" w:hAnsi="Arial"/>
          <w:sz w:val="15"/>
          <w:szCs w:val="15"/>
          <w:b w:val="1"/>
          <w:bCs w:val="1"/>
          <w:color w:val="auto"/>
        </w:rPr>
        <w:t>Garment Science:</w:t>
      </w:r>
    </w:p>
    <w:p>
      <w:pPr>
        <w:spacing w:after="0" w:line="115" w:lineRule="exact"/>
        <w:rPr>
          <w:rFonts w:ascii="Arial" w:cs="Arial" w:eastAsia="Arial" w:hAnsi="Arial"/>
          <w:sz w:val="15"/>
          <w:szCs w:val="15"/>
          <w:b w:val="1"/>
          <w:bCs w:val="1"/>
          <w:color w:val="auto"/>
        </w:rPr>
      </w:pPr>
    </w:p>
    <w:p>
      <w:pPr>
        <w:ind w:left="2020" w:right="80" w:hanging="351"/>
        <w:spacing w:after="0"/>
        <w:tabs>
          <w:tab w:leader="none" w:pos="202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Cleaning Automation: Automation supports dynamic sorting of items into as many as 26 different cleaning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38849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6740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0" w:right="240" w:hanging="183"/>
        <w:spacing w:after="0" w:line="246"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Intelligent Fulfillment Network: </w:t>
      </w:r>
      <w:r>
        <w:rPr>
          <w:rFonts w:ascii="Arial" w:cs="Arial" w:eastAsia="Arial" w:hAnsi="Arial"/>
          <w:sz w:val="15"/>
          <w:szCs w:val="15"/>
          <w:color w:val="auto"/>
        </w:rPr>
        <w:t>Our unified booking engine, the “brain” of our distribution capabilities, dynamically manages</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70"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Optimized Storage: </w:t>
      </w:r>
      <w:r>
        <w:rPr>
          <w:rFonts w:ascii="Arial" w:cs="Arial" w:eastAsia="Arial" w:hAnsi="Arial"/>
          <w:sz w:val="15"/>
          <w:szCs w:val="15"/>
          <w:color w:val="auto"/>
        </w:rPr>
        <w:t>Garments and accessories are stored in multi-story pick modules that utilize both on-hanger and flat pack</w:t>
      </w:r>
      <w:r>
        <w:rPr>
          <w:rFonts w:ascii="Arial" w:cs="Arial" w:eastAsia="Arial" w:hAnsi="Arial"/>
          <w:sz w:val="15"/>
          <w:szCs w:val="15"/>
          <w:b w:val="1"/>
          <w:bCs w:val="1"/>
          <w:color w:val="auto"/>
        </w:rPr>
        <w:t xml:space="preserve"> </w:t>
      </w:r>
      <w:r>
        <w:rPr>
          <w:rFonts w:ascii="Arial" w:cs="Arial" w:eastAsia="Arial" w:hAnsi="Arial"/>
          <w:sz w:val="15"/>
          <w:szCs w:val="15"/>
          <w:color w:val="auto"/>
        </w:rPr>
        <w:t>storage solutions. All items are stored randomly,</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00"/>
          </w:cols>
          <w:pgMar w:left="320" w:top="407" w:right="137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60"/>
        <w:spacing w:after="0" w:line="245" w:lineRule="auto"/>
        <w:rPr>
          <w:sz w:val="20"/>
          <w:szCs w:val="20"/>
          <w:color w:val="auto"/>
        </w:rPr>
      </w:pPr>
      <w:r>
        <w:rPr>
          <w:rFonts w:ascii="Arial" w:cs="Arial" w:eastAsia="Arial" w:hAnsi="Arial"/>
          <w:sz w:val="15"/>
          <w:szCs w:val="15"/>
          <w:color w:val="auto"/>
        </w:rPr>
        <w:t>maximizing the utilization of cubic storage space. Random storage allows for efficient putaway of garments and dynamically created pick paths that save labor cost.</w:t>
      </w:r>
    </w:p>
    <w:p>
      <w:pPr>
        <w:spacing w:after="0" w:line="69" w:lineRule="exact"/>
        <w:rPr>
          <w:sz w:val="20"/>
          <w:szCs w:val="20"/>
          <w:color w:val="auto"/>
        </w:rPr>
      </w:pPr>
    </w:p>
    <w:p>
      <w:pPr>
        <w:ind w:left="1660" w:right="360" w:hanging="183"/>
        <w:spacing w:after="0" w:line="270"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RFID: </w:t>
      </w:r>
      <w:r>
        <w:rPr>
          <w:rFonts w:ascii="Arial" w:cs="Arial" w:eastAsia="Arial" w:hAnsi="Arial"/>
          <w:sz w:val="15"/>
          <w:szCs w:val="15"/>
          <w:color w:val="auto"/>
        </w:rPr>
        <w:t>We tag each unit and all reusable garment bags with RFID tags, which increases throughput, reduces cost, improves</w:t>
      </w:r>
      <w:r>
        <w:rPr>
          <w:rFonts w:ascii="Arial" w:cs="Arial" w:eastAsia="Arial" w:hAnsi="Arial"/>
          <w:sz w:val="15"/>
          <w:szCs w:val="15"/>
          <w:b w:val="1"/>
          <w:bCs w:val="1"/>
          <w:color w:val="auto"/>
        </w:rPr>
        <w:t xml:space="preserve"> </w:t>
      </w:r>
      <w:r>
        <w:rPr>
          <w:rFonts w:ascii="Arial" w:cs="Arial" w:eastAsia="Arial" w:hAnsi="Arial"/>
          <w:sz w:val="15"/>
          <w:szCs w:val="15"/>
          <w:color w:val="auto"/>
        </w:rPr>
        <w:t>inventory control and enables new forms of automation.</w:t>
      </w:r>
    </w:p>
    <w:p>
      <w:pPr>
        <w:spacing w:after="0" w:line="51" w:lineRule="exact"/>
        <w:rPr>
          <w:rFonts w:ascii="Arial" w:cs="Arial" w:eastAsia="Arial" w:hAnsi="Arial"/>
          <w:sz w:val="15"/>
          <w:szCs w:val="15"/>
          <w:color w:val="auto"/>
        </w:rPr>
      </w:pPr>
    </w:p>
    <w:p>
      <w:pPr>
        <w:ind w:left="1660" w:right="40" w:hanging="183"/>
        <w:spacing w:after="0" w:line="252"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Fulfilment Efficiency: </w:t>
      </w:r>
      <w:r>
        <w:rPr>
          <w:rFonts w:ascii="Arial" w:cs="Arial" w:eastAsia="Arial" w:hAnsi="Arial"/>
          <w:sz w:val="15"/>
          <w:szCs w:val="15"/>
          <w:color w:val="auto"/>
        </w:rPr>
        <w:t>We have automated various parts of the fulfilment process including picking, order consolidation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packing. Our fulfilment engine dynamically prioritizes customer orders based on promised delivery date, transportation departure schedules and available capacity.</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Innovation: </w:t>
      </w:r>
      <w:r>
        <w:rPr>
          <w:rFonts w:ascii="Arial" w:cs="Arial" w:eastAsia="Arial" w:hAnsi="Arial"/>
          <w:sz w:val="15"/>
          <w:szCs w:val="15"/>
          <w:color w:val="auto"/>
        </w:rPr>
        <w:t>Convenient places to return your rental are an important part of our customer experience.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Merchandising and Product Control</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171"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Logistics Infrastructure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76" w:lineRule="exact"/>
        <w:rPr>
          <w:sz w:val="20"/>
          <w:szCs w:val="20"/>
          <w:color w:val="auto"/>
        </w:rPr>
      </w:pPr>
    </w:p>
    <w:p>
      <w:pPr>
        <w:ind w:left="1660" w:right="60" w:hanging="183"/>
        <w:spacing w:after="0" w:line="241" w:lineRule="auto"/>
        <w:tabs>
          <w:tab w:leader="none" w:pos="166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Strategic Distribution: </w:t>
      </w:r>
      <w:r>
        <w:rPr>
          <w:rFonts w:ascii="Arial" w:cs="Arial" w:eastAsia="Arial" w:hAnsi="Arial"/>
          <w:sz w:val="15"/>
          <w:szCs w:val="15"/>
          <w:color w:val="auto"/>
        </w:rPr>
        <w:t>We have two fulfilment centers, in Arlington, Texas and Secaucus, New Jersey totaling 540,000 square</w:t>
      </w:r>
      <w:r>
        <w:rPr>
          <w:rFonts w:ascii="Arial" w:cs="Arial" w:eastAsia="Arial" w:hAnsi="Arial"/>
          <w:sz w:val="15"/>
          <w:szCs w:val="15"/>
          <w:b w:val="1"/>
          <w:bCs w:val="1"/>
          <w:color w:val="auto"/>
        </w:rPr>
        <w:t xml:space="preserve"> </w:t>
      </w:r>
      <w:r>
        <w:rPr>
          <w:rFonts w:ascii="Arial" w:cs="Arial" w:eastAsia="Arial" w:hAnsi="Arial"/>
          <w:sz w:val="15"/>
          <w:szCs w:val="15"/>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($15.9 billion GMV).</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180" w:hanging="183"/>
        <w:spacing w:after="0" w:line="252"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Garment Care Hardware: </w:t>
      </w:r>
      <w:r>
        <w:rPr>
          <w:rFonts w:ascii="Arial" w:cs="Arial" w:eastAsia="Arial" w:hAnsi="Arial"/>
          <w:sz w:val="15"/>
          <w:szCs w:val="15"/>
          <w:color w:val="auto"/>
        </w:rPr>
        <w:t>Our facilities are equipped with a curated set of 470 pieces of digitally integrated garment care</w:t>
      </w:r>
      <w:r>
        <w:rPr>
          <w:rFonts w:ascii="Arial" w:cs="Arial" w:eastAsia="Arial" w:hAnsi="Arial"/>
          <w:sz w:val="15"/>
          <w:szCs w:val="15"/>
          <w:b w:val="1"/>
          <w:bCs w:val="1"/>
          <w:color w:val="auto"/>
        </w:rPr>
        <w:t xml:space="preserve"> </w:t>
      </w:r>
      <w:r>
        <w:rPr>
          <w:rFonts w:ascii="Arial" w:cs="Arial" w:eastAsia="Arial" w:hAnsi="Arial"/>
          <w:sz w:val="15"/>
          <w:szCs w:val="15"/>
          <w:color w:val="auto"/>
        </w:rPr>
        <w:t>hardware including wet cleaning, dry cleaning and spray cleaning machines; dryers, steam tunnels, pressers, spotting boards, auto-baggers and commercial sewing machines.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Processing: </w:t>
      </w:r>
      <w:r>
        <w:rPr>
          <w:rFonts w:ascii="Arial" w:cs="Arial" w:eastAsia="Arial" w:hAnsi="Arial"/>
          <w:sz w:val="15"/>
          <w:szCs w:val="15"/>
          <w:color w:val="auto"/>
        </w:rPr>
        <w:t>Garments flow through the facility on both rail and belt-driven conveyance guided by RFID tags linked to a massive</w:t>
      </w:r>
      <w:r>
        <w:rPr>
          <w:rFonts w:ascii="Arial" w:cs="Arial" w:eastAsia="Arial" w:hAnsi="Arial"/>
          <w:sz w:val="15"/>
          <w:szCs w:val="15"/>
          <w:b w:val="1"/>
          <w:bCs w:val="1"/>
          <w:color w:val="auto"/>
        </w:rPr>
        <w:t xml:space="preserve"> </w:t>
      </w:r>
      <w:r>
        <w:rPr>
          <w:rFonts w:ascii="Arial" w:cs="Arial" w:eastAsia="Arial" w:hAnsi="Arial"/>
          <w:sz w:val="15"/>
          <w:szCs w:val="15"/>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70" w:lineRule="exact"/>
        <w:rPr>
          <w:rFonts w:ascii="Arial" w:cs="Arial" w:eastAsia="Arial" w:hAnsi="Arial"/>
          <w:sz w:val="15"/>
          <w:szCs w:val="15"/>
          <w:color w:val="auto"/>
        </w:rPr>
      </w:pPr>
    </w:p>
    <w:p>
      <w:pPr>
        <w:ind w:left="1660" w:right="200" w:hanging="183"/>
        <w:spacing w:after="0" w:line="246"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Proven Scalability: </w:t>
      </w:r>
      <w:r>
        <w:rPr>
          <w:rFonts w:ascii="Arial" w:cs="Arial" w:eastAsia="Arial" w:hAnsi="Arial"/>
          <w:sz w:val="15"/>
          <w:szCs w:val="15"/>
          <w:color w:val="auto"/>
        </w:rPr>
        <w:t>Our infrastructure is highly scalable. Our existing facilities have the physical capacity to process over two</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70" w:lineRule="exact"/>
        <w:rPr>
          <w:rFonts w:ascii="Arial" w:cs="Arial" w:eastAsia="Arial" w:hAnsi="Arial"/>
          <w:sz w:val="15"/>
          <w:szCs w:val="15"/>
          <w:color w:val="auto"/>
        </w:rPr>
      </w:pPr>
    </w:p>
    <w:p>
      <w:pPr>
        <w:jc w:val="both"/>
        <w:ind w:left="1660" w:right="100" w:hanging="183"/>
        <w:spacing w:after="0" w:line="252" w:lineRule="auto"/>
        <w:tabs>
          <w:tab w:leader="none" w:pos="1660" w:val="left"/>
        </w:tabs>
        <w:numPr>
          <w:ilvl w:val="0"/>
          <w:numId w:val="133"/>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Management: </w:t>
      </w:r>
      <w:r>
        <w:rPr>
          <w:rFonts w:ascii="Arial" w:cs="Arial" w:eastAsia="Arial" w:hAnsi="Arial"/>
          <w:sz w:val="15"/>
          <w:szCs w:val="15"/>
          <w:color w:val="auto"/>
        </w:rPr>
        <w:t>We partner with a wide variety of national, regional and local last mile service providers in order</w:t>
      </w:r>
      <w:r>
        <w:rPr>
          <w:rFonts w:ascii="Arial" w:cs="Arial" w:eastAsia="Arial" w:hAnsi="Arial"/>
          <w:sz w:val="15"/>
          <w:szCs w:val="15"/>
          <w:b w:val="1"/>
          <w:bCs w:val="1"/>
          <w:color w:val="auto"/>
        </w:rPr>
        <w:t xml:space="preserve"> </w:t>
      </w:r>
      <w:r>
        <w:rPr>
          <w:rFonts w:ascii="Arial" w:cs="Arial" w:eastAsia="Arial" w:hAnsi="Arial"/>
          <w:sz w:val="15"/>
          <w:szCs w:val="15"/>
          <w:color w:val="auto"/>
        </w:rPr>
        <w:t>to close the loop between our Dream Fulfillment Centers and our customers. Our transportation management system allows us to rate shop across these providers and opt into the best shipping method based upon cost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117475</wp:posOffset>
            </wp:positionV>
            <wp:extent cx="5867400" cy="4486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6740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180"/>
          </w:cols>
          <w:pgMar w:left="320" w:top="407" w:right="139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29</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126,841 total subscribers (active and paused), representing less than 1% of the total population of women aged 18 and above in the U.S.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660" w:right="140" w:hanging="183"/>
        <w:spacing w:after="0" w:line="246"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We have experienced success growing our subscriber base and as of July 31, 2021, we had 126,841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ending total 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70"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71"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4" w:lineRule="exact"/>
        <w:rPr>
          <w:sz w:val="20"/>
          <w:szCs w:val="20"/>
          <w:color w:val="auto"/>
        </w:rPr>
      </w:pPr>
    </w:p>
    <w:p>
      <w:pPr>
        <w:ind w:left="1480" w:hanging="453"/>
        <w:spacing w:after="0"/>
        <w:tabs>
          <w:tab w:leader="none" w:pos="1480" w:val="left"/>
        </w:tabs>
        <w:numPr>
          <w:ilvl w:val="0"/>
          <w:numId w:val="135"/>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220"/>
          </w:cols>
          <w:pgMar w:left="320" w:top="407" w:right="135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80" w:hanging="183"/>
        <w:spacing w:after="0" w:line="241"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launch new categories and offerings that resonate with our customers and their lifestyles. For example, over 30% of our customers have children or are pregnant. In fiscal year 2019, our test launch for our kids category was successful and 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72"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71"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plan to continue to leverage our treasure trove of data through increased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65" w:lineRule="exact"/>
        <w:rPr>
          <w:rFonts w:ascii="Arial" w:cs="Arial" w:eastAsia="Arial" w:hAnsi="Arial"/>
          <w:sz w:val="15"/>
          <w:szCs w:val="15"/>
          <w:color w:val="auto"/>
        </w:rPr>
      </w:pPr>
    </w:p>
    <w:p>
      <w:pPr>
        <w:ind w:left="1660" w:right="280" w:hanging="183"/>
        <w:spacing w:after="0" w:line="246"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Our brand partners are focused on ways to grow with us and continue to approach us to help them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39"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Our ESG (Environmental, Social, and Governance) Impact Summary</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Environmental Impact</w:t>
      </w:r>
    </w:p>
    <w:p>
      <w:pPr>
        <w:spacing w:after="0" w:line="87" w:lineRule="exact"/>
        <w:rPr>
          <w:sz w:val="20"/>
          <w:szCs w:val="20"/>
          <w:color w:val="auto"/>
        </w:rPr>
      </w:pPr>
    </w:p>
    <w:p>
      <w:pPr>
        <w:jc w:val="both"/>
        <w:ind w:left="1020" w:right="180" w:firstLine="460"/>
        <w:spacing w:after="0" w:line="252" w:lineRule="auto"/>
        <w:rPr>
          <w:sz w:val="20"/>
          <w:szCs w:val="20"/>
          <w:color w:val="auto"/>
        </w:rPr>
      </w:pPr>
      <w:r>
        <w:rPr>
          <w:rFonts w:ascii="Arial" w:cs="Arial" w:eastAsia="Arial" w:hAnsi="Arial"/>
          <w:sz w:val="15"/>
          <w:szCs w:val="15"/>
          <w:b w:val="1"/>
          <w:bCs w:val="1"/>
          <w:i w:val="1"/>
          <w:iCs w:val="1"/>
          <w:color w:val="auto"/>
        </w:rPr>
        <w:t>Driving A Paradigm Shift in Consumption to Protect Our Planet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negative environmental impacts of the fashion industry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well documented and raise concerns that business-as-usual linear models, which generate significant waste and require substantial natural resources, cannot be sustained.</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According to the Ellen MacArthur Foundation, or EMF, from 2002 to 2017, global clothing production approximately doubled but utilization decreased by 36%.</w:t>
      </w:r>
      <w:r>
        <w:rPr>
          <w:rFonts w:ascii="Arial" w:cs="Arial" w:eastAsia="Arial" w:hAnsi="Arial"/>
          <w:sz w:val="12"/>
          <w:szCs w:val="12"/>
          <w:color w:val="auto"/>
        </w:rPr>
        <w:t>30</w:t>
      </w:r>
      <w:r>
        <w:rPr>
          <w:rFonts w:ascii="Arial" w:cs="Arial" w:eastAsia="Arial" w:hAnsi="Arial"/>
          <w:sz w:val="15"/>
          <w:szCs w:val="15"/>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2"/>
          <w:szCs w:val="12"/>
          <w:color w:val="auto"/>
        </w:rPr>
        <w:t>31</w:t>
      </w:r>
    </w:p>
    <w:p>
      <w:pPr>
        <w:spacing w:after="0" w:line="172"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37"/>
        </w:numPr>
        <w:rPr>
          <w:rFonts w:ascii="Arial" w:cs="Arial" w:eastAsia="Arial" w:hAnsi="Arial"/>
          <w:sz w:val="20"/>
          <w:szCs w:val="20"/>
          <w:color w:val="auto"/>
          <w:vertAlign w:val="superscript"/>
        </w:rPr>
      </w:pPr>
      <w:r>
        <w:rPr>
          <w:rFonts w:ascii="Arial" w:cs="Arial" w:eastAsia="Arial" w:hAnsi="Arial"/>
          <w:sz w:val="12"/>
          <w:szCs w:val="12"/>
          <w:color w:val="auto"/>
        </w:rPr>
        <w:t>Ellen MacArthur Foundation, A New Textiles Economy: Redesigning Fashion’s Future, 2017.</w:t>
      </w:r>
    </w:p>
    <w:p>
      <w:pPr>
        <w:ind w:left="1480" w:hanging="453"/>
        <w:spacing w:after="0" w:line="188" w:lineRule="auto"/>
        <w:tabs>
          <w:tab w:leader="none" w:pos="1480" w:val="left"/>
        </w:tabs>
        <w:numPr>
          <w:ilvl w:val="0"/>
          <w:numId w:val="137"/>
        </w:numPr>
        <w:rPr>
          <w:rFonts w:ascii="Arial" w:cs="Arial" w:eastAsia="Arial" w:hAnsi="Arial"/>
          <w:sz w:val="15"/>
          <w:szCs w:val="15"/>
          <w:color w:val="auto"/>
          <w:vertAlign w:val="superscript"/>
        </w:rPr>
      </w:pPr>
      <w:r>
        <w:rPr>
          <w:rFonts w:ascii="Arial" w:cs="Arial" w:eastAsia="Arial" w:hAnsi="Arial"/>
          <w:sz w:val="10"/>
          <w:szCs w:val="10"/>
          <w:color w:val="auto"/>
        </w:rPr>
        <w:t>Based on an estimated weight of the 2017 world’s population of 300 million tons.</w:t>
      </w:r>
    </w:p>
    <w:p>
      <w:pPr>
        <w:ind w:left="1480" w:hanging="453"/>
        <w:spacing w:after="0" w:line="188" w:lineRule="auto"/>
        <w:tabs>
          <w:tab w:leader="none" w:pos="1480" w:val="left"/>
        </w:tabs>
        <w:numPr>
          <w:ilvl w:val="0"/>
          <w:numId w:val="137"/>
        </w:numPr>
        <w:rPr>
          <w:rFonts w:ascii="Arial" w:cs="Arial" w:eastAsia="Arial" w:hAnsi="Arial"/>
          <w:sz w:val="16"/>
          <w:szCs w:val="16"/>
          <w:color w:val="auto"/>
          <w:vertAlign w:val="superscript"/>
        </w:rPr>
      </w:pPr>
      <w:r>
        <w:rPr>
          <w:rFonts w:ascii="Arial" w:cs="Arial" w:eastAsia="Arial" w:hAnsi="Arial"/>
          <w:sz w:val="10"/>
          <w:szCs w:val="10"/>
          <w:color w:val="auto"/>
        </w:rPr>
        <w:t>EMF estimate includes cotton farming.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180"/>
          </w:cols>
          <w:pgMar w:left="320" w:top="407" w:right="139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2"/>
          <w:szCs w:val="12"/>
          <w:color w:val="auto"/>
        </w:rPr>
        <w:t>33</w:t>
      </w:r>
      <w:r>
        <w:rPr>
          <w:rFonts w:ascii="Arial" w:cs="Arial" w:eastAsia="Arial" w:hAnsi="Arial"/>
          <w:sz w:val="15"/>
          <w:szCs w:val="15"/>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2"/>
          <w:szCs w:val="12"/>
          <w:color w:val="auto"/>
        </w:rPr>
        <w:t>34</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60% of our subscribers report spending between $100 and $500 less per month on clothes and at least $25 less on dry cleaning per month when they have a subscription to RTR.</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2"/>
          <w:szCs w:val="12"/>
          <w:color w:val="auto"/>
        </w:rPr>
        <w:t>35</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Displacement of New Garment Production</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Using our data provided for the LCA Study, we estimate that our rental model has displaced production of new garments.</w:t>
      </w:r>
    </w:p>
    <w:p>
      <w:pPr>
        <w:ind w:left="1020"/>
        <w:spacing w:after="0"/>
        <w:rPr>
          <w:sz w:val="20"/>
          <w:szCs w:val="20"/>
          <w:color w:val="auto"/>
        </w:rPr>
      </w:pPr>
      <w:r>
        <w:rPr>
          <w:rFonts w:ascii="Arial" w:cs="Arial" w:eastAsia="Arial" w:hAnsi="Arial"/>
          <w:sz w:val="15"/>
          <w:szCs w:val="15"/>
          <w:color w:val="auto"/>
        </w:rPr>
        <w:t>Specifically:</w:t>
      </w:r>
    </w:p>
    <w:p>
      <w:pPr>
        <w:spacing w:after="0" w:line="98" w:lineRule="exact"/>
        <w:rPr>
          <w:sz w:val="20"/>
          <w:szCs w:val="20"/>
          <w:color w:val="auto"/>
        </w:rPr>
      </w:pPr>
    </w:p>
    <w:p>
      <w:pPr>
        <w:ind w:left="1660" w:right="460" w:hanging="183"/>
        <w:spacing w:after="0" w:line="245"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 w:lineRule="exact"/>
        <w:rPr>
          <w:sz w:val="20"/>
          <w:szCs w:val="20"/>
          <w:color w:val="auto"/>
        </w:rPr>
      </w:pPr>
    </w:p>
    <w:p>
      <w:pPr>
        <w:ind w:left="1480" w:hanging="453"/>
        <w:spacing w:after="0"/>
        <w:tabs>
          <w:tab w:leader="none" w:pos="1480" w:val="left"/>
        </w:tabs>
        <w:numPr>
          <w:ilvl w:val="0"/>
          <w:numId w:val="139"/>
        </w:numPr>
        <w:rPr>
          <w:rFonts w:ascii="Arial" w:cs="Arial" w:eastAsia="Arial" w:hAnsi="Arial"/>
          <w:sz w:val="20"/>
          <w:szCs w:val="20"/>
          <w:color w:val="auto"/>
          <w:vertAlign w:val="superscript"/>
        </w:rPr>
      </w:pPr>
      <w:r>
        <w:rPr>
          <w:rFonts w:ascii="Arial" w:cs="Arial" w:eastAsia="Arial" w:hAnsi="Arial"/>
          <w:sz w:val="12"/>
          <w:szCs w:val="12"/>
          <w:color w:val="auto"/>
        </w:rPr>
        <w:t>McKinsey &amp; Co. in partnership with the Global Fashion Agenda, Fashion On Climate, 2020.</w:t>
      </w:r>
    </w:p>
    <w:p>
      <w:pPr>
        <w:ind w:left="1480" w:right="80" w:hanging="453"/>
        <w:spacing w:after="0" w:line="182" w:lineRule="auto"/>
        <w:tabs>
          <w:tab w:leader="none" w:pos="1480" w:val="left"/>
        </w:tabs>
        <w:numPr>
          <w:ilvl w:val="0"/>
          <w:numId w:val="139"/>
        </w:numPr>
        <w:rPr>
          <w:rFonts w:ascii="Arial" w:cs="Arial" w:eastAsia="Arial" w:hAnsi="Arial"/>
          <w:sz w:val="19"/>
          <w:szCs w:val="19"/>
          <w:color w:val="auto"/>
          <w:vertAlign w:val="superscript"/>
        </w:rPr>
      </w:pPr>
      <w:r>
        <w:rPr>
          <w:rFonts w:ascii="Arial" w:cs="Arial" w:eastAsia="Arial" w:hAnsi="Arial"/>
          <w:sz w:val="12"/>
          <w:szCs w:val="12"/>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ind w:left="1480" w:hanging="453"/>
        <w:spacing w:after="0" w:line="188" w:lineRule="auto"/>
        <w:tabs>
          <w:tab w:leader="none" w:pos="1480" w:val="left"/>
        </w:tabs>
        <w:numPr>
          <w:ilvl w:val="0"/>
          <w:numId w:val="139"/>
        </w:numPr>
        <w:rPr>
          <w:rFonts w:ascii="Arial" w:cs="Arial" w:eastAsia="Arial" w:hAnsi="Arial"/>
          <w:sz w:val="15"/>
          <w:szCs w:val="15"/>
          <w:color w:val="auto"/>
          <w:vertAlign w:val="superscript"/>
        </w:rPr>
      </w:pPr>
      <w:r>
        <w:rPr>
          <w:rFonts w:ascii="Arial" w:cs="Arial" w:eastAsia="Arial" w:hAnsi="Arial"/>
          <w:sz w:val="10"/>
          <w:szCs w:val="10"/>
          <w:color w:val="auto"/>
        </w:rPr>
        <w:t>McKinsey &amp; Co., Style That’s Sustainable: A New Fast-Fashion Formula, October 2016.</w:t>
      </w:r>
    </w:p>
    <w:p>
      <w:pPr>
        <w:ind w:left="1480" w:right="60" w:hanging="453"/>
        <w:spacing w:after="0" w:line="220" w:lineRule="auto"/>
        <w:tabs>
          <w:tab w:leader="none" w:pos="1480" w:val="left"/>
        </w:tabs>
        <w:numPr>
          <w:ilvl w:val="0"/>
          <w:numId w:val="139"/>
        </w:numPr>
        <w:rPr>
          <w:rFonts w:ascii="Arial" w:cs="Arial" w:eastAsia="Arial" w:hAnsi="Arial"/>
          <w:sz w:val="20"/>
          <w:szCs w:val="20"/>
          <w:color w:val="auto"/>
          <w:vertAlign w:val="superscript"/>
        </w:rPr>
      </w:pPr>
      <w:r>
        <w:rPr>
          <w:rFonts w:ascii="Arial" w:cs="Arial" w:eastAsia="Arial" w:hAnsi="Arial"/>
          <w:sz w:val="12"/>
          <w:szCs w:val="12"/>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20"/>
          </w:cols>
          <w:pgMar w:left="320" w:top="407"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80" w:hanging="183"/>
        <w:spacing w:after="0" w:line="245"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12"/>
          <w:szCs w:val="12"/>
          <w:color w:val="auto"/>
        </w:rPr>
        <w:t>37</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Environmental Savings</w:t>
      </w:r>
    </w:p>
    <w:p>
      <w:pPr>
        <w:spacing w:after="0" w:line="103"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a customer rents a garment from our Closet in the Cloud, the result is net environmental savings when compared to purchasing as follows:</w:t>
      </w:r>
      <w:r>
        <w:rPr>
          <w:rFonts w:ascii="Arial" w:cs="Arial" w:eastAsia="Arial" w:hAnsi="Arial"/>
          <w:sz w:val="12"/>
          <w:szCs w:val="12"/>
          <w:color w:val="auto"/>
        </w:rPr>
        <w:t>38</w:t>
      </w:r>
    </w:p>
    <w:p>
      <w:pPr>
        <w:spacing w:after="0" w:line="87" w:lineRule="exact"/>
        <w:rPr>
          <w:sz w:val="20"/>
          <w:szCs w:val="20"/>
          <w:color w:val="auto"/>
        </w:rPr>
      </w:pPr>
    </w:p>
    <w:p>
      <w:pPr>
        <w:ind w:left="1660" w:right="20" w:hanging="183"/>
        <w:spacing w:after="0"/>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2"/>
          <w:szCs w:val="12"/>
          <w:color w:val="auto"/>
        </w:rPr>
        <w:t>39</w:t>
      </w:r>
    </w:p>
    <w:p>
      <w:pPr>
        <w:spacing w:after="0" w:line="91" w:lineRule="exact"/>
        <w:rPr>
          <w:rFonts w:ascii="Arial" w:cs="Arial" w:eastAsia="Arial" w:hAnsi="Arial"/>
          <w:sz w:val="15"/>
          <w:szCs w:val="15"/>
          <w:color w:val="auto"/>
        </w:rPr>
      </w:pPr>
    </w:p>
    <w:p>
      <w:pPr>
        <w:jc w:val="both"/>
        <w:ind w:left="2020" w:right="260" w:hanging="351"/>
        <w:spacing w:after="0" w:line="266" w:lineRule="auto"/>
        <w:tabs>
          <w:tab w:leader="none" w:pos="202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73" w:lineRule="exact"/>
        <w:rPr>
          <w:rFonts w:ascii="Arial" w:cs="Arial" w:eastAsia="Arial" w:hAnsi="Arial"/>
          <w:sz w:val="14"/>
          <w:szCs w:val="14"/>
          <w:color w:val="auto"/>
        </w:rPr>
      </w:pPr>
    </w:p>
    <w:p>
      <w:pPr>
        <w:ind w:left="2020" w:right="60" w:hanging="351"/>
        <w:spacing w:after="0" w:line="245" w:lineRule="auto"/>
        <w:tabs>
          <w:tab w:leader="none" w:pos="2020" w:val="left"/>
        </w:tabs>
        <w:numPr>
          <w:ilvl w:val="1"/>
          <w:numId w:val="141"/>
        </w:numPr>
        <w:rPr>
          <w:rFonts w:ascii="Arial" w:cs="Arial" w:eastAsia="Arial" w:hAnsi="Arial"/>
          <w:sz w:val="15"/>
          <w:szCs w:val="15"/>
          <w:color w:val="auto"/>
        </w:rPr>
      </w:pPr>
      <w:r>
        <w:rPr>
          <w:rFonts w:ascii="Arial" w:cs="Arial" w:eastAsia="Arial" w:hAnsi="Arial"/>
          <w:sz w:val="15"/>
          <w:szCs w:val="15"/>
          <w:color w:val="auto"/>
        </w:rPr>
        <w:t>Understanding the nuances between our product categories is key in our efforts to improve the overall number of wears of our products and increase the positive environmental impact of our platform.</w:t>
      </w:r>
    </w:p>
    <w:p>
      <w:pPr>
        <w:spacing w:after="0" w:line="87" w:lineRule="exact"/>
        <w:rPr>
          <w:rFonts w:ascii="Arial" w:cs="Arial" w:eastAsia="Arial" w:hAnsi="Arial"/>
          <w:sz w:val="15"/>
          <w:szCs w:val="15"/>
          <w:color w:val="auto"/>
        </w:rPr>
      </w:pPr>
    </w:p>
    <w:p>
      <w:pPr>
        <w:ind w:left="1660" w:right="700" w:hanging="183"/>
        <w:spacing w:after="0" w:line="235" w:lineRule="auto"/>
        <w:tabs>
          <w:tab w:leader="none" w:pos="16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With approximately 27.1 million wears estimated across all 12 categories since 2010, we estimate that we have saved 54.7 million gallons of water, 33.0 million kWh of energy and</w:t>
      </w:r>
    </w:p>
    <w:p>
      <w:pPr>
        <w:ind w:left="1660" w:right="100"/>
        <w:spacing w:after="0" w:line="238" w:lineRule="auto"/>
        <w:rPr>
          <w:rFonts w:ascii="Arial" w:cs="Arial" w:eastAsia="Arial" w:hAnsi="Arial"/>
          <w:sz w:val="15"/>
          <w:szCs w:val="15"/>
          <w:color w:val="auto"/>
        </w:rPr>
      </w:pPr>
      <w:r>
        <w:rPr>
          <w:rFonts w:ascii="Arial" w:cs="Arial" w:eastAsia="Arial" w:hAnsi="Arial"/>
          <w:sz w:val="15"/>
          <w:szCs w:val="15"/>
          <w:color w:val="auto"/>
        </w:rPr>
        <w:t>13.3 million pounds of CO2 emissions.</w:t>
      </w:r>
      <w:r>
        <w:rPr>
          <w:rFonts w:ascii="Arial" w:cs="Arial" w:eastAsia="Arial" w:hAnsi="Arial"/>
          <w:sz w:val="12"/>
          <w:szCs w:val="12"/>
          <w:color w:val="auto"/>
        </w:rPr>
        <w:t>40</w:t>
      </w:r>
      <w:r>
        <w:rPr>
          <w:rFonts w:ascii="Arial" w:cs="Arial" w:eastAsia="Arial" w:hAnsi="Arial"/>
          <w:sz w:val="15"/>
          <w:szCs w:val="15"/>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2"/>
          <w:szCs w:val="12"/>
          <w:color w:val="auto"/>
        </w:rPr>
        <w:t>41</w:t>
      </w:r>
      <w:r>
        <w:rPr>
          <w:rFonts w:ascii="Arial" w:cs="Arial" w:eastAsia="Arial" w:hAnsi="Arial"/>
          <w:sz w:val="15"/>
          <w:szCs w:val="15"/>
          <w:color w:val="auto"/>
        </w:rPr>
        <w:t xml:space="preserve"> “Displacement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170"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172720</wp:posOffset>
            </wp:positionV>
            <wp:extent cx="64389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6" w:lineRule="exact"/>
        <w:rPr>
          <w:sz w:val="20"/>
          <w:szCs w:val="20"/>
          <w:color w:val="auto"/>
        </w:rPr>
      </w:pPr>
    </w:p>
    <w:p>
      <w:pPr>
        <w:ind w:left="1480" w:hanging="453"/>
        <w:spacing w:after="0"/>
        <w:tabs>
          <w:tab w:leader="none" w:pos="148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Equivalency estimates were calculated using EPA’s Greenhouse Gas Equivalencies Calculator and data from ICAO.</w:t>
      </w:r>
    </w:p>
    <w:p>
      <w:pPr>
        <w:ind w:left="1480" w:right="140" w:hanging="453"/>
        <w:spacing w:after="0" w:line="182" w:lineRule="auto"/>
        <w:tabs>
          <w:tab w:leader="none" w:pos="1480" w:val="left"/>
        </w:tabs>
        <w:numPr>
          <w:ilvl w:val="0"/>
          <w:numId w:val="142"/>
        </w:numPr>
        <w:rPr>
          <w:rFonts w:ascii="Arial" w:cs="Arial" w:eastAsia="Arial" w:hAnsi="Arial"/>
          <w:sz w:val="19"/>
          <w:szCs w:val="19"/>
          <w:color w:val="auto"/>
          <w:vertAlign w:val="superscript"/>
        </w:rPr>
      </w:pPr>
      <w:r>
        <w:rPr>
          <w:rFonts w:ascii="Arial" w:cs="Arial" w:eastAsia="Arial" w:hAnsi="Arial"/>
          <w:sz w:val="12"/>
          <w:szCs w:val="12"/>
          <w:color w:val="auto"/>
        </w:rPr>
        <w:t>A garment means one item in the following 12 product categories assessed in the LCA Study: blouses, sweaters, pants, jeans, skirts, jumpsuits, daytime dresses, maxi dresses, gowns, cocktail dresses, jackets and coats.</w:t>
      </w:r>
    </w:p>
    <w:p>
      <w:pPr>
        <w:ind w:left="1480" w:hanging="453"/>
        <w:spacing w:after="0" w:line="182" w:lineRule="auto"/>
        <w:tabs>
          <w:tab w:leader="none" w:pos="1480" w:val="left"/>
        </w:tabs>
        <w:numPr>
          <w:ilvl w:val="0"/>
          <w:numId w:val="142"/>
        </w:numPr>
        <w:rPr>
          <w:rFonts w:ascii="Arial" w:cs="Arial" w:eastAsia="Arial" w:hAnsi="Arial"/>
          <w:sz w:val="19"/>
          <w:szCs w:val="19"/>
          <w:color w:val="auto"/>
          <w:vertAlign w:val="superscript"/>
        </w:rPr>
      </w:pPr>
      <w:r>
        <w:rPr>
          <w:rFonts w:ascii="Arial" w:cs="Arial" w:eastAsia="Arial" w:hAnsi="Arial"/>
          <w:sz w:val="12"/>
          <w:szCs w:val="12"/>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ind w:left="1480" w:hanging="453"/>
        <w:spacing w:after="0" w:line="188" w:lineRule="auto"/>
        <w:tabs>
          <w:tab w:leader="none" w:pos="1480" w:val="left"/>
        </w:tabs>
        <w:numPr>
          <w:ilvl w:val="0"/>
          <w:numId w:val="142"/>
        </w:numPr>
        <w:rPr>
          <w:rFonts w:ascii="Arial" w:cs="Arial" w:eastAsia="Arial" w:hAnsi="Arial"/>
          <w:sz w:val="15"/>
          <w:szCs w:val="15"/>
          <w:color w:val="auto"/>
          <w:vertAlign w:val="superscript"/>
        </w:rPr>
      </w:pPr>
      <w:r>
        <w:rPr>
          <w:rFonts w:ascii="Arial" w:cs="Arial" w:eastAsia="Arial" w:hAnsi="Arial"/>
          <w:sz w:val="10"/>
          <w:szCs w:val="10"/>
          <w:color w:val="auto"/>
        </w:rPr>
        <w:t>Based on total number of wears in the 12 product categories measured from 2010 to 2021.</w:t>
      </w:r>
    </w:p>
    <w:p>
      <w:pPr>
        <w:ind w:left="1480" w:hanging="453"/>
        <w:spacing w:after="0" w:line="196" w:lineRule="auto"/>
        <w:tabs>
          <w:tab w:leader="none" w:pos="148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180"/>
          </w:cols>
          <w:pgMar w:left="320" w:top="407" w:right="139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139"/>
          </w:cols>
          <w:pgMar w:left="320" w:top="407" w:right="1440"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Social Impact</w:t>
      </w:r>
    </w:p>
    <w:p>
      <w:pPr>
        <w:spacing w:after="0" w:line="8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Equalizing the Playing Field, While Powering Women to Feel Their Best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Whether it’s commanding a meeting room,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Consider the “appearance expectation gap.” In many industries, women face greater cultural expectations for their physical appearance at work. There are many unspoken (and sometimes 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2"/>
          <w:szCs w:val="12"/>
          <w:color w:val="auto"/>
        </w:rPr>
        <w:t>42</w:t>
      </w:r>
    </w:p>
    <w:p>
      <w:pPr>
        <w:spacing w:after="0" w:line="170"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2"/>
          <w:szCs w:val="12"/>
          <w:color w:val="auto"/>
        </w:rPr>
        <w:t>43</w:t>
      </w:r>
    </w:p>
    <w:p>
      <w:pPr>
        <w:spacing w:after="0" w:line="170"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We believe that our Closet in the Cloud powers women to unlock their confidence and therefore their greatest potential through access to versatile and affordable designer clothing and accessories.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44</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Furthermore, the convenience of a Rent the Runway subscription saves women on average three hours a week on getting dressed giving our subscribers time back so that they can spend it on the things that matter most.</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2"/>
          <w:szCs w:val="12"/>
          <w:color w:val="auto"/>
        </w:rPr>
        <w:t>45</w:t>
      </w:r>
      <w:r>
        <w:rPr>
          <w:rFonts w:ascii="Arial" w:cs="Arial" w:eastAsia="Arial" w:hAnsi="Arial"/>
          <w:sz w:val="15"/>
          <w:szCs w:val="15"/>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43"/>
        </w:numPr>
        <w:rPr>
          <w:rFonts w:ascii="Arial" w:cs="Arial" w:eastAsia="Arial" w:hAnsi="Arial"/>
          <w:sz w:val="20"/>
          <w:szCs w:val="20"/>
          <w:color w:val="auto"/>
          <w:vertAlign w:val="superscript"/>
        </w:rPr>
      </w:pPr>
      <w:r>
        <w:rPr>
          <w:rFonts w:ascii="Arial" w:cs="Arial" w:eastAsia="Arial" w:hAnsi="Arial"/>
          <w:sz w:val="12"/>
          <w:szCs w:val="12"/>
          <w:color w:val="auto"/>
        </w:rPr>
        <w:t>Business of Fashion, Women Need Work Clothes. These Brands Want to Give Them More Options, October 10, 2018.</w:t>
      </w:r>
    </w:p>
    <w:p>
      <w:pPr>
        <w:ind w:left="1480" w:hanging="453"/>
        <w:spacing w:after="0" w:line="188" w:lineRule="auto"/>
        <w:tabs>
          <w:tab w:leader="none" w:pos="1480" w:val="left"/>
        </w:tabs>
        <w:numPr>
          <w:ilvl w:val="0"/>
          <w:numId w:val="143"/>
        </w:numPr>
        <w:rPr>
          <w:rFonts w:ascii="Arial" w:cs="Arial" w:eastAsia="Arial" w:hAnsi="Arial"/>
          <w:sz w:val="15"/>
          <w:szCs w:val="15"/>
          <w:color w:val="auto"/>
          <w:vertAlign w:val="superscript"/>
        </w:rPr>
      </w:pPr>
      <w:r>
        <w:rPr>
          <w:rFonts w:ascii="Arial" w:cs="Arial" w:eastAsia="Arial" w:hAnsi="Arial"/>
          <w:sz w:val="10"/>
          <w:szCs w:val="10"/>
          <w:color w:val="auto"/>
        </w:rPr>
        <w:t>The U.S. Census Bureau, Income, Poverty and Health Insurance Coverage in the United States: 2019, September 15, 2020.</w:t>
      </w:r>
    </w:p>
    <w:p>
      <w:pPr>
        <w:ind w:left="1480" w:right="60" w:hanging="453"/>
        <w:spacing w:after="0" w:line="192" w:lineRule="auto"/>
        <w:tabs>
          <w:tab w:leader="none" w:pos="1480" w:val="left"/>
        </w:tabs>
        <w:numPr>
          <w:ilvl w:val="0"/>
          <w:numId w:val="143"/>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1480" w:hanging="453"/>
        <w:spacing w:after="0" w:line="188" w:lineRule="auto"/>
        <w:tabs>
          <w:tab w:leader="none" w:pos="1480" w:val="left"/>
        </w:tabs>
        <w:numPr>
          <w:ilvl w:val="0"/>
          <w:numId w:val="143"/>
        </w:numPr>
        <w:rPr>
          <w:rFonts w:ascii="Arial" w:cs="Arial" w:eastAsia="Arial" w:hAnsi="Arial"/>
          <w:sz w:val="16"/>
          <w:szCs w:val="16"/>
          <w:color w:val="auto"/>
          <w:vertAlign w:val="superscript"/>
        </w:rPr>
      </w:pPr>
      <w:r>
        <w:rPr>
          <w:rFonts w:ascii="Arial" w:cs="Arial" w:eastAsia="Arial" w:hAnsi="Arial"/>
          <w:sz w:val="10"/>
          <w:szCs w:val="10"/>
          <w:color w:val="auto"/>
        </w:rPr>
        <w:t>CNN Money, Poor Families Spend $600 More On Prom than Wealthier Ones, March 2015.</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00"/>
          </w:cols>
          <w:pgMar w:left="320" w:top="407" w:right="137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20"/>
        <w:spacing w:after="0"/>
        <w:rPr>
          <w:sz w:val="20"/>
          <w:szCs w:val="20"/>
          <w:color w:val="auto"/>
        </w:rPr>
      </w:pPr>
      <w:r>
        <w:rPr>
          <w:rFonts w:ascii="Arial" w:cs="Arial" w:eastAsia="Arial" w:hAnsi="Arial"/>
          <w:sz w:val="15"/>
          <w:szCs w:val="15"/>
          <w:color w:val="auto"/>
        </w:rPr>
        <w:t>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ESG Actions Taken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We aim to use our platform to set the standard for sustainable practices for our unique business model as well as catalyze transformation within the fashion industry. We lead with our mission and take actions aimed to accelerate the environmental and social wellbeing of our customers, employees, brand partners and the communities in which we operate.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Environmental Actions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Additionally, we continue to implement solutions aimed at lowering the environmental impact of our operations, while also improving efficiencies and reducing costs, including:</w:t>
      </w:r>
    </w:p>
    <w:p>
      <w:pPr>
        <w:spacing w:after="0" w:line="87" w:lineRule="exact"/>
        <w:rPr>
          <w:sz w:val="20"/>
          <w:szCs w:val="20"/>
          <w:color w:val="auto"/>
        </w:rPr>
      </w:pPr>
    </w:p>
    <w:p>
      <w:pPr>
        <w:ind w:left="1660" w:hanging="183"/>
        <w:spacing w:after="0" w:line="236"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lifecycle of our products does not end with our operations and we recognize the importance of responsible end of life practices; we resell, donate, or recycle all products when 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2"/>
          <w:szCs w:val="12"/>
          <w:color w:val="auto"/>
        </w:rPr>
        <w:t>46</w:t>
      </w:r>
      <w:r>
        <w:rPr>
          <w:rFonts w:ascii="Arial" w:cs="Arial" w:eastAsia="Arial" w:hAnsi="Arial"/>
          <w:sz w:val="15"/>
          <w:szCs w:val="15"/>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2"/>
          <w:szCs w:val="12"/>
          <w:color w:val="auto"/>
        </w:rPr>
        <w:t>47</w:t>
      </w:r>
    </w:p>
    <w:p>
      <w:pPr>
        <w:spacing w:after="0" w:line="96" w:lineRule="exact"/>
        <w:rPr>
          <w:rFonts w:ascii="Arial" w:cs="Arial" w:eastAsia="Arial" w:hAnsi="Arial"/>
          <w:sz w:val="15"/>
          <w:szCs w:val="15"/>
          <w:color w:val="auto"/>
        </w:rPr>
      </w:pPr>
    </w:p>
    <w:p>
      <w:pPr>
        <w:ind w:left="1660" w:right="300" w:hanging="183"/>
        <w:spacing w:after="0" w:line="238"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We set a new standard for reusable packaging with the launch of our patented garment bag in 2014, transforming the way customers receive and send products. In the fall of 2021, we are excited to launch the latest version of our reusable garment bag which we believe will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45"/>
        </w:numPr>
        <w:rPr>
          <w:rFonts w:ascii="Arial" w:cs="Arial" w:eastAsia="Arial" w:hAnsi="Arial"/>
          <w:sz w:val="20"/>
          <w:szCs w:val="20"/>
          <w:color w:val="auto"/>
          <w:vertAlign w:val="superscript"/>
        </w:rPr>
      </w:pPr>
      <w:r>
        <w:rPr>
          <w:rFonts w:ascii="Arial" w:cs="Arial" w:eastAsia="Arial" w:hAnsi="Arial"/>
          <w:sz w:val="12"/>
          <w:szCs w:val="12"/>
          <w:color w:val="auto"/>
        </w:rPr>
        <w:t>Donated and recycled quantities from January 2018 through June 2021.</w:t>
      </w:r>
    </w:p>
    <w:p>
      <w:pPr>
        <w:ind w:left="1480" w:hanging="453"/>
        <w:spacing w:after="0" w:line="188" w:lineRule="auto"/>
        <w:tabs>
          <w:tab w:leader="none" w:pos="1480" w:val="left"/>
        </w:tabs>
        <w:numPr>
          <w:ilvl w:val="0"/>
          <w:numId w:val="145"/>
        </w:numPr>
        <w:rPr>
          <w:rFonts w:ascii="Arial" w:cs="Arial" w:eastAsia="Arial" w:hAnsi="Arial"/>
          <w:sz w:val="16"/>
          <w:szCs w:val="16"/>
          <w:color w:val="auto"/>
          <w:vertAlign w:val="superscript"/>
        </w:rPr>
      </w:pPr>
      <w:r>
        <w:rPr>
          <w:rFonts w:ascii="Arial" w:cs="Arial" w:eastAsia="Arial" w:hAnsi="Arial"/>
          <w:sz w:val="10"/>
          <w:szCs w:val="10"/>
          <w:color w:val="auto"/>
        </w:rPr>
        <w:t>Environmental savings were calculated as a part of the LCA Study and are based on end of life impact for a linear business model.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00"/>
          </w:cols>
          <w:pgMar w:left="320" w:top="407" w:right="137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spacing w:after="0"/>
        <w:rPr>
          <w:sz w:val="20"/>
          <w:szCs w:val="20"/>
          <w:color w:val="auto"/>
        </w:rPr>
      </w:pPr>
      <w:r>
        <w:rPr>
          <w:rFonts w:ascii="Arial" w:cs="Arial" w:eastAsia="Arial" w:hAnsi="Arial"/>
          <w:sz w:val="15"/>
          <w:szCs w:val="15"/>
          <w:color w:val="auto"/>
        </w:rPr>
        <w:t>costs and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91" w:lineRule="exact"/>
        <w:rPr>
          <w:sz w:val="20"/>
          <w:szCs w:val="20"/>
          <w:color w:val="auto"/>
        </w:rPr>
      </w:pPr>
    </w:p>
    <w:p>
      <w:pPr>
        <w:jc w:val="both"/>
        <w:ind w:left="1660" w:right="120" w:hanging="183"/>
        <w:spacing w:after="0"/>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91" w:lineRule="exact"/>
        <w:rPr>
          <w:rFonts w:ascii="Arial" w:cs="Arial" w:eastAsia="Arial" w:hAnsi="Arial"/>
          <w:sz w:val="15"/>
          <w:szCs w:val="15"/>
          <w:color w:val="auto"/>
        </w:rPr>
      </w:pPr>
    </w:p>
    <w:p>
      <w:pPr>
        <w:ind w:left="1660" w:right="560" w:hanging="183"/>
        <w:spacing w:after="0" w:line="238" w:lineRule="auto"/>
        <w:tabs>
          <w:tab w:leader="none" w:pos="16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Social Actions</w:t>
      </w:r>
    </w:p>
    <w:p>
      <w:pPr>
        <w:spacing w:after="0" w:line="105" w:lineRule="exact"/>
        <w:rPr>
          <w:sz w:val="20"/>
          <w:szCs w:val="20"/>
          <w:color w:val="auto"/>
        </w:rPr>
      </w:pPr>
    </w:p>
    <w:p>
      <w:pPr>
        <w:jc w:val="both"/>
        <w:ind w:left="1020" w:right="660" w:firstLine="460"/>
        <w:spacing w:after="0"/>
        <w:rPr>
          <w:sz w:val="20"/>
          <w:szCs w:val="20"/>
          <w:color w:val="auto"/>
        </w:rPr>
      </w:pPr>
      <w:r>
        <w:rPr>
          <w:rFonts w:ascii="Arial" w:cs="Arial" w:eastAsia="Arial" w:hAnsi="Arial"/>
          <w:sz w:val="15"/>
          <w:szCs w:val="15"/>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52"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Our Employee 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recognize that our employees have and always will be paramount to the success of our company.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88" w:lineRule="exact"/>
        <w:rPr>
          <w:sz w:val="20"/>
          <w:szCs w:val="20"/>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We are all Founders of Rent the Runway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Dream BIG and go after it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Adapt and learn from everything you do</w:t>
      </w:r>
    </w:p>
    <w:p>
      <w:pPr>
        <w:spacing w:after="0" w:line="97" w:lineRule="exact"/>
        <w:rPr>
          <w:rFonts w:ascii="Arial" w:cs="Arial" w:eastAsia="Arial" w:hAnsi="Arial"/>
          <w:sz w:val="15"/>
          <w:szCs w:val="15"/>
          <w:color w:val="auto"/>
        </w:rPr>
      </w:pPr>
    </w:p>
    <w:p>
      <w:pPr>
        <w:ind w:left="5500" w:right="3360" w:hanging="4023"/>
        <w:spacing w:after="0" w:line="417" w:lineRule="auto"/>
        <w:tabs>
          <w:tab w:leader="none" w:pos="165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Debating, honest conversations and collaborating make the company stronger 177</w:t>
      </w:r>
    </w:p>
    <w:p>
      <w:pPr>
        <w:sectPr>
          <w:pgSz w:w="11900" w:h="16838" w:orient="portrait"/>
          <w:cols w:equalWidth="0" w:num="1">
            <w:col w:w="10220"/>
          </w:cols>
          <w:pgMar w:left="320" w:top="407" w:right="135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right="399" w:firstLine="460"/>
        <w:spacing w:after="0" w:line="245" w:lineRule="auto"/>
        <w:rPr>
          <w:sz w:val="20"/>
          <w:szCs w:val="20"/>
          <w:color w:val="auto"/>
        </w:rPr>
      </w:pPr>
      <w:r>
        <w:rPr>
          <w:rFonts w:ascii="Arial" w:cs="Arial" w:eastAsia="Arial" w:hAnsi="Arial"/>
          <w:sz w:val="15"/>
          <w:szCs w:val="15"/>
          <w:color w:val="auto"/>
        </w:rPr>
        <w:t>In line with our values, in 2018, we equalized leave benefits across all hourly and salaried U.S. employees on our Corporate, Customer Experience and Warehouse teams. Regardless of gender, all</w:t>
      </w:r>
    </w:p>
    <w:p>
      <w:pPr>
        <w:sectPr>
          <w:pgSz w:w="11900" w:h="16838" w:orient="portrait"/>
          <w:cols w:equalWidth="0" w:num="1">
            <w:col w:w="10139"/>
          </w:cols>
          <w:pgMar w:left="320" w:top="407" w:right="1440" w:bottom="1440" w:gutter="0" w:footer="0" w:header="0"/>
        </w:sectPr>
      </w:pP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0139"/>
          </w:cols>
          <w:pgMar w:left="320" w:top="407" w:right="1440" w:bottom="1440" w:gutter="0" w:footer="0" w:header="0"/>
          <w:type w:val="continuous"/>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5"/>
          <w:szCs w:val="15"/>
          <w:i w:val="1"/>
          <w:iCs w:val="1"/>
          <w:color w:val="auto"/>
        </w:rPr>
        <w:t>.</w:t>
      </w:r>
    </w:p>
    <w:p>
      <w:pPr>
        <w:spacing w:after="0" w:line="152"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Diversity, Equity &amp; Inclusion</w:t>
      </w:r>
      <w:r>
        <w:rPr>
          <w:rFonts w:ascii="Arial" w:cs="Arial" w:eastAsia="Arial" w:hAnsi="Arial"/>
          <w:sz w:val="15"/>
          <w:szCs w:val="15"/>
          <w:color w:val="auto"/>
        </w:rPr>
        <w:t>: As a business founded by and for women, Diversity, Equity and Inclusion, or DE&amp;I, has always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 Given our pursuit of women’s empowerment for over a decade, we are immensely proud that our IPO will be the first-ever IPO with a female Founder/CEO, CFO and COO leading the company. In addition, 55% of the members of our board of directors identify as women. For RTR employees and partners, as of June 2021:</w:t>
      </w:r>
      <w:r>
        <w:rPr>
          <w:rFonts w:ascii="Arial" w:cs="Arial" w:eastAsia="Arial" w:hAnsi="Arial"/>
          <w:sz w:val="12"/>
          <w:szCs w:val="12"/>
          <w:color w:val="auto"/>
        </w:rPr>
        <w:t>48</w:t>
      </w:r>
    </w:p>
    <w:p>
      <w:pPr>
        <w:spacing w:after="0" w:line="87" w:lineRule="exact"/>
        <w:rPr>
          <w:sz w:val="20"/>
          <w:szCs w:val="20"/>
          <w:color w:val="auto"/>
        </w:rPr>
      </w:pPr>
    </w:p>
    <w:p>
      <w:pPr>
        <w:ind w:left="1660" w:hanging="183"/>
        <w:spacing w:after="0"/>
        <w:tabs>
          <w:tab w:leader="none" w:pos="16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70% of our employees identify as women and 57% of our employees identify as a Black, Indigenous or Person of Color, or</w:t>
      </w:r>
    </w:p>
    <w:p>
      <w:pPr>
        <w:ind w:left="1660"/>
        <w:spacing w:after="0"/>
        <w:rPr>
          <w:rFonts w:ascii="Arial" w:cs="Arial" w:eastAsia="Arial" w:hAnsi="Arial"/>
          <w:sz w:val="15"/>
          <w:szCs w:val="15"/>
          <w:color w:val="auto"/>
        </w:rPr>
      </w:pPr>
      <w:r>
        <w:rPr>
          <w:rFonts w:ascii="Arial" w:cs="Arial" w:eastAsia="Arial" w:hAnsi="Arial"/>
          <w:sz w:val="15"/>
          <w:szCs w:val="15"/>
          <w:color w:val="auto"/>
        </w:rPr>
        <w:t>BIPOC;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75% of the members of our executive team identify as women and 50% identify as BIPOC;</w:t>
      </w:r>
    </w:p>
    <w:p>
      <w:pPr>
        <w:spacing w:after="0" w:line="95" w:lineRule="exact"/>
        <w:rPr>
          <w:rFonts w:ascii="Arial" w:cs="Arial" w:eastAsia="Arial" w:hAnsi="Arial"/>
          <w:sz w:val="15"/>
          <w:szCs w:val="15"/>
          <w:color w:val="auto"/>
        </w:rPr>
      </w:pPr>
    </w:p>
    <w:p>
      <w:pPr>
        <w:ind w:left="1660" w:hanging="183"/>
        <w:spacing w:after="0"/>
        <w:tabs>
          <w:tab w:leader="none" w:pos="16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55% of our senior leadership identifies as women and 45% identifies as BIPOC;</w:t>
      </w:r>
      <w:r>
        <w:rPr>
          <w:rFonts w:ascii="Arial" w:cs="Arial" w:eastAsia="Arial" w:hAnsi="Arial"/>
          <w:sz w:val="12"/>
          <w:szCs w:val="12"/>
          <w:color w:val="auto"/>
        </w:rPr>
        <w:t>49</w:t>
      </w:r>
      <w:r>
        <w:rPr>
          <w:rFonts w:ascii="Arial" w:cs="Arial" w:eastAsia="Arial" w:hAnsi="Arial"/>
          <w:sz w:val="15"/>
          <w:szCs w:val="15"/>
          <w:color w:val="auto"/>
        </w:rPr>
        <w:t xml:space="preserve"> and</w:t>
      </w:r>
    </w:p>
    <w:p>
      <w:pPr>
        <w:spacing w:after="0" w:line="100" w:lineRule="exact"/>
        <w:rPr>
          <w:rFonts w:ascii="Arial" w:cs="Arial" w:eastAsia="Arial" w:hAnsi="Arial"/>
          <w:sz w:val="15"/>
          <w:szCs w:val="15"/>
          <w:color w:val="auto"/>
        </w:rPr>
      </w:pPr>
    </w:p>
    <w:p>
      <w:pPr>
        <w:ind w:left="1660" w:right="20" w:hanging="183"/>
        <w:spacing w:after="0" w:line="245" w:lineRule="auto"/>
        <w:tabs>
          <w:tab w:leader="none" w:pos="16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41% of our technology team (including engineers, data scientists and product managers) identifies as women and 45% identifies as BIPOC.</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partners:</w:t>
      </w:r>
    </w:p>
    <w:p>
      <w:pPr>
        <w:spacing w:after="0" w:line="98" w:lineRule="exact"/>
        <w:rPr>
          <w:sz w:val="20"/>
          <w:szCs w:val="20"/>
          <w:color w:val="auto"/>
        </w:rPr>
      </w:pPr>
    </w:p>
    <w:p>
      <w:pPr>
        <w:ind w:left="1660" w:right="140" w:hanging="183"/>
        <w:spacing w:after="0" w:line="245"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We increased the penetration of BIPOC designers featured on our platform from 4% of brands on RTR in fall of 2020 to 10% in spring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We increased the representation of BIPOC models featured on our platform from 40% in fiscal year 2019 to 54% in fiscal year 2020;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Current and new partnership spend with BIPOC vendors is up 37% between fall of 2020 and fall of 2021.</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notable actions we have taken over the past 12 months in our key areas of focus include: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Representation</w:t>
      </w:r>
    </w:p>
    <w:p>
      <w:pPr>
        <w:spacing w:after="0" w:line="116" w:lineRule="exact"/>
        <w:rPr>
          <w:sz w:val="20"/>
          <w:szCs w:val="20"/>
          <w:color w:val="auto"/>
        </w:rPr>
      </w:pPr>
    </w:p>
    <w:p>
      <w:pPr>
        <w:ind w:left="1660" w:right="140" w:hanging="183"/>
        <w:spacing w:after="0" w:line="238" w:lineRule="auto"/>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93" w:lineRule="exact"/>
        <w:rPr>
          <w:rFonts w:ascii="Arial" w:cs="Arial" w:eastAsia="Arial" w:hAnsi="Arial"/>
          <w:sz w:val="15"/>
          <w:szCs w:val="15"/>
          <w:color w:val="auto"/>
        </w:rPr>
      </w:pPr>
    </w:p>
    <w:p>
      <w:pPr>
        <w:ind w:left="1660" w:right="20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91" w:lineRule="exact"/>
        <w:rPr>
          <w:rFonts w:ascii="Arial" w:cs="Arial" w:eastAsia="Arial" w:hAnsi="Arial"/>
          <w:sz w:val="15"/>
          <w:szCs w:val="15"/>
          <w:color w:val="auto"/>
        </w:rPr>
      </w:pPr>
    </w:p>
    <w:p>
      <w:pPr>
        <w:jc w:val="both"/>
        <w:ind w:left="1660" w:right="8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1"/>
        </w:numPr>
        <w:rPr>
          <w:rFonts w:ascii="Arial" w:cs="Arial" w:eastAsia="Arial" w:hAnsi="Arial"/>
          <w:sz w:val="20"/>
          <w:szCs w:val="20"/>
          <w:color w:val="auto"/>
          <w:vertAlign w:val="superscript"/>
        </w:rPr>
      </w:pPr>
      <w:r>
        <w:rPr>
          <w:rFonts w:ascii="Arial" w:cs="Arial" w:eastAsia="Arial" w:hAnsi="Arial"/>
          <w:sz w:val="12"/>
          <w:szCs w:val="12"/>
          <w:color w:val="auto"/>
        </w:rPr>
        <w:t>Includes U.S. employees only.</w:t>
      </w:r>
    </w:p>
    <w:p>
      <w:pPr>
        <w:ind w:left="1480" w:hanging="453"/>
        <w:spacing w:after="0" w:line="188" w:lineRule="auto"/>
        <w:tabs>
          <w:tab w:leader="none" w:pos="1480" w:val="left"/>
        </w:tabs>
        <w:numPr>
          <w:ilvl w:val="0"/>
          <w:numId w:val="151"/>
        </w:numPr>
        <w:rPr>
          <w:rFonts w:ascii="Arial" w:cs="Arial" w:eastAsia="Arial" w:hAnsi="Arial"/>
          <w:sz w:val="16"/>
          <w:szCs w:val="16"/>
          <w:color w:val="auto"/>
          <w:vertAlign w:val="superscript"/>
        </w:rPr>
      </w:pPr>
      <w:r>
        <w:rPr>
          <w:rFonts w:ascii="Arial" w:cs="Arial" w:eastAsia="Arial" w:hAnsi="Arial"/>
          <w:sz w:val="10"/>
          <w:szCs w:val="10"/>
          <w:color w:val="auto"/>
        </w:rPr>
        <w:t>C-suite executives, and members of our senior leadership team which consists of senior vice presidents, vice presidents and some senior directors.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00"/>
          </w:cols>
          <w:pgMar w:left="320" w:top="407" w:right="137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Belonging</w:t>
      </w:r>
    </w:p>
    <w:p>
      <w:pPr>
        <w:spacing w:after="0" w:line="116" w:lineRule="exact"/>
        <w:rPr>
          <w:sz w:val="20"/>
          <w:szCs w:val="20"/>
          <w:color w:val="auto"/>
        </w:rPr>
      </w:pPr>
    </w:p>
    <w:p>
      <w:pPr>
        <w:ind w:left="1660" w:right="220" w:hanging="183"/>
        <w:spacing w:after="0" w:line="245" w:lineRule="auto"/>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We engaged a third-party consultant to advise on best practices and make recommendations on how we can further prioritize DE&amp;I within our workplace.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We have debuted four Employee Resource Groups to unite team members across the organization and provide a platform for thought leadership and community building.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Behaviors</w:t>
      </w:r>
    </w:p>
    <w:p>
      <w:pPr>
        <w:spacing w:after="0" w:line="116" w:lineRule="exact"/>
        <w:rPr>
          <w:sz w:val="20"/>
          <w:szCs w:val="20"/>
          <w:color w:val="auto"/>
        </w:rPr>
      </w:pPr>
    </w:p>
    <w:p>
      <w:pPr>
        <w:ind w:left="1660" w:right="8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91" w:lineRule="exact"/>
        <w:rPr>
          <w:rFonts w:ascii="Arial" w:cs="Arial" w:eastAsia="Arial" w:hAnsi="Arial"/>
          <w:sz w:val="15"/>
          <w:szCs w:val="15"/>
          <w:color w:val="auto"/>
        </w:rPr>
      </w:pPr>
    </w:p>
    <w:p>
      <w:pPr>
        <w:ind w:left="1660" w:right="240" w:hanging="183"/>
        <w:spacing w:after="0" w:line="238" w:lineRule="auto"/>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Accountability</w:t>
      </w:r>
    </w:p>
    <w:p>
      <w:pPr>
        <w:spacing w:after="0" w:line="116"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We shared employee demographic data with our organization and plan to publish this data publicly.</w:t>
      </w:r>
    </w:p>
    <w:p>
      <w:pPr>
        <w:spacing w:after="0" w:line="159"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Responsible Manufacturing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committed to responsible manufacturing in our supply chain and we believe our policies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49"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Project Entrepreneur: </w:t>
      </w:r>
      <w:r>
        <w:rPr>
          <w:rFonts w:ascii="Arial" w:cs="Arial" w:eastAsia="Arial" w:hAnsi="Arial"/>
          <w:sz w:val="15"/>
          <w:szCs w:val="15"/>
          <w:color w:val="auto"/>
        </w:rPr>
        <w:t>In 2015, in partnership with UBS, Rent the Runway’s Co-Founders, Jennifer Y. Hyman and Jennifer Fleiss,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39"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Governance Highlights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180"/>
          </w:cols>
          <w:pgMar w:left="320" w:top="407" w:right="139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7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Our Facilities</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of July 31, 2021, we had a total of 893 full-time employees and 81 part-time employees in the United States and Ireland. As of July 31, 2021, our talented technology team consisted of 201 employees, across engineering, data analytics, IT, product, software quality assurance, user experience and design, including a team of 51 in Galway, Ireland, primarily in engineering and data analytics. None of our employees are represented by a labor union or covered by collective bargaining agreements and we have not experienced any work stoppages.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00"/>
          </w:cols>
          <w:pgMar w:left="320" w:top="407" w:right="137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172" w:lineRule="exact"/>
        <w:rPr>
          <w:sz w:val="20"/>
          <w:szCs w:val="20"/>
          <w:color w:val="auto"/>
        </w:rPr>
      </w:pPr>
    </w:p>
    <w:p>
      <w:pPr>
        <w:ind w:left="1020" w:right="99" w:firstLine="460"/>
        <w:spacing w:after="0"/>
        <w:rPr>
          <w:sz w:val="20"/>
          <w:szCs w:val="20"/>
          <w:color w:val="auto"/>
        </w:rPr>
      </w:pPr>
      <w:r>
        <w:rPr>
          <w:rFonts w:ascii="Arial" w:cs="Arial" w:eastAsia="Arial" w:hAnsi="Arial"/>
          <w:sz w:val="15"/>
          <w:szCs w:val="15"/>
          <w:color w:val="auto"/>
        </w:rPr>
        <w:t>The core objective of our compensation program is to provide competitive compensation packages to attract and retain the best employees. See the section titled “Business—Our ESG (Environmental, Social and Governance) Impact Summary” for more information about our values, commitments and human capital measures and objectives.</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299" w:firstLine="460"/>
        <w:spacing w:after="0"/>
        <w:rPr>
          <w:sz w:val="20"/>
          <w:szCs w:val="20"/>
          <w:color w:val="auto"/>
        </w:rPr>
      </w:pPr>
      <w:r>
        <w:rPr>
          <w:rFonts w:ascii="Arial" w:cs="Arial" w:eastAsia="Arial" w:hAnsi="Arial"/>
          <w:sz w:val="15"/>
          <w:szCs w:val="15"/>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139"/>
          </w:cols>
          <w:pgMar w:left="320" w:top="407" w:right="1440"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for our executive officers and directors as of the date of this prospectus: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4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Age</w:t>
            </w:r>
          </w:p>
        </w:tc>
        <w:tc>
          <w:tcPr>
            <w:tcW w:w="4300" w:type="dxa"/>
            <w:vAlign w:val="bottom"/>
            <w:gridSpan w:val="2"/>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160"/>
        </w:trPr>
        <w:tc>
          <w:tcPr>
            <w:tcW w:w="436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b w:val="1"/>
                <w:bCs w:val="1"/>
                <w:i w:val="1"/>
                <w:iCs w:val="1"/>
                <w:color w:val="auto"/>
              </w:rPr>
              <w:t>Executive Officers</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auto"/>
            </w:tcBorders>
          </w:tcPr>
          <w:p>
            <w:pPr>
              <w:spacing w:after="0"/>
              <w:rPr>
                <w:sz w:val="13"/>
                <w:szCs w:val="13"/>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Y. Hyman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Chief Executive Officer; Chair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Scarlett O’Sullivan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Anushka Salinas</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President; Chief Operating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Brian Donato</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Supply Chain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Andrea Alexander</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People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Cara Schembri</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General Counsel; Secretary</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Larry Steinberg</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Technology Officer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Sarah Tam</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Chief Merchant Officer</w:t>
            </w:r>
          </w:p>
        </w:tc>
      </w:tr>
      <w:tr>
        <w:trPr>
          <w:trHeight w:val="248"/>
        </w:trPr>
        <w:tc>
          <w:tcPr>
            <w:tcW w:w="4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Non-Employee Directors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Tim Bixby(1)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Fleiss(3)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Scott Friend(2)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Melanie Harris(1)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42</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Beth Kaplan(1)(2)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Nova(1)(2)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Gwyneth Paltrow(3)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Carley Roney(3)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Rosensweig(2)(3)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Mike Roth(2)</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9" w:lineRule="exact"/>
        <w:rPr>
          <w:sz w:val="20"/>
          <w:szCs w:val="20"/>
          <w:color w:val="auto"/>
        </w:rPr>
      </w:pPr>
    </w:p>
    <w:p>
      <w:pPr>
        <w:ind w:left="1380" w:hanging="353"/>
        <w:spacing w:after="0"/>
        <w:tabs>
          <w:tab w:leader="none" w:pos="13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Member of the audit committee.</w:t>
      </w:r>
    </w:p>
    <w:p>
      <w:pPr>
        <w:ind w:left="1380" w:hanging="353"/>
        <w:spacing w:after="0" w:line="235" w:lineRule="auto"/>
        <w:tabs>
          <w:tab w:leader="none" w:pos="13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1380" w:hanging="353"/>
        <w:spacing w:after="0"/>
        <w:tabs>
          <w:tab w:leader="none" w:pos="13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Member of the nominating and ESG committee.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Officers</w:t>
      </w:r>
    </w:p>
    <w:p>
      <w:pPr>
        <w:spacing w:after="0" w:line="177"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b w:val="1"/>
          <w:bCs w:val="1"/>
          <w:i w:val="1"/>
          <w:iCs w:val="1"/>
          <w:color w:val="auto"/>
        </w:rPr>
        <w:t xml:space="preserve">Jennifer Y. Hyman </w:t>
      </w:r>
      <w:r>
        <w:rPr>
          <w:rFonts w:ascii="Arial" w:cs="Arial" w:eastAsia="Arial" w:hAnsi="Arial"/>
          <w:sz w:val="15"/>
          <w:szCs w:val="15"/>
          <w:color w:val="auto"/>
        </w:rPr>
        <w:t>has served as our Co-Founder since November 2008 and our Chief Executive Officer and the Chair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3"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Scarlett O’Sullivan </w:t>
      </w:r>
      <w:r>
        <w:rPr>
          <w:rFonts w:ascii="Arial" w:cs="Arial" w:eastAsia="Arial" w:hAnsi="Arial"/>
          <w:sz w:val="15"/>
          <w:szCs w:val="15"/>
          <w:color w:val="auto"/>
        </w:rPr>
        <w:t>has served as our Chief Financial Officer since September 2015. Prior to joining us, Ms. O’Sullivan was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20"/>
          </w:cols>
          <w:pgMar w:left="320" w:top="407" w:right="135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Ms. O’Sullivan holds a B.S. in Economics from Yale University and an M.B.A. from the Wharton School of Business at the University of Pennsylvania.</w:t>
      </w:r>
    </w:p>
    <w:p>
      <w:pPr>
        <w:spacing w:after="0" w:line="148" w:lineRule="exact"/>
        <w:rPr>
          <w:sz w:val="20"/>
          <w:szCs w:val="20"/>
          <w:color w:val="auto"/>
        </w:rPr>
      </w:pPr>
    </w:p>
    <w:p>
      <w:pPr>
        <w:ind w:left="1020" w:right="260" w:firstLine="460"/>
        <w:spacing w:after="0" w:line="247" w:lineRule="auto"/>
        <w:rPr>
          <w:sz w:val="20"/>
          <w:szCs w:val="20"/>
          <w:color w:val="auto"/>
        </w:rPr>
      </w:pPr>
      <w:r>
        <w:rPr>
          <w:rFonts w:ascii="Arial" w:cs="Arial" w:eastAsia="Arial" w:hAnsi="Arial"/>
          <w:sz w:val="15"/>
          <w:szCs w:val="15"/>
          <w:b w:val="1"/>
          <w:bCs w:val="1"/>
          <w:i w:val="1"/>
          <w:iCs w:val="1"/>
          <w:color w:val="auto"/>
        </w:rPr>
        <w:t xml:space="preserve">Anushka Salinas </w:t>
      </w:r>
      <w:r>
        <w:rPr>
          <w:rFonts w:ascii="Arial" w:cs="Arial" w:eastAsia="Arial" w:hAnsi="Arial"/>
          <w:sz w:val="15"/>
          <w:szCs w:val="15"/>
          <w:color w:val="auto"/>
        </w:rPr>
        <w:t>has served as our President and Chief Operating Officer since October 2019. Prior to that, she served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Revenue Officer from May 2018 to October 2019 and General Manager of Subscription from February 2017 to May 2018.</w:t>
      </w:r>
    </w:p>
    <w:p>
      <w:pPr>
        <w:spacing w:after="0" w:line="1"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54"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 xml:space="preserve">Brian Donato </w:t>
      </w:r>
      <w:r>
        <w:rPr>
          <w:rFonts w:ascii="Arial" w:cs="Arial" w:eastAsia="Arial" w:hAnsi="Arial"/>
          <w:sz w:val="15"/>
          <w:szCs w:val="15"/>
          <w:color w:val="auto"/>
        </w:rPr>
        <w:t>has served as our Chief Supply Chain Officer since March 2020. Before joining us, he was the Senior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Operations for Bowery Farming, a vertical farming company, from March 2018 to March 2020. From January 2012 to May 2018,</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2" w:lineRule="exact"/>
        <w:rPr>
          <w:sz w:val="20"/>
          <w:szCs w:val="20"/>
          <w:color w:val="auto"/>
        </w:rPr>
      </w:pPr>
    </w:p>
    <w:p>
      <w:pPr>
        <w:ind w:left="1020" w:right="2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Andrea Alexander </w:t>
      </w:r>
      <w:r>
        <w:rPr>
          <w:rFonts w:ascii="Arial" w:cs="Arial" w:eastAsia="Arial" w:hAnsi="Arial"/>
          <w:sz w:val="15"/>
          <w:szCs w:val="15"/>
          <w:color w:val="auto"/>
        </w:rPr>
        <w:t>has served as our Chief People Officer since June 2021. Prior to joining us, Ms. Alexander served in various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49"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Cara Schembri </w:t>
      </w:r>
      <w:r>
        <w:rPr>
          <w:rFonts w:ascii="Arial" w:cs="Arial" w:eastAsia="Arial" w:hAnsi="Arial"/>
          <w:sz w:val="15"/>
          <w:szCs w:val="15"/>
          <w:color w:val="auto"/>
        </w:rPr>
        <w:t>has served as our General Counsel and Corporate Secretary since December 2019 and prior to that, she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53"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Larry Steinberg </w:t>
      </w:r>
      <w:r>
        <w:rPr>
          <w:rFonts w:ascii="Arial" w:cs="Arial" w:eastAsia="Arial" w:hAnsi="Arial"/>
          <w:sz w:val="15"/>
          <w:szCs w:val="15"/>
          <w:color w:val="auto"/>
        </w:rPr>
        <w:t>has served as our Chief Technology Officer since July 2020. Before joining us, Mr. Steinberg was a partner at AKF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00"/>
          </w:cols>
          <w:pgMar w:left="320" w:top="407" w:right="137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Sarah Tam </w:t>
      </w:r>
      <w:r>
        <w:rPr>
          <w:rFonts w:ascii="Arial" w:cs="Arial" w:eastAsia="Arial" w:hAnsi="Arial"/>
          <w:sz w:val="15"/>
          <w:szCs w:val="15"/>
          <w:color w:val="auto"/>
        </w:rPr>
        <w:t>has served as our Chief Merchant Officer since August 2017. Prior to that, she served as our Senior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4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Non-Employee Directors</w:t>
      </w:r>
    </w:p>
    <w:p>
      <w:pPr>
        <w:spacing w:after="0" w:line="177" w:lineRule="exact"/>
        <w:rPr>
          <w:sz w:val="20"/>
          <w:szCs w:val="20"/>
          <w:color w:val="auto"/>
        </w:rPr>
      </w:pPr>
    </w:p>
    <w:p>
      <w:pPr>
        <w:ind w:left="1020" w:right="80" w:firstLine="460"/>
        <w:spacing w:after="0" w:line="262" w:lineRule="auto"/>
        <w:rPr>
          <w:sz w:val="20"/>
          <w:szCs w:val="20"/>
          <w:color w:val="auto"/>
        </w:rPr>
      </w:pPr>
      <w:r>
        <w:rPr>
          <w:rFonts w:ascii="Arial" w:cs="Arial" w:eastAsia="Arial" w:hAnsi="Arial"/>
          <w:sz w:val="14"/>
          <w:szCs w:val="14"/>
          <w:b w:val="1"/>
          <w:bCs w:val="1"/>
          <w:i w:val="1"/>
          <w:iCs w:val="1"/>
          <w:color w:val="auto"/>
        </w:rPr>
        <w:t xml:space="preserve">Tim Bixby </w:t>
      </w:r>
      <w:r>
        <w:rPr>
          <w:rFonts w:ascii="Arial" w:cs="Arial" w:eastAsia="Arial" w:hAnsi="Arial"/>
          <w:sz w:val="14"/>
          <w:szCs w:val="14"/>
          <w:color w:val="auto"/>
        </w:rPr>
        <w:t>has served as a member of our board of directors since February 2021. Mr. Bixby has been the Chief Financial Officer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40"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Jennifer Fleiss </w:t>
      </w:r>
      <w:r>
        <w:rPr>
          <w:rFonts w:ascii="Arial" w:cs="Arial" w:eastAsia="Arial" w:hAnsi="Arial"/>
          <w:sz w:val="15"/>
          <w:szCs w:val="15"/>
          <w:color w:val="auto"/>
        </w:rPr>
        <w:t>has served as our Co-Founder since November 2008 and as a member of our board of directors since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56"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Scott Friend </w:t>
      </w:r>
      <w:r>
        <w:rPr>
          <w:rFonts w:ascii="Arial" w:cs="Arial" w:eastAsia="Arial" w:hAnsi="Arial"/>
          <w:sz w:val="15"/>
          <w:szCs w:val="15"/>
          <w:color w:val="auto"/>
        </w:rPr>
        <w:t>has served as a member of our board of directors since July 2009. Mr. Friend has been a partner at Bain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Melanie Harris </w:t>
      </w:r>
      <w:r>
        <w:rPr>
          <w:rFonts w:ascii="Arial" w:cs="Arial" w:eastAsia="Arial" w:hAnsi="Arial"/>
          <w:sz w:val="15"/>
          <w:szCs w:val="15"/>
          <w:color w:val="auto"/>
        </w:rPr>
        <w:t>has served as a member of our board of directors since July 2021. Ms. Harris has been the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180"/>
          </w:cols>
          <w:pgMar w:left="320" w:top="407" w:right="139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39" w:lineRule="auto"/>
        <w:rPr>
          <w:sz w:val="20"/>
          <w:szCs w:val="20"/>
          <w:color w:val="auto"/>
        </w:rPr>
      </w:pPr>
      <w:r>
        <w:rPr>
          <w:rFonts w:ascii="Arial" w:cs="Arial" w:eastAsia="Arial" w:hAnsi="Arial"/>
          <w:sz w:val="15"/>
          <w:szCs w:val="15"/>
          <w:b w:val="1"/>
          <w:bCs w:val="1"/>
          <w:i w:val="1"/>
          <w:iCs w:val="1"/>
          <w:color w:val="auto"/>
        </w:rPr>
        <w:t xml:space="preserve">Beth Kaplan </w:t>
      </w:r>
      <w:r>
        <w:rPr>
          <w:rFonts w:ascii="Arial" w:cs="Arial" w:eastAsia="Arial" w:hAnsi="Arial"/>
          <w:sz w:val="15"/>
          <w:szCs w:val="15"/>
          <w:color w:val="auto"/>
        </w:rPr>
        <w:t>has served as a member of our board of directors since February 2014 and formerly served as our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foam clogs; Meredith Corporation, a media conglomerate; and private company, Cooper’s Hawk, a full-service restaurant and winery chain.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Dan Nova </w:t>
      </w:r>
      <w:r>
        <w:rPr>
          <w:rFonts w:ascii="Arial" w:cs="Arial" w:eastAsia="Arial" w:hAnsi="Arial"/>
          <w:sz w:val="15"/>
          <w:szCs w:val="15"/>
          <w:color w:val="auto"/>
        </w:rPr>
        <w:t>has served as a member of our board of directors since February 2010. Mr. Nova has been a General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53"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Gwyneth Paltrow </w:t>
      </w:r>
      <w:r>
        <w:rPr>
          <w:rFonts w:ascii="Arial" w:cs="Arial" w:eastAsia="Arial" w:hAnsi="Arial"/>
          <w:sz w:val="15"/>
          <w:szCs w:val="15"/>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2"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Ms. Paltrow is qualified to serve on our board of directors because of her entrepreneurial expertise, her deep understanding of consumer marketing, and her experience leading an e-commerce company.</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Carley Roney </w:t>
      </w:r>
      <w:r>
        <w:rPr>
          <w:rFonts w:ascii="Arial" w:cs="Arial" w:eastAsia="Arial" w:hAnsi="Arial"/>
          <w:sz w:val="15"/>
          <w:szCs w:val="15"/>
          <w:color w:val="auto"/>
        </w:rPr>
        <w:t>has served as a member of our board of directors since May 2011. Ms. Roney is the co-founder and Chief Creative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53"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Dan Rosensweig </w:t>
      </w:r>
      <w:r>
        <w:rPr>
          <w:rFonts w:ascii="Arial" w:cs="Arial" w:eastAsia="Arial" w:hAnsi="Arial"/>
          <w:sz w:val="15"/>
          <w:szCs w:val="15"/>
          <w:color w:val="auto"/>
        </w:rPr>
        <w:t>has served as a member of our board of directors since November 2012. Mr. Rosensweig has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00"/>
          </w:cols>
          <w:pgMar w:left="320" w:top="407"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Mike Roth </w:t>
      </w:r>
      <w:r>
        <w:rPr>
          <w:rFonts w:ascii="Arial" w:cs="Arial" w:eastAsia="Arial" w:hAnsi="Arial"/>
          <w:sz w:val="15"/>
          <w:szCs w:val="15"/>
          <w:color w:val="auto"/>
        </w:rPr>
        <w:t>has served as a member of our board of directors since January 2020. From 1999 to 2019, Mr. Roth has served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Composition of Our Board of Directors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pacing w:after="0" w:line="93" w:lineRule="exact"/>
        <w:rPr>
          <w:sz w:val="20"/>
          <w:szCs w:val="20"/>
          <w:color w:val="auto"/>
        </w:rPr>
      </w:pPr>
    </w:p>
    <w:p>
      <w:pPr>
        <w:ind w:left="1660" w:right="6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Class I directors will be Tim Bixby, Jennifer Fleiss and Carley Roney, and their terms will expire at our first annual meeting of stockholders upon the completion of this offering;</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Class II directors will be Scott Friend, Melanie Harris, Dan Nova and Mike Roth, and their terms will expire at our second annual meeting of stockholders upon the completion of this offering;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Class III directors will be Jennifer Hyman, Beth Kaplan, Gwyneth Paltrow and Dan Rosensweig, and their terms will expire at our third annual meeting of stockholders upon the completion of this offering.</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Bain Capital Ventures Entities (as defined in the section titled “Principal Stockholders”),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director and the Founder Directors (each as defined therein). The Stockholders’ Agreement will terminate upon the earliest to occur of (i) each of the Bain Capital Ventures Entities,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00"/>
          </w:cols>
          <w:pgMar w:left="320" w:top="407" w:right="137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board of directors has reviewed the independence of each director. Based on information provided by each director concerning his or her background, employment, and affiliations, our board of directors has determined that Tim Bixby, Jennifer Fleiss, Scott Friend, Melanie Harris, Beth Kaplan, Dan Nova, Gwyneth Paltrow, Carley Roney, Dan Rosensweig, and Mike Roth do not have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47"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Committees of Our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ESG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Our audit committee consists of Tim Bixby, Melanie Harris, Beth Kaplan and Dan Nova. Our board of directors has determined that each member of our audit committee satisfies the independence requirements under the listing standards of Nasdaq and</w:t>
      </w:r>
    </w:p>
    <w:p>
      <w:pPr>
        <w:ind w:left="1020"/>
        <w:spacing w:after="0" w:line="238" w:lineRule="auto"/>
        <w:rPr>
          <w:sz w:val="20"/>
          <w:szCs w:val="20"/>
          <w:color w:val="auto"/>
        </w:rPr>
      </w:pPr>
      <w:r>
        <w:rPr>
          <w:rFonts w:ascii="Arial" w:cs="Arial" w:eastAsia="Arial" w:hAnsi="Arial"/>
          <w:sz w:val="15"/>
          <w:szCs w:val="15"/>
          <w:color w:val="auto"/>
        </w:rPr>
        <w:t>Rule 10A-3(b)(1) of the Exchange Act. The chair of our audit committee is Tim Bixby. Our board of directors has determined that Tim Bixby and Dan Nova is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70"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audit committee include:</w:t>
      </w:r>
    </w:p>
    <w:p>
      <w:pPr>
        <w:spacing w:after="0" w:line="98" w:lineRule="exact"/>
        <w:rPr>
          <w:sz w:val="20"/>
          <w:szCs w:val="20"/>
          <w:color w:val="auto"/>
        </w:rPr>
      </w:pPr>
    </w:p>
    <w:p>
      <w:pPr>
        <w:ind w:left="2020" w:hanging="351"/>
        <w:spacing w:after="0"/>
        <w:tabs>
          <w:tab w:leader="none" w:pos="202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overseeing our corporate accounting and financial reporting processes;</w:t>
      </w:r>
    </w:p>
    <w:p>
      <w:pPr>
        <w:spacing w:after="0" w:line="97" w:lineRule="exact"/>
        <w:rPr>
          <w:rFonts w:ascii="Arial" w:cs="Arial" w:eastAsia="Arial" w:hAnsi="Arial"/>
          <w:sz w:val="15"/>
          <w:szCs w:val="15"/>
          <w:color w:val="auto"/>
        </w:rPr>
      </w:pPr>
    </w:p>
    <w:p>
      <w:pPr>
        <w:ind w:left="2020" w:right="80" w:hanging="351"/>
        <w:spacing w:after="0"/>
        <w:tabs>
          <w:tab w:leader="none" w:pos="202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91" w:lineRule="exact"/>
        <w:rPr>
          <w:rFonts w:ascii="Arial" w:cs="Arial" w:eastAsia="Arial" w:hAnsi="Arial"/>
          <w:sz w:val="15"/>
          <w:szCs w:val="15"/>
          <w:color w:val="auto"/>
        </w:rPr>
      </w:pPr>
    </w:p>
    <w:p>
      <w:pPr>
        <w:ind w:left="2020" w:right="280" w:hanging="351"/>
        <w:spacing w:after="0" w:line="245" w:lineRule="auto"/>
        <w:tabs>
          <w:tab w:leader="none" w:pos="202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7" w:lineRule="exact"/>
        <w:rPr>
          <w:rFonts w:ascii="Arial" w:cs="Arial" w:eastAsia="Arial" w:hAnsi="Arial"/>
          <w:sz w:val="15"/>
          <w:szCs w:val="15"/>
          <w:color w:val="auto"/>
        </w:rPr>
      </w:pPr>
    </w:p>
    <w:p>
      <w:pPr>
        <w:ind w:left="2020" w:right="340" w:hanging="351"/>
        <w:spacing w:after="0"/>
        <w:tabs>
          <w:tab w:leader="none" w:pos="202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20"/>
          </w:cols>
          <w:pgMar w:left="320" w:top="407"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reviewing related party transactions;</w:t>
      </w:r>
    </w:p>
    <w:p>
      <w:pPr>
        <w:spacing w:after="0" w:line="97" w:lineRule="exact"/>
        <w:rPr>
          <w:rFonts w:ascii="Arial" w:cs="Arial" w:eastAsia="Arial" w:hAnsi="Arial"/>
          <w:sz w:val="15"/>
          <w:szCs w:val="15"/>
          <w:color w:val="auto"/>
        </w:rPr>
      </w:pPr>
    </w:p>
    <w:p>
      <w:pPr>
        <w:ind w:left="2020" w:right="160" w:hanging="351"/>
        <w:spacing w:after="0" w:line="245" w:lineRule="auto"/>
        <w:tabs>
          <w:tab w:leader="none" w:pos="20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pre-approving, audit and permissible non-audit services to be performed by the independent registered public accounting firm; and</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preparing the audit committee report that the SEC requires in our annual proxy statement.</w:t>
      </w:r>
    </w:p>
    <w:p>
      <w:pPr>
        <w:spacing w:after="0" w:line="17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compensation committee consists of Beth Kaplan, Scott Friend, Dan Nova, Dan Rosensweig and Mike Roth. The chair of our compensation committee is Beth Kaplan. Our board of directors has determined that each member of our compensation committee is independent under the listing standards of Nasdaq and a “non-employee director” as defined in Rule 16b-3 promulgated under the Exchange Act.</w:t>
      </w:r>
    </w:p>
    <w:p>
      <w:pPr>
        <w:spacing w:after="0" w:line="172"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compensation committee include:</w:t>
      </w:r>
    </w:p>
    <w:p>
      <w:pPr>
        <w:spacing w:after="0" w:line="98" w:lineRule="exact"/>
        <w:rPr>
          <w:sz w:val="20"/>
          <w:szCs w:val="20"/>
          <w:color w:val="auto"/>
        </w:rPr>
      </w:pPr>
    </w:p>
    <w:p>
      <w:pPr>
        <w:ind w:left="2020" w:right="100" w:hanging="351"/>
        <w:spacing w:after="0" w:line="245" w:lineRule="auto"/>
        <w:tabs>
          <w:tab w:leader="none" w:pos="20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chief executive officer and other executive officers;</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directors;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administering our equity incentive plans and other benefit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reviewing and approving employment agreements and severance arrangements for our executive officers; and</w:t>
      </w:r>
    </w:p>
    <w:p>
      <w:pPr>
        <w:spacing w:after="0" w:line="97" w:lineRule="exact"/>
        <w:rPr>
          <w:rFonts w:ascii="Arial" w:cs="Arial" w:eastAsia="Arial" w:hAnsi="Arial"/>
          <w:sz w:val="15"/>
          <w:szCs w:val="15"/>
          <w:color w:val="auto"/>
        </w:rPr>
      </w:pPr>
    </w:p>
    <w:p>
      <w:pPr>
        <w:ind w:left="2020" w:right="100" w:hanging="351"/>
        <w:spacing w:after="0" w:line="245" w:lineRule="auto"/>
        <w:tabs>
          <w:tab w:leader="none" w:pos="202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overseeing our talent and employee development programs and our strategy, efforts and results regarding diversity, equity and inclusion.</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ESG Committee</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nominating and ESG committee consists of Dan Rosensweig, Jennifer Fleiss, Gwyneth Paltrow and Carley Roney. The chair of our nominating and ESG committee is Dan Rosensweig.</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nominating and ESG committee include:</w:t>
      </w:r>
    </w:p>
    <w:p>
      <w:pPr>
        <w:spacing w:after="0" w:line="98" w:lineRule="exact"/>
        <w:rPr>
          <w:sz w:val="20"/>
          <w:szCs w:val="20"/>
          <w:color w:val="auto"/>
        </w:rPr>
      </w:pPr>
    </w:p>
    <w:p>
      <w:pPr>
        <w:ind w:left="2020" w:right="600" w:hanging="351"/>
        <w:spacing w:after="0" w:line="245" w:lineRule="auto"/>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identifying and evaluating candidates, including the nomination of incumbent directors for reelection and nominees recommended by stockholders, to serve on our board of directors;</w:t>
      </w:r>
    </w:p>
    <w:p>
      <w:pPr>
        <w:spacing w:after="0" w:line="87" w:lineRule="exact"/>
        <w:rPr>
          <w:rFonts w:ascii="Arial" w:cs="Arial" w:eastAsia="Arial" w:hAnsi="Arial"/>
          <w:sz w:val="15"/>
          <w:szCs w:val="15"/>
          <w:color w:val="auto"/>
        </w:rPr>
      </w:pPr>
    </w:p>
    <w:p>
      <w:pPr>
        <w:ind w:left="2020" w:right="320" w:hanging="351"/>
        <w:spacing w:after="0" w:line="245" w:lineRule="auto"/>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and chairmanship of the committees of our board of directors;</w:t>
      </w:r>
    </w:p>
    <w:p>
      <w:pPr>
        <w:spacing w:after="0" w:line="87" w:lineRule="exact"/>
        <w:rPr>
          <w:rFonts w:ascii="Arial" w:cs="Arial" w:eastAsia="Arial" w:hAnsi="Arial"/>
          <w:sz w:val="15"/>
          <w:szCs w:val="15"/>
          <w:color w:val="auto"/>
        </w:rPr>
      </w:pPr>
    </w:p>
    <w:p>
      <w:pPr>
        <w:ind w:left="5500" w:hanging="3831"/>
        <w:spacing w:after="0" w:line="417" w:lineRule="auto"/>
        <w:tabs>
          <w:tab w:leader="none" w:pos="2031"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 190</w:t>
      </w:r>
    </w:p>
    <w:p>
      <w:pPr>
        <w:sectPr>
          <w:pgSz w:w="11900" w:h="16838" w:orient="portrait"/>
          <w:cols w:equalWidth="0" w:num="1">
            <w:col w:w="10220"/>
          </w:cols>
          <w:pgMar w:left="320" w:top="407" w:right="135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overseeing periodic evaluations of the board of directors’ performance, including committees of the board of directors; and</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overseeing our sustainability strategies, policies and practices.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nominating and ESG committee will operate under a written charter, to be effective upon the completion of this offering.</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 xml:space="preserve">We have adopted a Code of Business Conduct and Ethics applicable to all of our directors, officers (including our principal executive officer, principal financial officer, and principal accounting officer) and all global employees. Upon the completion of this offering, our Code of Business Conduct and Ethics will be available on our website at </w:t>
      </w:r>
      <w:r>
        <w:rPr>
          <w:rFonts w:ascii="Arial" w:cs="Arial" w:eastAsia="Arial" w:hAnsi="Arial"/>
          <w:sz w:val="15"/>
          <w:szCs w:val="15"/>
          <w:i w:val="1"/>
          <w:iCs w:val="1"/>
          <w:color w:val="auto"/>
        </w:rPr>
        <w:t>www.renttherunway.com</w:t>
      </w:r>
      <w:r>
        <w:rPr>
          <w:rFonts w:ascii="Arial" w:cs="Arial" w:eastAsia="Arial" w:hAnsi="Arial"/>
          <w:sz w:val="15"/>
          <w:szCs w:val="15"/>
          <w:color w:val="auto"/>
        </w:rPr>
        <w:t>. We expect that amendments to the Code of Business Conduct and Ethics, or waivers of its requirements, will, if required, be disclosed on our website or in filings under the Exchange Act as required by law or Nasdaq rules.</w:t>
      </w:r>
    </w:p>
    <w:p>
      <w:pPr>
        <w:spacing w:after="0" w:line="24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Ms. Hyman is the chair of our board of directors. As Ms. Hyman is not an “independent director,” our board of directors has appointed Scott Friend to serve as our lead independent director, effective at the time of effectiveness of the registration statement of which this prospectus forms a part. The lead independent director’s responsibilities include, but are not limited to: presiding over all meetings of the board of directors at which the chair of the board of directors is not present, including any executive sessions of the independent directors; working with management to set board meeting schedules and agendas; leading the board evaluation process with the nominating and ESG committee; and acting as the liaison between the independent directors on the one hand and the chief executive officer and chair of our board of directors on the other. Our corporate governance guidelines provide the flexibility for our board of directors to modify our leadership structure in the future as it deems appropriate.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Oversight</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20"/>
          </w:cols>
          <w:pgMar w:left="320" w:top="407" w:right="13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progress. While each committee will be responsible for evaluating certain risks and overseeing the management of such risks, our entire board of directors will be regularly informed through committee reports about such risks.</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Board Diversity</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nominating and ESG committee will be responsible for reviewing with the board of directors, on an annual basis, the appropriate characteristics, skills, and experience required for the board of directors as a whole and its individual members. As of the date of this prospectus, 55% of the members of our board of directors identify as women.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160"/>
          </w:cols>
          <w:pgMar w:left="320" w:top="407" w:right="141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91" w:lineRule="exact"/>
        <w:rPr>
          <w:sz w:val="20"/>
          <w:szCs w:val="20"/>
          <w:color w:val="auto"/>
        </w:rPr>
      </w:pPr>
    </w:p>
    <w:p>
      <w:pPr>
        <w:ind w:left="166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Jennifer Y. Hyman, Co-Founder, Chief Executive Officer and Chair;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Scarlett O’Sullivan, Chief Financial Officer;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Anushka Salinas, President and Chief Operating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Brian Donato, Chief Supply Chain Officer.</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all of the compensation awarded to, earned by or paid to our named executive officers for the year ended January 31, 2021.</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340"/>
              <w:spacing w:after="0" w:line="124" w:lineRule="exact"/>
              <w:rPr>
                <w:sz w:val="20"/>
                <w:szCs w:val="20"/>
                <w:color w:val="auto"/>
              </w:rPr>
            </w:pPr>
            <w:r>
              <w:rPr>
                <w:rFonts w:ascii="Arial" w:cs="Arial" w:eastAsia="Arial" w:hAnsi="Arial"/>
                <w:sz w:val="12"/>
                <w:szCs w:val="12"/>
                <w:b w:val="1"/>
                <w:bCs w:val="1"/>
                <w:color w:val="auto"/>
              </w:rPr>
              <w:t>Salary</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Bonus</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Awards</w:t>
            </w:r>
          </w:p>
        </w:tc>
        <w:tc>
          <w:tcPr>
            <w:tcW w:w="12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9"/>
              </w:rPr>
              <w:t>Compensation($)</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22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w:t>
            </w:r>
          </w:p>
        </w:tc>
        <w:tc>
          <w:tcPr>
            <w:tcW w:w="600" w:type="dxa"/>
            <w:vAlign w:val="bottom"/>
          </w:tcPr>
          <w:p>
            <w:pPr>
              <w:jc w:val="right"/>
              <w:ind w:right="70"/>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600" w:type="dxa"/>
            <w:vAlign w:val="bottom"/>
          </w:tcPr>
          <w:p>
            <w:pPr>
              <w:jc w:val="right"/>
              <w:ind w:right="9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24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340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Jennifer Y. Hyman</w:t>
            </w:r>
          </w:p>
        </w:tc>
        <w:tc>
          <w:tcPr>
            <w:tcW w:w="40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5"/>
                <w:szCs w:val="15"/>
                <w:color w:val="auto"/>
                <w:w w:val="95"/>
              </w:rPr>
              <w:t>2020</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525,000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360"/>
              <w:spacing w:after="0" w:line="15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0</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1,187,582</w:t>
            </w: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16,428</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1,729,010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Co-Founder, Chief Executive Officer and Chair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Scarlett O’Sullivan</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27,915</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11,400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594,315</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Chief Financial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Anushka Salinas</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243,418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13,754</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812,172</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President and Chief Operating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Brian Donato</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480,000</w:t>
            </w:r>
          </w:p>
        </w:tc>
        <w:tc>
          <w:tcPr>
            <w:tcW w:w="8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150,000</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8,000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638,000</w:t>
            </w:r>
          </w:p>
        </w:tc>
        <w:tc>
          <w:tcPr>
            <w:tcW w:w="0" w:type="dxa"/>
            <w:vAlign w:val="bottom"/>
          </w:tcPr>
          <w:p>
            <w:pPr>
              <w:spacing w:after="0"/>
              <w:rPr>
                <w:sz w:val="1"/>
                <w:szCs w:val="1"/>
                <w:color w:val="auto"/>
              </w:rPr>
            </w:pPr>
          </w:p>
        </w:tc>
      </w:tr>
      <w:tr>
        <w:trPr>
          <w:trHeight w:val="196"/>
        </w:trPr>
        <w:tc>
          <w:tcPr>
            <w:tcW w:w="3400" w:type="dxa"/>
            <w:vAlign w:val="bottom"/>
            <w:gridSpan w:val="2"/>
          </w:tcPr>
          <w:p>
            <w:pPr>
              <w:spacing w:after="0"/>
              <w:rPr>
                <w:sz w:val="20"/>
                <w:szCs w:val="20"/>
                <w:color w:val="auto"/>
              </w:rPr>
            </w:pPr>
            <w:r>
              <w:rPr>
                <w:rFonts w:ascii="Arial" w:cs="Arial" w:eastAsia="Arial" w:hAnsi="Arial"/>
                <w:sz w:val="15"/>
                <w:szCs w:val="15"/>
                <w:i w:val="1"/>
                <w:iCs w:val="1"/>
                <w:color w:val="auto"/>
              </w:rPr>
              <w:t>Chief Supply Chain Officer</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54610</wp:posOffset>
            </wp:positionV>
            <wp:extent cx="64389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5" w:lineRule="exact"/>
        <w:rPr>
          <w:sz w:val="20"/>
          <w:szCs w:val="20"/>
          <w:color w:val="auto"/>
        </w:rPr>
      </w:pPr>
    </w:p>
    <w:p>
      <w:pPr>
        <w:ind w:left="1380" w:right="220" w:hanging="353"/>
        <w:spacing w:after="0" w:line="235" w:lineRule="auto"/>
        <w:tabs>
          <w:tab w:leader="none" w:pos="13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1380" w:hanging="353"/>
        <w:spacing w:after="0" w:line="235" w:lineRule="auto"/>
        <w:tabs>
          <w:tab w:leader="none" w:pos="13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Amount reflects a one-time signing bonus paid to Mr. Donato in connection with his commencement of service with us in March 2020.</w:t>
      </w:r>
    </w:p>
    <w:p>
      <w:pPr>
        <w:ind w:left="1380" w:hanging="353"/>
        <w:spacing w:after="0" w:line="235" w:lineRule="auto"/>
        <w:tabs>
          <w:tab w:leader="none" w:pos="13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ind w:left="1380" w:right="20" w:hanging="353"/>
        <w:spacing w:after="0" w:line="246" w:lineRule="auto"/>
        <w:tabs>
          <w:tab w:leader="none" w:pos="138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Amount for Ms. Hyman reflects: (i) $5,028 for a free Rent the Runway monthly subscription and Reserve rentals, and (i) $11,400 in matching contributions made by us on behalf of Ms. Hyman to her 401(k) plan account. Amount for Ms. Salinas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220"/>
          </w:cols>
          <w:pgMar w:left="320" w:top="407" w:right="135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41" w:lineRule="auto"/>
        <w:rPr>
          <w:sz w:val="20"/>
          <w:szCs w:val="20"/>
          <w:color w:val="auto"/>
        </w:rPr>
      </w:pPr>
      <w:r>
        <w:rPr>
          <w:rFonts w:ascii="Arial" w:cs="Arial" w:eastAsia="Arial" w:hAnsi="Arial"/>
          <w:sz w:val="12"/>
          <w:szCs w:val="12"/>
          <w:color w:val="auto"/>
        </w:rPr>
        <w:t>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Elements of Our Executive Compensation Program</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Below is a more detailed summary of the current executive compensation program as it relates to our named executive officers.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Base Salaries</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actual salaries paid to each named executive officer for fiscal 2020 are set forth in the “Summary Compensation Table” above in the column titled “Salary.”</w:t>
      </w:r>
    </w:p>
    <w:p>
      <w:pPr>
        <w:spacing w:after="0" w:line="166" w:lineRule="exact"/>
        <w:rPr>
          <w:sz w:val="20"/>
          <w:szCs w:val="20"/>
          <w:color w:val="auto"/>
        </w:rPr>
      </w:pPr>
    </w:p>
    <w:p>
      <w:pPr>
        <w:ind w:left="1020" w:right="540" w:firstLine="460"/>
        <w:spacing w:after="0" w:line="245" w:lineRule="auto"/>
        <w:rPr>
          <w:sz w:val="20"/>
          <w:szCs w:val="20"/>
          <w:color w:val="auto"/>
        </w:rPr>
      </w:pPr>
      <w:r>
        <w:rPr>
          <w:rFonts w:ascii="Arial" w:cs="Arial" w:eastAsia="Arial" w:hAnsi="Arial"/>
          <w:sz w:val="15"/>
          <w:szCs w:val="15"/>
          <w:color w:val="auto"/>
        </w:rPr>
        <w:t>In connection with Ms. Hyman’s Amended CEO Agreement (as defined below), her base salary was increased to $650,000, effective October 4,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Bonus Compensation</w:t>
      </w:r>
    </w:p>
    <w:p>
      <w:pPr>
        <w:spacing w:after="0" w:line="8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i w:val="1"/>
          <w:iCs w:val="1"/>
          <w:color w:val="auto"/>
        </w:rPr>
        <w:t>Fiscal 2020 Performance-Based Bonuses</w:t>
      </w:r>
      <w:r>
        <w:rPr>
          <w:rFonts w:ascii="Arial" w:cs="Arial" w:eastAsia="Arial" w:hAnsi="Arial"/>
          <w:sz w:val="15"/>
          <w:szCs w:val="15"/>
          <w:color w:val="auto"/>
        </w:rPr>
        <w:t>. Ms. Hyman would have been eligible to earn an annual performance-based bonus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6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54"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Donato Sign-on Bonus</w:t>
      </w:r>
      <w:r>
        <w:rPr>
          <w:rFonts w:ascii="Arial" w:cs="Arial" w:eastAsia="Arial" w:hAnsi="Arial"/>
          <w:sz w:val="15"/>
          <w:szCs w:val="15"/>
          <w:color w:val="auto"/>
        </w:rPr>
        <w:t>. In fiscal 2020, Mr. Donato received a sign-on bonus in an aggregate amount of $ 150,000 as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62" w:lineRule="exact"/>
        <w:rPr>
          <w:sz w:val="20"/>
          <w:szCs w:val="20"/>
          <w:color w:val="auto"/>
        </w:rPr>
      </w:pPr>
    </w:p>
    <w:p>
      <w:pPr>
        <w:jc w:val="center"/>
        <w:ind w:left="1600" w:right="200"/>
        <w:spacing w:after="0" w:line="417" w:lineRule="auto"/>
        <w:rPr>
          <w:sz w:val="20"/>
          <w:szCs w:val="20"/>
          <w:color w:val="auto"/>
        </w:rPr>
      </w:pPr>
      <w:r>
        <w:rPr>
          <w:rFonts w:ascii="Arial" w:cs="Arial" w:eastAsia="Arial" w:hAnsi="Arial"/>
          <w:sz w:val="15"/>
          <w:szCs w:val="15"/>
          <w:color w:val="auto"/>
        </w:rPr>
        <w:t>The amount of Mr. Donato’s sign-on bonus is set forth in the “Summary Compensation Table” above in the column titled “Bonus.” 194</w:t>
      </w:r>
    </w:p>
    <w:p>
      <w:pPr>
        <w:sectPr>
          <w:pgSz w:w="11900" w:h="16838" w:orient="portrait"/>
          <w:cols w:equalWidth="0" w:num="1">
            <w:col w:w="10220"/>
          </w:cols>
          <w:pgMar w:left="320" w:top="407" w:right="135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0" w:firstLine="460"/>
        <w:spacing w:after="0" w:line="246" w:lineRule="auto"/>
        <w:rPr>
          <w:sz w:val="20"/>
          <w:szCs w:val="20"/>
          <w:color w:val="auto"/>
        </w:rPr>
      </w:pPr>
      <w:r>
        <w:rPr>
          <w:rFonts w:ascii="Arial" w:cs="Arial" w:eastAsia="Arial" w:hAnsi="Arial"/>
          <w:sz w:val="15"/>
          <w:szCs w:val="15"/>
          <w:i w:val="1"/>
          <w:iCs w:val="1"/>
          <w:color w:val="auto"/>
        </w:rPr>
        <w:t>Fiscal 2021 Bonuses</w:t>
      </w:r>
      <w:r>
        <w:rPr>
          <w:rFonts w:ascii="Arial" w:cs="Arial" w:eastAsia="Arial" w:hAnsi="Arial"/>
          <w:sz w:val="15"/>
          <w:szCs w:val="15"/>
          <w:color w:val="auto"/>
        </w:rPr>
        <w:t>. Pursuant to our fiscal 2021 bonus program, our compensation committee determined that each of our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would be eligible to receive a cash performance 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Stock Plans and Outstanding Awards</w:t>
      </w:r>
      <w:r>
        <w:rPr>
          <w:rFonts w:ascii="Arial" w:cs="Arial" w:eastAsia="Arial" w:hAnsi="Arial"/>
          <w:sz w:val="15"/>
          <w:szCs w:val="15"/>
          <w:color w:val="auto"/>
        </w:rPr>
        <w:t>. We maintain the 2009 Stock Incentive Plan, referred to as the 2009 Plan, and the 2019</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Hyman were also amended to provide for the settlement of such awards when vested and/or exercisable, as applicable, into shares of Class B common stock.</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74"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April 1, 2020, Ms. Hyman was granted 206,901 RSUs, Ms. O’Sullivan was granted 121,009 RSUs, Ms. Salinas was granted 121,009 RSUs, and Mr. Donato was granted 300,000 RSUs, in each case which vest as described above.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or the Repricing. Under the Repricing, eligible options with an exercise price of $ 12.43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56" w:lineRule="exact"/>
        <w:rPr>
          <w:sz w:val="20"/>
          <w:szCs w:val="20"/>
          <w:color w:val="auto"/>
        </w:rPr>
      </w:pPr>
    </w:p>
    <w:p>
      <w:pPr>
        <w:ind w:left="1020" w:right="220" w:firstLine="460"/>
        <w:spacing w:after="0" w:line="267" w:lineRule="auto"/>
        <w:rPr>
          <w:sz w:val="20"/>
          <w:szCs w:val="20"/>
          <w:color w:val="auto"/>
        </w:rPr>
      </w:pPr>
      <w:r>
        <w:rPr>
          <w:rFonts w:ascii="Arial" w:cs="Arial" w:eastAsia="Arial" w:hAnsi="Arial"/>
          <w:sz w:val="15"/>
          <w:szCs w:val="15"/>
          <w:i w:val="1"/>
          <w:iCs w:val="1"/>
          <w:color w:val="auto"/>
        </w:rPr>
        <w:t xml:space="preserve">IPO RSU Awards. </w:t>
      </w:r>
      <w:r>
        <w:rPr>
          <w:rFonts w:ascii="Arial" w:cs="Arial" w:eastAsia="Arial" w:hAnsi="Arial"/>
          <w:sz w:val="15"/>
          <w:szCs w:val="15"/>
          <w:color w:val="auto"/>
        </w:rPr>
        <w:t>In connection with our preparation for this offering, we entered into an award letter with each of Ms. Hyman,</w:t>
      </w:r>
      <w:r>
        <w:rPr>
          <w:rFonts w:ascii="Arial" w:cs="Arial" w:eastAsia="Arial" w:hAnsi="Arial"/>
          <w:sz w:val="15"/>
          <w:szCs w:val="15"/>
          <w:i w:val="1"/>
          <w:iCs w:val="1"/>
          <w:color w:val="auto"/>
        </w:rPr>
        <w:t xml:space="preserve"> </w:t>
      </w:r>
      <w:r>
        <w:rPr>
          <w:rFonts w:ascii="Arial" w:cs="Arial" w:eastAsia="Arial" w:hAnsi="Arial"/>
          <w:sz w:val="15"/>
          <w:szCs w:val="15"/>
          <w:color w:val="auto"/>
        </w:rPr>
        <w:t>Ms. O’Sullivan and Ms. Salinas on May 4, 2021, pursuant to which each</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00"/>
          </w:cols>
          <w:pgMar w:left="320" w:top="407" w:right="137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in quarterly installments thereafter as of the first day of each fiscal quarter such that the award will be fully vested on approximately the fourth anniversary of the grant date, subject to the named executive officer’s continued service with us through the applicable vesting dates, or the IPO RSU Awards. We expect that Ms. Hyman, Ms. O’Sullivan and Ms. Salinas will be granted the IPO RSU Awards upon the date of consummation of this offering.</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or the SPAC, following which the securities of the SPAC are listed on a national securities exchange.</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At the time of this offering, we intend to grant certain new hire and other ordinary course employee stock options and RSU awards under the 2021 Plan with respect to an aggregate amount of approximately 238,213 shares of our Class A common stock.</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89"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 xml:space="preserve">Retirement Plans. </w:t>
      </w:r>
      <w:r>
        <w:rPr>
          <w:rFonts w:ascii="Arial" w:cs="Arial" w:eastAsia="Arial" w:hAnsi="Arial"/>
          <w:sz w:val="15"/>
          <w:szCs w:val="15"/>
          <w:color w:val="auto"/>
        </w:rPr>
        <w:t>We currently maintain a 401(k) retirement savings plan for our employees, including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52" w:lineRule="exact"/>
        <w:rPr>
          <w:sz w:val="20"/>
          <w:szCs w:val="20"/>
          <w:color w:val="auto"/>
        </w:rPr>
      </w:pPr>
    </w:p>
    <w:p>
      <w:pPr>
        <w:ind w:left="1020" w:right="580" w:firstLine="460"/>
        <w:spacing w:after="0" w:line="267" w:lineRule="auto"/>
        <w:rPr>
          <w:sz w:val="20"/>
          <w:szCs w:val="20"/>
          <w:color w:val="auto"/>
        </w:rPr>
      </w:pPr>
      <w:r>
        <w:rPr>
          <w:rFonts w:ascii="Arial" w:cs="Arial" w:eastAsia="Arial" w:hAnsi="Arial"/>
          <w:sz w:val="15"/>
          <w:szCs w:val="15"/>
          <w:i w:val="1"/>
          <w:iCs w:val="1"/>
          <w:color w:val="auto"/>
        </w:rPr>
        <w:t xml:space="preserve">Employee Benefits and Perquisites. </w:t>
      </w:r>
      <w:r>
        <w:rPr>
          <w:rFonts w:ascii="Arial" w:cs="Arial" w:eastAsia="Arial" w:hAnsi="Arial"/>
          <w:sz w:val="15"/>
          <w:szCs w:val="15"/>
          <w:color w:val="auto"/>
        </w:rPr>
        <w:t>All of our full-time employees, including our named executive officers, are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in our health and welfare plans, including:</w:t>
      </w:r>
    </w:p>
    <w:p>
      <w:pPr>
        <w:spacing w:after="0" w:line="72" w:lineRule="exact"/>
        <w:rPr>
          <w:sz w:val="20"/>
          <w:szCs w:val="20"/>
          <w:color w:val="auto"/>
        </w:rPr>
      </w:pPr>
    </w:p>
    <w:p>
      <w:pPr>
        <w:ind w:left="1660" w:hanging="183"/>
        <w:spacing w:after="0"/>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medical, dental and vision benefits;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medical and dependent care flexible spending accounts;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short-term and long-term disability insurance;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life and accidental death &amp; dismemberment insurance.</w:t>
      </w:r>
    </w:p>
    <w:p>
      <w:pPr>
        <w:spacing w:after="0" w:line="161" w:lineRule="exact"/>
        <w:rPr>
          <w:sz w:val="20"/>
          <w:szCs w:val="20"/>
          <w:color w:val="auto"/>
        </w:rPr>
      </w:pPr>
    </w:p>
    <w:p>
      <w:pPr>
        <w:jc w:val="both"/>
        <w:ind w:left="1020" w:right="120" w:firstLine="460"/>
        <w:spacing w:after="0" w:line="251" w:lineRule="auto"/>
        <w:rPr>
          <w:sz w:val="20"/>
          <w:szCs w:val="20"/>
          <w:color w:val="auto"/>
        </w:rPr>
      </w:pPr>
      <w:r>
        <w:rPr>
          <w:rFonts w:ascii="Arial" w:cs="Arial" w:eastAsia="Arial" w:hAnsi="Arial"/>
          <w:sz w:val="15"/>
          <w:szCs w:val="15"/>
          <w:i w:val="1"/>
          <w:iCs w:val="1"/>
          <w:color w:val="auto"/>
        </w:rPr>
        <w:t xml:space="preserve">No tax gross-ups. </w:t>
      </w:r>
      <w:r>
        <w:rPr>
          <w:rFonts w:ascii="Arial" w:cs="Arial" w:eastAsia="Arial" w:hAnsi="Arial"/>
          <w:sz w:val="15"/>
          <w:szCs w:val="15"/>
          <w:color w:val="auto"/>
        </w:rPr>
        <w:t>We generally do not provide tax gross-ups to our named executive. Historically, Ms. Hyman was entitled to a</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280G excise tax gross-up pursuant to the CEO Agreement (as defined below), but such gross-up is no longer provided to her in connection with her execution of the Amended CEO Agreement.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140"/>
          </w:cols>
          <w:pgMar w:left="320" w:top="407" w:right="143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 Following the completion of this offering, Ms. Hyman will hold equity awards with respect to shares of our Class B common stock and our other named executive officers will hold equity awards with respect to shares of our Class A common stock.</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14"/>
        </w:trPr>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9"/>
                <w:szCs w:val="9"/>
                <w:b w:val="1"/>
                <w:bCs w:val="1"/>
                <w:color w:val="auto"/>
                <w:w w:val="99"/>
              </w:rPr>
              <w:t>Option Awards</w:t>
            </w: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ind w:left="320"/>
              <w:spacing w:after="0"/>
              <w:rPr>
                <w:sz w:val="20"/>
                <w:szCs w:val="20"/>
                <w:color w:val="auto"/>
              </w:rPr>
            </w:pPr>
            <w:r>
              <w:rPr>
                <w:rFonts w:ascii="Arial" w:cs="Arial" w:eastAsia="Arial" w:hAnsi="Arial"/>
                <w:sz w:val="9"/>
                <w:szCs w:val="9"/>
                <w:b w:val="1"/>
                <w:bCs w:val="1"/>
                <w:color w:val="auto"/>
              </w:rPr>
              <w:t>Stock Awards</w:t>
            </w: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200"/>
              <w:spacing w:after="0" w:line="80" w:lineRule="exact"/>
              <w:rPr>
                <w:sz w:val="20"/>
                <w:szCs w:val="20"/>
                <w:color w:val="auto"/>
              </w:rPr>
            </w:pPr>
            <w:r>
              <w:rPr>
                <w:rFonts w:ascii="Arial" w:cs="Arial" w:eastAsia="Arial" w:hAnsi="Arial"/>
                <w:sz w:val="9"/>
                <w:szCs w:val="9"/>
                <w:b w:val="1"/>
                <w:bCs w:val="1"/>
                <w:color w:val="auto"/>
                <w:w w:val="94"/>
              </w:rPr>
              <w:t>Equity</w:t>
            </w: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Incentive</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Plan</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5"/>
              </w:rPr>
              <w:t>Awards: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Number of</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9"/>
              </w:rPr>
              <w:t>Incentive Plan</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Market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Unearned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Awards: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6"/>
              </w:rPr>
              <w:t>Value of</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80"/>
              <w:spacing w:after="0" w:line="102" w:lineRule="exact"/>
              <w:rPr>
                <w:sz w:val="20"/>
                <w:szCs w:val="20"/>
                <w:color w:val="auto"/>
              </w:rPr>
            </w:pPr>
            <w:r>
              <w:rPr>
                <w:rFonts w:ascii="Arial" w:cs="Arial" w:eastAsia="Arial" w:hAnsi="Arial"/>
                <w:sz w:val="9"/>
                <w:szCs w:val="9"/>
                <w:b w:val="1"/>
                <w:bCs w:val="1"/>
                <w:color w:val="auto"/>
              </w:rPr>
              <w:t>Number of</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 or</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Units or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Payout Value</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Number of</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Number of</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Shares or</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Units of</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Other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of Unearned</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Securities</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Securities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Units of</w:t>
            </w:r>
          </w:p>
        </w:tc>
        <w:tc>
          <w:tcPr>
            <w:tcW w:w="62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Stock</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Rights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Shares, Units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Underlying</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Underlying</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Stock</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That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That Have</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or Other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Unexercised</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Unexercised</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Option</w:t>
            </w:r>
          </w:p>
        </w:tc>
        <w:tc>
          <w:tcPr>
            <w:tcW w:w="740" w:type="dxa"/>
            <w:vAlign w:val="bottom"/>
            <w:gridSpan w:val="2"/>
          </w:tcPr>
          <w:p>
            <w:pPr>
              <w:jc w:val="center"/>
              <w:ind w:right="80"/>
              <w:spacing w:after="0" w:line="102" w:lineRule="exact"/>
              <w:rPr>
                <w:sz w:val="20"/>
                <w:szCs w:val="20"/>
                <w:color w:val="auto"/>
              </w:rPr>
            </w:pPr>
            <w:r>
              <w:rPr>
                <w:rFonts w:ascii="Arial" w:cs="Arial" w:eastAsia="Arial" w:hAnsi="Arial"/>
                <w:sz w:val="9"/>
                <w:szCs w:val="9"/>
                <w:b w:val="1"/>
                <w:bCs w:val="1"/>
                <w:color w:val="auto"/>
              </w:rPr>
              <w:t>Option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That Have</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Have Not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3"/>
              </w:rPr>
              <w:t>Not</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Rights That</w:t>
            </w:r>
          </w:p>
        </w:tc>
        <w:tc>
          <w:tcPr>
            <w:tcW w:w="0" w:type="dxa"/>
            <w:vAlign w:val="bottom"/>
          </w:tcPr>
          <w:p>
            <w:pPr>
              <w:spacing w:after="0"/>
              <w:rPr>
                <w:sz w:val="1"/>
                <w:szCs w:val="1"/>
                <w:color w:val="auto"/>
              </w:rPr>
            </w:pPr>
          </w:p>
        </w:tc>
      </w:tr>
      <w:tr>
        <w:trPr>
          <w:trHeight w:val="101"/>
        </w:trPr>
        <w:tc>
          <w:tcPr>
            <w:tcW w:w="260" w:type="dxa"/>
            <w:vAlign w:val="bottom"/>
            <w:vMerge w:val="restart"/>
          </w:tcPr>
          <w:p>
            <w:pPr>
              <w:spacing w:after="0"/>
              <w:rPr>
                <w:sz w:val="20"/>
                <w:szCs w:val="20"/>
                <w:color w:val="auto"/>
              </w:rPr>
            </w:pPr>
            <w:r>
              <w:rPr>
                <w:rFonts w:ascii="Arial" w:cs="Arial" w:eastAsia="Arial" w:hAnsi="Arial"/>
                <w:sz w:val="9"/>
                <w:szCs w:val="9"/>
                <w:b w:val="1"/>
                <w:bCs w:val="1"/>
                <w:color w:val="auto"/>
                <w:w w:val="97"/>
              </w:rPr>
              <w:t>Name</w:t>
            </w:r>
          </w:p>
        </w:tc>
        <w:tc>
          <w:tcPr>
            <w:tcW w:w="23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6"/>
              </w:rPr>
              <w:t>Options (#)</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Options</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Exercise</w:t>
            </w:r>
          </w:p>
        </w:tc>
        <w:tc>
          <w:tcPr>
            <w:tcW w:w="740" w:type="dxa"/>
            <w:vAlign w:val="bottom"/>
            <w:gridSpan w:val="2"/>
          </w:tcPr>
          <w:p>
            <w:pPr>
              <w:jc w:val="center"/>
              <w:ind w:right="60"/>
              <w:spacing w:after="0" w:line="102" w:lineRule="exact"/>
              <w:rPr>
                <w:sz w:val="20"/>
                <w:szCs w:val="20"/>
                <w:color w:val="auto"/>
              </w:rPr>
            </w:pPr>
            <w:r>
              <w:rPr>
                <w:rFonts w:ascii="Arial" w:cs="Arial" w:eastAsia="Arial" w:hAnsi="Arial"/>
                <w:sz w:val="9"/>
                <w:szCs w:val="9"/>
                <w:b w:val="1"/>
                <w:bCs w:val="1"/>
                <w:color w:val="auto"/>
                <w:w w:val="99"/>
              </w:rPr>
              <w:t>Expiration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3"/>
              </w:rPr>
              <w:t>Not</w:t>
            </w: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Vested</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Vested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Have Not</w:t>
            </w: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Grant Date</w:t>
            </w:r>
          </w:p>
        </w:tc>
        <w:tc>
          <w:tcPr>
            <w:tcW w:w="8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Exercisable</w:t>
            </w:r>
          </w:p>
        </w:tc>
        <w:tc>
          <w:tcPr>
            <w:tcW w:w="9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 Unexercisable</w:t>
            </w:r>
          </w:p>
        </w:tc>
        <w:tc>
          <w:tcPr>
            <w:tcW w:w="5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 xml:space="preserve">Price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Vested (#)</w:t>
            </w:r>
          </w:p>
        </w:tc>
        <w:tc>
          <w:tcPr>
            <w:tcW w:w="4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(#)(1)</w:t>
            </w:r>
          </w:p>
        </w:tc>
        <w:tc>
          <w:tcPr>
            <w:tcW w:w="20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 xml:space="preserve">Vested </w:t>
            </w:r>
            <w:r>
              <w:rPr>
                <w:rFonts w:ascii="Arial" w:cs="Arial" w:eastAsia="Arial" w:hAnsi="Arial"/>
                <w:sz w:val="9"/>
                <w:szCs w:val="9"/>
                <w:b w:val="1"/>
                <w:bCs w:val="1"/>
                <w:u w:val="single" w:color="auto"/>
                <w:color w:val="auto"/>
                <w:w w:val="99"/>
              </w:rPr>
              <w:t>($</w:t>
            </w:r>
            <w:r>
              <w:rPr>
                <w:rFonts w:ascii="Arial" w:cs="Arial" w:eastAsia="Arial" w:hAnsi="Arial"/>
                <w:sz w:val="9"/>
                <w:szCs w:val="9"/>
                <w:b w:val="1"/>
                <w:bCs w:val="1"/>
                <w:color w:val="auto"/>
                <w:w w:val="99"/>
              </w:rPr>
              <w:t>)(2)</w:t>
            </w: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Jennifer Y. Hyman</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80" w:type="dxa"/>
            <w:vAlign w:val="bottom"/>
            <w:gridSpan w:val="2"/>
            <w:vMerge w:val="continue"/>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18"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500"/>
              <w:spacing w:after="0" w:line="118"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18"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18"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1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260"/>
              <w:spacing w:after="0" w:line="118"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1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6"/>
              </w:rPr>
              <w:t>206,901</w:t>
            </w:r>
          </w:p>
        </w:tc>
        <w:tc>
          <w:tcPr>
            <w:tcW w:w="20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1,398,651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12/14/2012</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327,128(3)</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2.86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12/15/2022</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01/16/2014</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191,812(3)</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2.38</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01/15/2024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05/24/2016</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83,121(4)</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7.02</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05/24/2026</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395,218(5)</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204,609(5)</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75,997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02/08/2019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246,653(5)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268,101</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02/07/2029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226,352(3)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377,254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Scarlett O’Sullivan</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09/28/2015</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335,552(6)</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5.10</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09/27/2025</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08/21/2017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144,566(5)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28,913</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08/20/2027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08/17/2019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9,375(3)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15,625</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08/16/2029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Anushka Salinas</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156,666(3)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3,334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14,583(3)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5,417</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01/14/2019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9,583(3)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10,417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01/13/2029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75,000(3)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125,000</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rPr>
                <w:sz w:val="20"/>
                <w:szCs w:val="20"/>
                <w:color w:val="auto"/>
              </w:rPr>
            </w:pPr>
            <w:r>
              <w:rPr>
                <w:rFonts w:ascii="Arial" w:cs="Arial" w:eastAsia="Arial" w:hAnsi="Arial"/>
                <w:sz w:val="12"/>
                <w:szCs w:val="12"/>
                <w:color w:val="auto"/>
              </w:rPr>
              <w:t>Brian Donato</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04/01/2020</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center"/>
              <w:ind w:left="244"/>
              <w:spacing w:after="0"/>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tcPr>
          <w:p>
            <w:pPr>
              <w:jc w:val="center"/>
              <w:spacing w:after="0"/>
              <w:rPr>
                <w:sz w:val="20"/>
                <w:szCs w:val="20"/>
                <w:color w:val="auto"/>
              </w:rPr>
            </w:pPr>
            <w:r>
              <w:rPr>
                <w:rFonts w:ascii="Arial" w:cs="Arial" w:eastAsia="Arial" w:hAnsi="Arial"/>
                <w:sz w:val="12"/>
                <w:szCs w:val="12"/>
                <w:color w:val="auto"/>
                <w:w w:val="96"/>
              </w:rPr>
              <w:t>300,000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35"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1380" w:right="400" w:hanging="353"/>
        <w:spacing w:after="0" w:line="235"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Amounts are calculated by multiplying the number of shares shown in the table by $6.76, the fair market value of our common stock as of January 31, 2021, as determined by our board of directors.</w:t>
      </w:r>
    </w:p>
    <w:p>
      <w:pPr>
        <w:ind w:left="1380" w:right="80" w:hanging="353"/>
        <w:spacing w:after="0" w:line="235"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ind w:left="1380" w:right="300" w:hanging="353"/>
        <w:spacing w:after="0" w:line="235"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January 31, 2016 such that the option became fully vested on January 31, 2020.</w:t>
      </w:r>
    </w:p>
    <w:p>
      <w:pPr>
        <w:jc w:val="both"/>
        <w:ind w:left="1380" w:right="120" w:hanging="353"/>
        <w:spacing w:after="0" w:line="235"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ind w:left="1380" w:right="240" w:hanging="353"/>
        <w:spacing w:after="0" w:line="246" w:lineRule="auto"/>
        <w:tabs>
          <w:tab w:leader="none" w:pos="138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20"/>
          </w:cols>
          <w:pgMar w:left="320" w:top="407"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Executive Compensation Arrangements</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Below are written descriptions of our employment arrangements with each of our named executive officers. Each of our named executive officers’ employment is “at will” and may be terminated at any time.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entered into a new employment agreement with Ms. Hyman to be effective upon the completion of this offering.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Jennifer Y. Hyman</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Prior CEO Agreement</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On July 6, 2015, we entered into an employment agreement with Ms. Hyman providing for her employment as our Co-Founder and Chief Executive Officer, which was subsequently amended on November 20, 2020, or as amended, the “CEO Agreement.</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 for fiscal 2021.</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174" w:lineRule="exact"/>
        <w:rPr>
          <w:sz w:val="20"/>
          <w:szCs w:val="20"/>
          <w:color w:val="auto"/>
        </w:rPr>
      </w:pPr>
    </w:p>
    <w:p>
      <w:pPr>
        <w:ind w:left="1020" w:right="240" w:firstLine="460"/>
        <w:spacing w:after="0" w:line="236" w:lineRule="auto"/>
        <w:rPr>
          <w:sz w:val="20"/>
          <w:szCs w:val="20"/>
          <w:color w:val="auto"/>
        </w:rPr>
      </w:pPr>
      <w:r>
        <w:rPr>
          <w:rFonts w:ascii="Arial" w:cs="Arial" w:eastAsia="Arial" w:hAnsi="Arial"/>
          <w:sz w:val="15"/>
          <w:szCs w:val="15"/>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or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00"/>
          </w:cols>
          <w:pgMar w:left="320" w:top="407" w:right="137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38" w:lineRule="auto"/>
        <w:rPr>
          <w:sz w:val="20"/>
          <w:szCs w:val="20"/>
          <w:color w:val="auto"/>
        </w:rPr>
      </w:pPr>
      <w:r>
        <w:rPr>
          <w:rFonts w:ascii="Arial" w:cs="Arial" w:eastAsia="Arial" w:hAnsi="Arial"/>
          <w:sz w:val="15"/>
          <w:szCs w:val="15"/>
          <w:color w:val="auto"/>
        </w:rPr>
        <w:t>control,” in lieu of (i), Ms. Hyman will be entitled to receive two times the Cash Severance Payment, 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event Ms. Hyman’s employment is terminated due to death or “disability,” she will be entitled to receive, subject to her timely execution and non -revocation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Amended CEO Agreement</w:t>
      </w:r>
    </w:p>
    <w:p>
      <w:pPr>
        <w:spacing w:after="0" w:line="103"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In connection with this offering, we entered into an employment agreement, or the Amended CEO Agreement, with Ms. Hyman amending and restating the CEO Agreement, which provides for her continued employment with us as Co-Founder and Chief Executive Officer, effective as of the closing date of this offering (except as otherwise noted below). The Amended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Amended CEO Agreement or enter into a new Executive Chair Agreement with Ms. Hyman.</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Pursuant to the Amended CEO Agreement, Ms. Hyman is entitled to an initial annual base salary of $650,000, (commencing as of October 4, 2021, as determined by our Compensation Committee). The Amended CEO Agreement also provides that, with respect to fiscal year 2022 and thereafter, Ms. Hyman is eligible to receive an annual performance-based cash bonus with a target bonus opportunity of 50% of her base salary and a maximum bonus opportunity of 120% of her base salary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7"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based on the achievement of performance criteria established by our board of directors or its authorized delegate. In addition, pursuant to the Amended CEO Agreement Ms. Hyman will receive data security consulting benefits and we will engage a security consultant to perform an assessment of Ms. Hyman’s personal security considerations in connection with her position with us (following which the compensation committee will determine any reasonable security enhancements to be adopted after its review of such assessment). Ms. Hyman will be entitled to reimbursement of legal fees of up to $50,000 incurred in connection with the negotiation and preparation of the Amended CEO Agreement and any related equity documents.</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addition, the “change of control” (as defined in the Amended CEO Agreement) equity acceleration described above as set forth in Ms. Hyman’s original CEO Agreement will continue to apply.</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Pursuant to the Amended CEO Agreement, if Ms. Hyman’s employment is terminated by us without “cause” or by Ms. Hyman for “good reason” (each as defined in the Amended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(such sum, the “Cash Severance Payment”); (ii) continued group health coverage for a period of up to 18 months following termination, and (iii) an extended post-termination option exercise period in accordance with the terms of the Amended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74"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restrictive covenants described above will continue to apply under the Amended CEO Agreement. The Amended CEO Agreement also provides for a Section 280G “best net” cutback, though Ms. Hyman will no longer be eligible for the Section 280G gross-up payment provided for in the prior CEO Agreement.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Scarlett O’Sullivan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On September 4, 2015, we entered into an offer letter with Ms. O’Sullivan to employ her as our Chief Financial Officer, or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20"/>
          </w:cols>
          <w:pgMar w:left="320" w:top="407" w:right="135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to the CFO Offer Letter, Ms. O’Sullivan entered into the company’s Invention and Non-Disclosure Agreement as well as Non-Competition and Non-Solicitation Agreement in connection with her employment, which provides that Ms. O’Sullivan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Anushka Salinas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January 20, 2017, we entered into an offer letter with Ms. Salinas to employ her as our General Manager of Subscription, though she currently serves as our President and Chief Operating Officer, or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Brian Donato</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January 17, 2020, we entered into an offer letter with Mr. Donato to employ him as our Chief Supply Chain Officer, or the CSO Offer Letter. The CSO Offer Letter provides for an initial annual base salary of $600,000, a one-time signing bonus of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170"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66"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20"/>
          </w:cols>
          <w:pgMar w:left="320" w:top="407"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non-competition and non-solicitation of customers and employees covenants, as well as perpetual confidentiality and non-disparagement covenants.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Severance Plan</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connection with this offering, we adopted the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72"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Under the Severance Plan, in the event of a termination of (i) Ms. O’Sullivan or Ms. Salinas’ employment by us without “cause” or by the named executive officer for “good reason” (each as defined in the Severance Plan), or (ii) Mr. Donato’s employment by us without “cause”, in either case at any time other than during the period beginning 3 months before and ending on the 12 month anniversary of a Change in Control (as defined in the 2021 Plan), such named executive officers will be eligible to receive the following benefits:</w:t>
      </w:r>
    </w:p>
    <w:p>
      <w:pPr>
        <w:spacing w:after="0" w:line="93" w:lineRule="exact"/>
        <w:rPr>
          <w:sz w:val="20"/>
          <w:szCs w:val="20"/>
          <w:color w:val="auto"/>
        </w:rPr>
      </w:pPr>
    </w:p>
    <w:p>
      <w:pPr>
        <w:ind w:left="1380" w:hanging="353"/>
        <w:spacing w:after="0"/>
        <w:tabs>
          <w:tab w:leader="none" w:pos="13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jc w:val="both"/>
        <w:ind w:left="1840" w:right="60" w:hanging="453"/>
        <w:spacing w:after="0" w:line="238" w:lineRule="auto"/>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 cash payment equal to 0.75x the named executive officer’s then-current base salary (or, if the named executive officer has been employed with us for more than five years at the time of the termination of employment, a cash payment equal to 1.25x the named executive officer’s base salary), payable in installments over a period of years or partial years equal to the named executive officer’s severance multiple;</w:t>
      </w:r>
    </w:p>
    <w:p>
      <w:pPr>
        <w:spacing w:after="0" w:line="93" w:lineRule="exact"/>
        <w:rPr>
          <w:rFonts w:ascii="Arial" w:cs="Arial" w:eastAsia="Arial" w:hAnsi="Arial"/>
          <w:sz w:val="15"/>
          <w:szCs w:val="15"/>
          <w:color w:val="auto"/>
        </w:rPr>
      </w:pPr>
    </w:p>
    <w:p>
      <w:pPr>
        <w:ind w:left="1840" w:right="40" w:hanging="453"/>
        <w:spacing w:after="0" w:line="238" w:lineRule="auto"/>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or the Prorated Bonus; and</w:t>
      </w:r>
    </w:p>
    <w:p>
      <w:pPr>
        <w:spacing w:after="0" w:line="93" w:lineRule="exact"/>
        <w:rPr>
          <w:rFonts w:ascii="Arial" w:cs="Arial" w:eastAsia="Arial" w:hAnsi="Arial"/>
          <w:sz w:val="15"/>
          <w:szCs w:val="15"/>
          <w:color w:val="auto"/>
        </w:rPr>
      </w:pPr>
    </w:p>
    <w:p>
      <w:pPr>
        <w:ind w:left="1840" w:right="140" w:hanging="453"/>
        <w:spacing w:after="0" w:line="245" w:lineRule="auto"/>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the named executive officer’s severance multiple.</w:t>
      </w:r>
    </w:p>
    <w:p>
      <w:pPr>
        <w:spacing w:after="0" w:line="87" w:lineRule="exact"/>
        <w:rPr>
          <w:rFonts w:ascii="Arial" w:cs="Arial" w:eastAsia="Arial" w:hAnsi="Arial"/>
          <w:sz w:val="15"/>
          <w:szCs w:val="15"/>
          <w:color w:val="auto"/>
        </w:rPr>
      </w:pPr>
    </w:p>
    <w:p>
      <w:pPr>
        <w:ind w:left="1380" w:hanging="353"/>
        <w:spacing w:after="0"/>
        <w:tabs>
          <w:tab w:leader="none" w:pos="138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right="20" w:hanging="453"/>
        <w:spacing w:after="0"/>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a cash payment equal to 0.50x his then-current base salary (or, if he has been employed with us for more than five years at the time of the termination of employment, a cash payment equal to 1x his base salary), payable in installments over a period of years or partial years equal to his severance multiple;</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the Prorated Bonus;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his severance multiple.</w:t>
      </w:r>
    </w:p>
    <w:p>
      <w:pPr>
        <w:spacing w:after="0" w:line="177"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the event of a termination of Ms. O’Sullivan’s, Ms. Salinas’ or Mr. Donato’s employment by us without “cause” or by such named executive officer for “good reason” during the period beginning 3 months before and ending on the 12 month anniversary of a Change in Control, the named executive officer will be eligible to receive the following benefits:</w:t>
      </w:r>
    </w:p>
    <w:p>
      <w:pPr>
        <w:spacing w:after="0" w:line="91" w:lineRule="exact"/>
        <w:rPr>
          <w:sz w:val="20"/>
          <w:szCs w:val="20"/>
          <w:color w:val="auto"/>
        </w:rPr>
      </w:pPr>
    </w:p>
    <w:p>
      <w:pPr>
        <w:ind w:left="1380" w:hanging="353"/>
        <w:spacing w:after="0"/>
        <w:tabs>
          <w:tab w:leader="none" w:pos="13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ind w:left="5500" w:right="1400" w:hanging="4113"/>
        <w:spacing w:after="0" w:line="417" w:lineRule="auto"/>
        <w:tabs>
          <w:tab w:leader="none" w:pos="183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 lump sum cash payment equal to 1.25x the named executive officer’s then-current annual base salary; 202</w:t>
      </w:r>
    </w:p>
    <w:p>
      <w:pPr>
        <w:sectPr>
          <w:pgSz w:w="11900" w:h="16838" w:orient="portrait"/>
          <w:cols w:equalWidth="0" w:num="1">
            <w:col w:w="10160"/>
          </w:cols>
          <w:pgMar w:left="320" w:top="407" w:right="141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84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 lump sum cash payment equal to 1.25x the greater of (1) the bonus that the named executive officer would have earned had she remained employed for the full year in which termination occurs, based on actual achievement and (2) the named executive officer’s target annual bonus for the fiscal year in which the date of termination occurs;</w:t>
      </w:r>
    </w:p>
    <w:p>
      <w:pPr>
        <w:spacing w:after="0" w:line="91" w:lineRule="exact"/>
        <w:rPr>
          <w:rFonts w:ascii="Arial" w:cs="Arial" w:eastAsia="Arial" w:hAnsi="Arial"/>
          <w:sz w:val="15"/>
          <w:szCs w:val="15"/>
          <w:color w:val="auto"/>
        </w:rPr>
      </w:pPr>
    </w:p>
    <w:p>
      <w:pPr>
        <w:ind w:left="1840" w:right="100" w:hanging="453"/>
        <w:spacing w:after="0" w:line="245" w:lineRule="auto"/>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company-paid COBRA premium payments for the named executive officer and her covered dependents for up to 15 months; and</w:t>
      </w:r>
    </w:p>
    <w:p>
      <w:pPr>
        <w:spacing w:after="0" w:line="87" w:lineRule="exact"/>
        <w:rPr>
          <w:rFonts w:ascii="Arial" w:cs="Arial" w:eastAsia="Arial" w:hAnsi="Arial"/>
          <w:sz w:val="15"/>
          <w:szCs w:val="15"/>
          <w:color w:val="auto"/>
        </w:rPr>
      </w:pPr>
    </w:p>
    <w:p>
      <w:pPr>
        <w:ind w:left="1840" w:right="4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accelerated vesting of all equity awards which vest based solely on the named executive officer’s continued service with us or the passage of time, with awards that vest based on the achievement of performance objectives or conditions eligible to vest based on the applicable award agreement, or the Equity Acceleration.</w:t>
      </w:r>
    </w:p>
    <w:p>
      <w:pPr>
        <w:spacing w:after="0" w:line="91" w:lineRule="exact"/>
        <w:rPr>
          <w:rFonts w:ascii="Arial" w:cs="Arial" w:eastAsia="Arial" w:hAnsi="Arial"/>
          <w:sz w:val="15"/>
          <w:szCs w:val="15"/>
          <w:color w:val="auto"/>
        </w:rPr>
      </w:pPr>
    </w:p>
    <w:p>
      <w:pPr>
        <w:ind w:left="1380" w:hanging="353"/>
        <w:spacing w:after="0"/>
        <w:tabs>
          <w:tab w:leader="none" w:pos="13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 lump sum cash payment equal to 1x his then-current annual base salary;</w:t>
      </w:r>
    </w:p>
    <w:p>
      <w:pPr>
        <w:spacing w:after="0" w:line="97" w:lineRule="exact"/>
        <w:rPr>
          <w:rFonts w:ascii="Arial" w:cs="Arial" w:eastAsia="Arial" w:hAnsi="Arial"/>
          <w:sz w:val="15"/>
          <w:szCs w:val="15"/>
          <w:color w:val="auto"/>
        </w:rPr>
      </w:pPr>
    </w:p>
    <w:p>
      <w:pPr>
        <w:ind w:left="1840" w:right="8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 lump sum cash payment equal to 1x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company-paid COBRA premium payments for Mr. Donato and his covered dependents for up to 12 months;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the Equity Acceleration.</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In the event that the named executive officers participating in the Severance Plan provides at least three months’ advance notice of his or her intent to resign without good reason, such named executive officer will be entitled to an additional fiscal quarter of acceleration of the named executive officer’s outstanding equity awards subject to the passage of time.</w:t>
      </w:r>
    </w:p>
    <w:p>
      <w:pPr>
        <w:spacing w:after="0" w:line="170" w:lineRule="exact"/>
        <w:rPr>
          <w:sz w:val="20"/>
          <w:szCs w:val="20"/>
          <w:color w:val="auto"/>
        </w:rPr>
      </w:pPr>
    </w:p>
    <w:p>
      <w:pPr>
        <w:jc w:val="both"/>
        <w:ind w:left="1020" w:right="440" w:firstLine="460"/>
        <w:spacing w:after="0"/>
        <w:rPr>
          <w:sz w:val="20"/>
          <w:szCs w:val="20"/>
          <w:color w:val="auto"/>
        </w:rPr>
      </w:pPr>
      <w:r>
        <w:rPr>
          <w:rFonts w:ascii="Arial" w:cs="Arial" w:eastAsia="Arial" w:hAnsi="Arial"/>
          <w:sz w:val="15"/>
          <w:szCs w:val="15"/>
          <w:color w:val="auto"/>
        </w:rPr>
        <w:t>Any named executive officer’s right to receive the severance payments and benefits described above is subject to his or her delivery and, as applicable, non-revocation of a general release of claims in our favor, and his or her continued compliance with any applicable restrictive covenants.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183"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Fees Earned</w:t>
            </w:r>
          </w:p>
        </w:tc>
        <w:tc>
          <w:tcPr>
            <w:tcW w:w="8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Option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580" w:type="dxa"/>
            <w:vAlign w:val="bottom"/>
            <w:vMerge w:val="restart"/>
          </w:tcPr>
          <w:p>
            <w:pPr>
              <w:spacing w:after="0"/>
              <w:rPr>
                <w:sz w:val="11"/>
                <w:szCs w:val="11"/>
                <w:color w:val="auto"/>
              </w:rPr>
            </w:pPr>
          </w:p>
        </w:tc>
        <w:tc>
          <w:tcPr>
            <w:tcW w:w="116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or Paid in</w:t>
            </w:r>
          </w:p>
        </w:tc>
        <w:tc>
          <w:tcPr>
            <w:tcW w:w="8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rPr>
              <w:t>Awards</w:t>
            </w:r>
          </w:p>
        </w:tc>
        <w:tc>
          <w:tcPr>
            <w:tcW w:w="54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1160" w:type="dxa"/>
            <w:vAlign w:val="bottom"/>
            <w:gridSpan w:val="2"/>
          </w:tcPr>
          <w:p>
            <w:pPr>
              <w:jc w:val="center"/>
              <w:ind w:right="460"/>
              <w:spacing w:after="0" w:line="134" w:lineRule="exact"/>
              <w:rPr>
                <w:sz w:val="20"/>
                <w:szCs w:val="20"/>
                <w:color w:val="auto"/>
              </w:rPr>
            </w:pPr>
            <w:r>
              <w:rPr>
                <w:rFonts w:ascii="Arial" w:cs="Arial" w:eastAsia="Arial" w:hAnsi="Arial"/>
                <w:sz w:val="12"/>
                <w:szCs w:val="12"/>
                <w:b w:val="1"/>
                <w:bCs w:val="1"/>
                <w:color w:val="auto"/>
                <w:w w:val="99"/>
              </w:rPr>
              <w:t>Cash ($)(1)</w:t>
            </w: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right"/>
              <w:ind w:right="112"/>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Dan Rosensweig</w:t>
            </w:r>
          </w:p>
        </w:tc>
        <w:tc>
          <w:tcPr>
            <w:tcW w:w="72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Arial" w:cs="Arial" w:eastAsia="Arial" w:hAnsi="Arial"/>
                <w:sz w:val="15"/>
                <w:szCs w:val="15"/>
                <w:color w:val="auto"/>
              </w:rPr>
              <w:t>Mike Roth</w:t>
            </w:r>
          </w:p>
        </w:tc>
        <w:tc>
          <w:tcPr>
            <w:tcW w:w="11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0</w:t>
            </w:r>
          </w:p>
        </w:tc>
        <w:tc>
          <w:tcPr>
            <w:tcW w:w="9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tabs>
          <w:tab w:leader="none" w:pos="13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None of the non-employee directors received cash compensation for their service as a director during fiscal year 2020.</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200"/>
          </w:cols>
          <w:pgMar w:left="320" w:top="407"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20" w:hanging="353"/>
        <w:spacing w:after="0" w:line="236" w:lineRule="auto"/>
        <w:tabs>
          <w:tab w:leader="none" w:pos="138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171"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gridSpan w:val="2"/>
          </w:tcPr>
          <w:p>
            <w:pPr>
              <w:jc w:val="center"/>
              <w:ind w:right="840"/>
              <w:spacing w:after="0"/>
              <w:rPr>
                <w:sz w:val="20"/>
                <w:szCs w:val="20"/>
                <w:color w:val="auto"/>
              </w:rPr>
            </w:pPr>
            <w:r>
              <w:rPr>
                <w:rFonts w:ascii="Arial" w:cs="Arial" w:eastAsia="Arial" w:hAnsi="Arial"/>
                <w:sz w:val="12"/>
                <w:szCs w:val="12"/>
                <w:b w:val="1"/>
                <w:bCs w:val="1"/>
                <w:color w:val="auto"/>
              </w:rPr>
              <w:t>Shares Underlying</w:t>
            </w:r>
          </w:p>
        </w:tc>
        <w:tc>
          <w:tcPr>
            <w:tcW w:w="204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9"/>
              </w:rPr>
              <w:t>Shares Underlying</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12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rPr>
              <w:t>Unvested Stock</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800" w:type="dxa"/>
            <w:vAlign w:val="bottom"/>
            <w:vMerge w:val="restart"/>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(Vested) at Fiscal</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w w:val="98"/>
              </w:rPr>
              <w:t>(Unvested) at Fiscal</w:t>
            </w:r>
          </w:p>
        </w:tc>
        <w:tc>
          <w:tcPr>
            <w:tcW w:w="1220" w:type="dxa"/>
            <w:vAlign w:val="bottom"/>
            <w:gridSpan w:val="2"/>
          </w:tcPr>
          <w:p>
            <w:pPr>
              <w:jc w:val="right"/>
              <w:ind w:right="40"/>
              <w:spacing w:after="0" w:line="136" w:lineRule="exact"/>
              <w:rPr>
                <w:sz w:val="20"/>
                <w:szCs w:val="20"/>
                <w:color w:val="auto"/>
              </w:rPr>
            </w:pPr>
            <w:r>
              <w:rPr>
                <w:rFonts w:ascii="Arial" w:cs="Arial" w:eastAsia="Arial" w:hAnsi="Arial"/>
                <w:sz w:val="12"/>
                <w:szCs w:val="12"/>
                <w:b w:val="1"/>
                <w:bCs w:val="1"/>
                <w:color w:val="auto"/>
                <w:w w:val="98"/>
              </w:rPr>
              <w:t>Awards Outstanding</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12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at Fiscal Year End</w:t>
            </w:r>
          </w:p>
        </w:tc>
        <w:tc>
          <w:tcPr>
            <w:tcW w:w="0" w:type="dxa"/>
            <w:vAlign w:val="bottom"/>
          </w:tcPr>
          <w:p>
            <w:pPr>
              <w:spacing w:after="0"/>
              <w:rPr>
                <w:sz w:val="1"/>
                <w:szCs w:val="1"/>
                <w:color w:val="auto"/>
              </w:rPr>
            </w:pPr>
          </w:p>
        </w:tc>
      </w:tr>
      <w:tr>
        <w:trPr>
          <w:trHeight w:val="152"/>
        </w:trPr>
        <w:tc>
          <w:tcPr>
            <w:tcW w:w="31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Beth Kaplan</w:t>
            </w:r>
          </w:p>
        </w:tc>
        <w:tc>
          <w:tcPr>
            <w:tcW w:w="12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55,167</w:t>
            </w:r>
          </w:p>
        </w:tc>
        <w:tc>
          <w:tcPr>
            <w:tcW w:w="8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ind w:left="960"/>
              <w:spacing w:after="0" w:line="151"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2"/>
              <w:spacing w:after="0" w:line="15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45,016</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10,000</w:t>
            </w:r>
          </w:p>
        </w:tc>
        <w:tc>
          <w:tcPr>
            <w:tcW w:w="12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Mike Roth</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w:t>
      </w:r>
    </w:p>
    <w:p>
      <w:pPr>
        <w:spacing w:after="0" w:line="174"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granted RSUs to certain of our non-employee directors in early fiscal year 2021 (including Ms. Kaplan, Ms. Fleiss, Ms. Roney and Mr. Roth as well as to Mr. Bixby and Ms. Paltrow (who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66"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As described above, 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Fleiss were also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160"/>
          </w:cols>
          <w:pgMar w:left="320" w:top="407" w:right="141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line="245" w:lineRule="auto"/>
        <w:rPr>
          <w:sz w:val="20"/>
          <w:szCs w:val="20"/>
          <w:color w:val="auto"/>
        </w:rPr>
      </w:pPr>
      <w:r>
        <w:rPr>
          <w:rFonts w:ascii="Arial" w:cs="Arial" w:eastAsia="Arial" w:hAnsi="Arial"/>
          <w:sz w:val="15"/>
          <w:szCs w:val="15"/>
          <w:color w:val="auto"/>
        </w:rPr>
        <w:t>amended to provide for the settlement of such awards when vested and/or exercisable, as applicable, into shares of Class B common stock.</w:t>
      </w:r>
    </w:p>
    <w:p>
      <w:pPr>
        <w:spacing w:after="0" w:line="166"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In connection with this offering, we adopted a non-employee director compensation program that will be applicable to each of our non-employee directors. Pursuant to this program, each non-employee director will receive a mixture of cash and equity compensation.</w:t>
      </w:r>
    </w:p>
    <w:p>
      <w:pPr>
        <w:spacing w:after="0" w:line="192" w:lineRule="exact"/>
        <w:rPr>
          <w:sz w:val="20"/>
          <w:szCs w:val="20"/>
          <w:color w:val="auto"/>
        </w:rPr>
      </w:pPr>
    </w:p>
    <w:p>
      <w:pPr>
        <w:ind w:left="1660" w:right="40" w:hanging="183"/>
        <w:spacing w:after="0" w:line="245" w:lineRule="auto"/>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Pursuant to this program, effective as of February 1, 2022, each non-employee director will be eligible to receive an annual cash retainer of $40,000 that will be paid quarterly in arrears;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lead independent director will receive an additional cash retainer of $15,000;</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chairperson of the audit committee will receive an additional cash retainer of $20,000 and each other member of the audit committee will receive an additional cash retainer of $10,000;</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chairperson of the compensation committee will receive an additional cash retainer of $13,000 and each other member of the compensation committee will receive an additional cash retainer of $6,500; and</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chairperson of the nominating and ESG committee will receive an additional cash retainer of $8,000 and each other member of the nominating and ESG committee will receive an additional annual cash retainer of $4,000.</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this program, non-employee directors may elect to receive restricted stock units in lieu of all or a portion of their annual cash retainers. In such case, the grant of restricted stock units, referred to as the Retainer RSU Award, will be made automatically on the date of the next annual stockholder’s meeting. The Retainer RSU Award will cover a number of shares of our Class A common stock calculated by dividing (a) the amount of the annual retainer that is expected to be paid to such director from the grant date through the next annual stockholder’s meeting by (b) the average per share closing price of our Class A common stock over the most recent 30 trading days as of and including the date of grant. The Retainer RSU Award will vest on the earlier of (i) the next occurring annual meeting of our stockholders or (ii) the first anniversary of the grant date, subject to the non-employee director’s continued service through the applicable vesting date.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Also, pursuant to this program, we intend to grant new non-employee directors an initial equity award of restricted stock units that has a grant date value of $330,000 (calculated based on the average per share closing price of our Class A common stock over the most recent 30 trading days as of and including the date of grant) upon election to our board of directors, which will vest in three ratable annual installments subject to the non-employee director’s continued service through the applicable vesting date. Each incumbent non-employee director who continues to serve on our board of directors following an annual meeting shall receive an annual equity award of restricted stock units that has a grant date value of $165,000, which will vest in full on the earlier of (i) the next occurring annual meeting of our stockholders or (ii) the first anniversary of the grant date, subject to the non-employee director’s continued service through the applicable vesting date. Any outstanding awards held by a non-employee director pursuant to this program will accelerate and vest upon the occurrence of a change in control.</w:t>
      </w:r>
    </w:p>
    <w:p>
      <w:pPr>
        <w:spacing w:after="0" w:line="24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Equity Plans</w:t>
      </w:r>
    </w:p>
    <w:p>
      <w:pPr>
        <w:spacing w:after="0" w:line="177"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2019 Stock Incentive Plan. </w:t>
      </w:r>
      <w:r>
        <w:rPr>
          <w:rFonts w:ascii="Arial" w:cs="Arial" w:eastAsia="Arial" w:hAnsi="Arial"/>
          <w:sz w:val="15"/>
          <w:szCs w:val="15"/>
          <w:color w:val="auto"/>
        </w:rPr>
        <w:t>We currently maintain an equity incentive plan, the 2019 Stock Incentive Plan (as amended), 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Plan, which provides for certain designated employees, officers, directors, consultants and advisors to be eligible for equity ownership opportunities and performance-based incentives that are intended to align the interest of such persons with those of our</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stockholders. We believe that such awards attract, retain and motivate persons who are expected to make important contributions to us. The 2019 Plan is generally administered by our compensation committee and provides for the grant of options, restricted stock, restricted stock units and other stock-based awards, including stock appreciation rights. As of July 31, 2021, there were 684,397 shares of our common stock available for issuance under the 2019 Plan. As of July 31, 2021, there were 3,819,036 shares of Class A common stock subject to outstanding options with a weighted average exercise price of $7.07 per share and 1,925,231 shares of Class A common stock subject to outstanding restricted stock units, in each case that have been granted under the 2019 Plan. As of July 31, 2021, there were 1,621,206 shares of Class B common stock subject to outstanding options with a weighted average exercise price of $6.85 per share and 261,942 shares of Class B common stock subject to outstanding restricted stock units, in each case that have been granted under the 2019 Plan. On and after the closing of this offering and following the effectiveness of the 2021 Plan, no further grants will be made under the 2019 Plan.</w:t>
      </w:r>
    </w:p>
    <w:p>
      <w:pPr>
        <w:spacing w:after="0" w:line="174"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2019 Plan and is qualified in its entirety by reference to the 2019 Plan, which is filed as an exhibit to the registration statement of which this prospectus is part.</w:t>
      </w:r>
    </w:p>
    <w:p>
      <w:pPr>
        <w:spacing w:after="0" w:line="148"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2009 Stock Incentive Plan. </w:t>
      </w:r>
      <w:r>
        <w:rPr>
          <w:rFonts w:ascii="Arial" w:cs="Arial" w:eastAsia="Arial" w:hAnsi="Arial"/>
          <w:sz w:val="15"/>
          <w:szCs w:val="15"/>
          <w:color w:val="auto"/>
        </w:rPr>
        <w:t>We currently maintain an equity incentive plan, the 2009 Stock Incentive Plan, or the 2009 Plan,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provided certain designated employees, officers, directors, consultants and advisors with the opportunity to be granted options, restricted stock, restricted stock units and other stock-based awards, including stock appreciation rights. As of July 31, 2021, there were 2,061,724 shares of Class A common stock subject to outstanding options with a weighted average exercise price of $6.96 per share. As of July 31, 2021, there were 1,762,939 shares of Class B common stock subject to outstanding options with a weighted average exercise price of $6.34 per share.</w:t>
      </w:r>
    </w:p>
    <w:p>
      <w:pPr>
        <w:spacing w:after="0" w:line="169"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2009 Plan and is qualified in its entirety by reference to the 2009 Plan, which is filed as an exhibit to the registration statement of which this prospectus is part.</w:t>
      </w:r>
    </w:p>
    <w:p>
      <w:pPr>
        <w:spacing w:after="0" w:line="148"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2021 Incentive Award Plan. </w:t>
      </w:r>
      <w:r>
        <w:rPr>
          <w:rFonts w:ascii="Arial" w:cs="Arial" w:eastAsia="Arial" w:hAnsi="Arial"/>
          <w:sz w:val="15"/>
          <w:szCs w:val="15"/>
          <w:color w:val="auto"/>
        </w:rPr>
        <w:t>In connection with this offering, our board has approved the Amended and Restated 2021 Incentive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 Plan, or the 2021 Plan, under which we may grant cash and equity-based incentive awards to eligible service providers in order to attract, motivate and retain the talent for which we compete. The material terms of the 2021 Plan, as it is currently contemplated, are summarized below. This summary is not a complete description of all provisions of the 2021 Plan and is qualified in its entirety by reference to the 2021 Plan, which will be filed as an exhibit to the registration statement of which this prospectus is a part.</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 and Administration</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employees, consultants and directors, and employees, consultants and directors of our subsidiaries are eligible to receive awards under the 2021 Plan. The 2021 Plan is expected to be initially administered by our board of directors,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Limitation on Awards and Shares Available</w:t>
      </w:r>
    </w:p>
    <w:p>
      <w:pPr>
        <w:spacing w:after="0" w:line="103"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Our board of directors originally approved the 2021 Plan to initially reserve 5,221,848 shares of our common stock for issuance of awards under the plan, which shares of common stock would include Class A common stock or, if determined by the plan administrator, Class B common stock. However, shortly after such approval, our board of directors approved an amendment and restatement of the 2021 Plan to allow only for grants of awards with respect to shares of Class A common stock, other than for an award of 67,842 shares of Class B common stock to Jennifer Hyman on (or within 30 days following) the effective date of the 2021 Plan. As amended, the maximum number of shares of our common stock available for issuance under the 2021 Plan is equal to the sum of (i) 5,221,848, plus (ii) 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plus (iii) 67,842 shares of our Class B common stock for an award to Jennifer Hyman and plus</w:t>
      </w:r>
    </w:p>
    <w:p>
      <w:pPr>
        <w:spacing w:after="0" w:line="1" w:lineRule="exact"/>
        <w:rPr>
          <w:sz w:val="20"/>
          <w:szCs w:val="20"/>
          <w:color w:val="auto"/>
        </w:rPr>
      </w:pPr>
    </w:p>
    <w:p>
      <w:pPr>
        <w:ind w:left="1020" w:firstLine="7"/>
        <w:spacing w:after="0" w:line="237" w:lineRule="auto"/>
        <w:tabs>
          <w:tab w:leader="none" w:pos="127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any shares of our common stock available for issuance under the 2009 Plan and the 2019 Plan as of the effective date of the 2021 Plan or that are subject to awards under the 2009 Plan and the 2019 Plan which are forfeited or lapse unexercised and which following the effective date of the 2021 Plan are not issued under such prior plans (which would become available as shares of our Class A common stock); provided, however, no more than 15,665,544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Awards granted under the 2021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 increased to $1,000,000 for the non-employee director’s initial year of service as a non-employee director.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Awards</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2021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2021 Plan.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5" w:lineRule="exact"/>
        <w:rPr>
          <w:sz w:val="20"/>
          <w:szCs w:val="20"/>
          <w:color w:val="auto"/>
        </w:rPr>
      </w:pPr>
    </w:p>
    <w:p>
      <w:pPr>
        <w:ind w:left="2120" w:hanging="181"/>
        <w:spacing w:after="0"/>
        <w:tabs>
          <w:tab w:leader="none" w:pos="2120" w:val="left"/>
        </w:tabs>
        <w:numPr>
          <w:ilvl w:val="0"/>
          <w:numId w:val="172"/>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provide for the purchase of shares of our common stock in the future at an exercise price set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2120" w:right="60" w:hanging="181"/>
        <w:spacing w:after="0" w:line="246" w:lineRule="auto"/>
        <w:tabs>
          <w:tab w:leader="none" w:pos="2120"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SARs</w:t>
      </w:r>
      <w:r>
        <w:rPr>
          <w:rFonts w:ascii="Arial" w:cs="Arial" w:eastAsia="Arial" w:hAnsi="Arial"/>
          <w:sz w:val="15"/>
          <w:szCs w:val="15"/>
          <w:color w:val="auto"/>
        </w:rPr>
        <w:t>. SARs entitle their holder, upon exercise, to receive from us an amount equal to the appreciation of the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70" w:lineRule="exact"/>
        <w:rPr>
          <w:rFonts w:ascii="Arial" w:cs="Arial" w:eastAsia="Arial" w:hAnsi="Arial"/>
          <w:sz w:val="15"/>
          <w:szCs w:val="15"/>
          <w:color w:val="auto"/>
        </w:rPr>
      </w:pPr>
    </w:p>
    <w:p>
      <w:pPr>
        <w:ind w:left="2120" w:right="100" w:hanging="181"/>
        <w:spacing w:after="0" w:line="243" w:lineRule="auto"/>
        <w:tabs>
          <w:tab w:leader="none" w:pos="2120"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Restricted Stock and RSUs</w:t>
      </w:r>
      <w:r>
        <w:rPr>
          <w:rFonts w:ascii="Arial" w:cs="Arial" w:eastAsia="Arial" w:hAnsi="Arial"/>
          <w:sz w:val="15"/>
          <w:szCs w:val="15"/>
          <w:color w:val="auto"/>
        </w:rPr>
        <w:t>. Restricted stock is an award of nontransferable shares of our common stock that remain</w:t>
      </w:r>
      <w:r>
        <w:rPr>
          <w:rFonts w:ascii="Arial" w:cs="Arial" w:eastAsia="Arial" w:hAnsi="Arial"/>
          <w:sz w:val="15"/>
          <w:szCs w:val="15"/>
          <w:i w:val="1"/>
          <w:iCs w:val="1"/>
          <w:color w:val="auto"/>
        </w:rPr>
        <w:t xml:space="preserve"> </w:t>
      </w:r>
      <w:r>
        <w:rPr>
          <w:rFonts w:ascii="Arial" w:cs="Arial" w:eastAsia="Arial" w:hAnsi="Arial"/>
          <w:sz w:val="15"/>
          <w:szCs w:val="15"/>
          <w:color w:val="auto"/>
        </w:rPr>
        <w:t>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73" w:lineRule="exact"/>
        <w:rPr>
          <w:rFonts w:ascii="Arial" w:cs="Arial" w:eastAsia="Arial" w:hAnsi="Arial"/>
          <w:sz w:val="15"/>
          <w:szCs w:val="15"/>
          <w:color w:val="auto"/>
        </w:rPr>
      </w:pPr>
    </w:p>
    <w:p>
      <w:pPr>
        <w:ind w:left="2120" w:right="80" w:hanging="181"/>
        <w:spacing w:after="0" w:line="241" w:lineRule="auto"/>
        <w:tabs>
          <w:tab w:leader="none" w:pos="2120"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Stock Payments, Other Incentive Awards and Cash Awards</w:t>
      </w:r>
      <w:r>
        <w:rPr>
          <w:rFonts w:ascii="Arial" w:cs="Arial" w:eastAsia="Arial" w:hAnsi="Arial"/>
          <w:sz w:val="15"/>
          <w:szCs w:val="15"/>
          <w:color w:val="auto"/>
        </w:rPr>
        <w:t>. Stock payments are awards of fully vested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6" w:lineRule="exact"/>
        <w:rPr>
          <w:rFonts w:ascii="Arial" w:cs="Arial" w:eastAsia="Arial" w:hAnsi="Arial"/>
          <w:sz w:val="15"/>
          <w:szCs w:val="15"/>
          <w:color w:val="auto"/>
        </w:rPr>
      </w:pPr>
    </w:p>
    <w:p>
      <w:pPr>
        <w:ind w:left="2120" w:hanging="181"/>
        <w:spacing w:after="0" w:line="246" w:lineRule="auto"/>
        <w:tabs>
          <w:tab w:leader="none" w:pos="2120"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Dividend Equivalents</w:t>
      </w:r>
      <w:r>
        <w:rPr>
          <w:rFonts w:ascii="Arial" w:cs="Arial" w:eastAsia="Arial" w:hAnsi="Arial"/>
          <w:sz w:val="15"/>
          <w:szCs w:val="15"/>
          <w:color w:val="auto"/>
        </w:rPr>
        <w:t>. Dividend equivalents represent the right to receive the equivalent value of dividends paid 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Vesting</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Vesting conditions determined by the plan administrator may apply to each award and may include continued service, performance and/or other conditions.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plan administrator has broad discretion to take action under the 2021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Non-U.S. Participants, Claw-Back Provisions, Transferability, and Participant Payments</w:t>
      </w:r>
    </w:p>
    <w:p>
      <w:pPr>
        <w:spacing w:after="0" w:line="103"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00"/>
          </w:cols>
          <w:pgMar w:left="320" w:top="407" w:right="137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7" w:lineRule="auto"/>
        <w:rPr>
          <w:sz w:val="20"/>
          <w:szCs w:val="20"/>
          <w:color w:val="auto"/>
        </w:rPr>
      </w:pPr>
      <w:r>
        <w:rPr>
          <w:rFonts w:ascii="Arial" w:cs="Arial" w:eastAsia="Arial" w:hAnsi="Arial"/>
          <w:sz w:val="15"/>
          <w:szCs w:val="15"/>
          <w:color w:val="auto"/>
        </w:rPr>
        <w:t>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2021 Employee Stock Purchase Plan</w:t>
      </w:r>
      <w:r>
        <w:rPr>
          <w:rFonts w:ascii="Arial" w:cs="Arial" w:eastAsia="Arial" w:hAnsi="Arial"/>
          <w:sz w:val="15"/>
          <w:szCs w:val="15"/>
          <w:color w:val="auto"/>
        </w:rPr>
        <w:t>. In connection with this offering, we intend to adopt the 2021 Employee Stock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or the ESPP, subject to approval by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will be filed as an exhibit to the registration statement of which this prospectus is a part.</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Shares Available; Administration</w:t>
      </w:r>
    </w:p>
    <w:p>
      <w:pPr>
        <w:spacing w:after="0" w:line="10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aggregate number of shares of our Class A common stock that will initially be reserved for issuance under the ESPP will be equal to (i) 870,308, plus (ii) an annual increase on the first day of each year beginning in 2022 and ending in and including 2031, equal to the lesser of (A) one percent (1%) of the outstanding shares of our common stock on the last day of the immediately preceding fiscal year and (B) such lesser amount as determined by our board of directors; provided that in no event will more than 8,703,080 shares of our Class A common stock be available for issuance under the Section 423 component of the ESPP. Our board of directors or the compensation committee will have authority to interpret the terms of the ESPP and determine eligibility of participants. We expect that the board of directors will be the initial administrator of the ESPP.</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w:t>
      </w:r>
    </w:p>
    <w:p>
      <w:pPr>
        <w:spacing w:after="0" w:line="10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(including Class B common stock), will be eligible to participate in the ESPP.</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Grant of Rights</w:t>
      </w:r>
    </w:p>
    <w:p>
      <w:pPr>
        <w:spacing w:after="0" w:line="103"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Section 423 component of the ESPP will be intended to qualify under Section 423 of the Code and shares of our common stock will be offered under the ESPP during offering periods.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20"/>
          </w:cols>
          <w:pgMar w:left="320" w:top="407" w:right="135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 equal to 2,000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trading day of the offering period).</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71" w:lineRule="exact"/>
        <w:rPr>
          <w:sz w:val="20"/>
          <w:szCs w:val="20"/>
          <w:color w:val="auto"/>
        </w:rPr>
      </w:pPr>
    </w:p>
    <w:p>
      <w:pPr>
        <w:jc w:val="both"/>
        <w:ind w:left="1020" w:right="200" w:firstLine="460"/>
        <w:spacing w:after="0" w:line="238" w:lineRule="auto"/>
        <w:rPr>
          <w:sz w:val="20"/>
          <w:szCs w:val="20"/>
          <w:color w:val="auto"/>
        </w:rPr>
      </w:pPr>
      <w:r>
        <w:rPr>
          <w:rFonts w:ascii="Arial" w:cs="Arial" w:eastAsia="Arial" w:hAnsi="Arial"/>
          <w:sz w:val="15"/>
          <w:szCs w:val="15"/>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172"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 participant will not be permitted to transfer rights granted under the ESPP other than by will, the laws of descent and distribution or as otherwise provided under the ESPP.</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In the event of certain transactions or events affecting our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20"/>
          </w:cols>
          <w:pgMar w:left="320" w:top="407" w:right="135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plan administrator may amend, suspend or terminate the ESPP at any time. However, stockholder approval of any amendment to the ESPP will be obtained for any amendment that increases the aggregate number or changes the type of shares that may be sold pursuant to rights under the ESPP, or changes the corporations or classes of corporations the employees of which are eligible to participate in the ESPP.</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87" w:lineRule="exact"/>
        <w:rPr>
          <w:sz w:val="20"/>
          <w:szCs w:val="20"/>
          <w:color w:val="auto"/>
        </w:rPr>
      </w:pPr>
    </w:p>
    <w:p>
      <w:pPr>
        <w:ind w:left="1660" w:hanging="183"/>
        <w:spacing w:after="0"/>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0" w:lineRule="exact"/>
        <w:rPr>
          <w:sz w:val="20"/>
          <w:szCs w:val="20"/>
          <w:color w:val="auto"/>
        </w:rPr>
      </w:pPr>
    </w:p>
    <w:p>
      <w:pPr>
        <w:ind w:left="1020" w:right="620" w:firstLine="460"/>
        <w:spacing w:after="0"/>
        <w:rPr>
          <w:sz w:val="20"/>
          <w:szCs w:val="20"/>
          <w:color w:val="auto"/>
        </w:rPr>
      </w:pPr>
      <w:r>
        <w:rPr>
          <w:rFonts w:ascii="Arial" w:cs="Arial" w:eastAsia="Arial" w:hAnsi="Arial"/>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Series E Preferred Stock Financing</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Total Series E</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80" w:type="dxa"/>
            <w:vAlign w:val="bottom"/>
            <w:gridSpan w:val="2"/>
            <w:vMerge w:val="continue"/>
          </w:tcPr>
          <w:p>
            <w:pPr>
              <w:spacing w:after="0"/>
              <w:rPr>
                <w:sz w:val="11"/>
                <w:szCs w:val="11"/>
                <w:color w:val="auto"/>
              </w:rPr>
            </w:pPr>
          </w:p>
        </w:tc>
        <w:tc>
          <w:tcPr>
            <w:tcW w:w="1320" w:type="dxa"/>
            <w:vAlign w:val="bottom"/>
            <w:gridSpan w:val="2"/>
          </w:tcPr>
          <w:p>
            <w:pPr>
              <w:jc w:val="right"/>
              <w:ind w:right="42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8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550,469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11,976,003.56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3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174,430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3,794,899.08</w:t>
            </w:r>
          </w:p>
        </w:tc>
        <w:tc>
          <w:tcPr>
            <w:tcW w:w="0" w:type="dxa"/>
            <w:vAlign w:val="bottom"/>
          </w:tcPr>
          <w:p>
            <w:pPr>
              <w:spacing w:after="0"/>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3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153,640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3,342,591.84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Series F Preferred Stock Financing</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Total Series F</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F</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2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558,074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12,475,018.77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400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89,471</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2,000,007.89</w:t>
            </w:r>
          </w:p>
        </w:tc>
        <w:tc>
          <w:tcPr>
            <w:tcW w:w="0" w:type="dxa"/>
            <w:vAlign w:val="bottom"/>
          </w:tcPr>
          <w:p>
            <w:pPr>
              <w:spacing w:after="0"/>
              <w:rPr>
                <w:sz w:val="1"/>
                <w:szCs w:val="1"/>
                <w:color w:val="auto"/>
              </w:rPr>
            </w:pPr>
          </w:p>
        </w:tc>
      </w:tr>
      <w:tr>
        <w:trPr>
          <w:trHeight w:val="169"/>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4000" w:type="dxa"/>
            <w:vAlign w:val="bottom"/>
            <w:gridSpan w:val="3"/>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223,676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4,999,986.20</w:t>
            </w:r>
          </w:p>
        </w:tc>
        <w:tc>
          <w:tcPr>
            <w:tcW w:w="0" w:type="dxa"/>
            <w:vAlign w:val="bottom"/>
          </w:tcPr>
          <w:p>
            <w:pPr>
              <w:spacing w:after="0"/>
              <w:rPr>
                <w:sz w:val="1"/>
                <w:szCs w:val="1"/>
                <w:color w:val="auto"/>
              </w:rPr>
            </w:pPr>
          </w:p>
        </w:tc>
      </w:tr>
      <w:tr>
        <w:trPr>
          <w:trHeight w:val="303"/>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80" w:type="dxa"/>
            <w:vAlign w:val="bottom"/>
          </w:tcPr>
          <w:p>
            <w:pPr>
              <w:jc w:val="right"/>
              <w:ind w:right="1985"/>
              <w:spacing w:after="0"/>
              <w:rPr>
                <w:sz w:val="20"/>
                <w:szCs w:val="20"/>
                <w:color w:val="auto"/>
              </w:rPr>
            </w:pPr>
            <w:r>
              <w:rPr>
                <w:rFonts w:ascii="Arial" w:cs="Arial" w:eastAsia="Arial" w:hAnsi="Arial"/>
                <w:sz w:val="15"/>
                <w:szCs w:val="15"/>
                <w:color w:val="auto"/>
              </w:rPr>
              <w:t>212</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40" w:hanging="353"/>
        <w:spacing w:after="0" w:line="235" w:lineRule="auto"/>
        <w:tabs>
          <w:tab w:leader="none" w:pos="13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Series G Preferred Stock Financing</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Shares of</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Total Series G</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8"/>
              </w:rPr>
              <w:t>Series G</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Redeemable</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20" w:type="dxa"/>
            <w:vAlign w:val="bottom"/>
            <w:gridSpan w:val="2"/>
            <w:vMerge w:val="continue"/>
          </w:tcPr>
          <w:p>
            <w:pPr>
              <w:spacing w:after="0"/>
              <w:rPr>
                <w:sz w:val="11"/>
                <w:szCs w:val="11"/>
                <w:color w:val="auto"/>
              </w:rPr>
            </w:pPr>
          </w:p>
        </w:tc>
        <w:tc>
          <w:tcPr>
            <w:tcW w:w="12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Ares Corporate Opportunities Fund V, L.P.</w:t>
            </w:r>
          </w:p>
        </w:tc>
        <w:tc>
          <w:tcPr>
            <w:tcW w:w="9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1,695,955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25,000,004.82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135,406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1,996,014.43</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915,816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13,500,007.02</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67,838</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999,997.24</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Larry Steinberg</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23,744</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350,009.35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163" w:lineRule="exact"/>
        <w:rPr>
          <w:sz w:val="20"/>
          <w:szCs w:val="20"/>
          <w:color w:val="auto"/>
        </w:rPr>
      </w:pPr>
    </w:p>
    <w:p>
      <w:pPr>
        <w:ind w:left="1020" w:firstLine="460"/>
        <w:spacing w:after="0" w:line="251" w:lineRule="auto"/>
        <w:rPr>
          <w:sz w:val="20"/>
          <w:szCs w:val="20"/>
          <w:color w:val="auto"/>
        </w:rPr>
      </w:pPr>
      <w:r>
        <w:rPr>
          <w:rFonts w:ascii="Arial" w:cs="Arial" w:eastAsia="Arial" w:hAnsi="Arial"/>
          <w:sz w:val="14"/>
          <w:szCs w:val="14"/>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020" w:right="120" w:firstLine="7"/>
        <w:spacing w:after="0" w:line="238" w:lineRule="auto"/>
        <w:tabs>
          <w:tab w:leader="none" w:pos="1112"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220"/>
          </w:cols>
          <w:pgMar w:left="320" w:top="407" w:right="135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47"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Stockholders’ Agreement</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our Co-Founder and CEO, Ms. Hyman, the Bain Capital Ventures Entities and entities affiliated with Highland Capital Partners will enter into a stockholders’ agreement in connection with this offering under which such parties will agree, severally and not jointly, with us (and only with us), following the offering and upon the terms set forth in the stockholders’ agreement, to vote their shares for the Bain Capital Ventures director, Highland director and Founder Directors (each as defined therein), and to vote against their removal. See “Description of Capital Stock—Stockholders’ Agreement” for additional information.</w:t>
      </w: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171"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72"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To facilitate the Class B Exchange, we will enter into an exchange agreement with our Co-Founders, effective as of immediately after the effectiveness of the Amended Charter, pursuant to which 2,939,928 shares of our Class A common stock held by our Co-Founders will automatically be exchanged for an equivalent number of shares of Class B common stock immediately prior to the completion of this offering.</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Our Amended Charter that will be in effect immediately following the effectiveness of the registration statement of which this prospectus forms a part will contain provisions limiting the liability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00"/>
          </w:cols>
          <w:pgMar w:left="320" w:top="407" w:right="137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245"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242"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 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PRINCIPAL STOCKHOLDERS</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following table sets forth information with respect to the beneficial ownership of our Class A common stock and Class B common stock (1) reflecting the Transactions and (2) as adjusted to give effect to this offering, for:</w:t>
      </w:r>
    </w:p>
    <w:p>
      <w:pPr>
        <w:spacing w:after="0" w:line="87" w:lineRule="exact"/>
        <w:rPr>
          <w:sz w:val="20"/>
          <w:szCs w:val="20"/>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each person known by us to beneficially own more than 5% of our Class A common stock or our Class B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each of our named executive officers;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77"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October 11, 2021 and shares of RSUs that are vested or will become vested within 60 days of October 11,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percentage ownership of each individual or entity before this offering is based on 43,044,165 shares of Class A common stock and 2,939,928 shares of Class B common stock as of October 11, 2021, after giving effect to the Transactions. The applicable percentage ownership after this offering is based on 60,044,165 shares of our Class A common stock outstanding and 2,939,928 shares of our Class B common stock outstanding, in each case, immediately following the completion of this offering. The table below excludes any purchases that may be made through our directed share program or otherwise in this offering. See “Underwriting—Directed Share Program.” Unless otherwise indicated, the address of all listed stockholders is 10 Jay Street, Brooklyn, New York 11201.</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180"/>
          </w:cols>
          <w:pgMar w:left="320" w:top="407" w:right="139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160" w:firstLine="460"/>
        <w:spacing w:after="0" w:line="245" w:lineRule="auto"/>
        <w:rPr>
          <w:sz w:val="20"/>
          <w:szCs w:val="20"/>
          <w:color w:val="auto"/>
        </w:rPr>
      </w:pPr>
      <w:r>
        <w:rPr>
          <w:rFonts w:ascii="Arial" w:cs="Arial" w:eastAsia="Arial" w:hAnsi="Arial"/>
          <w:sz w:val="15"/>
          <w:szCs w:val="15"/>
          <w:color w:val="auto"/>
        </w:rPr>
        <w:t>Each of the stockholders listed has sole voting and investment power with respect to the shares beneficially owned by the stockholder unless noted otherwise, subject to community property laws where applicable.</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Combined Voting</w:t>
            </w: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13"/>
          </w:tcPr>
          <w:p>
            <w:pPr>
              <w:jc w:val="center"/>
              <w:ind w:left="180"/>
              <w:spacing w:after="0"/>
              <w:rPr>
                <w:sz w:val="20"/>
                <w:szCs w:val="20"/>
                <w:color w:val="auto"/>
              </w:rPr>
            </w:pPr>
            <w:r>
              <w:rPr>
                <w:rFonts w:ascii="Arial" w:cs="Arial" w:eastAsia="Arial" w:hAnsi="Arial"/>
                <w:sz w:val="12"/>
                <w:szCs w:val="12"/>
                <w:b w:val="1"/>
                <w:bCs w:val="1"/>
                <w:color w:val="auto"/>
              </w:rPr>
              <w:t>Class A Common Stock Beneficially Owned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80" w:type="dxa"/>
            <w:vAlign w:val="bottom"/>
            <w:gridSpan w:val="13"/>
          </w:tcPr>
          <w:p>
            <w:pPr>
              <w:jc w:val="center"/>
              <w:ind w:left="180"/>
              <w:spacing w:after="0"/>
              <w:rPr>
                <w:sz w:val="20"/>
                <w:szCs w:val="20"/>
                <w:color w:val="auto"/>
              </w:rPr>
            </w:pPr>
            <w:r>
              <w:rPr>
                <w:rFonts w:ascii="Arial" w:cs="Arial" w:eastAsia="Arial" w:hAnsi="Arial"/>
                <w:sz w:val="12"/>
                <w:szCs w:val="12"/>
                <w:b w:val="1"/>
                <w:bCs w:val="1"/>
                <w:color w:val="auto"/>
              </w:rPr>
              <w:t>Class B Common Stock Beneficially Owned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Power(1)</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8"/>
              </w:rPr>
              <w:t>After this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Offering</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Offering</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(With</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After this</w:t>
            </w:r>
          </w:p>
        </w:tc>
        <w:tc>
          <w:tcPr>
            <w:tcW w:w="720" w:type="dxa"/>
            <w:vAlign w:val="bottom"/>
            <w:gridSpan w:val="3"/>
          </w:tcPr>
          <w:p>
            <w:pPr>
              <w:jc w:val="center"/>
              <w:ind w:left="160"/>
              <w:spacing w:after="0" w:line="136" w:lineRule="exact"/>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After this</w:t>
            </w:r>
          </w:p>
        </w:tc>
        <w:tc>
          <w:tcPr>
            <w:tcW w:w="720" w:type="dxa"/>
            <w:vAlign w:val="bottom"/>
            <w:gridSpan w:val="3"/>
          </w:tcPr>
          <w:p>
            <w:pPr>
              <w:jc w:val="center"/>
              <w:ind w:left="160"/>
              <w:spacing w:after="0" w:line="136" w:lineRule="exact"/>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(No</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Full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(With Full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(With Full</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Exercise</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Exercise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w w:val="95"/>
              </w:rPr>
              <w:t>Over-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rPr>
              <w:t>Over-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w w:val="95"/>
              </w:rPr>
              <w:t>Over-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rPr>
              <w:t>Over-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Over-</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Over-</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Before this</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4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Before this</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allotment</w:t>
            </w:r>
          </w:p>
        </w:tc>
        <w:tc>
          <w:tcPr>
            <w:tcW w:w="7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7"/>
              </w:rPr>
              <w:t>allotment</w:t>
            </w:r>
          </w:p>
        </w:tc>
        <w:tc>
          <w:tcPr>
            <w:tcW w:w="0" w:type="dxa"/>
            <w:vAlign w:val="bottom"/>
          </w:tcPr>
          <w:p>
            <w:pPr>
              <w:spacing w:after="0"/>
              <w:rPr>
                <w:sz w:val="1"/>
                <w:szCs w:val="1"/>
                <w:color w:val="auto"/>
              </w:rPr>
            </w:pPr>
          </w:p>
        </w:tc>
      </w:tr>
      <w:tr>
        <w:trPr>
          <w:trHeight w:val="145"/>
        </w:trPr>
        <w:tc>
          <w:tcPr>
            <w:tcW w:w="150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of Beneficial Owner</w:t>
            </w:r>
          </w:p>
        </w:tc>
        <w:tc>
          <w:tcPr>
            <w:tcW w:w="20" w:type="dxa"/>
            <w:vAlign w:val="bottom"/>
          </w:tcPr>
          <w:p>
            <w:pPr>
              <w:spacing w:after="0"/>
              <w:rPr>
                <w:sz w:val="12"/>
                <w:szCs w:val="12"/>
                <w:color w:val="auto"/>
              </w:rPr>
            </w:pPr>
          </w:p>
        </w:tc>
        <w:tc>
          <w:tcPr>
            <w:tcW w:w="72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rPr>
              <w:t>Offering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8"/>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rPr>
              <w:t>Offering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8"/>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Option)</w:t>
            </w:r>
          </w:p>
        </w:tc>
        <w:tc>
          <w:tcPr>
            <w:tcW w:w="7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5% Stockholders:</w:t>
            </w: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20"/>
                <w:szCs w:val="20"/>
                <w:color w:val="auto"/>
              </w:rPr>
            </w:pPr>
            <w:r>
              <w:rPr>
                <w:rFonts w:ascii="Arial" w:cs="Arial" w:eastAsia="Arial" w:hAnsi="Arial"/>
                <w:sz w:val="12"/>
                <w:szCs w:val="12"/>
                <w:color w:val="auto"/>
              </w:rPr>
              <w:t>Ares Corporate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2"/>
                <w:szCs w:val="12"/>
                <w:color w:val="auto"/>
              </w:rPr>
              <w:t>Opportunities Fund V,</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L.P.</w:t>
            </w:r>
            <w:r>
              <w:rPr>
                <w:rFonts w:ascii="Arial" w:cs="Arial" w:eastAsia="Arial" w:hAnsi="Arial"/>
                <w:sz w:val="15"/>
                <w:szCs w:val="15"/>
                <w:color w:val="auto"/>
                <w:vertAlign w:val="superscript"/>
              </w:rPr>
              <w:t>(2)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3,387,678</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7.9%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3,387,678</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5.6%</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3,387,678</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5.4%</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Entities affiliated with Bain</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Capital Ventures</w:t>
            </w:r>
            <w:r>
              <w:rPr>
                <w:rFonts w:ascii="Arial" w:cs="Arial" w:eastAsia="Arial" w:hAnsi="Arial"/>
                <w:sz w:val="15"/>
                <w:szCs w:val="15"/>
                <w:color w:val="auto"/>
                <w:vertAlign w:val="superscript"/>
              </w:rPr>
              <w:t>(3)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19.0%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8,176,418</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13.1%</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33"/>
        </w:trPr>
        <w:tc>
          <w:tcPr>
            <w:tcW w:w="1500" w:type="dxa"/>
            <w:vAlign w:val="bottom"/>
          </w:tcPr>
          <w:p>
            <w:pPr>
              <w:spacing w:after="0" w:line="133" w:lineRule="exact"/>
              <w:rPr>
                <w:sz w:val="20"/>
                <w:szCs w:val="20"/>
                <w:color w:val="auto"/>
              </w:rPr>
            </w:pPr>
            <w:r>
              <w:rPr>
                <w:rFonts w:ascii="Arial" w:cs="Arial" w:eastAsia="Arial" w:hAnsi="Arial"/>
                <w:sz w:val="12"/>
                <w:szCs w:val="12"/>
                <w:color w:val="auto"/>
              </w:rPr>
              <w:t>Entities affiliated with</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Highland Capital</w:t>
            </w:r>
            <w:r>
              <w:rPr>
                <w:rFonts w:ascii="Arial" w:cs="Arial" w:eastAsia="Arial" w:hAnsi="Arial"/>
                <w:sz w:val="15"/>
                <w:szCs w:val="15"/>
                <w:color w:val="auto"/>
                <w:vertAlign w:val="superscript"/>
              </w:rPr>
              <w:t>(4)</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8.2%</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Technology Crossover</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Ventures</w:t>
            </w:r>
            <w:r>
              <w:rPr>
                <w:rFonts w:ascii="Arial" w:cs="Arial" w:eastAsia="Arial" w:hAnsi="Arial"/>
                <w:sz w:val="15"/>
                <w:szCs w:val="15"/>
                <w:color w:val="auto"/>
                <w:vertAlign w:val="superscript"/>
              </w:rPr>
              <w:t>(5)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3,902,050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25"/>
        </w:trPr>
        <w:tc>
          <w:tcPr>
            <w:tcW w:w="1500" w:type="dxa"/>
            <w:vAlign w:val="bottom"/>
          </w:tcPr>
          <w:p>
            <w:pPr>
              <w:spacing w:after="0" w:line="125" w:lineRule="exact"/>
              <w:rPr>
                <w:sz w:val="20"/>
                <w:szCs w:val="20"/>
                <w:color w:val="auto"/>
              </w:rPr>
            </w:pPr>
            <w:r>
              <w:rPr>
                <w:rFonts w:ascii="Arial" w:cs="Arial" w:eastAsia="Arial" w:hAnsi="Arial"/>
                <w:sz w:val="12"/>
                <w:szCs w:val="12"/>
                <w:b w:val="1"/>
                <w:bCs w:val="1"/>
                <w:color w:val="auto"/>
                <w:w w:val="99"/>
              </w:rPr>
              <w:t>Named Executive Officers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00" w:type="dxa"/>
            <w:vAlign w:val="bottom"/>
          </w:tcPr>
          <w:p>
            <w:pPr>
              <w:ind w:left="120"/>
              <w:spacing w:after="0"/>
              <w:rPr>
                <w:sz w:val="20"/>
                <w:szCs w:val="20"/>
                <w:color w:val="auto"/>
              </w:rPr>
            </w:pPr>
            <w:r>
              <w:rPr>
                <w:rFonts w:ascii="Arial" w:cs="Arial" w:eastAsia="Arial" w:hAnsi="Arial"/>
                <w:sz w:val="12"/>
                <w:szCs w:val="12"/>
                <w:b w:val="1"/>
                <w:bCs w:val="1"/>
                <w:color w:val="auto"/>
              </w:rPr>
              <w:t>and Directors: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Jennifer Y. Hyman</w:t>
            </w:r>
            <w:r>
              <w:rPr>
                <w:rFonts w:ascii="Arial" w:cs="Arial" w:eastAsia="Arial" w:hAnsi="Arial"/>
                <w:sz w:val="15"/>
                <w:szCs w:val="15"/>
                <w:color w:val="auto"/>
                <w:vertAlign w:val="superscript"/>
              </w:rPr>
              <w:t>(6)</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3"/>
              </w:rPr>
              <w:t>63.8%</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w w:val="93"/>
              </w:rPr>
              <w:t>63.8%</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w w:val="93"/>
              </w:rPr>
              <w:t>63.8%</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39.6%</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38.9%</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Scarlett O’Sullivan</w:t>
            </w:r>
            <w:r>
              <w:rPr>
                <w:rFonts w:ascii="Arial" w:cs="Arial" w:eastAsia="Arial" w:hAnsi="Arial"/>
                <w:sz w:val="15"/>
                <w:szCs w:val="15"/>
                <w:color w:val="auto"/>
                <w:vertAlign w:val="superscript"/>
              </w:rPr>
              <w:t>(7)</w:t>
            </w:r>
          </w:p>
        </w:tc>
        <w:tc>
          <w:tcPr>
            <w:tcW w:w="70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581,096</w:t>
            </w:r>
          </w:p>
        </w:tc>
        <w:tc>
          <w:tcPr>
            <w:tcW w:w="2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Anushka Salinas</w:t>
            </w:r>
            <w:r>
              <w:rPr>
                <w:rFonts w:ascii="Arial" w:cs="Arial" w:eastAsia="Arial" w:hAnsi="Arial"/>
                <w:sz w:val="15"/>
                <w:szCs w:val="15"/>
                <w:color w:val="auto"/>
                <w:vertAlign w:val="superscript"/>
              </w:rPr>
              <w:t>(8)</w:t>
            </w:r>
          </w:p>
        </w:tc>
        <w:tc>
          <w:tcPr>
            <w:tcW w:w="70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353,560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Brian Donato</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Tim Bixby</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Jennifer Fleiss</w:t>
            </w:r>
            <w:r>
              <w:rPr>
                <w:rFonts w:ascii="Arial" w:cs="Arial" w:eastAsia="Arial" w:hAnsi="Arial"/>
                <w:sz w:val="15"/>
                <w:szCs w:val="15"/>
                <w:color w:val="auto"/>
                <w:vertAlign w:val="superscript"/>
              </w:rPr>
              <w:t>(9)</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571,240</w:t>
            </w:r>
          </w:p>
        </w:tc>
        <w:tc>
          <w:tcPr>
            <w:tcW w:w="4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w w:val="93"/>
              </w:rPr>
              <w:t>19.4%</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571,240</w:t>
            </w:r>
          </w:p>
        </w:tc>
        <w:tc>
          <w:tcPr>
            <w:tcW w:w="2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w w:val="93"/>
              </w:rPr>
              <w:t>19.4%</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571,240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w w:val="93"/>
              </w:rPr>
              <w:t>19.4%</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9.6%</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Scott Friend</w:t>
            </w:r>
            <w:r>
              <w:rPr>
                <w:rFonts w:ascii="Arial" w:cs="Arial" w:eastAsia="Arial" w:hAnsi="Arial"/>
                <w:sz w:val="15"/>
                <w:szCs w:val="15"/>
                <w:color w:val="auto"/>
                <w:vertAlign w:val="superscript"/>
              </w:rPr>
              <w:t>(10)</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Melanie Harris</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Beth Kaplan</w:t>
            </w:r>
            <w:r>
              <w:rPr>
                <w:rFonts w:ascii="Arial" w:cs="Arial" w:eastAsia="Arial" w:hAnsi="Arial"/>
                <w:sz w:val="16"/>
                <w:szCs w:val="16"/>
                <w:color w:val="auto"/>
                <w:vertAlign w:val="superscript"/>
              </w:rPr>
              <w:t>(11)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885,910</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Dan Nova</w:t>
            </w:r>
            <w:r>
              <w:rPr>
                <w:rFonts w:ascii="Arial" w:cs="Arial" w:eastAsia="Arial" w:hAnsi="Arial"/>
                <w:sz w:val="16"/>
                <w:szCs w:val="16"/>
                <w:color w:val="auto"/>
                <w:vertAlign w:val="superscript"/>
              </w:rPr>
              <w:t>(12)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8.5%</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8.2%</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4.3%</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Gwyneth Paltrow</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Carley Roney</w:t>
            </w:r>
            <w:r>
              <w:rPr>
                <w:rFonts w:ascii="Arial" w:cs="Arial" w:eastAsia="Arial" w:hAnsi="Arial"/>
                <w:sz w:val="16"/>
                <w:szCs w:val="16"/>
                <w:color w:val="auto"/>
                <w:vertAlign w:val="superscript"/>
              </w:rPr>
              <w:t>(13)</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37,812</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Dan Rosensweig</w:t>
            </w:r>
            <w:r>
              <w:rPr>
                <w:rFonts w:ascii="Arial" w:cs="Arial" w:eastAsia="Arial" w:hAnsi="Arial"/>
                <w:sz w:val="16"/>
                <w:szCs w:val="16"/>
                <w:color w:val="auto"/>
                <w:vertAlign w:val="superscript"/>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51,911</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Mike Roth</w:t>
            </w:r>
            <w:r>
              <w:rPr>
                <w:rFonts w:ascii="Arial" w:cs="Arial" w:eastAsia="Arial" w:hAnsi="Arial"/>
                <w:sz w:val="16"/>
                <w:szCs w:val="16"/>
                <w:color w:val="auto"/>
                <w:vertAlign w:val="superscript"/>
              </w:rPr>
              <w:t>(15)</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67,838</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2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All executive officers and</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2"/>
                <w:szCs w:val="12"/>
                <w:b w:val="1"/>
                <w:bCs w:val="1"/>
                <w:color w:val="auto"/>
                <w:w w:val="99"/>
              </w:rPr>
              <w:t>directors as a group (18</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20"/>
              <w:spacing w:after="0" w:line="150" w:lineRule="exact"/>
              <w:rPr>
                <w:sz w:val="20"/>
                <w:szCs w:val="20"/>
                <w:color w:val="auto"/>
              </w:rPr>
            </w:pPr>
            <w:r>
              <w:rPr>
                <w:rFonts w:ascii="Arial" w:cs="Arial" w:eastAsia="Arial" w:hAnsi="Arial"/>
                <w:sz w:val="11"/>
                <w:szCs w:val="11"/>
                <w:b w:val="1"/>
                <w:bCs w:val="1"/>
                <w:color w:val="auto"/>
              </w:rPr>
              <w:t>individuals)</w:t>
            </w:r>
            <w:r>
              <w:rPr>
                <w:rFonts w:ascii="Arial" w:cs="Arial" w:eastAsia="Arial" w:hAnsi="Arial"/>
                <w:sz w:val="17"/>
                <w:szCs w:val="17"/>
                <w:b w:val="1"/>
                <w:bCs w:val="1"/>
                <w:color w:val="auto"/>
                <w:vertAlign w:val="superscript"/>
              </w:rPr>
              <w:t>(16)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7,316,622</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16.6%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7,316,622</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12.0%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7,316,622</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11.5%</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75.4%</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75.4%</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75.4%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51.0%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116"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720"/>
          </w:cols>
          <w:pgMar w:left="320" w:top="407" w:right="8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Represents the percentage of voting power of our Class A common stock and Class B common stock voting as a single class. Each holder of Class A common stock shall be entitled to one vote per share of Class A common stock and each holder of Class B common stock shall be entitled to 20 votes per share . The Class A common stock and Class B common stock will vote as a single class on all matters presented to stockholders for a vote generally, including the election of directors, except as required by law or the certificate.</w:t>
      </w:r>
    </w:p>
    <w:p>
      <w:pPr>
        <w:ind w:left="1380" w:right="2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Consists of (i) 1,695,955 shares of Class A common stock held by Ares Corporate Opportunities Fund V, L.P and (ii) the exercise of warrants to purchase 1,692,529 shares of Class A common stock, which will result in the issuance of 1,691,723 shares of Class A common stock in connection with this offering, based on an initial public offering price of $21.00 per share of Class A common stock. The manager of Ares Corporate Opportunities Fund V, L.P. is ACOF Investment Management LLC, and the sole member of ACOF Investment Management LLC is Ares Management LLC. The sole member of Ares Management LLC is Ares Management Holdings L.P., and the general partner of Ares Management Holdings L.P. is Ares Holdco LLC. The sole member of Ares Holdco LLC is Ares Management Corporation. Ares Management Corporation is indirectly controlled by Ares Partners Holdco LLC. We refer to all of the foregoing entities collectively as the Ares Entities. Ares Partners Holdco LLC is managed by a board of managers, which is composed of Michael Arougheti, Ryan Berry, R. Kipp deVeer, David Kaplan, Antony Ressler and Bennett Rosenthal. Mr. Ressler generally has veto authority over decisions by the board of managers of Ares Partners Holdco LLC. Each of the members of the board of managers expressly disclaims beneficial ownership of the shares owned by Ares Corporate Opportunities Fund V, L.P. Each of the Ares Entities (other than Ares Corporate Opportunities Fund V, L.P., with respect to the securities owned by it) and the equity holders, partners, members and managers of the Ares Entities and the executive committee of Ares Partners Holdco LLC expressly disclaims beneficial ownership of these shares. The principal business address for each of the entities in this paragraph is 2000 Avenue of the Stars, 12th Floor, Los Angeles, CA 90067.</w:t>
      </w:r>
    </w:p>
    <w:p>
      <w:pPr>
        <w:spacing w:after="0" w:line="1" w:lineRule="exact"/>
        <w:rPr>
          <w:rFonts w:ascii="Arial" w:cs="Arial" w:eastAsia="Arial" w:hAnsi="Arial"/>
          <w:sz w:val="12"/>
          <w:szCs w:val="12"/>
          <w:color w:val="auto"/>
        </w:rPr>
      </w:pPr>
    </w:p>
    <w:p>
      <w:pPr>
        <w:ind w:left="1380" w:right="6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Consists of (i) 7,644,627 shares of Class A common stock held by Bain Capital Venture Fund 2009, L.P., or BCV Fund 2009, (ii) 466,750 shares of Class A common stock held by BCIP Venture Associates, or BCIP Venture, and (iii) 65,041 shares of Class A common stock held by BCIP Venture Associates-B, or BCIP Venture-B, and together with BCV Fund 2009 and BCIP Venture, the Bain Capital Ventures Entities. Bain Capital Venture Investors, LLC, or BCVI, the Executive Committee of which consists of Enrique Salem and Ajay Agarwal, is the ultimate general partner of BCV Fund 2009 and governs the investment strategy and decision-making process with respect to investments held by BCIP Venture and BCIP Venture-B. By virtue of the relationships described herein, each of BCVI and Messrs. Salem and Agarwal may be deemed to share voting and dispositive power over the shares held by the Bain Capital Ventures Entities. The principal business address for each of the entities in this paragraph is c/o Bain Capital Ventures, 200 Clarendon Street, Boston, MA 02116.</w:t>
      </w:r>
    </w:p>
    <w:p>
      <w:pPr>
        <w:ind w:left="1380" w:hanging="353"/>
        <w:spacing w:after="0" w:line="235"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Consists of (i) 3,088,560 shares of Class A common stock held by Highland Capital Partners VIII Limited Partnership, or Highland Capital VIII, (ii) 47,885 shares of Class A common stock held by Highland Capital Partners VIII-B Limited Partnership, or Highland Capital VIII-B, (iii) 1,119,970 shares of Class A common stock held by Highland Capital Partners VIII-C Limited Partnership, or Highland Capital VIII-C, and together with Highland Capital VIII and Highland Capital VIII-B, the Highland VIII Investing Entities, and (iv) 847,978 shares of Class A common stock held by Highland Leaders Fund I Limited Partnership, or Highland Leaders, and together with Highland VIII Investing Entities, the Highland Capital Entities. Highland Management Partners VIII Limited Partnership, a Cayman limited partnership, or HMP VIII LP, is the general partner of the Highland VIII Investing Entities. Highland Management Partners VIII Ltd, a Cayman limited company, or HMP VIII Ltd, is the general partner of HMP VIII LP. Robert Davis, Dan Nova, Paul Maeder and Corey Mulloy are the Directors of HMP VIII Ltd. HMP VIII Ltd, as the general partner of the general partner of the Highland VIII Investing Entities, respectively, may be deemed to have beneficial ownership of the Class A common stock held by the Highland VIII Investing Entities. The Directors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interests therein. Highland Leaders Fund I GP, L.P., a Delaware limited partnership, or Highland Leaders LP, the general partner of the Highland Leaders Fund. Highland Leaders Fund I GP, LLC, a Delaware limited liability company, or Highland Leaders LLC, is the general partner of Highland Leaders LP. Robert Davis, Dan Nova, Paul Maeder, Craig Driscoll and Corey Mulloy are the Managing Members of Highland Leaders LLC. Highland Leaders LLC, as the general partner of the general partner of the Highland Leaders Fund, may be deemed to have shared power over all investment decisions of Highland Leaders Fund. The Managing Members have shared power over all investment decisions of Highland Leaders LLC and therefore may be deemed to share beneficial ownership of the shares held by the Highland Leaders Fund by virtue of their status as controlling persons of Highland Leaders LLC. Each Managing Member of Highland Leaders LLC disclaims beneficial ownership of the shares held by the Highland Leaders Fund, except to the extent of each such Managing Member’s pecuniary interest therein. Each of Highland Leaders LLC and Highland Leaders LP disclaims beneficial ownership of the shares held by the Highland Leaders Fund, except to the extent of each such entity’s pecuniary interest therein. The principal business address for each of the entities in this paragraph is One Broadway, 16th Floor, Cambridge, MA 02142.</w:t>
      </w:r>
    </w:p>
    <w:p>
      <w:pPr>
        <w:spacing w:after="0" w:line="2" w:lineRule="exact"/>
        <w:rPr>
          <w:rFonts w:ascii="Arial" w:cs="Arial" w:eastAsia="Arial" w:hAnsi="Arial"/>
          <w:sz w:val="12"/>
          <w:szCs w:val="12"/>
          <w:color w:val="auto"/>
        </w:rPr>
      </w:pPr>
    </w:p>
    <w:p>
      <w:pPr>
        <w:jc w:val="both"/>
        <w:ind w:left="1380" w:right="60" w:hanging="353"/>
        <w:spacing w:after="0" w:line="241" w:lineRule="auto"/>
        <w:tabs>
          <w:tab w:leader="none" w:pos="138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Consists of (i) 2,781,224 shares of Class A common stock held by TCV VIII, L.P., (ii) 750,009 shares of Class A common stock held by TCV VIII (A), L.P., (iii) 172,737 shares of Class A common stock held by TCV VIII (B), L.P., and (iv) 198,080 shares of Class A common stock held by TCV Member Fund, L.P., or the Member Fund. Technology Crossover Management VIII, Ltd., or Management VIII, is a general partner of the Member Fund and the general partner of Technology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20"/>
          </w:cols>
          <w:pgMar w:left="320" w:top="407" w:right="135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35" w:lineRule="auto"/>
        <w:rPr>
          <w:sz w:val="20"/>
          <w:szCs w:val="20"/>
          <w:color w:val="auto"/>
        </w:rPr>
      </w:pPr>
      <w:r>
        <w:rPr>
          <w:rFonts w:ascii="Arial" w:cs="Arial" w:eastAsia="Arial" w:hAnsi="Arial"/>
          <w:sz w:val="12"/>
          <w:szCs w:val="12"/>
          <w:color w:val="auto"/>
        </w:rPr>
        <w:t>Crossover Management VIII, L.P., or TCM VIII. TCM VIII is the general partner of each of TCV VIII,L.P., TCV VIII (A), L.P., and TCV VIII (B), L.P., together with the Member Fund, the TCV VIII Funds. Management VIII and TCM VIII may be deemed to beneficially own the securities held by the TCV VIII Funds directly or indirectly controlled by them, but each disclaims beneficial ownership of such shares except to the extent of its pecuniary interest therein. The principal business address for each of the entities in this paragraph is 250 Middlefield Road, Menlo Park, CA 94025.</w:t>
      </w:r>
    </w:p>
    <w:p>
      <w:pPr>
        <w:ind w:left="1380" w:right="10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Consists of: (i) 1,145,240 shares of Class B common stock held by Ms. Hyman; and (ii) 1,982,749 shares of Class B common stock issuable pursuant to outstanding stock options and RSUs held by Ms. Hyman that are exercisable or vested and settled within 60 days of October 11, 2021.</w:t>
      </w:r>
    </w:p>
    <w:p>
      <w:pPr>
        <w:ind w:left="1380" w:right="22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Consists of: (i) 40,000 shares of Class A common stock held by Ms. O’Sullivan; and (ii) 541,096 shares of Class A common stock issuable pursuant to outstanding stock options and RSUs held by Ms. O’Sullivan that are exercisable or vested and settled within 60 days of October 11, 2021.</w:t>
      </w:r>
    </w:p>
    <w:p>
      <w:pPr>
        <w:ind w:left="1380" w:right="40" w:hanging="353"/>
        <w:spacing w:after="0" w:line="235" w:lineRule="auto"/>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Consists of: (i) 23,266 shares of Class A common stock held by Ms. Salinas; and (ii) 330,294 shares of Class A common stock issuable pursuant to outstanding stock options and RSUs held by Ms. Salinas that are exercisable or vested and settled within 60 days of October 11, 2021.</w:t>
      </w:r>
    </w:p>
    <w:p>
      <w:pPr>
        <w:ind w:left="1380" w:hanging="353"/>
        <w:spacing w:after="0" w:line="188" w:lineRule="auto"/>
        <w:tabs>
          <w:tab w:leader="none" w:pos="1380" w:val="left"/>
        </w:tabs>
        <w:numPr>
          <w:ilvl w:val="0"/>
          <w:numId w:val="182"/>
        </w:numPr>
        <w:rPr>
          <w:rFonts w:ascii="Arial" w:cs="Arial" w:eastAsia="Arial" w:hAnsi="Arial"/>
          <w:sz w:val="15"/>
          <w:szCs w:val="15"/>
          <w:color w:val="auto"/>
          <w:vertAlign w:val="superscript"/>
        </w:rPr>
      </w:pPr>
      <w:r>
        <w:rPr>
          <w:rFonts w:ascii="Arial" w:cs="Arial" w:eastAsia="Arial" w:hAnsi="Arial"/>
          <w:sz w:val="9"/>
          <w:szCs w:val="9"/>
          <w:color w:val="auto"/>
        </w:rPr>
        <w:t>Consists of: 571,240 shares of Class B common stock held by Ms. Fleiss.</w:t>
      </w:r>
    </w:p>
    <w:p>
      <w:pPr>
        <w:ind w:left="1380" w:right="140" w:hanging="353"/>
        <w:spacing w:after="0" w:line="188" w:lineRule="auto"/>
        <w:tabs>
          <w:tab w:leader="none" w:pos="1380" w:val="left"/>
        </w:tabs>
        <w:numPr>
          <w:ilvl w:val="0"/>
          <w:numId w:val="182"/>
        </w:numPr>
        <w:rPr>
          <w:rFonts w:ascii="Arial" w:cs="Arial" w:eastAsia="Arial" w:hAnsi="Arial"/>
          <w:sz w:val="21"/>
          <w:szCs w:val="21"/>
          <w:color w:val="auto"/>
          <w:vertAlign w:val="superscript"/>
        </w:rPr>
      </w:pPr>
      <w:r>
        <w:rPr>
          <w:rFonts w:ascii="Arial" w:cs="Arial" w:eastAsia="Arial" w:hAnsi="Arial"/>
          <w:sz w:val="12"/>
          <w:szCs w:val="12"/>
          <w:color w:val="auto"/>
        </w:rPr>
        <w:t>Does not include the shares of Class A common stock held by the Bain Capital Ventures Entities. Mr. Friend is a Managing Director of BCVI. As a result, by virtue of the relationships described in footnote (3) above, Mr. Friend may be deemed to share beneficial ownership of such securities held by the Bain Capital Ventures Entities. The address of Mr. Friend is c/o Bain Capital Ventures, 200 Clarendon Street, Boston, MA 02116.</w:t>
      </w:r>
    </w:p>
    <w:p>
      <w:pPr>
        <w:ind w:left="1380" w:hanging="353"/>
        <w:spacing w:after="0" w:line="198" w:lineRule="auto"/>
        <w:tabs>
          <w:tab w:leader="none" w:pos="1380" w:val="left"/>
        </w:tabs>
        <w:numPr>
          <w:ilvl w:val="0"/>
          <w:numId w:val="182"/>
        </w:numPr>
        <w:rPr>
          <w:rFonts w:ascii="Arial" w:cs="Arial" w:eastAsia="Arial" w:hAnsi="Arial"/>
          <w:sz w:val="21"/>
          <w:szCs w:val="21"/>
          <w:color w:val="auto"/>
          <w:vertAlign w:val="superscript"/>
        </w:rPr>
      </w:pPr>
      <w:r>
        <w:rPr>
          <w:rFonts w:ascii="Arial" w:cs="Arial" w:eastAsia="Arial" w:hAnsi="Arial"/>
          <w:sz w:val="12"/>
          <w:szCs w:val="12"/>
          <w:color w:val="auto"/>
        </w:rPr>
        <w:t>Consists of: (i) 368,222 shares of Class A common stock held by Axcel Partners VIII; (ii) 462,521 shares of Class A common stock held by Ms. Kaplan; and (iii) 55,167 shares of Class A common stock issuable pursuant to outstanding stock options and RSUs held by Ms. Kaplan that are exercisable or vested and settled within 60 days of October 11, 2021. Ms. Kaplan is the managing member of Axcel Partners, LLC, and may be deemed to have voting &amp; dispositive power over the shares held by Axcel Partners VIII.</w:t>
      </w:r>
    </w:p>
    <w:p>
      <w:pPr>
        <w:ind w:left="1380" w:hanging="353"/>
        <w:spacing w:after="0" w:line="188" w:lineRule="auto"/>
        <w:tabs>
          <w:tab w:leader="none" w:pos="1380" w:val="left"/>
        </w:tabs>
        <w:numPr>
          <w:ilvl w:val="0"/>
          <w:numId w:val="182"/>
        </w:numPr>
        <w:rPr>
          <w:rFonts w:ascii="Arial" w:cs="Arial" w:eastAsia="Arial" w:hAnsi="Arial"/>
          <w:sz w:val="15"/>
          <w:szCs w:val="15"/>
          <w:color w:val="auto"/>
          <w:vertAlign w:val="superscript"/>
        </w:rPr>
      </w:pPr>
      <w:r>
        <w:rPr>
          <w:rFonts w:ascii="Arial" w:cs="Arial" w:eastAsia="Arial" w:hAnsi="Arial"/>
          <w:sz w:val="9"/>
          <w:szCs w:val="9"/>
          <w:color w:val="auto"/>
        </w:rPr>
        <w:t>Consists of: the shares held by the entities affiliated with Highland Capital identified in footnote 4.</w:t>
      </w:r>
    </w:p>
    <w:p>
      <w:pPr>
        <w:ind w:left="1380" w:hanging="353"/>
        <w:spacing w:after="0" w:line="188" w:lineRule="auto"/>
        <w:tabs>
          <w:tab w:leader="none" w:pos="1380" w:val="left"/>
        </w:tabs>
        <w:numPr>
          <w:ilvl w:val="0"/>
          <w:numId w:val="182"/>
        </w:numPr>
        <w:rPr>
          <w:rFonts w:ascii="Arial" w:cs="Arial" w:eastAsia="Arial" w:hAnsi="Arial"/>
          <w:sz w:val="15"/>
          <w:szCs w:val="15"/>
          <w:color w:val="auto"/>
          <w:vertAlign w:val="superscript"/>
        </w:rPr>
      </w:pPr>
      <w:r>
        <w:rPr>
          <w:rFonts w:ascii="Arial" w:cs="Arial" w:eastAsia="Arial" w:hAnsi="Arial"/>
          <w:sz w:val="9"/>
          <w:szCs w:val="9"/>
          <w:color w:val="auto"/>
        </w:rPr>
        <w:t>Consists of: 37,812 shares of Class A common stock held by Ms. Roney.</w:t>
      </w:r>
    </w:p>
    <w:p>
      <w:pPr>
        <w:ind w:left="1380" w:right="120" w:hanging="353"/>
        <w:spacing w:after="0" w:line="198" w:lineRule="auto"/>
        <w:tabs>
          <w:tab w:leader="none" w:pos="1380" w:val="left"/>
        </w:tabs>
        <w:numPr>
          <w:ilvl w:val="0"/>
          <w:numId w:val="182"/>
        </w:numPr>
        <w:rPr>
          <w:rFonts w:ascii="Arial" w:cs="Arial" w:eastAsia="Arial" w:hAnsi="Arial"/>
          <w:sz w:val="21"/>
          <w:szCs w:val="21"/>
          <w:color w:val="auto"/>
          <w:vertAlign w:val="superscript"/>
        </w:rPr>
      </w:pPr>
      <w:r>
        <w:rPr>
          <w:rFonts w:ascii="Arial" w:cs="Arial" w:eastAsia="Arial" w:hAnsi="Arial"/>
          <w:sz w:val="12"/>
          <w:szCs w:val="12"/>
          <w:color w:val="auto"/>
        </w:rPr>
        <w:t>Consists of: (i) 3,229 shares of Class A common held by The Rosensweig 2012 Irrevocable Children’s Trust, (ii) 45,682 shares of Class A common stock held by Mr. Rosensweig; and (iii) 3,000 shares of Class A common stock issuable pursuant to outstanding stock options and RSUs held by Mr. Rosensweig that are exercisable or vested and settled within 60 days of October 11, 2021. Mr. Rosensweig may be deemed to have voting &amp; dispositive power over the shares held by The Rosensweig 2012 Irrevocable Children’s Trust.</w:t>
      </w:r>
    </w:p>
    <w:p>
      <w:pPr>
        <w:ind w:left="1380" w:hanging="353"/>
        <w:spacing w:after="0" w:line="188" w:lineRule="auto"/>
        <w:tabs>
          <w:tab w:leader="none" w:pos="1380" w:val="left"/>
        </w:tabs>
        <w:numPr>
          <w:ilvl w:val="0"/>
          <w:numId w:val="182"/>
        </w:numPr>
        <w:rPr>
          <w:rFonts w:ascii="Arial" w:cs="Arial" w:eastAsia="Arial" w:hAnsi="Arial"/>
          <w:sz w:val="15"/>
          <w:szCs w:val="15"/>
          <w:color w:val="auto"/>
          <w:vertAlign w:val="superscript"/>
        </w:rPr>
      </w:pPr>
      <w:r>
        <w:rPr>
          <w:rFonts w:ascii="Arial" w:cs="Arial" w:eastAsia="Arial" w:hAnsi="Arial"/>
          <w:sz w:val="9"/>
          <w:szCs w:val="9"/>
          <w:color w:val="auto"/>
        </w:rPr>
        <w:t>Consists of: 67,838 shares of Class A common stock held by Mr. Roth.</w:t>
      </w:r>
    </w:p>
    <w:p>
      <w:pPr>
        <w:ind w:left="1380" w:hanging="353"/>
        <w:spacing w:after="0" w:line="192" w:lineRule="auto"/>
        <w:tabs>
          <w:tab w:leader="none" w:pos="1380" w:val="left"/>
        </w:tabs>
        <w:numPr>
          <w:ilvl w:val="0"/>
          <w:numId w:val="182"/>
        </w:numPr>
        <w:rPr>
          <w:rFonts w:ascii="Arial" w:cs="Arial" w:eastAsia="Arial" w:hAnsi="Arial"/>
          <w:sz w:val="21"/>
          <w:szCs w:val="21"/>
          <w:color w:val="auto"/>
          <w:vertAlign w:val="superscript"/>
        </w:rPr>
      </w:pPr>
      <w:r>
        <w:rPr>
          <w:rFonts w:ascii="Arial" w:cs="Arial" w:eastAsia="Arial" w:hAnsi="Arial"/>
          <w:sz w:val="12"/>
          <w:szCs w:val="12"/>
          <w:color w:val="auto"/>
        </w:rPr>
        <w:t>Consists of: (i) 6,176,707 shares of Class A common stock; (ii) 1,139,915 shares of Class A common stock issuable pursuant to outstanding stock options and/or RSUs that are exercisable and/or vested and settled within 60 days of October 11, 2021; (iii) 1,716,480 shares of Class B common stock; and (iv) 1,982,749 shares of Class B common stock issuable pursuant to outstanding stock options and/or RSUs that are exercisable and/or vested and settled within 60 days of October 11, 2021.</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20"/>
          </w:cols>
          <w:pgMar w:left="320" w:top="407" w:right="135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connection with this offering, we will file an Amended Charter, and we will adopt our Amended Bylaws. Our Amended Charter will authorize capital stock consisting of:</w:t>
      </w:r>
    </w:p>
    <w:p>
      <w:pPr>
        <w:spacing w:after="0" w:line="87" w:lineRule="exact"/>
        <w:rPr>
          <w:sz w:val="20"/>
          <w:szCs w:val="20"/>
          <w:color w:val="auto"/>
        </w:rPr>
      </w:pPr>
    </w:p>
    <w:p>
      <w:pPr>
        <w:ind w:left="1660" w:hanging="183"/>
        <w:spacing w:after="0"/>
        <w:tabs>
          <w:tab w:leader="none" w:pos="16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300,000,000 shares of Class A common stock, par value $0.001 per share;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50,000,000 shares of Class B common stock, par value $0.001 per share;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10,000,000 shares of preferred stock, par value $0.001 per share.</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are selling 17,000,000 shares of Class A common stock in this offering (19,550,000 shares if the underwriters exercise in full their option to purchase additional shares). All shares of our Class A common stock outstanding upon consummation of this offering will be fully paid and non-assessable.</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Prior to the completion of this offering, we intend to effectuate the Transactions. After giving effect to the Transactions, as of July 31, 2021, there were 42,928,745 shares of our Class A common stock outstanding, held by 575 stockholders of record, 2,939,928 shares of our Class B common stock outstanding held by seven stockholders of record, and no shares of our preferred stock outstanding.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48"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A Common Stock. </w:t>
      </w:r>
      <w:r>
        <w:rPr>
          <w:rFonts w:ascii="Arial" w:cs="Arial" w:eastAsia="Arial" w:hAnsi="Arial"/>
          <w:sz w:val="15"/>
          <w:szCs w:val="15"/>
          <w:color w:val="auto"/>
        </w:rPr>
        <w:t>Holders of shares of our Class A common stock are entitled to one vote for each share held of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Holders of shares of our Class A common stock do not have preemptive, subscription, redemption or conversion rights. There will be no redemption or sinking fund provisions applicable to the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00"/>
          </w:cols>
          <w:pgMar w:left="320" w:top="407" w:right="137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4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B Common Stock. </w:t>
      </w:r>
      <w:r>
        <w:rPr>
          <w:rFonts w:ascii="Arial" w:cs="Arial" w:eastAsia="Arial" w:hAnsi="Arial"/>
          <w:sz w:val="15"/>
          <w:szCs w:val="15"/>
          <w:color w:val="auto"/>
        </w:rPr>
        <w:t>Each share of our Class B common stock entitles its holders to 20 votes per share on all matters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share of Class B common stock will convert automatically into one share of Class A common stock upon the date that is earlier of (i) the transfer of such share to a person that is not in the same Permitted Ownership Group (as defined in the Amended Charter) as such Permitted Class B Holder (as defined in the Amended Charter), (ii) November 1, 2028 or (iii) with respect to any shares held by any person in a Co-Founder’s Permitted Ownership Group,</w:t>
      </w:r>
    </w:p>
    <w:p>
      <w:pPr>
        <w:spacing w:after="0" w:line="1" w:lineRule="exact"/>
        <w:rPr>
          <w:sz w:val="20"/>
          <w:szCs w:val="20"/>
          <w:color w:val="auto"/>
        </w:rPr>
      </w:pPr>
    </w:p>
    <w:p>
      <w:pPr>
        <w:ind w:left="1020" w:right="40" w:firstLine="7"/>
        <w:spacing w:after="0" w:line="238" w:lineRule="auto"/>
        <w:tabs>
          <w:tab w:leader="none" w:pos="126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such time as a Co-Founder is removed or resigns from the Board of Directors, or otherwise ceases to serve as a director on our Board of Directors, (B) such time as a Co-Founder ceases to be either an employee, officer or consultant, or (C) the date that is 12 months after the death or disability of a Co-Founder.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170"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Holders of our Class B common stock do not have preemptive, subscription or redemption rights. There will be no redemption or sinking fund provisions applicable to the Class B common stock.</w:t>
      </w:r>
    </w:p>
    <w:p>
      <w:pPr>
        <w:spacing w:after="0" w:line="148" w:lineRule="exact"/>
        <w:rPr>
          <w:sz w:val="20"/>
          <w:szCs w:val="20"/>
          <w:color w:val="auto"/>
        </w:rPr>
      </w:pPr>
    </w:p>
    <w:p>
      <w:pPr>
        <w:ind w:left="1020" w:right="4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Common Stock Dividend Rights. </w:t>
      </w:r>
      <w:r>
        <w:rPr>
          <w:rFonts w:ascii="Arial" w:cs="Arial" w:eastAsia="Arial" w:hAnsi="Arial"/>
          <w:sz w:val="15"/>
          <w:szCs w:val="15"/>
          <w:color w:val="auto"/>
        </w:rPr>
        <w:t>The holders of our Class A and Class B common stock are entitled to receive dividends out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69"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20"/>
          </w:cols>
          <w:pgMar w:left="320" w:top="407" w:right="135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See the sections titled “Dividend Policy” and “Risk Factors—Risks Related to this Offering and Ownership of our Class A Common Stock—We do not intend to pay dividends for the foreseeable future. Consequently, any gains from an investment in our Class A common stock will likely depend on whether the price of our Class A common stock increases” for additional information.</w:t>
      </w:r>
    </w:p>
    <w:p>
      <w:pPr>
        <w:spacing w:after="0" w:line="152" w:lineRule="exact"/>
        <w:rPr>
          <w:sz w:val="20"/>
          <w:szCs w:val="20"/>
          <w:color w:val="auto"/>
        </w:rPr>
      </w:pPr>
    </w:p>
    <w:p>
      <w:pPr>
        <w:ind w:left="1020" w:right="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Right to Receive Liquidation Distributions. </w:t>
      </w:r>
      <w:r>
        <w:rPr>
          <w:rFonts w:ascii="Arial" w:cs="Arial" w:eastAsia="Arial" w:hAnsi="Arial"/>
          <w:sz w:val="15"/>
          <w:szCs w:val="15"/>
          <w:color w:val="auto"/>
        </w:rPr>
        <w:t>If we become subject to a liquidation, dissolution, or winding-up, the assets legally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9" w:lineRule="exact"/>
        <w:rPr>
          <w:sz w:val="20"/>
          <w:szCs w:val="20"/>
          <w:color w:val="auto"/>
        </w:rPr>
      </w:pPr>
    </w:p>
    <w:p>
      <w:pPr>
        <w:ind w:left="1020" w:right="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Treatment of Common Stock in Reclassifications and Mergers. </w:t>
      </w:r>
      <w:r>
        <w:rPr>
          <w:rFonts w:ascii="Arial" w:cs="Arial" w:eastAsia="Arial" w:hAnsi="Arial"/>
          <w:sz w:val="15"/>
          <w:szCs w:val="15"/>
          <w:color w:val="auto"/>
        </w:rPr>
        <w:t>The affirmative vote of the holders of Class A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Preferred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consummation of this offering and pursuant to our Amended Charter, the total of our authorized shares of preferred stock will be 10,000,000 shares. Upon the consummation of this offering, we will have no shares of preferred stock outstanding.</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Plan Amendment</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Options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2,061,724 shares of our Class A common stock, with a weighted-average exercise price of $6.96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1,762,939 shares of our Class B common stock, with a weighted-average exercise price of $6.34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3,819,036 shares of our Class A common stock, with a weighted-average exercise price of $7.07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1,621,206 shares of our Class B common stock, with a weighted-average exercise price of $6.85 per share.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1,925,231 shares of our Class A common stock subject to outstanding RSUs under our 2019 Plan.</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261,942 shares of our Class B common stock subject to outstanding RSUs under our 2019 Plan.</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of July 31, 2021, there were warrants to purchase 3,301,732 shares of Class A common stock and 88,037 shares of Series D preferred stock. 2,422,529 of these warrants will be exercised in connection with this offering resulting in the issuance of 2,421,375 shares of Class A common stock, based on an initial public offering price of $21.00 per share of Class A common stock. Upon the consummation of this offering, 967,240 of these warrants may remain outstanding. The warrants to purchase the Series D preferred stock, if outstanding upon the closing of this offering, shall become warrants to purchase shares of Class A common stock into which each share of Series D preferred stock is convertible at the time of such exercise.</w:t>
      </w:r>
    </w:p>
    <w:p>
      <w:pPr>
        <w:spacing w:after="0" w:line="172"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Following this offering, 237,240 shares of Class A common stock issuable upon the exercise of warrants outstanding as of July 31, 2021 with an average exercise price of $ 11.06 per share and 730,000 shares of Class A common stock issuable upon the exercise of warrants outstanding as of July 31, 2021 with an exercise price of $27.40 per share will remain outstanding.</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connection with the Credit Facility Amendment, we intend to issue to the Lenders warrants to purchase 394,343 shares of Class A common stock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200"/>
          </w:cols>
          <w:pgMar w:left="320" w:top="407"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Agreement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the Bain Capital Ventures Entities,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Capital Partner director and the Founder Directors. The Bain Capital Ventures Entities will have the right to designate one of our directors, or the Bain Capital Ventures director, for so long as the Bain Capital Ventures Entities directly or indirectly, beneficially own, in the aggregate, 5% or more of all issued and outstanding shares of Class A common stock; Highland Capital Partners will have the right to designate one of our directors, or the Highland director, for so long as Highland Capital Partners directly or indirectly, beneficially owns, in the aggregate, 5% or more of all issued and outstanding shares of Class A common stock and Ms. Hyman will have the right to designate (i) nine of our directors, for so long as she directly or indirectly, beneficially owns, in the aggregate, 15% or more of the total voting power of all issued and outstanding shares of Class A common stock and Class B common stock; (ii) five of our directors, for so long as she directly or indirectly, beneficially owns, in the aggregate, less than 15% but at least 5% or more of the total voting power of all issued and outstanding shares of Class A common stock and Class B common stock; and (iii) no directors if she directly or indirectly, beneficially owns, in the aggregate, less than 5% of the total voting power of all issued and outstanding shares of Class A common stock and Class B common stock.</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Additionally, pursuant to the Stockholders’ Agreement, we shall take all commercially reasonable actions to cause (1)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(2)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See “Management—Composition of our Board of Directors.”</w:t>
      </w:r>
    </w:p>
    <w:p>
      <w:pPr>
        <w:spacing w:after="0" w:line="17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Stockholders’ Agreement will terminate upon the earliest to occur of (i) each of the Bain Capital Ventures,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Investors’ Rights Agreement to which we are party provides certain holders of our capital stock registration rights as set forth below. The registration of shares of our capital stock by the 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220"/>
          </w:cols>
          <w:pgMar w:left="320" w:top="407" w:right="135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54"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Demand Registration Rights. </w:t>
      </w:r>
      <w:r>
        <w:rPr>
          <w:rFonts w:ascii="Arial" w:cs="Arial" w:eastAsia="Arial" w:hAnsi="Arial"/>
          <w:sz w:val="15"/>
          <w:szCs w:val="15"/>
          <w:color w:val="auto"/>
        </w:rPr>
        <w:t>Subject to certain exceptions, at any time beginning six months after the closing date of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5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Piggyback Registration Rights. </w:t>
      </w:r>
      <w:r>
        <w:rPr>
          <w:rFonts w:ascii="Arial" w:cs="Arial" w:eastAsia="Arial" w:hAnsi="Arial"/>
          <w:sz w:val="15"/>
          <w:szCs w:val="15"/>
          <w:color w:val="auto"/>
        </w:rPr>
        <w:t>After the closing date of this offering, in the event that we propose to register any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53"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Form S-3 Registration Rights. </w:t>
      </w:r>
      <w:r>
        <w:rPr>
          <w:rFonts w:ascii="Arial" w:cs="Arial" w:eastAsia="Arial" w:hAnsi="Arial"/>
          <w:sz w:val="15"/>
          <w:szCs w:val="15"/>
          <w:color w:val="auto"/>
        </w:rPr>
        <w:t>Subject to certain exceptions, holders of at least 10% of the registrable securities held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Choice of Forum</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 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00"/>
          </w:cols>
          <w:pgMar w:left="320" w:top="407" w:right="137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Additionally, our Amended Charter will provide that any person or entity holding, owning, or otherwise acquiring any interest in any of our securities shall be deemed to have notice of and consented to these provisions.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Anti-Takeover Provisions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2"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Authorized but Unissued Shares. </w:t>
      </w:r>
      <w:r>
        <w:rPr>
          <w:rFonts w:ascii="Arial" w:cs="Arial" w:eastAsia="Arial" w:hAnsi="Arial"/>
          <w:sz w:val="15"/>
          <w:szCs w:val="15"/>
          <w:color w:val="auto"/>
        </w:rPr>
        <w:t>The authorized but unissued shares of our common stock and our preferred stock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49" w:lineRule="exact"/>
        <w:rPr>
          <w:sz w:val="20"/>
          <w:szCs w:val="20"/>
          <w:color w:val="auto"/>
        </w:rPr>
      </w:pPr>
    </w:p>
    <w:p>
      <w:pPr>
        <w:ind w:left="1020" w:right="80" w:firstLine="460"/>
        <w:spacing w:after="0" w:line="244" w:lineRule="auto"/>
        <w:rPr>
          <w:sz w:val="20"/>
          <w:szCs w:val="20"/>
          <w:color w:val="auto"/>
        </w:rPr>
      </w:pPr>
      <w:r>
        <w:rPr>
          <w:rFonts w:ascii="Arial" w:cs="Arial" w:eastAsia="Arial" w:hAnsi="Arial"/>
          <w:sz w:val="15"/>
          <w:szCs w:val="15"/>
          <w:b w:val="1"/>
          <w:bCs w:val="1"/>
          <w:i w:val="1"/>
          <w:iCs w:val="1"/>
          <w:color w:val="auto"/>
        </w:rPr>
        <w:t xml:space="preserve">Dual Class Stock. </w:t>
      </w:r>
      <w:r>
        <w:rPr>
          <w:rFonts w:ascii="Arial" w:cs="Arial" w:eastAsia="Arial" w:hAnsi="Arial"/>
          <w:sz w:val="15"/>
          <w:szCs w:val="15"/>
          <w:color w:val="auto"/>
        </w:rPr>
        <w:t>As described above in “—Common Stock—Voting Rights,” our Amended Charter will provide for a dual class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49" w:lineRule="exact"/>
        <w:rPr>
          <w:sz w:val="20"/>
          <w:szCs w:val="20"/>
          <w:color w:val="auto"/>
        </w:rPr>
      </w:pPr>
    </w:p>
    <w:p>
      <w:pPr>
        <w:ind w:left="1020" w:right="1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Classified Board of Directors. </w:t>
      </w:r>
      <w:r>
        <w:rPr>
          <w:rFonts w:ascii="Arial" w:cs="Arial" w:eastAsia="Arial" w:hAnsi="Arial"/>
          <w:sz w:val="15"/>
          <w:szCs w:val="15"/>
          <w:color w:val="auto"/>
        </w:rPr>
        <w:t>Our Amended Charter will provide that our board of directors will be divided into three classes,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the number of directors in each class being as nearly equal in number as possible. The directors in each class will serve for a three-year term, one class being elected each year by our stockholders, with staggered three-year terms. See “Management—Composition of our Board of Directors.” These provisions may have the effect of deferring, delaying or discouraging hostile takeovers, or changes in control of us or our management.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00"/>
          </w:cols>
          <w:pgMar w:left="320" w:top="407" w:right="137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Removal of Directors. </w:t>
      </w:r>
      <w:r>
        <w:rPr>
          <w:rFonts w:ascii="Arial" w:cs="Arial" w:eastAsia="Arial" w:hAnsi="Arial"/>
          <w:sz w:val="15"/>
          <w:szCs w:val="15"/>
          <w:color w:val="auto"/>
        </w:rPr>
        <w:t>Our Amended Charter will provide that members of our board of directors may be removed from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for cause by an affirmative vote of the holders of at least two-thirds of the voting power of all of our outstanding stock entitled to vote generally in the election of directors.</w:t>
      </w:r>
    </w:p>
    <w:p>
      <w:pPr>
        <w:spacing w:after="0" w:line="144"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Board Vacancies and Board Size. </w:t>
      </w:r>
      <w:r>
        <w:rPr>
          <w:rFonts w:ascii="Arial" w:cs="Arial" w:eastAsia="Arial" w:hAnsi="Arial"/>
          <w:sz w:val="15"/>
          <w:szCs w:val="15"/>
          <w:color w:val="auto"/>
        </w:rPr>
        <w:t>Our Amended Charter and Amended Bylaws will provide that any vacant directorships,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newly created directorships, may only be filled by a majority of the directors then in office, though less than a quorum, or by the sole remaining director and the number of directors constituting the full board of directors will be permitted to be set only by a resolution of the board of directors.</w:t>
      </w:r>
    </w:p>
    <w:p>
      <w:pPr>
        <w:spacing w:after="0" w:line="14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Stockholder Action; Special Meetings of Stockholders. </w:t>
      </w:r>
      <w:r>
        <w:rPr>
          <w:rFonts w:ascii="Arial" w:cs="Arial" w:eastAsia="Arial" w:hAnsi="Arial"/>
          <w:sz w:val="15"/>
          <w:szCs w:val="15"/>
          <w:color w:val="auto"/>
        </w:rPr>
        <w:t>Our Amended Charter will provide that our stockholders may not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Advance Notice Requirements for Stockholder Proposals and Director Nominations. </w:t>
      </w:r>
      <w:r>
        <w:rPr>
          <w:rFonts w:ascii="Arial" w:cs="Arial" w:eastAsia="Arial" w:hAnsi="Arial"/>
          <w:sz w:val="15"/>
          <w:szCs w:val="15"/>
          <w:color w:val="auto"/>
        </w:rPr>
        <w:t>In addition, our Amended Bylaws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56" w:lineRule="exact"/>
        <w:rPr>
          <w:sz w:val="20"/>
          <w:szCs w:val="20"/>
          <w:color w:val="auto"/>
        </w:rPr>
      </w:pPr>
    </w:p>
    <w:p>
      <w:pPr>
        <w:ind w:left="1020" w:right="2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Amendment of Certificate of Incorporation or Bylaws. </w:t>
      </w:r>
      <w:r>
        <w:rPr>
          <w:rFonts w:ascii="Arial" w:cs="Arial" w:eastAsia="Arial" w:hAnsi="Arial"/>
          <w:sz w:val="15"/>
          <w:szCs w:val="15"/>
          <w:color w:val="auto"/>
        </w:rPr>
        <w:t>Our Amended Bylaws may be amended or repealed by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49" w:lineRule="exact"/>
        <w:rPr>
          <w:sz w:val="20"/>
          <w:szCs w:val="20"/>
          <w:color w:val="auto"/>
        </w:rPr>
      </w:pPr>
    </w:p>
    <w:p>
      <w:pPr>
        <w:jc w:val="both"/>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Stockholders Not Entitled to Cumulative Voting. </w:t>
      </w:r>
      <w:r>
        <w:rPr>
          <w:rFonts w:ascii="Arial" w:cs="Arial" w:eastAsia="Arial" w:hAnsi="Arial"/>
          <w:sz w:val="15"/>
          <w:szCs w:val="15"/>
          <w:color w:val="auto"/>
        </w:rPr>
        <w:t>The DGCL provides that stockholders are not entitled to cumulate votes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election of directors unless a corporation’s certificate of incorporation provides otherwise. Our Amended Charter will not provide for cumulative voting.</w:t>
      </w:r>
    </w:p>
    <w:p>
      <w:pPr>
        <w:spacing w:after="0" w:line="144" w:lineRule="exact"/>
        <w:rPr>
          <w:sz w:val="20"/>
          <w:szCs w:val="20"/>
          <w:color w:val="auto"/>
        </w:rPr>
      </w:pPr>
    </w:p>
    <w:p>
      <w:pPr>
        <w:ind w:left="1020" w:right="24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Section 203 of the DGCL. </w:t>
      </w:r>
      <w:r>
        <w:rPr>
          <w:rFonts w:ascii="Arial" w:cs="Arial" w:eastAsia="Arial" w:hAnsi="Arial"/>
          <w:sz w:val="15"/>
          <w:szCs w:val="15"/>
          <w:color w:val="auto"/>
        </w:rPr>
        <w:t>We will opt out of Section 203 of the DGCL. However, our Amended Charter will contain provisions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20"/>
          </w:cols>
          <w:pgMar w:left="320" w:top="407" w:right="135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However, under our Amended Charter, Jennifer Y. Hyman, Bain Capital Venture Investors, LLC and Highland Management Partners VIII Ltd, and any of their respective affiliates will be deemed to not be interested stockholders regardless of the percentage of our outstanding voting stock owned by them, and accordingly will not be subject to such restrictions.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Corporate Opportunity Doctrine</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Dissenters’ Rights of Appraisal and Payment</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Derivative Actions</w:t>
      </w:r>
    </w:p>
    <w:p>
      <w:pPr>
        <w:spacing w:after="0" w:line="105" w:lineRule="exact"/>
        <w:rPr>
          <w:sz w:val="20"/>
          <w:szCs w:val="20"/>
          <w:color w:val="auto"/>
        </w:rPr>
      </w:pPr>
    </w:p>
    <w:p>
      <w:pPr>
        <w:jc w:val="both"/>
        <w:ind w:left="1020" w:right="320" w:firstLine="460"/>
        <w:spacing w:after="0"/>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Transfer Agent and Registrar</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transfer agent and registrar for our Class A common stock is American Stock Transfer &amp; Trust Company.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Trading Symbol and Market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Class A common stock on The Nasdaq Global Select Market under the symbol “RENT.”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00"/>
          </w:cols>
          <w:pgMar w:left="320" w:top="407" w:right="137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been approved to have our Class A common stock listed on Nasdaq, we cannot assure you that there will be an active public market for our Class A common stock.</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Upon the closing of this offering, we will have outstanding an aggregate of 59,928,745 shares of Class A common stock, assuming the issuance of 17,000,000 shares of Class A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The remaining 42,928,745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0"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If they are allocated all or a portion of the shares in which they have indicated an interest in this offering, and they purchase any such shares, such purchases could reduce the number of shares eligible for resale in the public market immediately following this offering. Because these indications of interest are not binding agreements or commitments to purchase, these funds may determine to purchase more, fewer or no shares in this offering or the underwriters may determine to sell more, fewer or no shares to such funds.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our Investors’ Rights Agreement, after the closing of this offering, the holders of up to 40,341,576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Lock-Up Agreements</w:t>
      </w:r>
    </w:p>
    <w:p>
      <w:pPr>
        <w:spacing w:after="0" w:line="105" w:lineRule="exact"/>
        <w:rPr>
          <w:sz w:val="20"/>
          <w:szCs w:val="20"/>
          <w:color w:val="auto"/>
        </w:rPr>
      </w:pPr>
    </w:p>
    <w:p>
      <w:pPr>
        <w:ind w:left="1020" w:right="4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80" w:firstLine="7"/>
        <w:spacing w:after="0" w:line="238" w:lineRule="auto"/>
        <w:tabs>
          <w:tab w:leader="none" w:pos="1228" w:val="left"/>
        </w:tabs>
        <w:numPr>
          <w:ilvl w:val="0"/>
          <w:numId w:val="185"/>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20"/>
          </w:cols>
          <w:pgMar w:left="32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Lock-up Release Parties have advised us that they have no present intent or arrangement to release any shares subject to a lock-up, and will consider the release of any lock-up on a case-by-case basis. Upon a request to release any shares subject to a lock-up, the Lock-up Release Parties would consider the particular 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72"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144</w:t>
      </w:r>
    </w:p>
    <w:p>
      <w:pPr>
        <w:spacing w:after="0" w:line="8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Affiliate Resales of Restricted Securities. </w:t>
      </w:r>
      <w:r>
        <w:rPr>
          <w:rFonts w:ascii="Arial" w:cs="Arial" w:eastAsia="Arial" w:hAnsi="Arial"/>
          <w:sz w:val="15"/>
          <w:szCs w:val="15"/>
          <w:color w:val="auto"/>
        </w:rPr>
        <w:t>In general, beginning 90 days after the effective date of the registration statement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88" w:lineRule="exact"/>
        <w:rPr>
          <w:sz w:val="20"/>
          <w:szCs w:val="20"/>
          <w:color w:val="auto"/>
        </w:rPr>
      </w:pPr>
    </w:p>
    <w:p>
      <w:pPr>
        <w:ind w:left="1660" w:hanging="183"/>
        <w:spacing w:after="0"/>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average weekly trading volume in our Class A common stock on Nasdaq during the four calendar weeks preceding the filing of a notice on Form 144 with respect to such sale.</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200"/>
          </w:cols>
          <w:pgMar w:left="320" w:top="407" w:right="137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seller must file a notice on Form 144 with the SEC and Nasdaq concurrently with either the placing of a sale order with the broker or the execution directly with a market maker.</w:t>
      </w:r>
    </w:p>
    <w:p>
      <w:pPr>
        <w:spacing w:after="0" w:line="148"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Non-Affiliate Resales of Restricted Securities. </w:t>
      </w:r>
      <w:r>
        <w:rPr>
          <w:rFonts w:ascii="Arial" w:cs="Arial" w:eastAsia="Arial" w:hAnsi="Arial"/>
          <w:sz w:val="15"/>
          <w:szCs w:val="15"/>
          <w:color w:val="auto"/>
        </w:rPr>
        <w:t>Under Rule 144, a person who is not an affiliate of ours at the time of sale,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701</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the offer and sale of all shares of Class A and Class B common stock that will be issuable or reserved for issuance under our 2009 Plan, 2019 Plan, 2021 Plan and ESPP.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180"/>
          </w:cols>
          <w:pgMar w:left="320" w:top="407" w:right="139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74"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91" w:lineRule="exact"/>
        <w:rPr>
          <w:sz w:val="20"/>
          <w:szCs w:val="20"/>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97" w:lineRule="exact"/>
        <w:rPr>
          <w:rFonts w:ascii="Arial" w:cs="Arial" w:eastAsia="Arial" w:hAnsi="Arial"/>
          <w:sz w:val="15"/>
          <w:szCs w:val="15"/>
          <w:color w:val="auto"/>
        </w:rPr>
      </w:pPr>
    </w:p>
    <w:p>
      <w:pPr>
        <w:ind w:left="1660" w:right="66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140"/>
          </w:cols>
          <w:pgMar w:left="320" w:top="407" w:right="143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Definition of a Non-U.S. Holder</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1" w:lineRule="exact"/>
        <w:rPr>
          <w:sz w:val="20"/>
          <w:szCs w:val="20"/>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97" w:lineRule="exact"/>
        <w:rPr>
          <w:rFonts w:ascii="Arial" w:cs="Arial" w:eastAsia="Arial" w:hAnsi="Arial"/>
          <w:sz w:val="15"/>
          <w:szCs w:val="15"/>
          <w:color w:val="auto"/>
        </w:rPr>
      </w:pPr>
    </w:p>
    <w:p>
      <w:pPr>
        <w:ind w:left="1660" w:right="4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Distributions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20"/>
          </w:cols>
          <w:pgMar w:left="320" w:top="407" w:right="135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 or Other Taxable Disposition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87" w:lineRule="exact"/>
        <w:rPr>
          <w:sz w:val="20"/>
          <w:szCs w:val="20"/>
          <w:color w:val="auto"/>
        </w:rPr>
      </w:pPr>
    </w:p>
    <w:p>
      <w:pPr>
        <w:ind w:left="1660" w:right="20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87" w:lineRule="exact"/>
        <w:rPr>
          <w:rFonts w:ascii="Arial" w:cs="Arial" w:eastAsia="Arial" w:hAnsi="Arial"/>
          <w:sz w:val="15"/>
          <w:szCs w:val="15"/>
          <w:color w:val="auto"/>
        </w:rPr>
      </w:pPr>
    </w:p>
    <w:p>
      <w:pPr>
        <w:ind w:left="1660" w:right="26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Non-U.S. Holder’s holding period.</w:t>
      </w:r>
    </w:p>
    <w:p>
      <w:pPr>
        <w:spacing w:after="0" w:line="170" w:lineRule="exact"/>
        <w:rPr>
          <w:sz w:val="20"/>
          <w:szCs w:val="20"/>
          <w:color w:val="auto"/>
        </w:rPr>
      </w:pPr>
    </w:p>
    <w:p>
      <w:pPr>
        <w:jc w:val="both"/>
        <w:ind w:left="1020" w:right="400" w:firstLine="460"/>
        <w:spacing w:after="0"/>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w:t>
      </w:r>
    </w:p>
    <w:p>
      <w:pPr>
        <w:ind w:left="1020"/>
        <w:spacing w:after="0"/>
        <w:rPr>
          <w:sz w:val="20"/>
          <w:szCs w:val="20"/>
          <w:color w:val="auto"/>
        </w:rPr>
      </w:pPr>
      <w:r>
        <w:rPr>
          <w:rFonts w:ascii="Arial" w:cs="Arial" w:eastAsia="Arial" w:hAnsi="Arial"/>
          <w:sz w:val="15"/>
          <w:szCs w:val="15"/>
          <w:color w:val="auto"/>
        </w:rPr>
        <w:t>rules.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Payments of dividends on our Class A common stock will not be subject to backup withholding, provided the applicable withholding agent does not have actual knowledge or reason to know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7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Additional Withholding Tax on Payments Made to Foreign Accounts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3" w:lineRule="exact"/>
        <w:rPr>
          <w:sz w:val="20"/>
          <w:szCs w:val="20"/>
          <w:color w:val="auto"/>
        </w:rPr>
      </w:pPr>
    </w:p>
    <w:p>
      <w:pPr>
        <w:jc w:val="both"/>
        <w:ind w:left="1020" w:firstLine="460"/>
        <w:spacing w:after="0" w:line="261"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20"/>
          </w:cols>
          <w:pgMar w:left="320" w:top="407" w:right="135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w w:val="99"/>
              </w:rPr>
              <w:t>Underwriters</w:t>
            </w:r>
          </w:p>
        </w:tc>
        <w:tc>
          <w:tcPr>
            <w:tcW w:w="7520" w:type="dxa"/>
            <w:vAlign w:val="bottom"/>
            <w:vMerge w:val="restart"/>
          </w:tcPr>
          <w:p>
            <w:pPr>
              <w:spacing w:after="0"/>
              <w:rPr>
                <w:sz w:val="12"/>
                <w:szCs w:val="12"/>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Number of</w:t>
            </w:r>
          </w:p>
        </w:tc>
        <w:tc>
          <w:tcPr>
            <w:tcW w:w="0" w:type="dxa"/>
            <w:vAlign w:val="bottom"/>
          </w:tcPr>
          <w:p>
            <w:pPr>
              <w:spacing w:after="0"/>
              <w:rPr>
                <w:sz w:val="1"/>
                <w:szCs w:val="1"/>
                <w:color w:val="auto"/>
              </w:rPr>
            </w:pPr>
          </w:p>
        </w:tc>
      </w:tr>
      <w:tr>
        <w:trPr>
          <w:trHeight w:val="154"/>
        </w:trPr>
        <w:tc>
          <w:tcPr>
            <w:tcW w:w="760" w:type="dxa"/>
            <w:vAlign w:val="bottom"/>
            <w:tcBorders>
              <w:bottom w:val="single" w:sz="8" w:color="auto"/>
            </w:tcBorders>
            <w:vMerge w:val="continue"/>
          </w:tcPr>
          <w:p>
            <w:pPr>
              <w:spacing w:after="0"/>
              <w:rPr>
                <w:sz w:val="13"/>
                <w:szCs w:val="13"/>
                <w:color w:val="auto"/>
              </w:rPr>
            </w:pPr>
          </w:p>
        </w:tc>
        <w:tc>
          <w:tcPr>
            <w:tcW w:w="7520" w:type="dxa"/>
            <w:vAlign w:val="bottom"/>
            <w:vMerge w:val="continue"/>
          </w:tcPr>
          <w:p>
            <w:pPr>
              <w:spacing w:after="0"/>
              <w:rPr>
                <w:sz w:val="13"/>
                <w:szCs w:val="13"/>
                <w:color w:val="auto"/>
              </w:rPr>
            </w:pPr>
          </w:p>
        </w:tc>
        <w:tc>
          <w:tcPr>
            <w:tcW w:w="920" w:type="dxa"/>
            <w:vAlign w:val="bottom"/>
            <w:gridSpan w:val="2"/>
          </w:tcPr>
          <w:p>
            <w:pPr>
              <w:jc w:val="center"/>
              <w:ind w:right="40"/>
              <w:spacing w:after="0" w:line="134" w:lineRule="exact"/>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r>
        <w:trPr>
          <w:trHeight w:val="152"/>
        </w:trPr>
        <w:tc>
          <w:tcPr>
            <w:tcW w:w="828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Goldman Sachs &amp; Co. LLC</w:t>
            </w:r>
          </w:p>
        </w:tc>
        <w:tc>
          <w:tcPr>
            <w:tcW w:w="86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5,254,304</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80" w:type="dxa"/>
            <w:vAlign w:val="bottom"/>
            <w:gridSpan w:val="2"/>
          </w:tcPr>
          <w:p>
            <w:pPr>
              <w:spacing w:after="0" w:line="169" w:lineRule="exact"/>
              <w:rPr>
                <w:sz w:val="20"/>
                <w:szCs w:val="20"/>
                <w:color w:val="auto"/>
              </w:rPr>
            </w:pPr>
            <w:r>
              <w:rPr>
                <w:rFonts w:ascii="Arial" w:cs="Arial" w:eastAsia="Arial" w:hAnsi="Arial"/>
                <w:sz w:val="15"/>
                <w:szCs w:val="15"/>
                <w:color w:val="auto"/>
              </w:rPr>
              <w:t>Morgan Stanley &amp; Co. LLC</w:t>
            </w: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4,904,017</w:t>
            </w:r>
          </w:p>
        </w:tc>
        <w:tc>
          <w:tcPr>
            <w:tcW w:w="0" w:type="dxa"/>
            <w:vAlign w:val="bottom"/>
          </w:tcPr>
          <w:p>
            <w:pPr>
              <w:spacing w:after="0"/>
              <w:rPr>
                <w:sz w:val="1"/>
                <w:szCs w:val="1"/>
                <w:color w:val="auto"/>
              </w:rPr>
            </w:pPr>
          </w:p>
        </w:tc>
      </w:tr>
      <w:tr>
        <w:trPr>
          <w:trHeight w:val="169"/>
        </w:trPr>
        <w:tc>
          <w:tcPr>
            <w:tcW w:w="82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Barclays Capital Inc.</w:t>
            </w:r>
          </w:p>
        </w:tc>
        <w:tc>
          <w:tcPr>
            <w:tcW w:w="9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2,276,865</w:t>
            </w:r>
          </w:p>
        </w:tc>
        <w:tc>
          <w:tcPr>
            <w:tcW w:w="0" w:type="dxa"/>
            <w:vAlign w:val="bottom"/>
          </w:tcPr>
          <w:p>
            <w:pPr>
              <w:spacing w:after="0"/>
              <w:rPr>
                <w:sz w:val="1"/>
                <w:szCs w:val="1"/>
                <w:color w:val="auto"/>
              </w:rPr>
            </w:pPr>
          </w:p>
        </w:tc>
      </w:tr>
      <w:tr>
        <w:trPr>
          <w:trHeight w:val="169"/>
        </w:trPr>
        <w:tc>
          <w:tcPr>
            <w:tcW w:w="8280" w:type="dxa"/>
            <w:vAlign w:val="bottom"/>
            <w:gridSpan w:val="2"/>
          </w:tcPr>
          <w:p>
            <w:pPr>
              <w:spacing w:after="0" w:line="169" w:lineRule="exact"/>
              <w:rPr>
                <w:sz w:val="20"/>
                <w:szCs w:val="20"/>
                <w:color w:val="auto"/>
              </w:rPr>
            </w:pPr>
            <w:r>
              <w:rPr>
                <w:rFonts w:ascii="Arial" w:cs="Arial" w:eastAsia="Arial" w:hAnsi="Arial"/>
                <w:sz w:val="15"/>
                <w:szCs w:val="15"/>
                <w:color w:val="auto"/>
              </w:rPr>
              <w:t>Credit Suisse Securities (USA) LLC</w:t>
            </w: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1,259,259</w:t>
            </w:r>
          </w:p>
        </w:tc>
        <w:tc>
          <w:tcPr>
            <w:tcW w:w="0" w:type="dxa"/>
            <w:vAlign w:val="bottom"/>
          </w:tcPr>
          <w:p>
            <w:pPr>
              <w:spacing w:after="0"/>
              <w:rPr>
                <w:sz w:val="1"/>
                <w:szCs w:val="1"/>
                <w:color w:val="auto"/>
              </w:rPr>
            </w:pPr>
          </w:p>
        </w:tc>
      </w:tr>
      <w:tr>
        <w:trPr>
          <w:trHeight w:val="169"/>
        </w:trPr>
        <w:tc>
          <w:tcPr>
            <w:tcW w:w="82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Piper Sandler &amp; Co.</w:t>
            </w:r>
          </w:p>
        </w:tc>
        <w:tc>
          <w:tcPr>
            <w:tcW w:w="9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787,037</w:t>
            </w:r>
          </w:p>
        </w:tc>
        <w:tc>
          <w:tcPr>
            <w:tcW w:w="0" w:type="dxa"/>
            <w:vAlign w:val="bottom"/>
          </w:tcPr>
          <w:p>
            <w:pPr>
              <w:spacing w:after="0"/>
              <w:rPr>
                <w:sz w:val="1"/>
                <w:szCs w:val="1"/>
                <w:color w:val="auto"/>
              </w:rPr>
            </w:pPr>
          </w:p>
        </w:tc>
      </w:tr>
      <w:tr>
        <w:trPr>
          <w:trHeight w:val="169"/>
        </w:trPr>
        <w:tc>
          <w:tcPr>
            <w:tcW w:w="8280" w:type="dxa"/>
            <w:vAlign w:val="bottom"/>
            <w:gridSpan w:val="2"/>
          </w:tcPr>
          <w:p>
            <w:pPr>
              <w:spacing w:after="0" w:line="169" w:lineRule="exact"/>
              <w:rPr>
                <w:sz w:val="20"/>
                <w:szCs w:val="20"/>
                <w:color w:val="auto"/>
              </w:rPr>
            </w:pPr>
            <w:r>
              <w:rPr>
                <w:rFonts w:ascii="Arial" w:cs="Arial" w:eastAsia="Arial" w:hAnsi="Arial"/>
                <w:sz w:val="15"/>
                <w:szCs w:val="15"/>
                <w:color w:val="auto"/>
              </w:rPr>
              <w:t>Wells Fargo Securities, LLC</w:t>
            </w: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787,037</w:t>
            </w:r>
          </w:p>
        </w:tc>
        <w:tc>
          <w:tcPr>
            <w:tcW w:w="0" w:type="dxa"/>
            <w:vAlign w:val="bottom"/>
          </w:tcPr>
          <w:p>
            <w:pPr>
              <w:spacing w:after="0"/>
              <w:rPr>
                <w:sz w:val="1"/>
                <w:szCs w:val="1"/>
                <w:color w:val="auto"/>
              </w:rPr>
            </w:pPr>
          </w:p>
        </w:tc>
      </w:tr>
      <w:tr>
        <w:trPr>
          <w:trHeight w:val="180"/>
        </w:trPr>
        <w:tc>
          <w:tcPr>
            <w:tcW w:w="8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JMP Securities LLC</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708,333</w:t>
            </w:r>
          </w:p>
        </w:tc>
        <w:tc>
          <w:tcPr>
            <w:tcW w:w="0" w:type="dxa"/>
            <w:vAlign w:val="bottom"/>
          </w:tcPr>
          <w:p>
            <w:pPr>
              <w:spacing w:after="0"/>
              <w:rPr>
                <w:sz w:val="1"/>
                <w:szCs w:val="1"/>
                <w:color w:val="auto"/>
              </w:rPr>
            </w:pPr>
          </w:p>
        </w:tc>
      </w:tr>
      <w:tr>
        <w:trPr>
          <w:trHeight w:val="180"/>
        </w:trPr>
        <w:tc>
          <w:tcPr>
            <w:tcW w:w="8280" w:type="dxa"/>
            <w:vAlign w:val="bottom"/>
            <w:gridSpan w:val="2"/>
          </w:tcPr>
          <w:p>
            <w:pPr>
              <w:spacing w:after="0"/>
              <w:rPr>
                <w:sz w:val="20"/>
                <w:szCs w:val="20"/>
                <w:color w:val="auto"/>
              </w:rPr>
            </w:pPr>
            <w:r>
              <w:rPr>
                <w:rFonts w:ascii="Arial" w:cs="Arial" w:eastAsia="Arial" w:hAnsi="Arial"/>
                <w:sz w:val="15"/>
                <w:szCs w:val="15"/>
                <w:color w:val="auto"/>
              </w:rPr>
              <w:t>KeyBanc Capital Markets Inc.</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708,333</w:t>
            </w:r>
          </w:p>
        </w:tc>
        <w:tc>
          <w:tcPr>
            <w:tcW w:w="0" w:type="dxa"/>
            <w:vAlign w:val="bottom"/>
          </w:tcPr>
          <w:p>
            <w:pPr>
              <w:spacing w:after="0"/>
              <w:rPr>
                <w:sz w:val="1"/>
                <w:szCs w:val="1"/>
                <w:color w:val="auto"/>
              </w:rPr>
            </w:pPr>
          </w:p>
        </w:tc>
      </w:tr>
      <w:tr>
        <w:trPr>
          <w:trHeight w:val="169"/>
        </w:trPr>
        <w:tc>
          <w:tcPr>
            <w:tcW w:w="82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Telsey Advisory Group LLC</w:t>
            </w:r>
          </w:p>
        </w:tc>
        <w:tc>
          <w:tcPr>
            <w:tcW w:w="9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314,815</w:t>
            </w:r>
          </w:p>
        </w:tc>
        <w:tc>
          <w:tcPr>
            <w:tcW w:w="0" w:type="dxa"/>
            <w:vAlign w:val="bottom"/>
          </w:tcPr>
          <w:p>
            <w:pPr>
              <w:spacing w:after="0"/>
              <w:rPr>
                <w:sz w:val="1"/>
                <w:szCs w:val="1"/>
                <w:color w:val="auto"/>
              </w:rPr>
            </w:pPr>
          </w:p>
        </w:tc>
      </w:tr>
      <w:tr>
        <w:trPr>
          <w:trHeight w:val="172"/>
        </w:trPr>
        <w:tc>
          <w:tcPr>
            <w:tcW w:w="828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rPr>
              <w:t>17,000,000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40" w:firstLine="460"/>
        <w:spacing w:after="0" w:line="245" w:lineRule="auto"/>
        <w:rPr>
          <w:sz w:val="20"/>
          <w:szCs w:val="20"/>
          <w:color w:val="auto"/>
        </w:rPr>
      </w:pPr>
      <w:r>
        <w:rPr>
          <w:rFonts w:ascii="Arial" w:cs="Arial" w:eastAsia="Arial" w:hAnsi="Arial"/>
          <w:sz w:val="15"/>
          <w:szCs w:val="15"/>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underwriters have an option to buy up to an additional 2,550,000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72"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the company. Such amounts are shown assuming both no exercise and full exercise of the underwriters’ option to purchase 2,550,000 additional shares of Class A common stock.</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5"/>
          <w:szCs w:val="15"/>
          <w:u w:val="single" w:color="auto"/>
          <w:color w:val="auto"/>
        </w:rPr>
        <w:t>Paid by the Company</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70"/>
              <w:spacing w:after="0"/>
              <w:rPr>
                <w:sz w:val="20"/>
                <w:szCs w:val="20"/>
                <w:color w:val="auto"/>
              </w:rPr>
            </w:pPr>
            <w:r>
              <w:rPr>
                <w:rFonts w:ascii="Arial" w:cs="Arial" w:eastAsia="Arial" w:hAnsi="Arial"/>
                <w:sz w:val="12"/>
                <w:szCs w:val="12"/>
                <w:b w:val="1"/>
                <w:bCs w:val="1"/>
                <w:color w:val="auto"/>
                <w:w w:val="98"/>
              </w:rPr>
              <w:t>No 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9"/>
              </w:rPr>
              <w:t>Full Exercise</w:t>
            </w:r>
          </w:p>
        </w:tc>
      </w:tr>
      <w:tr>
        <w:trPr>
          <w:trHeight w:val="160"/>
        </w:trPr>
        <w:tc>
          <w:tcPr>
            <w:tcW w:w="69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Per Share</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1.42</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1.42</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698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2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24,097,500</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27,712,125</w:t>
            </w: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Shares of Class A common stock sold by the underwriters to the public will initially be offered at the initial public offering price set forth on the cover of this prospectus. Any shares of Class A common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220"/>
          </w:cols>
          <w:pgMar w:left="320" w:top="407" w:right="135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stock sold by the underwriters to securities dealers may be sold at a discount of up to $0.8505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40" w:firstLine="7"/>
        <w:spacing w:after="0" w:line="238" w:lineRule="auto"/>
        <w:tabs>
          <w:tab w:leader="none" w:pos="122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180"/>
          </w:cols>
          <w:pgMar w:left="320" w:top="407" w:right="139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We have been approved to list our Class A common stock on Nasdaq under the symbol “RENT.” In order to meet one of the requirements for listing the Class A common stock on Nasdaq, the underwriters have undertaken to sell lots of 100 or more shares to a minimum of 400 beneficial holders.</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company estimates that its share of the total expenses of the offering, excluding underwriting discounts and commissions, will be approximately $5.6 million. We have agreed to reimburse the underwriters for certain of their expenses in an amount up to $40,000. The underwriters have agreed to reimburse us for $1.2 million of our certain expenses incurred by us in connection with this offering upon closing of this offering assuming exercise by the underwriters of their option to purchase up to 2,550,000 additional shares of Class A common stock from us.</w:t>
      </w:r>
    </w:p>
    <w:p>
      <w:pPr>
        <w:spacing w:after="0" w:line="170"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company has agreed to indemnify the several underwriters against certain liabilities, including liabilities under the Securities Act of 1933.</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0"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180"/>
          </w:cols>
          <w:pgMar w:left="320" w:top="407" w:right="139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At our request, the underwriters have reserved up to 5.0% of the shares of Class A common stock offered by this prospectus for sale at the initial public offering price through a directed share program to certain individuals identified by management.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We will agree to indemnify the underwriters against certain liabilities and expenses, including liabilities under the Securities Act of 1933, in connection with sales of the shares reserved for the directed share program. The directed share program will be arranged through Morgan Stanley &amp; Co. LLC.</w:t>
      </w: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Selling Restrictions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70" w:lineRule="exact"/>
        <w:rPr>
          <w:sz w:val="20"/>
          <w:szCs w:val="20"/>
          <w:color w:val="auto"/>
        </w:rPr>
      </w:pPr>
    </w:p>
    <w:p>
      <w:pPr>
        <w:ind w:left="1720" w:hanging="234"/>
        <w:spacing w:after="0"/>
        <w:tabs>
          <w:tab w:leader="none" w:pos="17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176" w:lineRule="exact"/>
        <w:rPr>
          <w:rFonts w:ascii="Arial" w:cs="Arial" w:eastAsia="Arial" w:hAnsi="Arial"/>
          <w:sz w:val="15"/>
          <w:szCs w:val="15"/>
          <w:color w:val="auto"/>
        </w:rPr>
      </w:pPr>
    </w:p>
    <w:p>
      <w:pPr>
        <w:ind w:left="1020" w:right="740" w:firstLine="466"/>
        <w:spacing w:after="0" w:line="245" w:lineRule="auto"/>
        <w:tabs>
          <w:tab w:leader="none" w:pos="1705"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200"/>
          </w:cols>
          <w:pgMar w:left="320" w:top="407" w:right="137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0" w:lineRule="exact"/>
        <w:rPr>
          <w:sz w:val="20"/>
          <w:szCs w:val="20"/>
          <w:color w:val="auto"/>
        </w:rPr>
      </w:pPr>
    </w:p>
    <w:p>
      <w:pPr>
        <w:ind w:left="1720" w:hanging="234"/>
        <w:spacing w:after="0"/>
        <w:tabs>
          <w:tab w:leader="none" w:pos="17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76" w:lineRule="exact"/>
        <w:rPr>
          <w:rFonts w:ascii="Arial" w:cs="Arial" w:eastAsia="Arial" w:hAnsi="Arial"/>
          <w:sz w:val="15"/>
          <w:szCs w:val="15"/>
          <w:color w:val="auto"/>
        </w:rPr>
      </w:pPr>
    </w:p>
    <w:p>
      <w:pPr>
        <w:ind w:left="1020" w:right="500" w:firstLine="466"/>
        <w:spacing w:after="0" w:line="245" w:lineRule="auto"/>
        <w:tabs>
          <w:tab w:leader="none" w:pos="170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77"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200"/>
          </w:cols>
          <w:pgMar w:left="320" w:top="407" w:right="137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00"/>
          </w:cols>
          <w:pgMar w:left="320" w:top="407" w:right="137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139"/>
          </w:cols>
          <w:pgMar w:left="320" w:top="407" w:right="1440"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LEGAL MATTERS</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CHANGES IN INDEPENDENT REGISTERED PUBLIC ACCOUNTING FIRM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provided KPMG LLP with a copy of the foregoing disclosures and requested that KPMG LLP furnish us with a letter addressed to the SEC stating whether KPMG LLP agrees with the above statements and, if not, stating the respects in which it does not agree. A copy of that letter dated October 4, 2021 is filed as Exhibit 16.1 to the registration statement of which this prospectus forms a part.</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0200"/>
          </w:cols>
          <w:pgMar w:left="320" w:top="407" w:right="137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You can read our SEC filings, including the registration statement, over the internet at the SEC’s website at www.sec.gov.</w:t>
      </w:r>
    </w:p>
    <w:p>
      <w:pPr>
        <w:spacing w:after="0" w:line="177"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0200"/>
          </w:cols>
          <w:pgMar w:left="320" w:top="407" w:right="137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INC.</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23"/>
        </w:trPr>
        <w:tc>
          <w:tcPr>
            <w:tcW w:w="7600" w:type="dxa"/>
            <w:vAlign w:val="bottom"/>
            <w:gridSpan w:val="7"/>
          </w:tcPr>
          <w:p>
            <w:pPr>
              <w:spacing w:after="0"/>
              <w:rPr>
                <w:rFonts w:ascii="Arial" w:cs="Arial" w:eastAsia="Arial" w:hAnsi="Arial"/>
                <w:sz w:val="15"/>
                <w:szCs w:val="15"/>
                <w:color w:val="0000EE"/>
              </w:rPr>
            </w:pPr>
            <w:hyperlink w:anchor="page260">
              <w:r>
                <w:rPr>
                  <w:rFonts w:ascii="Arial" w:cs="Arial" w:eastAsia="Arial" w:hAnsi="Arial"/>
                  <w:sz w:val="15"/>
                  <w:szCs w:val="15"/>
                  <w:color w:val="0000EE"/>
                </w:rPr>
                <w:t>Report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39"/>
        </w:trPr>
        <w:tc>
          <w:tcPr>
            <w:tcW w:w="1980" w:type="dxa"/>
            <w:vAlign w:val="bottom"/>
            <w:tcBorders>
              <w:top w:val="single" w:sz="8" w:color="0000EE"/>
              <w:bottom w:val="single" w:sz="8" w:color="0000EE"/>
            </w:tcBorders>
          </w:tcPr>
          <w:p>
            <w:pPr>
              <w:spacing w:after="0"/>
              <w:rPr>
                <w:rFonts w:ascii="Arial" w:cs="Arial" w:eastAsia="Arial" w:hAnsi="Arial"/>
                <w:sz w:val="15"/>
                <w:szCs w:val="15"/>
                <w:color w:val="0000EE"/>
                <w:w w:val="99"/>
              </w:rPr>
            </w:pPr>
            <w:hyperlink w:anchor="page261">
              <w:r>
                <w:rPr>
                  <w:rFonts w:ascii="Arial" w:cs="Arial" w:eastAsia="Arial" w:hAnsi="Arial"/>
                  <w:sz w:val="15"/>
                  <w:szCs w:val="15"/>
                  <w:color w:val="0000EE"/>
                  <w:w w:val="99"/>
                </w:rPr>
                <w:t>Consolidated Balance Sheets</w:t>
              </w:r>
            </w:hyperlink>
          </w:p>
        </w:tc>
        <w:tc>
          <w:tcPr>
            <w:tcW w:w="1860" w:type="dxa"/>
            <w:vAlign w:val="bottom"/>
            <w:tcBorders>
              <w:top w:val="single" w:sz="8" w:color="0000EE"/>
            </w:tcBorders>
            <w:gridSpan w:val="4"/>
          </w:tcPr>
          <w:p>
            <w:pPr>
              <w:spacing w:after="0"/>
              <w:rPr>
                <w:sz w:val="20"/>
                <w:szCs w:val="20"/>
                <w:color w:val="auto"/>
              </w:rPr>
            </w:pPr>
          </w:p>
        </w:tc>
        <w:tc>
          <w:tcPr>
            <w:tcW w:w="3760" w:type="dxa"/>
            <w:vAlign w:val="bottom"/>
            <w:gridSpan w:val="2"/>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2">
              <w:r>
                <w:rPr>
                  <w:rFonts w:ascii="Arial" w:cs="Arial" w:eastAsia="Arial" w:hAnsi="Arial"/>
                  <w:sz w:val="15"/>
                  <w:szCs w:val="15"/>
                  <w:color w:val="0000EE"/>
                </w:rPr>
                <w:t>Consolidated Statements of Operations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20"/>
        </w:trPr>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3">
              <w:r>
                <w:rPr>
                  <w:rFonts w:ascii="Arial" w:cs="Arial" w:eastAsia="Arial" w:hAnsi="Arial"/>
                  <w:sz w:val="15"/>
                  <w:szCs w:val="15"/>
                  <w:color w:val="0000EE"/>
                </w:rPr>
                <w:t>Consolidated Statements of Changes in Redeemable Preferred Stock and Stockholders’ Deficit</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39"/>
        </w:trPr>
        <w:tc>
          <w:tcPr>
            <w:tcW w:w="268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9"/>
              </w:rPr>
            </w:pPr>
            <w:hyperlink w:anchor="page264">
              <w:r>
                <w:rPr>
                  <w:rFonts w:ascii="Arial" w:cs="Arial" w:eastAsia="Arial" w:hAnsi="Arial"/>
                  <w:sz w:val="15"/>
                  <w:szCs w:val="15"/>
                  <w:color w:val="0000EE"/>
                  <w:w w:val="99"/>
                </w:rPr>
                <w:t>Consolidated Statements of Cash Flows</w:t>
              </w:r>
            </w:hyperlink>
          </w:p>
        </w:tc>
        <w:tc>
          <w:tcPr>
            <w:tcW w:w="3640" w:type="dxa"/>
            <w:vAlign w:val="bottom"/>
            <w:tcBorders>
              <w:top w:val="single" w:sz="8" w:color="0000EE"/>
            </w:tcBorders>
            <w:gridSpan w:val="3"/>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65">
              <w:r>
                <w:rPr>
                  <w:rFonts w:ascii="Arial" w:cs="Arial" w:eastAsia="Arial" w:hAnsi="Arial"/>
                  <w:sz w:val="15"/>
                  <w:szCs w:val="15"/>
                  <w:color w:val="0000EE"/>
                </w:rPr>
                <w:t>Notes to Consolidated Financial Statements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F-7</w:t>
            </w:r>
          </w:p>
        </w:tc>
      </w:tr>
      <w:tr>
        <w:trPr>
          <w:trHeight w:val="306"/>
        </w:trPr>
        <w:tc>
          <w:tcPr>
            <w:tcW w:w="19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760" w:type="dxa"/>
            <w:vAlign w:val="bottom"/>
            <w:gridSpan w:val="2"/>
          </w:tcPr>
          <w:p>
            <w:pPr>
              <w:ind w:left="660"/>
              <w:spacing w:after="0"/>
              <w:rPr>
                <w:sz w:val="20"/>
                <w:szCs w:val="20"/>
                <w:color w:val="auto"/>
              </w:rPr>
            </w:pPr>
            <w:r>
              <w:rPr>
                <w:rFonts w:ascii="Arial" w:cs="Arial" w:eastAsia="Arial" w:hAnsi="Arial"/>
                <w:sz w:val="15"/>
                <w:szCs w:val="15"/>
                <w:color w:val="auto"/>
              </w:rPr>
              <w:t>F-1</w:t>
            </w:r>
          </w:p>
        </w:tc>
        <w:tc>
          <w:tcPr>
            <w:tcW w:w="156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Board of Directors and Stockholders of Rent the Runway, Inc.</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105"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0"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PricewaterhouseCoopers LLP</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July 16, 2021</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2020.</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5"/>
              </w:rPr>
              <w:t>July 31,</w:t>
            </w: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46"/>
              <w:spacing w:after="0" w:line="126"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5"/>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and cash equivalents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95.3</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Restricted cash, current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10.5</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w:t>
            </w:r>
          </w:p>
        </w:tc>
        <w:tc>
          <w:tcPr>
            <w:tcW w:w="3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60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Rental product,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116.0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97.6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Fixed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9.0</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Preferred Stock and Stockholders’ Deficit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Accounts payable</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12.7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7.2</w:t>
            </w:r>
          </w:p>
        </w:tc>
        <w:tc>
          <w:tcPr>
            <w:tcW w:w="26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Deferred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13.7</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Customer credit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2"/>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Line of credit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44.0</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171.1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381.8</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41.7</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51.5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0.6</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459.3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498.8</w:t>
            </w:r>
          </w:p>
        </w:tc>
        <w:tc>
          <w:tcPr>
            <w:tcW w:w="0" w:type="dxa"/>
            <w:vAlign w:val="bottom"/>
          </w:tcPr>
          <w:p>
            <w:pPr>
              <w:spacing w:after="0"/>
              <w:rPr>
                <w:sz w:val="1"/>
                <w:szCs w:val="1"/>
                <w:color w:val="auto"/>
              </w:rPr>
            </w:pPr>
          </w:p>
        </w:tc>
      </w:tr>
      <w:tr>
        <w:trPr>
          <w:trHeight w:val="182"/>
        </w:trPr>
        <w:tc>
          <w:tcPr>
            <w:tcW w:w="6540" w:type="dxa"/>
            <w:vAlign w:val="bottom"/>
          </w:tcPr>
          <w:p>
            <w:pPr>
              <w:spacing w:after="0"/>
              <w:rPr>
                <w:sz w:val="20"/>
                <w:szCs w:val="20"/>
                <w:color w:val="auto"/>
              </w:rPr>
            </w:pPr>
            <w:r>
              <w:rPr>
                <w:rFonts w:ascii="Arial" w:cs="Arial" w:eastAsia="Arial" w:hAnsi="Arial"/>
                <w:sz w:val="15"/>
                <w:szCs w:val="15"/>
                <w:color w:val="auto"/>
              </w:rPr>
              <w:t>Commitments and Contingencies (Note 16)</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27,096,062, 35,236,646, and 36,055,409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26,992,271, 31,137,921, and 32,575,462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January 31, 2021, and July 31, 2021, respectively; liquidation preference of $332.6 million,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$393.7 million, $414.9 million at January 31, 2020, January 31, 2021, and July 31, 2021,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70" w:lineRule="exact"/>
              <w:rPr>
                <w:sz w:val="20"/>
                <w:szCs w:val="20"/>
                <w:color w:val="auto"/>
              </w:rPr>
            </w:pPr>
            <w:r>
              <w:rPr>
                <w:rFonts w:ascii="Arial" w:cs="Arial" w:eastAsia="Arial" w:hAnsi="Arial"/>
                <w:sz w:val="15"/>
                <w:szCs w:val="15"/>
                <w:color w:val="auto"/>
              </w:rPr>
              <w:t>330.5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70" w:lineRule="exact"/>
              <w:rPr>
                <w:sz w:val="20"/>
                <w:szCs w:val="20"/>
                <w:color w:val="auto"/>
              </w:rPr>
            </w:pPr>
            <w:r>
              <w:rPr>
                <w:rFonts w:ascii="Arial" w:cs="Arial" w:eastAsia="Arial" w:hAnsi="Arial"/>
                <w:sz w:val="15"/>
                <w:szCs w:val="15"/>
                <w:color w:val="auto"/>
              </w:rPr>
              <w:t>388.1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409.3</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$0.001 par value; 48,000,000, 60,000,000, and 62,500,000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10,371,636, 10,456,521, 10,791,253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54.0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62.7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6"/>
              </w:rPr>
              <w:t>(418.3)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(589.4)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(364.3)</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(526.7)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3"/>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 redeemable preferred stock and stockholders’ deficit</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2"/>
                <w:szCs w:val="12"/>
                <w:b w:val="1"/>
                <w:bCs w:val="1"/>
                <w:color w:val="auto"/>
              </w:rPr>
              <w:t>Year Ended January 31,</w:t>
            </w:r>
          </w:p>
        </w:tc>
        <w:tc>
          <w:tcPr>
            <w:tcW w:w="80" w:type="dxa"/>
            <w:vAlign w:val="bottom"/>
          </w:tcPr>
          <w:p>
            <w:pPr>
              <w:spacing w:after="0"/>
              <w:rPr>
                <w:sz w:val="12"/>
                <w:szCs w:val="12"/>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7"/>
              <w:spacing w:after="0" w:line="126" w:lineRule="exact"/>
              <w:rPr>
                <w:sz w:val="20"/>
                <w:szCs w:val="20"/>
                <w:color w:val="auto"/>
              </w:rPr>
            </w:pPr>
            <w:r>
              <w:rPr>
                <w:rFonts w:ascii="Arial" w:cs="Arial" w:eastAsia="Arial" w:hAnsi="Arial"/>
                <w:sz w:val="12"/>
                <w:szCs w:val="12"/>
                <w:b w:val="1"/>
                <w:bCs w:val="1"/>
                <w:color w:val="auto"/>
              </w:rPr>
              <w:t>2020</w:t>
            </w:r>
          </w:p>
        </w:tc>
        <w:tc>
          <w:tcPr>
            <w:tcW w:w="5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235.4</w:t>
            </w:r>
          </w:p>
        </w:tc>
        <w:tc>
          <w:tcPr>
            <w:tcW w:w="5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135.9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76.3</w:t>
            </w:r>
          </w:p>
        </w:tc>
        <w:tc>
          <w:tcPr>
            <w:tcW w:w="5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21.5</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12.2</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tcPr>
          <w:p>
            <w:pPr>
              <w:ind w:left="600"/>
              <w:spacing w:after="0"/>
              <w:rPr>
                <w:sz w:val="20"/>
                <w:szCs w:val="20"/>
                <w:color w:val="auto"/>
              </w:rPr>
            </w:pPr>
            <w:r>
              <w:rPr>
                <w:rFonts w:ascii="Arial" w:cs="Arial" w:eastAsia="Arial" w:hAnsi="Arial"/>
                <w:sz w:val="15"/>
                <w:szCs w:val="15"/>
                <w:color w:val="auto"/>
              </w:rPr>
              <w:t>Total revenue,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118.1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37.7</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18.6</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8.1</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98.9</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77.2</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42.0</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85.2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89.0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47.0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600"/>
              <w:spacing w:after="0"/>
              <w:rPr>
                <w:sz w:val="20"/>
                <w:szCs w:val="20"/>
                <w:color w:val="auto"/>
              </w:rPr>
            </w:pPr>
            <w:r>
              <w:rPr>
                <w:rFonts w:ascii="Arial" w:cs="Arial" w:eastAsia="Arial" w:hAnsi="Arial"/>
                <w:sz w:val="15"/>
                <w:szCs w:val="15"/>
                <w:color w:val="auto"/>
              </w:rPr>
              <w:t>Total costs and expenses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386.9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288.0</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157.2</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132.0</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Operating loss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(130.5)</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(68.7)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69"/>
        </w:trPr>
        <w:tc>
          <w:tcPr>
            <w:tcW w:w="380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(24.0)</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(46.6)</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(20.4)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1"/>
        </w:trPr>
        <w:tc>
          <w:tcPr>
            <w:tcW w:w="3800" w:type="dxa"/>
            <w:vAlign w:val="bottom"/>
          </w:tcPr>
          <w:p>
            <w:pPr>
              <w:ind w:left="900"/>
              <w:spacing w:after="0" w:line="171"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(154.1)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(171.1)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(88.0)</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900"/>
              <w:spacing w:after="0"/>
              <w:rPr>
                <w:sz w:val="20"/>
                <w:szCs w:val="20"/>
                <w:color w:val="auto"/>
              </w:rPr>
            </w:pPr>
            <w:r>
              <w:rPr>
                <w:rFonts w:ascii="Arial" w:cs="Arial" w:eastAsia="Arial" w:hAnsi="Arial"/>
                <w:sz w:val="15"/>
                <w:szCs w:val="15"/>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5"/>
                <w:szCs w:val="15"/>
                <w:color w:val="auto"/>
              </w:rPr>
              <w:t>(153.9)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(88.0)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stockholders, basic and diluted</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(14.04)</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(15.36)</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(7.91)</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color w:val="auto"/>
              </w:rPr>
              <w:t>Weighted-average shares used in computing net loss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60"/>
              <w:spacing w:after="0" w:line="169" w:lineRule="exact"/>
              <w:rPr>
                <w:sz w:val="20"/>
                <w:szCs w:val="20"/>
                <w:color w:val="auto"/>
              </w:rPr>
            </w:pPr>
            <w:r>
              <w:rPr>
                <w:rFonts w:ascii="Arial" w:cs="Arial" w:eastAsia="Arial" w:hAnsi="Arial"/>
                <w:sz w:val="15"/>
                <w:szCs w:val="15"/>
                <w:color w:val="auto"/>
              </w:rPr>
              <w:t>per share attributable to common stockholders,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60"/>
              <w:spacing w:after="0" w:line="170" w:lineRule="exact"/>
              <w:rPr>
                <w:sz w:val="20"/>
                <w:szCs w:val="20"/>
                <w:color w:val="auto"/>
              </w:rPr>
            </w:pPr>
            <w:r>
              <w:rPr>
                <w:rFonts w:ascii="Arial" w:cs="Arial" w:eastAsia="Arial" w:hAnsi="Arial"/>
                <w:sz w:val="15"/>
                <w:szCs w:val="15"/>
                <w:color w:val="auto"/>
              </w:rPr>
              <w:t>basic and diluted</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11,138,851</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11,375,889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amounts)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2"/>
                <w:szCs w:val="12"/>
                <w:b w:val="1"/>
                <w:bCs w:val="1"/>
                <w:color w:val="auto"/>
              </w:rPr>
              <w:t>Redeemable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45"/>
        </w:trPr>
        <w:tc>
          <w:tcPr>
            <w:tcW w:w="3160" w:type="dxa"/>
            <w:vAlign w:val="bottom"/>
          </w:tcPr>
          <w:p>
            <w:pPr>
              <w:spacing w:after="0"/>
              <w:rPr>
                <w:sz w:val="12"/>
                <w:szCs w:val="12"/>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2"/>
                <w:szCs w:val="12"/>
                <w:b w:val="1"/>
                <w:bCs w:val="1"/>
                <w:color w:val="auto"/>
              </w:rPr>
              <w:t>Preferred Stock</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w w:val="99"/>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Paid-in</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r>
      <w:tr>
        <w:trPr>
          <w:trHeight w:val="126"/>
        </w:trPr>
        <w:tc>
          <w:tcPr>
            <w:tcW w:w="316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80" w:type="dxa"/>
            <w:vAlign w:val="bottom"/>
            <w:tcBorders>
              <w:bottom w:val="single" w:sz="8" w:color="CCEEFF"/>
              <w:right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w w:val="94"/>
              </w:rPr>
              <w:t>Capital</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0"/>
                <w:szCs w:val="10"/>
                <w:color w:val="auto"/>
              </w:rPr>
            </w:pPr>
          </w:p>
        </w:tc>
      </w:tr>
      <w:tr>
        <w:trPr>
          <w:trHeight w:val="149"/>
        </w:trPr>
        <w:tc>
          <w:tcPr>
            <w:tcW w:w="3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January 31, 2019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20,891,652</w:t>
            </w:r>
          </w:p>
        </w:tc>
        <w:tc>
          <w:tcPr>
            <w:tcW w:w="940" w:type="dxa"/>
            <w:vAlign w:val="bottom"/>
            <w:tcBorders>
              <w:right w:val="single" w:sz="8" w:color="auto"/>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$ 196.7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10,100,658</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6,100,619</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133.8</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270,978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1.8</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6.8</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 to accumulated deficit,</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cumulative effect of ASC 606 adoption</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(153.9)</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330.5</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4,145,650</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57.6</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84,885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0.5</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8.2</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(171.1)</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January 31, 2021</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31,137,921</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388.1</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10,456,521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(526.7)</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1,437,541</w:t>
            </w:r>
          </w:p>
        </w:tc>
        <w:tc>
          <w:tcPr>
            <w:tcW w:w="940" w:type="dxa"/>
            <w:vAlign w:val="bottom"/>
            <w:tcBorders>
              <w:right w:val="single" w:sz="8" w:color="auto"/>
            </w:tcBorders>
            <w:gridSpan w:val="3"/>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334,732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1.9</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July 31, 2021 (unaudited)</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32,575,462</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$ 409.3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10,791,253</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(674.1)</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$ 330.5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2,395,424</w:t>
            </w:r>
          </w:p>
        </w:tc>
        <w:tc>
          <w:tcPr>
            <w:tcW w:w="940" w:type="dxa"/>
            <w:vAlign w:val="bottom"/>
            <w:tcBorders>
              <w:right w:val="single" w:sz="8" w:color="auto"/>
            </w:tcBorders>
            <w:gridSpan w:val="3"/>
          </w:tcPr>
          <w:p>
            <w:pPr>
              <w:jc w:val="right"/>
              <w:ind w:right="280"/>
              <w:spacing w:after="0" w:line="156" w:lineRule="exact"/>
              <w:rPr>
                <w:sz w:val="20"/>
                <w:szCs w:val="20"/>
                <w:color w:val="auto"/>
              </w:rPr>
            </w:pPr>
            <w:r>
              <w:rPr>
                <w:rFonts w:ascii="Arial" w:cs="Arial" w:eastAsia="Arial" w:hAnsi="Arial"/>
                <w:sz w:val="14"/>
                <w:szCs w:val="14"/>
                <w:color w:val="auto"/>
              </w:rPr>
              <w:t>35.3</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36,275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0.3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3.8</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(88.0)</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July 31, 2020 (unaudited)</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29,387,695</w:t>
            </w:r>
          </w:p>
        </w:tc>
        <w:tc>
          <w:tcPr>
            <w:tcW w:w="94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$ 365.8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10,407,911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58.1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(506.3)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(448.2)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right"/>
              <w:ind w:right="213"/>
              <w:spacing w:after="0" w:line="126"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(153.9)</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(171.1)</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2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Rental product depreciation and write-offs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61.6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55.9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depreciation and amortization</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Payment-in-kind interest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debt discount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rental product sold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Write-off of rental product sold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Loss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Loss on debt extinguishment</w:t>
            </w:r>
          </w:p>
        </w:tc>
        <w:tc>
          <w:tcPr>
            <w:tcW w:w="80" w:type="dxa"/>
            <w:vAlign w:val="bottom"/>
          </w:tcPr>
          <w:p>
            <w:pPr>
              <w:spacing w:after="0"/>
              <w:rPr>
                <w:sz w:val="13"/>
                <w:szCs w:val="13"/>
                <w:color w:val="auto"/>
              </w:rPr>
            </w:pPr>
          </w:p>
        </w:tc>
        <w:tc>
          <w:tcPr>
            <w:tcW w:w="66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Remeasurement of warrant liability</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Accounts payable, accrued expenses and other current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Deferred revenue and customer credit liabilities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operating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Purchases of rental product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(117.7)</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sale of rental product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Purchases of fixed and intangible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(138.6)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issuance of redeemable preferred stock</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133.8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Deferred financing costs paid</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payments on financing lease obligations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line of credit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Principal repayments on line of credit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repayments on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177.9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168.5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 and restricted cash</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40.2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and restricted cash at end of period</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109.2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86.1</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 TO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40" w:type="dxa"/>
            <w:vAlign w:val="bottom"/>
          </w:tcPr>
          <w:p>
            <w:pPr>
              <w:ind w:left="140"/>
              <w:spacing w:after="0"/>
              <w:rPr>
                <w:sz w:val="20"/>
                <w:szCs w:val="20"/>
                <w:color w:val="auto"/>
              </w:rPr>
            </w:pPr>
            <w:r>
              <w:rPr>
                <w:rFonts w:ascii="Arial" w:cs="Arial" w:eastAsia="Arial" w:hAnsi="Arial"/>
                <w:sz w:val="14"/>
                <w:szCs w:val="14"/>
                <w:b w:val="1"/>
                <w:bCs w:val="1"/>
                <w:color w:val="auto"/>
              </w:rPr>
              <w:t>CONSOLIDATED BALANCE SHEETS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85.6</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Restricted cash, current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 noncurrent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20"/>
                <w:szCs w:val="20"/>
                <w:color w:val="auto"/>
              </w:rPr>
            </w:pPr>
            <w:r>
              <w:rPr>
                <w:rFonts w:ascii="Arial" w:cs="Arial" w:eastAsia="Arial" w:hAnsi="Arial"/>
                <w:sz w:val="14"/>
                <w:szCs w:val="14"/>
                <w:color w:val="auto"/>
              </w:rPr>
              <w:t>Total cash and cash equivalents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109.2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97" w:lineRule="exact"/>
        <w:rPr>
          <w:sz w:val="20"/>
          <w:szCs w:val="20"/>
          <w:color w:val="auto"/>
        </w:rPr>
      </w:pPr>
    </w:p>
    <w:p>
      <w:pPr>
        <w:ind w:left="1480" w:hanging="453"/>
        <w:spacing w:after="0"/>
        <w:tabs>
          <w:tab w:leader="none" w:pos="1480"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Business</w:t>
      </w:r>
    </w:p>
    <w:p>
      <w:pPr>
        <w:spacing w:after="0" w:line="8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04" w:lineRule="exact"/>
        <w:rPr>
          <w:rFonts w:ascii="Arial" w:cs="Arial" w:eastAsia="Arial" w:hAnsi="Arial"/>
          <w:sz w:val="15"/>
          <w:szCs w:val="15"/>
          <w:b w:val="1"/>
          <w:bCs w:val="1"/>
          <w:color w:val="auto"/>
        </w:rPr>
      </w:pPr>
    </w:p>
    <w:p>
      <w:pPr>
        <w:ind w:left="1480" w:right="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72" w:lineRule="exact"/>
        <w:rPr>
          <w:rFonts w:ascii="Arial" w:cs="Arial" w:eastAsia="Arial" w:hAnsi="Arial"/>
          <w:sz w:val="15"/>
          <w:szCs w:val="15"/>
          <w:b w:val="1"/>
          <w:bCs w:val="1"/>
          <w:color w:val="auto"/>
        </w:rPr>
      </w:pPr>
    </w:p>
    <w:p>
      <w:pPr>
        <w:ind w:left="1480" w:right="52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70" w:lineRule="exact"/>
        <w:rPr>
          <w:rFonts w:ascii="Arial" w:cs="Arial" w:eastAsia="Arial" w:hAnsi="Arial"/>
          <w:sz w:val="15"/>
          <w:szCs w:val="15"/>
          <w:b w:val="1"/>
          <w:bCs w:val="1"/>
          <w:color w:val="auto"/>
        </w:rPr>
      </w:pPr>
    </w:p>
    <w:p>
      <w:pPr>
        <w:ind w:left="1480" w:right="5580" w:hanging="453"/>
        <w:spacing w:after="0" w:line="373" w:lineRule="auto"/>
        <w:tabs>
          <w:tab w:leader="none" w:pos="1471" w:val="left"/>
        </w:tabs>
        <w:numPr>
          <w:ilvl w:val="0"/>
          <w:numId w:val="19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5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Fiscal Year</w:t>
      </w:r>
    </w:p>
    <w:p>
      <w:pPr>
        <w:spacing w:after="0" w:line="104" w:lineRule="exact"/>
        <w:rPr>
          <w:rFonts w:ascii="Arial" w:cs="Arial" w:eastAsia="Arial" w:hAnsi="Arial"/>
          <w:sz w:val="15"/>
          <w:szCs w:val="15"/>
          <w:b w:val="1"/>
          <w:bCs w:val="1"/>
          <w:color w:val="auto"/>
        </w:rPr>
      </w:pPr>
    </w:p>
    <w:p>
      <w:pPr>
        <w:ind w:left="1480" w:right="2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51"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Unaudited Interim Condensed Consolidated Financial Information</w:t>
      </w:r>
    </w:p>
    <w:p>
      <w:pPr>
        <w:spacing w:after="0" w:line="104" w:lineRule="exact"/>
        <w:rPr>
          <w:rFonts w:ascii="Arial" w:cs="Arial" w:eastAsia="Arial" w:hAnsi="Arial"/>
          <w:sz w:val="15"/>
          <w:szCs w:val="15"/>
          <w:b w:val="1"/>
          <w:bCs w:val="1"/>
          <w:color w:val="auto"/>
        </w:rPr>
      </w:pPr>
    </w:p>
    <w:p>
      <w:pPr>
        <w:ind w:left="1480" w:right="2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The accompanying interim condensed consolidated balance sheet as of July 31, 2021, the condensed consolidated statements of operations, the condensed consolidated statements of changes in redeemable preferred stock and stockholders’ deficit and the condensed consolidated statements of cash flows for the six months ended July 31, 2020 and 2021 are unaudited. These interim condensed consolidated financial statements have been prepared on a basis consistent with the annual consolidated financial statements and, in the opinion of management, include all adjustments necessary to fairly state the Company’s financial position as of July 31, 2021, the results of the Company’s operations and the results of the Company’s cash flows for the six months ended July 31, 2020 and 2021. The financial data and other financial information disclosed in the notes to these condensed consolidated financial statements related to the six-months ended July 31, 2020 and 2021 and as of July 31, 2021, are also unaudited. The results for the six months ended July 31, 2020 and 2021 are not necessarily indicative of the operating results expected for the years ended January 31, 2021 and January 31, 2022, respectively, or any future period.</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Segment Information</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Use of Estimates</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72" w:lineRule="exact"/>
        <w:rPr>
          <w:sz w:val="20"/>
          <w:szCs w:val="20"/>
          <w:color w:val="auto"/>
        </w:rPr>
      </w:pPr>
    </w:p>
    <w:p>
      <w:pPr>
        <w:ind w:left="1480" w:right="200"/>
        <w:spacing w:after="0" w:line="238" w:lineRule="auto"/>
        <w:rPr>
          <w:sz w:val="20"/>
          <w:szCs w:val="20"/>
          <w:color w:val="auto"/>
        </w:rPr>
      </w:pPr>
      <w:r>
        <w:rPr>
          <w:rFonts w:ascii="Arial" w:cs="Arial" w:eastAsia="Arial" w:hAnsi="Arial"/>
          <w:sz w:val="15"/>
          <w:szCs w:val="15"/>
          <w:color w:val="auto"/>
        </w:rPr>
        <w:t>As of January 31, 2021 and July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Concentrations of Credit Risks</w:t>
      </w:r>
    </w:p>
    <w:p>
      <w:pPr>
        <w:spacing w:after="0" w:line="105"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0"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No single customer accounted for more than 5% of the Company’s revenue during the years ended January 31, 2020 or 2021 or the six months ended July 31, 2020 or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Fair Value Measurements and Financial Instruments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92"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Observable inputs, such as quoted prices in active markets for identical assets and liabilities.</w:t>
      </w:r>
    </w:p>
    <w:p>
      <w:pPr>
        <w:spacing w:after="0" w:line="199"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w:t>
      </w:r>
    </w:p>
    <w:p>
      <w:pPr>
        <w:spacing w:after="0" w:line="199" w:lineRule="exact"/>
        <w:rPr>
          <w:sz w:val="20"/>
          <w:szCs w:val="20"/>
          <w:color w:val="auto"/>
        </w:rPr>
      </w:pPr>
    </w:p>
    <w:p>
      <w:pPr>
        <w:ind w:left="2300" w:right="700" w:hanging="822"/>
        <w:spacing w:after="0" w:line="245" w:lineRule="auto"/>
        <w:tabs>
          <w:tab w:leader="none" w:pos="228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Company to develop its own assumptions.</w:t>
      </w:r>
    </w:p>
    <w:p>
      <w:pPr>
        <w:spacing w:after="0" w:line="166"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The categorization of financial instruments within the valuation hierarchy is based upon the lowest level of input that is significant to the fair value measurement.</w:t>
      </w:r>
    </w:p>
    <w:p>
      <w:pPr>
        <w:spacing w:after="0" w:line="166" w:lineRule="exact"/>
        <w:rPr>
          <w:sz w:val="20"/>
          <w:szCs w:val="20"/>
          <w:color w:val="auto"/>
        </w:rPr>
      </w:pPr>
    </w:p>
    <w:p>
      <w:pPr>
        <w:jc w:val="both"/>
        <w:ind w:left="1480" w:right="160"/>
        <w:spacing w:after="0"/>
        <w:rPr>
          <w:sz w:val="20"/>
          <w:szCs w:val="20"/>
          <w:color w:val="auto"/>
        </w:rPr>
      </w:pPr>
      <w:r>
        <w:rPr>
          <w:rFonts w:ascii="Arial" w:cs="Arial" w:eastAsia="Arial" w:hAnsi="Arial"/>
          <w:sz w:val="15"/>
          <w:szCs w:val="15"/>
          <w:color w:val="auto"/>
        </w:rPr>
        <w:t>The carrying amounts of financial instruments, including cash, cash equivalents and restricted cash approximate fair value as of January 31, 2020 and 2021 and July 31, 2021, due to the relatively short duration of these instruments. The carrying value of the Company’s long-term debt instruments approximate their fair values as of January 31, 2021 and July 31, 2021.</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considers all highly liquid investments with a maturity of 3 months or less when purchased to be cash equivalents. Cash and cash equivalents include funds in transit from banks for customer credit card transactions that settle in less than 7 days. These funds totaled $2.6 million, $1.8 million, and $2.5 million as of January 31, 2020, January 31, 2021, and July 31, 2021, respectively.</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2020, January 31, 2021, and July 31, 2021 the Company had approximately $10.5 million, $13.9 million, and</w:t>
      </w:r>
    </w:p>
    <w:p>
      <w:pPr>
        <w:ind w:left="1480" w:right="100"/>
        <w:spacing w:after="0" w:line="245" w:lineRule="auto"/>
        <w:rPr>
          <w:sz w:val="20"/>
          <w:szCs w:val="20"/>
          <w:color w:val="auto"/>
        </w:rPr>
      </w:pPr>
      <w:r>
        <w:rPr>
          <w:rFonts w:ascii="Arial" w:cs="Arial" w:eastAsia="Arial" w:hAnsi="Arial"/>
          <w:sz w:val="15"/>
          <w:szCs w:val="15"/>
          <w:color w:val="auto"/>
        </w:rPr>
        <w:t>$11.5 million of current and noncurrent restricted cash, respectively, that consisted primarily of letters of credit pledged as security deposits for the headquarters and operational facilities leases.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Rental Product, Net</w:t>
      </w:r>
    </w:p>
    <w:p>
      <w:pPr>
        <w:spacing w:after="0" w:line="105"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Company considers rental product to be a long-term productive asset and, as such, classifies it as a noncurrent asset on the consolidated balance sheets.</w:t>
      </w:r>
    </w:p>
    <w:p>
      <w:pPr>
        <w:spacing w:after="0" w:line="166" w:lineRule="exact"/>
        <w:rPr>
          <w:sz w:val="20"/>
          <w:szCs w:val="20"/>
          <w:color w:val="auto"/>
        </w:rPr>
      </w:pPr>
    </w:p>
    <w:p>
      <w:pPr>
        <w:ind w:left="1480" w:right="140"/>
        <w:spacing w:after="0" w:line="238" w:lineRule="auto"/>
        <w:rPr>
          <w:sz w:val="20"/>
          <w:szCs w:val="20"/>
          <w:color w:val="auto"/>
        </w:rPr>
      </w:pPr>
      <w:r>
        <w:rPr>
          <w:rFonts w:ascii="Arial" w:cs="Arial" w:eastAsia="Arial" w:hAnsi="Arial"/>
          <w:sz w:val="15"/>
          <w:szCs w:val="15"/>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Useful Life</w:t>
            </w:r>
          </w:p>
        </w:tc>
        <w:tc>
          <w:tcPr>
            <w:tcW w:w="6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Salvage Value</w:t>
            </w:r>
          </w:p>
        </w:tc>
        <w:tc>
          <w:tcPr>
            <w:tcW w:w="180" w:type="dxa"/>
            <w:vAlign w:val="bottom"/>
            <w:tcBorders>
              <w:bottom w:val="single" w:sz="8" w:color="CCEEFF"/>
            </w:tcBorders>
          </w:tcPr>
          <w:p>
            <w:pPr>
              <w:spacing w:after="0"/>
              <w:rPr>
                <w:sz w:val="12"/>
                <w:szCs w:val="12"/>
                <w:color w:val="auto"/>
              </w:rPr>
            </w:pPr>
          </w:p>
        </w:tc>
      </w:tr>
      <w:tr>
        <w:trPr>
          <w:trHeight w:val="160"/>
        </w:trPr>
        <w:tc>
          <w:tcPr>
            <w:tcW w:w="2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Apparel</w:t>
            </w:r>
          </w:p>
        </w:tc>
        <w:tc>
          <w:tcPr>
            <w:tcW w:w="35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 years</w:t>
            </w:r>
          </w:p>
        </w:tc>
        <w:tc>
          <w:tcPr>
            <w:tcW w:w="6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color w:val="auto"/>
              </w:rPr>
              <w:t>20%</w:t>
            </w:r>
          </w:p>
        </w:tc>
      </w:tr>
      <w:tr>
        <w:trPr>
          <w:trHeight w:val="180"/>
        </w:trPr>
        <w:tc>
          <w:tcPr>
            <w:tcW w:w="2380" w:type="dxa"/>
            <w:vAlign w:val="bottom"/>
          </w:tcPr>
          <w:p>
            <w:pPr>
              <w:spacing w:after="0"/>
              <w:rPr>
                <w:sz w:val="20"/>
                <w:szCs w:val="20"/>
                <w:color w:val="auto"/>
              </w:rPr>
            </w:pPr>
            <w:r>
              <w:rPr>
                <w:rFonts w:ascii="Arial" w:cs="Arial" w:eastAsia="Arial" w:hAnsi="Arial"/>
                <w:sz w:val="15"/>
                <w:szCs w:val="15"/>
                <w:color w:val="auto"/>
              </w:rPr>
              <w:t>Accessories</w:t>
            </w:r>
          </w:p>
        </w:tc>
        <w:tc>
          <w:tcPr>
            <w:tcW w:w="356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5"/>
                <w:szCs w:val="15"/>
                <w:color w:val="auto"/>
              </w:rPr>
              <w:t>2 years</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292"/>
        </w:trPr>
        <w:tc>
          <w:tcPr>
            <w:tcW w:w="2380" w:type="dxa"/>
            <w:vAlign w:val="bottom"/>
          </w:tcPr>
          <w:p>
            <w:pPr>
              <w:spacing w:after="0"/>
              <w:rPr>
                <w:sz w:val="24"/>
                <w:szCs w:val="24"/>
                <w:color w:val="auto"/>
              </w:rPr>
            </w:pPr>
          </w:p>
        </w:tc>
        <w:tc>
          <w:tcPr>
            <w:tcW w:w="4800" w:type="dxa"/>
            <w:vAlign w:val="bottom"/>
            <w:gridSpan w:val="3"/>
          </w:tcPr>
          <w:p>
            <w:pPr>
              <w:ind w:left="1600"/>
              <w:spacing w:after="0"/>
              <w:rPr>
                <w:sz w:val="20"/>
                <w:szCs w:val="20"/>
                <w:color w:val="auto"/>
              </w:rPr>
            </w:pPr>
            <w:r>
              <w:rPr>
                <w:rFonts w:ascii="Arial" w:cs="Arial" w:eastAsia="Arial" w:hAnsi="Arial"/>
                <w:sz w:val="15"/>
                <w:szCs w:val="15"/>
                <w:color w:val="auto"/>
              </w:rPr>
              <w:t>F-9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 xml:space="preserve">In accordance with its policy, the Company reviews the estimated useful lives and salvage values of rental product on an ongoing basis. See the </w:t>
      </w:r>
      <w:r>
        <w:rPr>
          <w:rFonts w:ascii="Arial" w:cs="Arial" w:eastAsia="Arial" w:hAnsi="Arial"/>
          <w:sz w:val="15"/>
          <w:szCs w:val="15"/>
          <w:i w:val="1"/>
          <w:iCs w:val="1"/>
          <w:color w:val="auto"/>
        </w:rPr>
        <w:t>Long-Lived Asset Impairment</w:t>
      </w:r>
      <w:r>
        <w:rPr>
          <w:rFonts w:ascii="Arial" w:cs="Arial" w:eastAsia="Arial" w:hAnsi="Arial"/>
          <w:sz w:val="15"/>
          <w:szCs w:val="15"/>
          <w:color w:val="auto"/>
        </w:rPr>
        <w:t xml:space="preserve"> disclosure for long-lived asset impairment procedures.</w:t>
      </w:r>
    </w:p>
    <w:p>
      <w:pPr>
        <w:spacing w:after="0" w:line="16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Rental product is classified as held for sale and written down to salvage value at the time it is no longer considered rentable. The value of rental product held for sale as of January 31, 2020 January 31, 2021, and July 31, 2021 was $6.4 million, $6.4 million, and $4.4 million net, respectively. The accelerated depreciation related to rental product held for sale was $14.8 million and $7.7 million for the years ended January 31, 2020 and January 31, 2021, respectively, and $5.0 million and $2.3 million for the six months ended July 31, 2020 and July 31, 2021, respectively. The accelerated depreciation is presented on the consolidated statements of operations within rental product depreciation and revenue share.</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170"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Cash outflows for the purchase of rental product, net of changes in related accounts payable and accrued liabilities, as well as the cash inflows received from the liquidation of apparel and 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 and $0.3 million and $3.4 million for the six months ended July 31, 2020 and 2021, respectively.</w:t>
      </w:r>
    </w:p>
    <w:p>
      <w:pPr>
        <w:spacing w:after="0" w:line="17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 and $10.3 million and $5.6 million for the six months ended July 31, 2020 and 2021, respectively.</w:t>
      </w:r>
    </w:p>
    <w:p>
      <w:pPr>
        <w:spacing w:after="0" w:line="171"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7" w:right="137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Revenue Recognition</w:t>
      </w:r>
    </w:p>
    <w:p>
      <w:pPr>
        <w:spacing w:after="0" w:line="105"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Subscription and a-la-carte rental fees (“Subscription and Reserve rental revenue”) are recognized in accordance with Accounting Standard Update (“ASU”)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(“ASC 842”). Other revenue, primarily related to the sale of rental product, is recognized under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at the date of delivery of the product to the customer. Other revenue represented 8% and 14% of total revenue for the years ended January 31, 2020 and 2021, respectively, and 14% and 9% for the six months ended July 31, 2020 and 2021, respectively.</w:t>
      </w:r>
    </w:p>
    <w:p>
      <w:pPr>
        <w:spacing w:after="0" w:line="170"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70"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and six months ended July 31, 2021, $1.2 million and $1.2 million of credits included in the customer credit liability as of January 31, 2020 and January 31, 2021, respectively,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 period financial statements but recognized the breakage income retrospectively at the beginning of the period of adoption through a cumulative-effect adjustment. The impact of this adjustment at February 1, 2019 was $ 2.6 million. The Company continues to maintain the full liability for the unredeemed portion of the credits and gift cards when the Company has any legal obligation to remit such credits to government authorities in relevant jurisdictions.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Subscription and Reserve Rental Revenue</w:t>
      </w:r>
    </w:p>
    <w:p>
      <w:pPr>
        <w:spacing w:after="0" w:line="103"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72" w:lineRule="exact"/>
        <w:rPr>
          <w:sz w:val="20"/>
          <w:szCs w:val="20"/>
          <w:color w:val="auto"/>
        </w:rPr>
      </w:pPr>
    </w:p>
    <w:p>
      <w:pPr>
        <w:ind w:left="1480" w:right="280"/>
        <w:spacing w:after="0" w:line="238" w:lineRule="auto"/>
        <w:rPr>
          <w:sz w:val="20"/>
          <w:szCs w:val="20"/>
          <w:color w:val="auto"/>
        </w:rPr>
      </w:pPr>
      <w:r>
        <w:rPr>
          <w:rFonts w:ascii="Arial" w:cs="Arial" w:eastAsia="Arial" w:hAnsi="Arial"/>
          <w:sz w:val="15"/>
          <w:szCs w:val="15"/>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ratably over the 4-or 8-day rental period.</w:t>
      </w:r>
    </w:p>
    <w:p>
      <w:pPr>
        <w:spacing w:after="0" w:line="172" w:lineRule="exact"/>
        <w:rPr>
          <w:sz w:val="20"/>
          <w:szCs w:val="20"/>
          <w:color w:val="auto"/>
        </w:rPr>
      </w:pPr>
    </w:p>
    <w:p>
      <w:pPr>
        <w:ind w:left="1480" w:right="540"/>
        <w:spacing w:after="0" w:line="245" w:lineRule="auto"/>
        <w:rPr>
          <w:sz w:val="20"/>
          <w:szCs w:val="20"/>
          <w:color w:val="auto"/>
        </w:rPr>
      </w:pPr>
      <w:r>
        <w:rPr>
          <w:rFonts w:ascii="Arial" w:cs="Arial" w:eastAsia="Arial" w:hAnsi="Arial"/>
          <w:sz w:val="15"/>
          <w:szCs w:val="15"/>
          <w:color w:val="auto"/>
        </w:rPr>
        <w:t>The Company accrues for credits and refunds issued subsequent to the balance sheet date that relate to rentals prior to the balance sheet date. These amounts were not material as of January 31, 2020 and 2021 and July 31, 2021.</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Revenue</w:t>
      </w:r>
    </w:p>
    <w:p>
      <w:pPr>
        <w:spacing w:after="0" w:line="103" w:lineRule="exact"/>
        <w:rPr>
          <w:sz w:val="20"/>
          <w:szCs w:val="20"/>
          <w:color w:val="auto"/>
        </w:rPr>
      </w:pPr>
    </w:p>
    <w:p>
      <w:pPr>
        <w:ind w:left="1480" w:right="60"/>
        <w:spacing w:after="0" w:line="237" w:lineRule="auto"/>
        <w:rPr>
          <w:sz w:val="20"/>
          <w:szCs w:val="20"/>
          <w:color w:val="auto"/>
        </w:rPr>
      </w:pPr>
      <w:r>
        <w:rPr>
          <w:rFonts w:ascii="Arial" w:cs="Arial" w:eastAsia="Arial" w:hAnsi="Arial"/>
          <w:sz w:val="15"/>
          <w:szCs w:val="15"/>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 (ii) 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 or July 31, 2021.</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Leases – Lessee Accounting</w:t>
      </w:r>
    </w:p>
    <w:p>
      <w:pPr>
        <w:spacing w:after="0" w:line="105" w:lineRule="exact"/>
        <w:rPr>
          <w:sz w:val="20"/>
          <w:szCs w:val="20"/>
          <w:color w:val="auto"/>
        </w:rPr>
      </w:pPr>
    </w:p>
    <w:p>
      <w:pPr>
        <w:ind w:left="1480" w:right="360"/>
        <w:spacing w:after="0" w:line="245" w:lineRule="auto"/>
        <w:rPr>
          <w:sz w:val="20"/>
          <w:szCs w:val="20"/>
          <w:color w:val="auto"/>
        </w:rPr>
      </w:pPr>
      <w:r>
        <w:rPr>
          <w:rFonts w:ascii="Arial" w:cs="Arial" w:eastAsia="Arial" w:hAnsi="Arial"/>
          <w:sz w:val="15"/>
          <w:szCs w:val="15"/>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66"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170" w:lineRule="exact"/>
        <w:rPr>
          <w:sz w:val="20"/>
          <w:szCs w:val="20"/>
          <w:color w:val="auto"/>
        </w:rPr>
      </w:pPr>
    </w:p>
    <w:p>
      <w:pPr>
        <w:ind w:left="1480" w:right="60"/>
        <w:spacing w:after="0" w:line="245" w:lineRule="auto"/>
        <w:rPr>
          <w:sz w:val="20"/>
          <w:szCs w:val="20"/>
          <w:color w:val="auto"/>
        </w:rPr>
      </w:pPr>
      <w:r>
        <w:rPr>
          <w:rFonts w:ascii="Arial" w:cs="Arial" w:eastAsia="Arial" w:hAnsi="Arial"/>
          <w:sz w:val="15"/>
          <w:szCs w:val="15"/>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66" w:lineRule="exact"/>
        <w:rPr>
          <w:sz w:val="20"/>
          <w:szCs w:val="20"/>
          <w:color w:val="auto"/>
        </w:rPr>
      </w:pPr>
    </w:p>
    <w:p>
      <w:pPr>
        <w:jc w:val="both"/>
        <w:ind w:left="1480" w:right="180"/>
        <w:spacing w:after="0" w:line="238" w:lineRule="auto"/>
        <w:rPr>
          <w:sz w:val="20"/>
          <w:szCs w:val="20"/>
          <w:color w:val="auto"/>
        </w:rPr>
      </w:pPr>
      <w:r>
        <w:rPr>
          <w:rFonts w:ascii="Arial" w:cs="Arial" w:eastAsia="Arial" w:hAnsi="Arial"/>
          <w:sz w:val="15"/>
          <w:szCs w:val="15"/>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7" w:right="135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Fixed and Intangible Assets,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Fixed and intangible assets are stated at cost less accumulated depreciation and amortization.</w:t>
      </w:r>
    </w:p>
    <w:p>
      <w:pPr>
        <w:spacing w:after="0" w:line="177"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Depreciation and amortization of fixed and intangible assets is calculated on a straight-line basis over the estimated useful lives of the assets.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estimated useful lives of fixed and intangible assets are described below:</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720" w:type="dxa"/>
            <w:vAlign w:val="bottom"/>
          </w:tcPr>
          <w:p>
            <w:pPr>
              <w:spacing w:after="0"/>
              <w:rPr>
                <w:sz w:val="20"/>
                <w:szCs w:val="20"/>
                <w:color w:val="auto"/>
              </w:rPr>
            </w:pPr>
            <w:r>
              <w:rPr>
                <w:rFonts w:ascii="Arial" w:cs="Arial" w:eastAsia="Arial" w:hAnsi="Arial"/>
                <w:sz w:val="15"/>
                <w:szCs w:val="15"/>
                <w:color w:val="auto"/>
              </w:rPr>
              <w:t>Leasehold improvements</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w w:val="99"/>
              </w:rPr>
              <w:t>Lesser of estimated useful life or lease term</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w w:val="99"/>
              </w:rPr>
              <w:t>5 to 6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Furniture and fixtures</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Reusable packaging</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1.5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Capitalized third-party software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80"/>
        </w:trPr>
        <w:tc>
          <w:tcPr>
            <w:tcW w:w="3720" w:type="dxa"/>
            <w:vAlign w:val="bottom"/>
          </w:tcPr>
          <w:p>
            <w:pPr>
              <w:spacing w:after="0"/>
              <w:rPr>
                <w:sz w:val="20"/>
                <w:szCs w:val="20"/>
                <w:color w:val="auto"/>
              </w:rPr>
            </w:pPr>
            <w:r>
              <w:rPr>
                <w:rFonts w:ascii="Arial" w:cs="Arial" w:eastAsia="Arial" w:hAnsi="Arial"/>
                <w:sz w:val="15"/>
                <w:szCs w:val="15"/>
                <w:color w:val="auto"/>
              </w:rPr>
              <w:t>Capitalized internally developed software</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rPr>
              <w:t>2 years</w:t>
            </w:r>
          </w:p>
        </w:tc>
      </w:tr>
    </w:tbl>
    <w:p>
      <w:pPr>
        <w:spacing w:after="0" w:line="169"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Prepaid Expenses and Other Current Assets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Prepaid expenses and other current assets consist primarily of prepaid rental packaging materials, prepaid insurance, and prepaid technology expenses. The balance of prepaid expenses included in prepaid expenses and other current assets on the consolidated balance sheet was $4.2 million, $2.8 million, and $4.5 million as of January 31, 2020, January 31, 2021, and July 31, 2021, respectively.</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 primarily of deposits for periods that exceed one year from the balance sheet date.</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Fulfillment</w:t>
      </w:r>
    </w:p>
    <w:p>
      <w:pPr>
        <w:spacing w:after="0" w:line="103"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Fulfillment expenses consist of fulfillment variable costs to receive, process and fulfill customer orders, including fulfillment labor payroll and related costs, third-party shipping expenses, cost of packaging materials, cleaning expenses, and other fulfillment related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Technology</w:t>
      </w:r>
    </w:p>
    <w:p>
      <w:pPr>
        <w:spacing w:after="0" w:line="103" w:lineRule="exact"/>
        <w:rPr>
          <w:sz w:val="20"/>
          <w:szCs w:val="20"/>
          <w:color w:val="auto"/>
        </w:rPr>
      </w:pPr>
    </w:p>
    <w:p>
      <w:pPr>
        <w:ind w:left="1480" w:right="200"/>
        <w:spacing w:after="0" w:line="245" w:lineRule="auto"/>
        <w:rPr>
          <w:sz w:val="20"/>
          <w:szCs w:val="20"/>
          <w:color w:val="auto"/>
        </w:rPr>
      </w:pPr>
      <w:r>
        <w:rPr>
          <w:rFonts w:ascii="Arial" w:cs="Arial" w:eastAsia="Arial" w:hAnsi="Arial"/>
          <w:sz w:val="15"/>
          <w:szCs w:val="15"/>
          <w:color w:val="auto"/>
        </w:rPr>
        <w:t>Technology expenses consist of technology payroll and related costs, professional services, and third-party software and license fees.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00"/>
          </w:cols>
          <w:pgMar w:left="320" w:top="407" w:right="137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Marketing</w:t>
      </w:r>
    </w:p>
    <w:p>
      <w:pPr>
        <w:spacing w:after="0" w:line="103"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General and Administrative</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rental products on the Company’s website, and other administrative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Rental Product Depreciation and Revenue Share</w:t>
      </w:r>
    </w:p>
    <w:p>
      <w:pPr>
        <w:spacing w:after="0" w:line="103" w:lineRule="exact"/>
        <w:rPr>
          <w:sz w:val="20"/>
          <w:szCs w:val="20"/>
          <w:color w:val="auto"/>
        </w:rPr>
      </w:pPr>
    </w:p>
    <w:p>
      <w:pPr>
        <w:ind w:left="1480" w:right="480"/>
        <w:spacing w:after="0" w:line="245" w:lineRule="auto"/>
        <w:rPr>
          <w:sz w:val="20"/>
          <w:szCs w:val="20"/>
          <w:color w:val="auto"/>
        </w:rPr>
      </w:pPr>
      <w:r>
        <w:rPr>
          <w:rFonts w:ascii="Arial" w:cs="Arial" w:eastAsia="Arial" w:hAnsi="Arial"/>
          <w:sz w:val="15"/>
          <w:szCs w:val="15"/>
          <w:color w:val="auto"/>
        </w:rPr>
        <w:t>Rental product depreciation and revenue share expenses are comprised of depreciation and write-offs of rental product, and payments under revenue share arrangements with brand partners.</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Depreciation and Amortization</w:t>
      </w:r>
    </w:p>
    <w:p>
      <w:pPr>
        <w:spacing w:after="0" w:line="103"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Other depreciation and amortization expenses are comprised of depreciation and amortization amounts for fixed assets, intangible assets, and financing right-of-use assets.</w:t>
      </w:r>
    </w:p>
    <w:p>
      <w:pPr>
        <w:spacing w:after="0" w:line="166" w:lineRule="exact"/>
        <w:rPr>
          <w:sz w:val="20"/>
          <w:szCs w:val="20"/>
          <w:color w:val="auto"/>
        </w:rPr>
      </w:pPr>
    </w:p>
    <w:p>
      <w:pPr>
        <w:ind w:left="1480" w:right="800"/>
        <w:spacing w:after="0" w:line="245" w:lineRule="auto"/>
        <w:rPr>
          <w:sz w:val="20"/>
          <w:szCs w:val="20"/>
          <w:color w:val="auto"/>
        </w:rPr>
      </w:pPr>
      <w:r>
        <w:rPr>
          <w:rFonts w:ascii="Arial" w:cs="Arial" w:eastAsia="Arial" w:hAnsi="Arial"/>
          <w:sz w:val="15"/>
          <w:szCs w:val="15"/>
          <w:color w:val="auto"/>
        </w:rPr>
        <w:t>The classification of expenses varies across industries. Accordingly, the Company’s categories of expenses may not be comparable to those of other companies.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Share-Based Compensation</w:t>
      </w:r>
    </w:p>
    <w:p>
      <w:pPr>
        <w:spacing w:after="0" w:line="105"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171" w:lineRule="exact"/>
        <w:rPr>
          <w:sz w:val="20"/>
          <w:szCs w:val="20"/>
          <w:color w:val="auto"/>
        </w:rPr>
      </w:pPr>
    </w:p>
    <w:p>
      <w:pPr>
        <w:ind w:left="1480" w:right="360"/>
        <w:spacing w:after="0" w:line="238" w:lineRule="auto"/>
        <w:rPr>
          <w:sz w:val="20"/>
          <w:szCs w:val="20"/>
          <w:color w:val="auto"/>
        </w:rPr>
      </w:pPr>
      <w:r>
        <w:rPr>
          <w:rFonts w:ascii="Arial" w:cs="Arial" w:eastAsia="Arial" w:hAnsi="Arial"/>
          <w:sz w:val="15"/>
          <w:szCs w:val="15"/>
          <w:color w:val="auto"/>
        </w:rPr>
        <w:t>The Company has granted restricted stock units (“RSUs”) which vest only upon satisfaction of both time-based service and performance-based conditions. As of January 31, 2021 and July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7" w:right="137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13 for a description of the accounting for share-based awards.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Income Taxes</w:t>
      </w:r>
    </w:p>
    <w:p>
      <w:pPr>
        <w:spacing w:after="0" w:line="105"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70" w:lineRule="exact"/>
        <w:rPr>
          <w:sz w:val="20"/>
          <w:szCs w:val="20"/>
          <w:color w:val="auto"/>
        </w:rPr>
      </w:pPr>
    </w:p>
    <w:p>
      <w:pPr>
        <w:ind w:left="1480" w:right="100"/>
        <w:spacing w:after="0" w:line="237"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71" w:lineRule="exact"/>
        <w:rPr>
          <w:sz w:val="20"/>
          <w:szCs w:val="20"/>
          <w:color w:val="auto"/>
        </w:rPr>
      </w:pPr>
    </w:p>
    <w:p>
      <w:pPr>
        <w:ind w:left="1480" w:right="40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Long-Lived Asset Impairment</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or during the six months ended July 31, 2021, except for the write-off of apparel and accessories in the normal course of business (see </w:t>
      </w:r>
      <w:r>
        <w:rPr>
          <w:rFonts w:ascii="Arial" w:cs="Arial" w:eastAsia="Arial" w:hAnsi="Arial"/>
          <w:sz w:val="15"/>
          <w:szCs w:val="15"/>
          <w:i w:val="1"/>
          <w:iCs w:val="1"/>
          <w:color w:val="auto"/>
        </w:rPr>
        <w:t>Rental Product</w:t>
      </w:r>
      <w:r>
        <w:rPr>
          <w:rFonts w:ascii="Arial" w:cs="Arial" w:eastAsia="Arial" w:hAnsi="Arial"/>
          <w:sz w:val="15"/>
          <w:szCs w:val="15"/>
          <w:color w:val="auto"/>
        </w:rPr>
        <w:t xml:space="preserve"> disclosure).</w:t>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Net Loss per Share Attributable to Common Stockholders</w:t>
      </w:r>
    </w:p>
    <w:p>
      <w:pPr>
        <w:spacing w:after="0" w:line="105"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The Company calculates basic and diluted net loss per share attributable to common stockholders in conformity with the two-class method required for companies with participating</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7" w:right="137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172" w:lineRule="exact"/>
        <w:rPr>
          <w:sz w:val="20"/>
          <w:szCs w:val="20"/>
          <w:color w:val="auto"/>
        </w:rPr>
      </w:pPr>
    </w:p>
    <w:p>
      <w:pPr>
        <w:ind w:left="1480" w:right="680"/>
        <w:spacing w:after="0" w:line="245"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72" w:lineRule="exact"/>
        <w:rPr>
          <w:sz w:val="20"/>
          <w:szCs w:val="20"/>
          <w:color w:val="auto"/>
        </w:rPr>
      </w:pPr>
    </w:p>
    <w:p>
      <w:pPr>
        <w:ind w:left="1480" w:right="300"/>
        <w:spacing w:after="0" w:line="238" w:lineRule="auto"/>
        <w:rPr>
          <w:sz w:val="20"/>
          <w:szCs w:val="20"/>
          <w:color w:val="auto"/>
        </w:rPr>
      </w:pPr>
      <w:r>
        <w:rPr>
          <w:rFonts w:ascii="Arial" w:cs="Arial" w:eastAsia="Arial" w:hAnsi="Arial"/>
          <w:sz w:val="15"/>
          <w:szCs w:val="15"/>
          <w:color w:val="auto"/>
        </w:rPr>
        <w:t>The shares of common stock associated with the equity-classified common stock warrants with an exercise price of $0.01 are considered outstanding for the purposes of computing basic and diluted net loss per share attributable to common stockholders because the shares may be issued for little or no consideration, are fully vested, and are exercisable after the original issuance date.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Commitments and Contingencies</w:t>
      </w:r>
    </w:p>
    <w:p>
      <w:pPr>
        <w:spacing w:after="0" w:line="105" w:lineRule="exact"/>
        <w:rPr>
          <w:sz w:val="20"/>
          <w:szCs w:val="20"/>
          <w:color w:val="auto"/>
        </w:rPr>
      </w:pPr>
    </w:p>
    <w:p>
      <w:pPr>
        <w:ind w:left="1480" w:right="200"/>
        <w:spacing w:after="0"/>
        <w:rPr>
          <w:sz w:val="20"/>
          <w:szCs w:val="20"/>
          <w:color w:val="auto"/>
        </w:rPr>
      </w:pPr>
      <w:r>
        <w:rPr>
          <w:rFonts w:ascii="Arial" w:cs="Arial" w:eastAsia="Arial" w:hAnsi="Arial"/>
          <w:sz w:val="15"/>
          <w:szCs w:val="15"/>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Insurance Proceeds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 ended January 31, 2021 and the six months ended July 31, 2021, the Company recorded insurance recoveries of</w:t>
      </w:r>
    </w:p>
    <w:p>
      <w:pPr>
        <w:ind w:left="1480" w:right="140"/>
        <w:spacing w:after="0" w:line="245" w:lineRule="auto"/>
        <w:rPr>
          <w:sz w:val="20"/>
          <w:szCs w:val="20"/>
          <w:color w:val="auto"/>
        </w:rPr>
      </w:pPr>
      <w:r>
        <w:rPr>
          <w:rFonts w:ascii="Arial" w:cs="Arial" w:eastAsia="Arial" w:hAnsi="Arial"/>
          <w:sz w:val="15"/>
          <w:szCs w:val="15"/>
          <w:color w:val="auto"/>
        </w:rPr>
        <w:t>$5.0 million and $ 4.0 million, respectively, related to a network issue during the year ended January 31, 2020. These amounts are recorded in other income / (expense), net in the consolidated statements of operations.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Foreign Currency</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Adopted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Share-Based Compensation</w:t>
      </w:r>
    </w:p>
    <w:p>
      <w:pPr>
        <w:spacing w:after="0" w:line="87" w:lineRule="exact"/>
        <w:rPr>
          <w:sz w:val="20"/>
          <w:szCs w:val="20"/>
          <w:color w:val="auto"/>
        </w:rPr>
      </w:pPr>
    </w:p>
    <w:p>
      <w:pPr>
        <w:ind w:left="1480" w:right="100"/>
        <w:spacing w:after="0" w:line="239" w:lineRule="auto"/>
        <w:rPr>
          <w:sz w:val="20"/>
          <w:szCs w:val="20"/>
          <w:color w:val="auto"/>
        </w:rPr>
      </w:pPr>
      <w:r>
        <w:rPr>
          <w:rFonts w:ascii="Arial" w:cs="Arial" w:eastAsia="Arial" w:hAnsi="Arial"/>
          <w:sz w:val="15"/>
          <w:szCs w:val="15"/>
          <w:color w:val="auto"/>
        </w:rPr>
        <w:t xml:space="preserve">In November 2019, the Financial Accounting Standards Board (“FASB”) issued ASU 2019-08, </w:t>
      </w:r>
      <w:r>
        <w:rPr>
          <w:rFonts w:ascii="Arial" w:cs="Arial" w:eastAsia="Arial" w:hAnsi="Arial"/>
          <w:sz w:val="15"/>
          <w:szCs w:val="15"/>
          <w:i w:val="1"/>
          <w:iCs w:val="1"/>
          <w:color w:val="auto"/>
        </w:rPr>
        <w:t>Compensation – 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and Revenue from Contracts with Customers (Topic 606): Codification Improvements – Share-Based Consideration Payable to a Customer</w:t>
      </w:r>
      <w:r>
        <w:rPr>
          <w:rFonts w:ascii="Arial" w:cs="Arial" w:eastAsia="Arial" w:hAnsi="Arial"/>
          <w:sz w:val="15"/>
          <w:szCs w:val="15"/>
          <w:color w:val="auto"/>
        </w:rPr>
        <w:t>. The guidance identifies, evaluates, and improves areas of U.S. GAAP for which cost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Measurements</w:t>
      </w:r>
    </w:p>
    <w:p>
      <w:pPr>
        <w:spacing w:after="0" w:line="87" w:lineRule="exact"/>
        <w:rPr>
          <w:sz w:val="20"/>
          <w:szCs w:val="20"/>
          <w:color w:val="auto"/>
        </w:rPr>
      </w:pPr>
    </w:p>
    <w:p>
      <w:pPr>
        <w:ind w:left="1480"/>
        <w:spacing w:after="0" w:line="24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 Requirements for Fair Value Measurement</w:t>
      </w:r>
      <w:r>
        <w:rPr>
          <w:rFonts w:ascii="Arial" w:cs="Arial" w:eastAsia="Arial" w:hAnsi="Arial"/>
          <w:sz w:val="15"/>
          <w:szCs w:val="15"/>
          <w:color w:val="auto"/>
        </w:rPr>
        <w:t>, which modifies the disclosure requirements in Topic 820. This standard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annual reporting 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Income Taxes</w:t>
      </w:r>
    </w:p>
    <w:p>
      <w:pPr>
        <w:spacing w:after="0" w:line="87" w:lineRule="exact"/>
        <w:rPr>
          <w:sz w:val="20"/>
          <w:szCs w:val="20"/>
          <w:color w:val="auto"/>
        </w:rPr>
      </w:pPr>
    </w:p>
    <w:p>
      <w:pPr>
        <w:ind w:left="1480" w:right="80"/>
        <w:spacing w:after="0" w:line="241"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Financial Instruments – Credit Losses</w:t>
      </w:r>
    </w:p>
    <w:p>
      <w:pPr>
        <w:spacing w:after="0" w:line="87" w:lineRule="exact"/>
        <w:rPr>
          <w:sz w:val="20"/>
          <w:szCs w:val="20"/>
          <w:color w:val="auto"/>
        </w:rPr>
      </w:pPr>
    </w:p>
    <w:p>
      <w:pPr>
        <w:ind w:left="1480" w:right="60"/>
        <w:spacing w:after="0" w:line="246"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on Financial Instruments</w:t>
      </w:r>
      <w:r>
        <w:rPr>
          <w:rFonts w:ascii="Arial" w:cs="Arial" w:eastAsia="Arial" w:hAnsi="Arial"/>
          <w:sz w:val="15"/>
          <w:szCs w:val="15"/>
          <w:color w:val="auto"/>
        </w:rPr>
        <w:t>, which requires an entity to utilize a new impairment model known as the current expected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loss (“CECL”) model to estimate its lifetime “expected credit loss” and record an allowance that, when deducted from the amortized cost basis of the financial asset, presents the net amount expected to be collected on the</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20"/>
          </w:cols>
          <w:pgMar w:left="320" w:top="407" w:right="135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Internal-Use Software</w:t>
      </w:r>
    </w:p>
    <w:p>
      <w:pPr>
        <w:spacing w:after="0" w:line="87" w:lineRule="exact"/>
        <w:rPr>
          <w:sz w:val="20"/>
          <w:szCs w:val="20"/>
          <w:color w:val="auto"/>
        </w:rPr>
      </w:pPr>
    </w:p>
    <w:p>
      <w:pPr>
        <w:ind w:left="1480" w:right="2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The ASU</w:t>
      </w:r>
      <w:r>
        <w:rPr>
          <w:rFonts w:ascii="Arial" w:cs="Arial" w:eastAsia="Arial" w:hAnsi="Arial"/>
          <w:sz w:val="15"/>
          <w:szCs w:val="15"/>
          <w:i w:val="1"/>
          <w:iCs w:val="1"/>
          <w:color w:val="auto"/>
        </w:rPr>
        <w:t xml:space="preserve"> </w:t>
      </w:r>
      <w:r>
        <w:rPr>
          <w:rFonts w:ascii="Arial" w:cs="Arial" w:eastAsia="Arial" w:hAnsi="Arial"/>
          <w:sz w:val="15"/>
          <w:szCs w:val="15"/>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w:t>
      </w:r>
    </w:p>
    <w:p>
      <w:pPr>
        <w:spacing w:after="0" w:line="172" w:lineRule="exact"/>
        <w:rPr>
          <w:sz w:val="20"/>
          <w:szCs w:val="20"/>
          <w:color w:val="auto"/>
        </w:rPr>
      </w:pPr>
    </w:p>
    <w:p>
      <w:pPr>
        <w:ind w:left="1480" w:right="520"/>
        <w:spacing w:after="0" w:line="245" w:lineRule="auto"/>
        <w:rPr>
          <w:sz w:val="20"/>
          <w:szCs w:val="20"/>
          <w:color w:val="auto"/>
        </w:rPr>
      </w:pPr>
      <w:r>
        <w:rPr>
          <w:rFonts w:ascii="Arial" w:cs="Arial" w:eastAsia="Arial" w:hAnsi="Arial"/>
          <w:sz w:val="15"/>
          <w:szCs w:val="15"/>
          <w:color w:val="auto"/>
        </w:rPr>
        <w:t>At January 31, 2021, the Company determined it will adopt this standard in the fiscal year ending January 31, 2022 and the adoption of this update is not expected to have a material impact on the Company’s consolidated financial statements.</w:t>
      </w:r>
    </w:p>
    <w:p>
      <w:pPr>
        <w:spacing w:after="0" w:line="166"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For the six months ended July 31, 2021, the Company adopted this standard on February 1, 2021 and the adoption of this update did not have a material impact on the Company’s condensed consolidated financial statements.</w:t>
      </w:r>
    </w:p>
    <w:p>
      <w:pPr>
        <w:spacing w:after="0" w:line="272" w:lineRule="exact"/>
        <w:rPr>
          <w:sz w:val="20"/>
          <w:szCs w:val="20"/>
          <w:color w:val="auto"/>
        </w:rPr>
      </w:pPr>
    </w:p>
    <w:p>
      <w:pPr>
        <w:ind w:left="1480" w:hanging="453"/>
        <w:spacing w:after="0"/>
        <w:tabs>
          <w:tab w:leader="none" w:pos="1480" w:val="left"/>
        </w:tabs>
        <w:numPr>
          <w:ilvl w:val="0"/>
          <w:numId w:val="194"/>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Impact of COVID-19 Pandemic</w:t>
      </w:r>
    </w:p>
    <w:p>
      <w:pPr>
        <w:spacing w:after="0" w:line="104"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and July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169"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further details.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180"/>
          </w:cols>
          <w:pgMar w:left="320" w:top="407" w:right="139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As of June 30, 2021, and August 31,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78" w:lineRule="exact"/>
        <w:rPr>
          <w:sz w:val="20"/>
          <w:szCs w:val="20"/>
          <w:color w:val="auto"/>
        </w:rPr>
      </w:pPr>
    </w:p>
    <w:p>
      <w:pPr>
        <w:ind w:left="1480" w:hanging="453"/>
        <w:spacing w:after="0"/>
        <w:tabs>
          <w:tab w:leader="none" w:pos="1480"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Leases – Lessee Accounting</w:t>
      </w:r>
    </w:p>
    <w:p>
      <w:pPr>
        <w:spacing w:after="0" w:line="104" w:lineRule="exact"/>
        <w:rPr>
          <w:rFonts w:ascii="Arial" w:cs="Arial" w:eastAsia="Arial" w:hAnsi="Arial"/>
          <w:sz w:val="15"/>
          <w:szCs w:val="15"/>
          <w:b w:val="1"/>
          <w:bCs w:val="1"/>
          <w:color w:val="auto"/>
        </w:rPr>
      </w:pPr>
    </w:p>
    <w:p>
      <w:pPr>
        <w:ind w:left="1480" w:right="4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170" w:lineRule="exact"/>
        <w:rPr>
          <w:rFonts w:ascii="Arial" w:cs="Arial" w:eastAsia="Arial" w:hAnsi="Arial"/>
          <w:sz w:val="15"/>
          <w:szCs w:val="15"/>
          <w:b w:val="1"/>
          <w:bCs w:val="1"/>
          <w:color w:val="auto"/>
        </w:rPr>
      </w:pPr>
    </w:p>
    <w:p>
      <w:pPr>
        <w:ind w:left="1480" w:right="4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as of January 31, 2020, January 31, 2021, and July 31, 2021.</w:t>
      </w:r>
    </w:p>
    <w:p>
      <w:pPr>
        <w:spacing w:after="0" w:line="172" w:lineRule="exact"/>
        <w:rPr>
          <w:rFonts w:ascii="Arial" w:cs="Arial" w:eastAsia="Arial" w:hAnsi="Arial"/>
          <w:sz w:val="15"/>
          <w:szCs w:val="15"/>
          <w:b w:val="1"/>
          <w:bCs w:val="1"/>
          <w:color w:val="auto"/>
        </w:rPr>
      </w:pPr>
    </w:p>
    <w:p>
      <w:pPr>
        <w:ind w:left="1480" w:right="10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During fiscal year 2020, the Company decided it would no longer fully utilize the space within three of its real estate leases and obtained subleases for those leased facilities. The subleases 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70"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the weighted-average remaining lease term for operating leases was 9.74 years and 9.43 years, respectively, and weighted-average discount rate was 16.66% and 16.77%, respectively. As of January 31, 2020 and 2021, the weighted-average remaining lease term for financing leases was 3.18 years and 2.41 years, respectively, and weighted-average discount rate was 15.02% and 14.24%,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00"/>
          </w:cols>
          <w:pgMar w:left="320" w:top="407" w:right="137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spacing w:after="0" w:line="245" w:lineRule="auto"/>
        <w:rPr>
          <w:sz w:val="20"/>
          <w:szCs w:val="20"/>
          <w:color w:val="auto"/>
        </w:rPr>
      </w:pPr>
      <w:r>
        <w:rPr>
          <w:rFonts w:ascii="Arial" w:cs="Arial" w:eastAsia="Arial" w:hAnsi="Arial"/>
          <w:sz w:val="15"/>
          <w:szCs w:val="15"/>
          <w:color w:val="auto"/>
        </w:rPr>
        <w:t>The following table summarizes the components of lease costs incurred by the Company during the years ended January 31, 2020 and 2021 and six months ended July 31, 2020 and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2"/>
                <w:szCs w:val="12"/>
                <w:b w:val="1"/>
                <w:bCs w:val="1"/>
                <w:color w:val="auto"/>
              </w:rPr>
              <w:t>Year Ended January 31,</w:t>
            </w:r>
          </w:p>
        </w:tc>
        <w:tc>
          <w:tcPr>
            <w:tcW w:w="140" w:type="dxa"/>
            <w:vAlign w:val="bottom"/>
          </w:tcPr>
          <w:p>
            <w:pPr>
              <w:spacing w:after="0"/>
              <w:rPr>
                <w:sz w:val="12"/>
                <w:szCs w:val="12"/>
                <w:color w:val="auto"/>
              </w:rPr>
            </w:pPr>
          </w:p>
        </w:tc>
        <w:tc>
          <w:tcPr>
            <w:tcW w:w="19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Six Months Ended July 31,</w:t>
            </w: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4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25"/>
              <w:spacing w:after="0" w:line="126" w:lineRule="exact"/>
              <w:rPr>
                <w:sz w:val="20"/>
                <w:szCs w:val="20"/>
                <w:color w:val="auto"/>
              </w:rPr>
            </w:pPr>
            <w:r>
              <w:rPr>
                <w:rFonts w:ascii="Arial" w:cs="Arial" w:eastAsia="Arial" w:hAnsi="Arial"/>
                <w:sz w:val="12"/>
                <w:szCs w:val="12"/>
                <w:b w:val="1"/>
                <w:bCs w:val="1"/>
                <w:color w:val="auto"/>
              </w:rPr>
              <w:t>(unaudited)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costs</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6.5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6.4</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Short-term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2.4</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1.2</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fixed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7.7</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Variable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19.8</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9.4</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8.4</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35.3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5"/>
                <w:szCs w:val="15"/>
                <w:color w:val="auto"/>
              </w:rPr>
              <w:t>Sublease income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 net</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24.5</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33.5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20"/>
        <w:spacing w:after="0" w:line="245" w:lineRule="auto"/>
        <w:rPr>
          <w:sz w:val="20"/>
          <w:szCs w:val="20"/>
          <w:color w:val="auto"/>
        </w:rPr>
      </w:pPr>
      <w:r>
        <w:rPr>
          <w:rFonts w:ascii="Arial" w:cs="Arial" w:eastAsia="Arial" w:hAnsi="Arial"/>
          <w:sz w:val="15"/>
          <w:szCs w:val="15"/>
          <w:color w:val="auto"/>
        </w:rPr>
        <w:t>The following table summarizes the Company’s minimum fixed lease obligations under existing agreements as a lessee, excluding variable payments and short-term lease payments, as of January 31, 2021:</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Operating</w:t>
            </w:r>
          </w:p>
        </w:tc>
        <w:tc>
          <w:tcPr>
            <w:tcW w:w="1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Financing</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Fiscal year:</w:t>
            </w:r>
          </w:p>
        </w:tc>
        <w:tc>
          <w:tcPr>
            <w:tcW w:w="4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15.7</w:t>
            </w:r>
          </w:p>
        </w:tc>
        <w:tc>
          <w:tcPr>
            <w:tcW w:w="620" w:type="dxa"/>
            <w:vAlign w:val="bottom"/>
          </w:tcPr>
          <w:p>
            <w:pPr>
              <w:spacing w:after="0"/>
              <w:rPr>
                <w:sz w:val="14"/>
                <w:szCs w:val="14"/>
                <w:color w:val="auto"/>
              </w:rPr>
            </w:pPr>
          </w:p>
        </w:tc>
        <w:tc>
          <w:tcPr>
            <w:tcW w:w="20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13.3</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57.8</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Total minimum lease payments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5"/>
                <w:szCs w:val="15"/>
                <w:color w:val="auto"/>
              </w:rPr>
              <w:t>117.8</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Imputed interest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w w:val="96"/>
              </w:rPr>
              <w:t>(59.6)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Lease liabilities as of January 31, 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58.2</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95"/>
              </w:rPr>
              <w:t>5.</w:t>
            </w:r>
          </w:p>
        </w:tc>
        <w:tc>
          <w:tcPr>
            <w:tcW w:w="54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Rental Product, Net</w:t>
            </w: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0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5420" w:type="dxa"/>
            <w:vAlign w:val="bottom"/>
            <w:gridSpan w:val="2"/>
          </w:tcPr>
          <w:p>
            <w:pPr>
              <w:ind w:left="160"/>
              <w:spacing w:after="0"/>
              <w:rPr>
                <w:sz w:val="20"/>
                <w:szCs w:val="20"/>
                <w:color w:val="auto"/>
              </w:rPr>
            </w:pPr>
            <w:r>
              <w:rPr>
                <w:rFonts w:ascii="Arial" w:cs="Arial" w:eastAsia="Arial" w:hAnsi="Arial"/>
                <w:sz w:val="15"/>
                <w:szCs w:val="15"/>
                <w:color w:val="auto"/>
              </w:rPr>
              <w:t>Rental product consisted of the following:</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2021</w:t>
            </w:r>
          </w:p>
        </w:tc>
        <w:tc>
          <w:tcPr>
            <w:tcW w:w="40" w:type="dxa"/>
            <w:vAlign w:val="bottom"/>
            <w:tcBorders>
              <w:top w:val="single" w:sz="8" w:color="auto"/>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Apparel</w:t>
            </w: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$176.3</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183.8</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Accessories</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8.9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186.9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192.7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9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net</w:t>
            </w: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116.0</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97.6</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spacing w:after="0"/>
        <w:rPr>
          <w:sz w:val="20"/>
          <w:szCs w:val="20"/>
          <w:color w:val="auto"/>
        </w:rPr>
      </w:pPr>
      <w:r>
        <w:rPr>
          <w:rFonts w:ascii="Arial" w:cs="Arial" w:eastAsia="Arial" w:hAnsi="Arial"/>
          <w:sz w:val="15"/>
          <w:szCs w:val="15"/>
          <w:color w:val="auto"/>
        </w:rPr>
        <w:t>Depreciation and write-offs related to rental product, including write-offs of rental products sold, was $75.7 million and $69.9 million for the years ended January 31, 2020 and 2021, respectively, and $38.1 million and $23.9 million for the six months ended July 31, 2020 and 2021,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160"/>
          </w:cols>
          <w:pgMar w:left="320" w:top="407" w:right="141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5600" w:type="dxa"/>
            <w:vAlign w:val="bottom"/>
            <w:gridSpan w:val="3"/>
          </w:tcPr>
          <w:p>
            <w:pPr>
              <w:spacing w:after="0"/>
              <w:rPr>
                <w:sz w:val="20"/>
                <w:szCs w:val="20"/>
                <w:color w:val="auto"/>
              </w:rPr>
            </w:pPr>
            <w:r>
              <w:rPr>
                <w:rFonts w:ascii="Arial" w:cs="Arial" w:eastAsia="Arial" w:hAnsi="Arial"/>
                <w:sz w:val="15"/>
                <w:szCs w:val="15"/>
                <w:i w:val="1"/>
                <w:iCs w:val="1"/>
                <w:color w:val="auto"/>
              </w:rPr>
              <w:t>(Dollars in millions, except share and per share amounts)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3"/>
        </w:trPr>
        <w:tc>
          <w:tcPr>
            <w:tcW w:w="300" w:type="dxa"/>
            <w:vAlign w:val="bottom"/>
          </w:tcPr>
          <w:p>
            <w:pPr>
              <w:spacing w:after="0"/>
              <w:rPr>
                <w:sz w:val="20"/>
                <w:szCs w:val="20"/>
                <w:color w:val="auto"/>
              </w:rPr>
            </w:pPr>
            <w:r>
              <w:rPr>
                <w:rFonts w:ascii="Arial" w:cs="Arial" w:eastAsia="Arial" w:hAnsi="Arial"/>
                <w:sz w:val="15"/>
                <w:szCs w:val="15"/>
                <w:b w:val="1"/>
                <w:bCs w:val="1"/>
                <w:color w:val="auto"/>
              </w:rPr>
              <w:t>6.</w:t>
            </w:r>
          </w:p>
        </w:tc>
        <w:tc>
          <w:tcPr>
            <w:tcW w:w="5300" w:type="dxa"/>
            <w:vAlign w:val="bottom"/>
            <w:gridSpan w:val="2"/>
          </w:tcPr>
          <w:p>
            <w:pPr>
              <w:ind w:left="160"/>
              <w:spacing w:after="0"/>
              <w:rPr>
                <w:sz w:val="20"/>
                <w:szCs w:val="20"/>
                <w:color w:val="auto"/>
              </w:rPr>
            </w:pPr>
            <w:r>
              <w:rPr>
                <w:rFonts w:ascii="Arial" w:cs="Arial" w:eastAsia="Arial" w:hAnsi="Arial"/>
                <w:sz w:val="15"/>
                <w:szCs w:val="15"/>
                <w:b w:val="1"/>
                <w:bCs w:val="1"/>
                <w:color w:val="auto"/>
              </w:rPr>
              <w:t>Fixed and Intangible Assets, Net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00" w:type="dxa"/>
            <w:vAlign w:val="bottom"/>
          </w:tcPr>
          <w:p>
            <w:pPr>
              <w:spacing w:after="0"/>
              <w:rPr>
                <w:sz w:val="22"/>
                <w:szCs w:val="22"/>
                <w:color w:val="auto"/>
              </w:rPr>
            </w:pPr>
          </w:p>
        </w:tc>
        <w:tc>
          <w:tcPr>
            <w:tcW w:w="5300" w:type="dxa"/>
            <w:vAlign w:val="bottom"/>
            <w:gridSpan w:val="2"/>
          </w:tcPr>
          <w:p>
            <w:pPr>
              <w:ind w:left="160"/>
              <w:spacing w:after="0"/>
              <w:rPr>
                <w:sz w:val="20"/>
                <w:szCs w:val="20"/>
                <w:color w:val="auto"/>
              </w:rPr>
            </w:pPr>
            <w:r>
              <w:rPr>
                <w:rFonts w:ascii="Arial" w:cs="Arial" w:eastAsia="Arial" w:hAnsi="Arial"/>
                <w:sz w:val="15"/>
                <w:szCs w:val="15"/>
                <w:color w:val="auto"/>
              </w:rPr>
              <w:t>Fixed and intangible assets consisted of the following:</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99"/>
              </w:rPr>
              <w:t>January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2020</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Leasehold improvements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55.2</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44.5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46.0</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Reusable packaging</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6.4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6.1</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Furniture and fixtures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4.5</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Financing lease ROU assets</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0.9</w:t>
            </w:r>
          </w:p>
        </w:tc>
      </w:tr>
      <w:tr>
        <w:trPr>
          <w:trHeight w:val="23"/>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106.4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w w:val="95"/>
              </w:rPr>
              <w:t>116.2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118.5</w:t>
            </w: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100" w:type="dxa"/>
            <w:vAlign w:val="bottom"/>
          </w:tcPr>
          <w:p>
            <w:pPr>
              <w:spacing w:after="0"/>
              <w:rPr>
                <w:sz w:val="14"/>
                <w:szCs w:val="14"/>
                <w:color w:val="auto"/>
              </w:rPr>
            </w:pPr>
          </w:p>
        </w:tc>
        <w:tc>
          <w:tcPr>
            <w:tcW w:w="106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(41.0)</w:t>
            </w:r>
          </w:p>
        </w:tc>
        <w:tc>
          <w:tcPr>
            <w:tcW w:w="100" w:type="dxa"/>
            <w:vAlign w:val="bottom"/>
          </w:tcPr>
          <w:p>
            <w:pPr>
              <w:spacing w:after="0"/>
              <w:rPr>
                <w:sz w:val="14"/>
                <w:szCs w:val="14"/>
                <w:color w:val="auto"/>
              </w:rPr>
            </w:pPr>
          </w:p>
        </w:tc>
        <w:tc>
          <w:tcPr>
            <w:tcW w:w="10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(51.5)</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Fixed assets, net</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65.4</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300" w:type="dxa"/>
            <w:vAlign w:val="bottom"/>
          </w:tcPr>
          <w:p>
            <w:pPr>
              <w:spacing w:after="0"/>
              <w:rPr>
                <w:sz w:val="13"/>
                <w:szCs w:val="13"/>
                <w:color w:val="auto"/>
              </w:rPr>
            </w:pPr>
          </w:p>
        </w:tc>
        <w:tc>
          <w:tcPr>
            <w:tcW w:w="5300" w:type="dxa"/>
            <w:vAlign w:val="bottom"/>
            <w:gridSpan w:val="2"/>
          </w:tcPr>
          <w:p>
            <w:pPr>
              <w:ind w:left="220"/>
              <w:spacing w:after="0" w:line="154" w:lineRule="exact"/>
              <w:rPr>
                <w:sz w:val="20"/>
                <w:szCs w:val="20"/>
                <w:color w:val="auto"/>
              </w:rPr>
            </w:pPr>
            <w:r>
              <w:rPr>
                <w:rFonts w:ascii="Arial" w:cs="Arial" w:eastAsia="Arial" w:hAnsi="Arial"/>
                <w:sz w:val="15"/>
                <w:szCs w:val="15"/>
                <w:color w:val="auto"/>
              </w:rPr>
              <w:t>Software assets</w:t>
            </w: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17.2</w:t>
            </w:r>
          </w:p>
        </w:tc>
        <w:tc>
          <w:tcPr>
            <w:tcW w:w="68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20.2</w:t>
            </w:r>
          </w:p>
        </w:tc>
        <w:tc>
          <w:tcPr>
            <w:tcW w:w="680" w:type="dxa"/>
            <w:vAlign w:val="bottom"/>
          </w:tcPr>
          <w:p>
            <w:pPr>
              <w:spacing w:after="0"/>
              <w:rPr>
                <w:sz w:val="13"/>
                <w:szCs w:val="13"/>
                <w:color w:val="auto"/>
              </w:rPr>
            </w:pPr>
          </w:p>
        </w:tc>
        <w:tc>
          <w:tcPr>
            <w:tcW w:w="100" w:type="dxa"/>
            <w:vAlign w:val="bottom"/>
          </w:tcPr>
          <w:p>
            <w:pPr>
              <w:spacing w:after="0" w:line="154" w:lineRule="exact"/>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21.7</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accumulated 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9.0</w:t>
            </w: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80"/>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6.9</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119"/>
        <w:spacing w:after="0" w:line="238" w:lineRule="auto"/>
        <w:rPr>
          <w:sz w:val="20"/>
          <w:szCs w:val="20"/>
          <w:color w:val="auto"/>
        </w:rPr>
      </w:pPr>
      <w:r>
        <w:rPr>
          <w:rFonts w:ascii="Arial" w:cs="Arial" w:eastAsia="Arial" w:hAnsi="Arial"/>
          <w:sz w:val="15"/>
          <w:szCs w:val="15"/>
          <w:color w:val="auto"/>
        </w:rPr>
        <w:t>Depreciation related to fixed assets was $16.5 million and $18.4 million for the years ended January 31, 2020 and 2021, respectively, and $9.4 million and $7.6 million for the six months ended July 31, 2020 and 2021, respectively. Amortization of intangible assets was $ 5.1 million and $5.7 million for the years ended January 31, 2020 and 2021, respectively, and $2.8 million and $2.3 million for the six months ended July 31, 2020 and 2021, respectively. Refer to Note 4 for further details related to the finance lease ROU assets included in fixed assets on the consolidated balance sheets.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2021, expected amortization of intangible assets (excluding software projects not yet deployed) is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4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$ 3.7</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51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7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74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7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72"/>
        </w:trPr>
        <w:tc>
          <w:tcPr>
            <w:tcW w:w="3060" w:type="dxa"/>
            <w:vAlign w:val="bottom"/>
          </w:tcPr>
          <w:p>
            <w:pPr>
              <w:ind w:left="600"/>
              <w:spacing w:after="0"/>
              <w:rPr>
                <w:sz w:val="20"/>
                <w:szCs w:val="20"/>
                <w:color w:val="auto"/>
              </w:rPr>
            </w:pPr>
            <w:r>
              <w:rPr>
                <w:rFonts w:ascii="Arial" w:cs="Arial" w:eastAsia="Arial" w:hAnsi="Arial"/>
                <w:sz w:val="15"/>
                <w:szCs w:val="15"/>
                <w:color w:val="auto"/>
              </w:rPr>
              <w:t>Total future amortization</w:t>
            </w:r>
          </w:p>
        </w:tc>
        <w:tc>
          <w:tcPr>
            <w:tcW w:w="47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$ 5.4</w:t>
            </w:r>
          </w:p>
        </w:tc>
      </w:tr>
      <w:tr>
        <w:trPr>
          <w:trHeight w:val="20"/>
        </w:trPr>
        <w:tc>
          <w:tcPr>
            <w:tcW w:w="3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3060" w:type="dxa"/>
            <w:vAlign w:val="bottom"/>
          </w:tcPr>
          <w:p>
            <w:pPr>
              <w:spacing w:after="0"/>
              <w:rPr>
                <w:sz w:val="24"/>
                <w:szCs w:val="24"/>
                <w:color w:val="auto"/>
              </w:rPr>
            </w:pPr>
          </w:p>
        </w:tc>
        <w:tc>
          <w:tcPr>
            <w:tcW w:w="5120" w:type="dxa"/>
            <w:vAlign w:val="bottom"/>
            <w:gridSpan w:val="3"/>
          </w:tcPr>
          <w:p>
            <w:pPr>
              <w:jc w:val="right"/>
              <w:ind w:right="3940"/>
              <w:spacing w:after="0"/>
              <w:rPr>
                <w:sz w:val="20"/>
                <w:szCs w:val="20"/>
                <w:color w:val="auto"/>
              </w:rPr>
            </w:pPr>
            <w:r>
              <w:rPr>
                <w:rFonts w:ascii="Arial" w:cs="Arial" w:eastAsia="Arial" w:hAnsi="Arial"/>
                <w:sz w:val="15"/>
                <w:szCs w:val="15"/>
                <w:color w:val="auto"/>
              </w:rPr>
              <w:t>F-21</w:t>
            </w:r>
          </w:p>
        </w:tc>
      </w:tr>
    </w:tbl>
    <w:p>
      <w:pPr>
        <w:sectPr>
          <w:pgSz w:w="11900" w:h="16838" w:orient="portrait"/>
          <w:cols w:equalWidth="0" w:num="1">
            <w:col w:w="10139"/>
          </w:cols>
          <w:pgMar w:left="320" w:top="407" w:right="1440"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right="7560" w:hanging="453"/>
        <w:spacing w:after="0" w:line="373" w:lineRule="auto"/>
        <w:tabs>
          <w:tab w:leader="none" w:pos="1471"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 Summary</w:t>
      </w:r>
    </w:p>
    <w:p>
      <w:pPr>
        <w:ind w:left="1480" w:right="4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following table summarizes the Company’s line of credit and long-term debt outstanding as of January 31, 2020 and 2021 and July 31,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w w:val="89"/>
              </w:rPr>
              <w:t>2020</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Bank of America Line of Credit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70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tcPr>
          <w:p>
            <w:pPr>
              <w:spacing w:after="0" w:line="169" w:lineRule="exact"/>
              <w:rPr>
                <w:sz w:val="20"/>
                <w:szCs w:val="20"/>
                <w:color w:val="auto"/>
              </w:rPr>
            </w:pPr>
            <w:r>
              <w:rPr>
                <w:rFonts w:ascii="Arial" w:cs="Arial" w:eastAsia="Arial" w:hAnsi="Arial"/>
                <w:sz w:val="15"/>
                <w:szCs w:val="15"/>
                <w:color w:val="auto"/>
              </w:rPr>
              <w:t>Temasek Facility principal outstanding</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150.0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5"/>
              </w:rPr>
              <w:t>230.0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230.0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62.2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82.4</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(1.9)</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Temasek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171.1</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290.3</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312.4</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Ares Facility principal outstanding</w:t>
            </w:r>
          </w:p>
        </w:tc>
        <w:tc>
          <w:tcPr>
            <w:tcW w:w="10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74.5</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7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4.7</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3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(10.9)</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65.7</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Total net carrying value</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w w:val="95"/>
              </w:rPr>
              <w:t>356.0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382.6</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Less: current portion of long-term debt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8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72"/>
        </w:trPr>
        <w:tc>
          <w:tcPr>
            <w:tcW w:w="20" w:type="dxa"/>
            <w:vAlign w:val="bottom"/>
          </w:tcPr>
          <w:p>
            <w:pPr>
              <w:spacing w:after="0"/>
              <w:rPr>
                <w:sz w:val="14"/>
                <w:szCs w:val="14"/>
                <w:color w:val="auto"/>
              </w:rPr>
            </w:pPr>
          </w:p>
        </w:tc>
        <w:tc>
          <w:tcPr>
            <w:tcW w:w="5180" w:type="dxa"/>
            <w:vAlign w:val="bottom"/>
          </w:tcPr>
          <w:p>
            <w:pPr>
              <w:ind w:left="580"/>
              <w:spacing w:after="0"/>
              <w:rPr>
                <w:sz w:val="20"/>
                <w:szCs w:val="20"/>
                <w:color w:val="auto"/>
              </w:rPr>
            </w:pPr>
            <w:r>
              <w:rPr>
                <w:rFonts w:ascii="Arial" w:cs="Arial" w:eastAsia="Arial" w:hAnsi="Arial"/>
                <w:sz w:val="15"/>
                <w:szCs w:val="15"/>
                <w:color w:val="auto"/>
              </w:rPr>
              <w:t>Total noncurrent line of credit and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355.1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Bank of America Line of Credit</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172"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66"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170" w:lineRule="exact"/>
        <w:rPr>
          <w:sz w:val="20"/>
          <w:szCs w:val="20"/>
          <w:color w:val="auto"/>
        </w:rPr>
      </w:pPr>
    </w:p>
    <w:p>
      <w:pPr>
        <w:ind w:left="1480" w:right="460"/>
        <w:spacing w:after="0" w:line="245" w:lineRule="auto"/>
        <w:rPr>
          <w:sz w:val="20"/>
          <w:szCs w:val="20"/>
          <w:color w:val="auto"/>
        </w:rPr>
      </w:pPr>
      <w:r>
        <w:rPr>
          <w:rFonts w:ascii="Arial" w:cs="Arial" w:eastAsia="Arial" w:hAnsi="Arial"/>
          <w:sz w:val="15"/>
          <w:szCs w:val="15"/>
          <w:color w:val="auto"/>
        </w:rPr>
        <w:t>In June 2020, the Company executed an amendment to the Line of Credit. The amendment adjusted certain borrowing base related definitions, certain reporting requirements and certain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180"/>
          </w:cols>
          <w:pgMar w:left="320" w:top="407" w:right="139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negative and financial covenants, and increased the interest rate to LIBOR plus 300 to 350 basis points. In connection with this amendment, the Company moved $15.0 million into a segregated account for the benefit of the lenders.</w:t>
      </w:r>
    </w:p>
    <w:p>
      <w:pPr>
        <w:spacing w:after="0" w:line="166"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Temasek Facility</w:t>
      </w:r>
    </w:p>
    <w:p>
      <w:pPr>
        <w:spacing w:after="0" w:line="105"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71" w:lineRule="exact"/>
        <w:rPr>
          <w:sz w:val="20"/>
          <w:szCs w:val="20"/>
          <w:color w:val="auto"/>
        </w:rPr>
      </w:pPr>
    </w:p>
    <w:p>
      <w:pPr>
        <w:ind w:left="1480" w:right="300"/>
        <w:spacing w:after="0"/>
        <w:rPr>
          <w:sz w:val="20"/>
          <w:szCs w:val="20"/>
          <w:color w:val="auto"/>
        </w:rPr>
      </w:pPr>
      <w:r>
        <w:rPr>
          <w:rFonts w:ascii="Arial" w:cs="Arial" w:eastAsia="Arial" w:hAnsi="Arial"/>
          <w:sz w:val="15"/>
          <w:szCs w:val="15"/>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170" w:lineRule="exact"/>
        <w:rPr>
          <w:sz w:val="20"/>
          <w:szCs w:val="20"/>
          <w:color w:val="auto"/>
        </w:rPr>
      </w:pPr>
    </w:p>
    <w:p>
      <w:pPr>
        <w:ind w:left="1480" w:right="40"/>
        <w:spacing w:after="0" w:line="236" w:lineRule="auto"/>
        <w:rPr>
          <w:sz w:val="20"/>
          <w:szCs w:val="20"/>
          <w:color w:val="auto"/>
        </w:rPr>
      </w:pPr>
      <w:r>
        <w:rPr>
          <w:rFonts w:ascii="Arial" w:cs="Arial" w:eastAsia="Arial" w:hAnsi="Arial"/>
          <w:sz w:val="15"/>
          <w:szCs w:val="15"/>
          <w:color w:val="auto"/>
        </w:rPr>
        <w:t>The Temasek Facility matures in July 2023. The Initial Temasek Commitments bear an interest rate of 15% per annum that accrue as noncash interest. After the third anniversary of the loan, 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00"/>
          </w:cols>
          <w:pgMar w:left="320" w:top="407" w:right="137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172"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July 2018, the Company recorded a debt discount of $11.7 million, of which $1.4 million related to closing fees paid and</w:t>
      </w:r>
    </w:p>
    <w:p>
      <w:pPr>
        <w:ind w:left="1480"/>
        <w:spacing w:after="0" w:line="238" w:lineRule="auto"/>
        <w:rPr>
          <w:sz w:val="20"/>
          <w:szCs w:val="20"/>
          <w:color w:val="auto"/>
        </w:rPr>
      </w:pPr>
      <w:r>
        <w:rPr>
          <w:rFonts w:ascii="Arial" w:cs="Arial" w:eastAsia="Arial" w:hAnsi="Arial"/>
          <w:sz w:val="15"/>
          <w:szCs w:val="15"/>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and July 31, 2021 was 15.95%.</w:t>
      </w:r>
    </w:p>
    <w:p>
      <w:pPr>
        <w:spacing w:after="0" w:line="172" w:lineRule="exact"/>
        <w:rPr>
          <w:sz w:val="20"/>
          <w:szCs w:val="20"/>
          <w:color w:val="auto"/>
        </w:rPr>
      </w:pPr>
    </w:p>
    <w:p>
      <w:pPr>
        <w:ind w:left="1480" w:right="280"/>
        <w:spacing w:after="0"/>
        <w:rPr>
          <w:sz w:val="20"/>
          <w:szCs w:val="20"/>
          <w:color w:val="auto"/>
        </w:rPr>
      </w:pPr>
      <w:r>
        <w:rPr>
          <w:rFonts w:ascii="Arial" w:cs="Arial" w:eastAsia="Arial" w:hAnsi="Arial"/>
          <w:sz w:val="15"/>
          <w:szCs w:val="15"/>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Ares Facility</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as of January 31, 2021, amount to $0.9 million, $0.8 million and $0.4 million in 2021, 2022 and 2023, respectively. The remaining principal balance of $74.5 million becomes due in 2023. The Ares Facility requires an exit payment of $1.5 million to be paid once the Ares Facility matures or the Ares Original Principal is paid in full.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00"/>
          </w:cols>
          <w:pgMar w:left="320" w:top="407" w:right="137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172" w:lineRule="exact"/>
        <w:rPr>
          <w:sz w:val="20"/>
          <w:szCs w:val="20"/>
          <w:color w:val="auto"/>
        </w:rPr>
      </w:pPr>
    </w:p>
    <w:p>
      <w:pPr>
        <w:ind w:left="1480" w:right="80"/>
        <w:spacing w:after="0" w:line="235" w:lineRule="auto"/>
        <w:rPr>
          <w:sz w:val="20"/>
          <w:szCs w:val="20"/>
          <w:color w:val="auto"/>
        </w:rPr>
      </w:pPr>
      <w:r>
        <w:rPr>
          <w:rFonts w:ascii="Arial" w:cs="Arial" w:eastAsia="Arial" w:hAnsi="Arial"/>
          <w:sz w:val="15"/>
          <w:szCs w:val="15"/>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nine-month period ending January 31, 2022, and $22.0 million for the twelve-month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1"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66" w:lineRule="exact"/>
        <w:rPr>
          <w:sz w:val="20"/>
          <w:szCs w:val="20"/>
          <w:color w:val="auto"/>
        </w:rPr>
      </w:pPr>
    </w:p>
    <w:p>
      <w:pPr>
        <w:ind w:left="1480" w:right="220"/>
        <w:spacing w:after="0" w:line="238" w:lineRule="auto"/>
        <w:rPr>
          <w:sz w:val="20"/>
          <w:szCs w:val="20"/>
          <w:color w:val="auto"/>
        </w:rPr>
      </w:pPr>
      <w:r>
        <w:rPr>
          <w:rFonts w:ascii="Arial" w:cs="Arial" w:eastAsia="Arial" w:hAnsi="Arial"/>
          <w:sz w:val="15"/>
          <w:szCs w:val="15"/>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70" w:lineRule="exact"/>
        <w:rPr>
          <w:sz w:val="20"/>
          <w:szCs w:val="20"/>
          <w:color w:val="auto"/>
        </w:rPr>
      </w:pPr>
    </w:p>
    <w:p>
      <w:pPr>
        <w:ind w:left="1480" w:right="40"/>
        <w:spacing w:after="0" w:line="235" w:lineRule="auto"/>
        <w:rPr>
          <w:sz w:val="20"/>
          <w:szCs w:val="20"/>
          <w:color w:val="auto"/>
        </w:rPr>
      </w:pPr>
      <w:r>
        <w:rPr>
          <w:rFonts w:ascii="Arial" w:cs="Arial" w:eastAsia="Arial" w:hAnsi="Arial"/>
          <w:sz w:val="15"/>
          <w:szCs w:val="15"/>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w:t>
      </w:r>
    </w:p>
    <w:p>
      <w:pPr>
        <w:ind w:left="1480" w:right="20"/>
        <w:spacing w:after="0" w:line="238" w:lineRule="auto"/>
        <w:rPr>
          <w:sz w:val="20"/>
          <w:szCs w:val="20"/>
          <w:color w:val="auto"/>
        </w:rPr>
      </w:pPr>
      <w:r>
        <w:rPr>
          <w:rFonts w:ascii="Arial" w:cs="Arial" w:eastAsia="Arial" w:hAnsi="Arial"/>
          <w:sz w:val="15"/>
          <w:szCs w:val="15"/>
          <w:color w:val="auto"/>
        </w:rPr>
        <w:t>$1.6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and July 31, 2021 was 13.35%.</w:t>
      </w:r>
    </w:p>
    <w:p>
      <w:pPr>
        <w:spacing w:after="0" w:line="172" w:lineRule="exact"/>
        <w:rPr>
          <w:sz w:val="20"/>
          <w:szCs w:val="20"/>
          <w:color w:val="auto"/>
        </w:rPr>
      </w:pPr>
    </w:p>
    <w:p>
      <w:pPr>
        <w:ind w:left="1480" w:right="180"/>
        <w:spacing w:after="0" w:line="245" w:lineRule="auto"/>
        <w:rPr>
          <w:sz w:val="20"/>
          <w:szCs w:val="20"/>
          <w:color w:val="auto"/>
        </w:rPr>
      </w:pPr>
      <w:r>
        <w:rPr>
          <w:rFonts w:ascii="Arial" w:cs="Arial" w:eastAsia="Arial" w:hAnsi="Arial"/>
          <w:sz w:val="15"/>
          <w:szCs w:val="15"/>
          <w:color w:val="auto"/>
        </w:rPr>
        <w:t>The Company determined that all of the embedded features of the Ares Facility were either clearly and closely related to the debt host and did not require bifurcation as a derivative liability,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or the fair value of the feature was immaterial to the Company’s consolidated financial statements.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Covenants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was in compliance with all applicable financial and nonfinancial covenants as of January 31, 2021 and July 31, 2021.</w:t>
      </w:r>
    </w:p>
    <w:p>
      <w:pPr>
        <w:spacing w:after="0" w:line="283" w:lineRule="exact"/>
        <w:rPr>
          <w:sz w:val="20"/>
          <w:szCs w:val="20"/>
          <w:color w:val="auto"/>
        </w:rPr>
      </w:pPr>
    </w:p>
    <w:p>
      <w:pPr>
        <w:ind w:left="1480" w:hanging="453"/>
        <w:spacing w:after="0"/>
        <w:tabs>
          <w:tab w:leader="none" w:pos="1480" w:val="left"/>
        </w:tabs>
        <w:numPr>
          <w:ilvl w:val="0"/>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Company’s loss before income taxes includes the following components: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80" w:type="dxa"/>
            <w:vAlign w:val="bottom"/>
            <w:gridSpan w:val="6"/>
          </w:tcPr>
          <w:p>
            <w:pPr>
              <w:ind w:left="16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Borders>
              <w:bottom w:val="single" w:sz="8" w:color="CCEEFF"/>
            </w:tcBorders>
          </w:tcPr>
          <w:p>
            <w:pPr>
              <w:spacing w:after="0"/>
              <w:rPr>
                <w:sz w:val="10"/>
                <w:szCs w:val="10"/>
                <w:color w:val="auto"/>
              </w:rPr>
            </w:pPr>
          </w:p>
        </w:tc>
        <w:tc>
          <w:tcPr>
            <w:tcW w:w="26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ind w:right="87"/>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8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Domestic</w:t>
            </w:r>
          </w:p>
        </w:tc>
        <w:tc>
          <w:tcPr>
            <w:tcW w:w="260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$(154.1)</w:t>
            </w:r>
          </w:p>
        </w:tc>
        <w:tc>
          <w:tcPr>
            <w:tcW w:w="54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93"/>
              </w:rPr>
              <w:t>$ (171.4)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Loss before income taxes</w:t>
            </w:r>
          </w:p>
        </w:tc>
        <w:tc>
          <w:tcPr>
            <w:tcW w:w="3700" w:type="dxa"/>
            <w:vAlign w:val="bottom"/>
            <w:gridSpan w:val="4"/>
            <w:shd w:val="clear" w:color="auto" w:fill="CCEEFF"/>
          </w:tcPr>
          <w:p>
            <w:pPr>
              <w:jc w:val="right"/>
              <w:ind w:right="5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(154.1)</w:t>
            </w:r>
          </w:p>
        </w:tc>
        <w:tc>
          <w:tcPr>
            <w:tcW w:w="620" w:type="dxa"/>
            <w:vAlign w:val="bottom"/>
            <w:tcBorders>
              <w:right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5"/>
                <w:szCs w:val="15"/>
                <w:color w:val="auto"/>
              </w:rPr>
              <w:t>Total income taxes allocated to operations are as follows:</w:t>
            </w: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gridSpan w:val="2"/>
            <w:vMerge w:val="continue"/>
          </w:tcPr>
          <w:p>
            <w:pPr>
              <w:spacing w:after="0"/>
              <w:rPr>
                <w:sz w:val="22"/>
                <w:szCs w:val="22"/>
                <w:color w:val="auto"/>
              </w:rPr>
            </w:pPr>
          </w:p>
        </w:tc>
        <w:tc>
          <w:tcPr>
            <w:tcW w:w="2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40" w:type="dxa"/>
            <w:vAlign w:val="bottom"/>
            <w:gridSpan w:val="2"/>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Current provision:</w:t>
            </w:r>
          </w:p>
        </w:tc>
        <w:tc>
          <w:tcPr>
            <w:tcW w:w="2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4"/>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provision</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940" w:type="dxa"/>
            <w:vAlign w:val="bottom"/>
            <w:gridSpan w:val="2"/>
          </w:tcPr>
          <w:p>
            <w:pPr>
              <w:ind w:left="140"/>
              <w:spacing w:after="0"/>
              <w:rPr>
                <w:sz w:val="20"/>
                <w:szCs w:val="20"/>
                <w:color w:val="auto"/>
              </w:rPr>
            </w:pPr>
            <w:r>
              <w:rPr>
                <w:rFonts w:ascii="Arial" w:cs="Arial" w:eastAsia="Arial" w:hAnsi="Arial"/>
                <w:sz w:val="15"/>
                <w:szCs w:val="15"/>
                <w:color w:val="auto"/>
              </w:rPr>
              <w:t>Deferred provision: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Total deferred provision</w:t>
            </w:r>
          </w:p>
        </w:tc>
        <w:tc>
          <w:tcPr>
            <w:tcW w:w="2840" w:type="dxa"/>
            <w:vAlign w:val="bottom"/>
            <w:gridSpan w:val="2"/>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continue"/>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benefit from (provision for)</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w w:val="89"/>
              </w:rPr>
              <w:t>$ 0.2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gridSpan w:val="4"/>
          </w:tcPr>
          <w:p>
            <w:pPr>
              <w:jc w:val="right"/>
              <w:ind w:right="3260"/>
              <w:spacing w:after="0"/>
              <w:rPr>
                <w:sz w:val="20"/>
                <w:szCs w:val="20"/>
                <w:color w:val="auto"/>
              </w:rPr>
            </w:pPr>
            <w:r>
              <w:rPr>
                <w:rFonts w:ascii="Arial" w:cs="Arial" w:eastAsia="Arial" w:hAnsi="Arial"/>
                <w:sz w:val="15"/>
                <w:szCs w:val="15"/>
                <w:color w:val="auto"/>
              </w:rPr>
              <w:t>F-26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net deferred tax assets (liabilities) are as follows: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Federal and state net operating loss carryforwards</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87.3</w:t>
            </w:r>
          </w:p>
        </w:tc>
        <w:tc>
          <w:tcPr>
            <w:tcW w:w="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Customer credits liability</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Interest limitation</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10.2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Tax credits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Share-based compensation</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2.2</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Operating lease liability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Other</w:t>
            </w:r>
          </w:p>
        </w:tc>
        <w:tc>
          <w:tcPr>
            <w:tcW w:w="1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assets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119.8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tax liabilities:</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Operating lease right-of-use-asset</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(9.7)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liabilities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(9.7)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 before valuation allowance</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110.1</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Less valuation allowance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w w:val="96"/>
              </w:rPr>
              <w:t>(109.9)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(159.0)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and July 31,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172"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As of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70"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07" w:right="141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The benefit for income taxes differs from the amount computed by applying the statutory U.S. Federal income tax rate to pretax loss because of the effect of the following items: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2020</w:t>
            </w:r>
          </w:p>
        </w:tc>
        <w:tc>
          <w:tcPr>
            <w:tcW w:w="80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Compute “expected” tax benefit</w:t>
            </w:r>
          </w:p>
        </w:tc>
        <w:tc>
          <w:tcPr>
            <w:tcW w:w="1340" w:type="dxa"/>
            <w:vAlign w:val="bottom"/>
            <w:gridSpan w:val="2"/>
            <w:shd w:val="clear" w:color="auto" w:fill="CCEEFF"/>
          </w:tcPr>
          <w:p>
            <w:pPr>
              <w:jc w:val="right"/>
              <w:ind w:right="660"/>
              <w:spacing w:after="0" w:line="161" w:lineRule="exact"/>
              <w:rPr>
                <w:sz w:val="20"/>
                <w:szCs w:val="20"/>
                <w:color w:val="auto"/>
              </w:rPr>
            </w:pPr>
            <w:r>
              <w:rPr>
                <w:rFonts w:ascii="Arial" w:cs="Arial" w:eastAsia="Arial" w:hAnsi="Arial"/>
                <w:sz w:val="15"/>
                <w:szCs w:val="15"/>
                <w:color w:val="auto"/>
              </w:rPr>
              <w:t>21.00%</w:t>
            </w:r>
          </w:p>
        </w:tc>
        <w:tc>
          <w:tcPr>
            <w:tcW w:w="7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134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(0.01)%</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year change in valuation allowance</w:t>
            </w:r>
          </w:p>
        </w:tc>
        <w:tc>
          <w:tcPr>
            <w:tcW w:w="134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(20.91)%</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Other</w:t>
            </w:r>
          </w:p>
        </w:tc>
        <w:tc>
          <w:tcPr>
            <w:tcW w:w="13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0.03%</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benefit (expense)</w:t>
            </w:r>
          </w:p>
        </w:tc>
        <w:tc>
          <w:tcPr>
            <w:tcW w:w="1340" w:type="dxa"/>
            <w:vAlign w:val="bottom"/>
            <w:gridSpan w:val="2"/>
            <w:shd w:val="clear" w:color="auto" w:fill="CCEEFF"/>
          </w:tcPr>
          <w:p>
            <w:pPr>
              <w:jc w:val="right"/>
              <w:ind w:right="660"/>
              <w:spacing w:after="0" w:line="169" w:lineRule="exact"/>
              <w:rPr>
                <w:sz w:val="20"/>
                <w:szCs w:val="20"/>
                <w:color w:val="auto"/>
              </w:rPr>
            </w:pPr>
            <w:r>
              <w:rPr>
                <w:rFonts w:ascii="Arial" w:cs="Arial" w:eastAsia="Arial" w:hAnsi="Arial"/>
                <w:sz w:val="15"/>
                <w:szCs w:val="15"/>
                <w:color w:val="auto"/>
              </w:rPr>
              <w:t>0.11%</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unrecognized tax benefit activity for the periods indicated:</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 January 31,</w:t>
            </w:r>
          </w:p>
        </w:tc>
      </w:tr>
      <w:tr>
        <w:trPr>
          <w:trHeight w:val="126"/>
        </w:trPr>
        <w:tc>
          <w:tcPr>
            <w:tcW w:w="20" w:type="dxa"/>
            <w:vAlign w:val="bottom"/>
          </w:tcPr>
          <w:p>
            <w:pPr>
              <w:spacing w:after="0"/>
              <w:rPr>
                <w:sz w:val="10"/>
                <w:szCs w:val="10"/>
                <w:color w:val="auto"/>
              </w:rPr>
            </w:pPr>
          </w:p>
        </w:tc>
        <w:tc>
          <w:tcPr>
            <w:tcW w:w="612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40"/>
              <w:spacing w:after="0" w:line="126"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61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Balance as of the beginning of period</w:t>
            </w: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60"/>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Additions based on tax positions related to the current year</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0.2</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Additions for tax positions of prior years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0.4</w:t>
            </w: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Reductions for tax positions of prior years</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Lapse of statute of limitation</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r>
      <w:tr>
        <w:trPr>
          <w:trHeight w:val="172"/>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Settlements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 as of the end of the period</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0.6</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right="480"/>
        <w:spacing w:after="0" w:line="245" w:lineRule="auto"/>
        <w:rPr>
          <w:sz w:val="20"/>
          <w:szCs w:val="20"/>
          <w:color w:val="auto"/>
        </w:rPr>
      </w:pPr>
      <w:r>
        <w:rPr>
          <w:rFonts w:ascii="Arial" w:cs="Arial" w:eastAsia="Arial" w:hAnsi="Arial"/>
          <w:sz w:val="15"/>
          <w:szCs w:val="15"/>
          <w:color w:val="auto"/>
        </w:rPr>
        <w:t>The amount of unrecognized tax benefits included on the consolidated balance sheets as of January 31, 2020 and 2021 and July 31, 2021 are $0 million, $0.6 million and $0.6 million, respectively.</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172"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March 27, 2020, the Coronavirus Aid, Relief, and Economic Security Act (“CARES Act”) was enacted and signed into law.</w:t>
      </w:r>
    </w:p>
    <w:p>
      <w:pPr>
        <w:ind w:left="1480"/>
        <w:spacing w:after="0" w:line="235" w:lineRule="auto"/>
        <w:rPr>
          <w:sz w:val="20"/>
          <w:szCs w:val="20"/>
          <w:color w:val="auto"/>
        </w:rPr>
      </w:pPr>
      <w:r>
        <w:rPr>
          <w:rFonts w:ascii="Arial" w:cs="Arial" w:eastAsia="Arial" w:hAnsi="Arial"/>
          <w:sz w:val="15"/>
          <w:szCs w:val="15"/>
          <w:color w:val="auto"/>
        </w:rPr>
        <w:t>Among other things, the CARES Act has modified the Internal Revenue Code of 1986, as amended, including, but not limited to:</w:t>
      </w:r>
    </w:p>
    <w:p>
      <w:pPr>
        <w:ind w:left="1480" w:firstLine="6"/>
        <w:spacing w:after="0" w:line="238" w:lineRule="auto"/>
        <w:tabs>
          <w:tab w:leader="none" w:pos="1705" w:val="left"/>
        </w:tabs>
        <w:numPr>
          <w:ilvl w:val="0"/>
          <w:numId w:val="198"/>
        </w:numPr>
        <w:rPr>
          <w:rFonts w:ascii="Arial" w:cs="Arial" w:eastAsia="Arial" w:hAnsi="Arial"/>
          <w:sz w:val="15"/>
          <w:szCs w:val="15"/>
          <w:color w:val="auto"/>
        </w:rPr>
      </w:pPr>
      <w:r>
        <w:rPr>
          <w:rFonts w:ascii="Arial" w:cs="Arial" w:eastAsia="Arial" w:hAnsi="Arial"/>
          <w:sz w:val="15"/>
          <w:szCs w:val="15"/>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2"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278" w:lineRule="exact"/>
        <w:rPr>
          <w:sz w:val="20"/>
          <w:szCs w:val="20"/>
          <w:color w:val="auto"/>
        </w:rPr>
      </w:pPr>
    </w:p>
    <w:p>
      <w:pPr>
        <w:ind w:left="1480" w:hanging="453"/>
        <w:spacing w:after="0"/>
        <w:tabs>
          <w:tab w:leader="none" w:pos="14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ind w:left="18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5840" w:type="dxa"/>
            <w:vAlign w:val="bottom"/>
          </w:tcPr>
          <w:p>
            <w:pPr>
              <w:spacing w:after="0"/>
              <w:rPr>
                <w:sz w:val="10"/>
                <w:szCs w:val="10"/>
                <w:color w:val="auto"/>
              </w:rPr>
            </w:pPr>
          </w:p>
        </w:tc>
        <w:tc>
          <w:tcPr>
            <w:tcW w:w="3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0"/>
                <w:szCs w:val="10"/>
                <w:color w:val="auto"/>
              </w:rPr>
            </w:pP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 share payable</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3.6</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Accrued operating and general expenses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payroll related expenses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Sales and other taxes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portion of long-term debt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Gift card liability</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0.7</w:t>
            </w:r>
          </w:p>
        </w:tc>
      </w:tr>
      <w:tr>
        <w:trPr>
          <w:trHeight w:val="23"/>
        </w:trPr>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14.0</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5"/>
              </w:rPr>
              <w:t>14.1</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17.2</w:t>
            </w: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0"/>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04" w:lineRule="exact"/>
        <w:rPr>
          <w:rFonts w:ascii="Arial" w:cs="Arial" w:eastAsia="Arial" w:hAnsi="Arial"/>
          <w:sz w:val="15"/>
          <w:szCs w:val="15"/>
          <w:b w:val="1"/>
          <w:bCs w:val="1"/>
          <w:color w:val="auto"/>
        </w:rPr>
      </w:pPr>
    </w:p>
    <w:p>
      <w:pPr>
        <w:ind w:left="1480" w:right="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6" w:lineRule="exact"/>
        <w:rPr>
          <w:rFonts w:ascii="Arial" w:cs="Arial" w:eastAsia="Arial" w:hAnsi="Arial"/>
          <w:sz w:val="15"/>
          <w:szCs w:val="15"/>
          <w:b w:val="1"/>
          <w:bCs w:val="1"/>
          <w:color w:val="auto"/>
        </w:rPr>
      </w:pPr>
    </w:p>
    <w:p>
      <w:pPr>
        <w:ind w:left="1480" w:right="22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180"/>
          </w:cols>
          <w:pgMar w:left="320" w:top="407" w:right="1399"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The Company’s assets and liabilities that are measured at fair value on a recurring basis, by level, within the fair value hierarchy are summarized as follows: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7"/>
              </w:rPr>
              <w:t>Level</w:t>
            </w: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2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Liabilities:</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Warrant liability – Common stock warrants</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72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 —</w:t>
            </w: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$11.2</w:t>
            </w:r>
          </w:p>
        </w:tc>
        <w:tc>
          <w:tcPr>
            <w:tcW w:w="4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Warrant liability – Preferred stock warrants</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0.6</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0.6</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11.8</w:t>
            </w:r>
          </w:p>
        </w:tc>
        <w:tc>
          <w:tcPr>
            <w:tcW w:w="4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rollforward of the fair value of the level 3 liabilities recorded at fair value for the year ended</w:t>
      </w:r>
    </w:p>
    <w:p>
      <w:pPr>
        <w:ind w:left="1480"/>
        <w:spacing w:after="0"/>
        <w:rPr>
          <w:sz w:val="20"/>
          <w:szCs w:val="20"/>
          <w:color w:val="auto"/>
        </w:rPr>
      </w:pPr>
      <w:r>
        <w:rPr>
          <w:rFonts w:ascii="Arial" w:cs="Arial" w:eastAsia="Arial" w:hAnsi="Arial"/>
          <w:sz w:val="15"/>
          <w:szCs w:val="15"/>
          <w:color w:val="auto"/>
        </w:rPr>
        <w:t>January 31, 2021 and the six months ended July 31, 2021:</w:t>
      </w:r>
    </w:p>
    <w:p>
      <w:pPr>
        <w:sectPr>
          <w:pgSz w:w="11900" w:h="16838" w:orient="portrait"/>
          <w:cols w:equalWidth="0" w:num="1">
            <w:col w:w="10200"/>
          </w:cols>
          <w:pgMar w:left="320" w:top="407" w:right="1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143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94300" cy="11430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Issuance of common stock warrants</w:t>
      </w:r>
    </w:p>
    <w:p>
      <w:pPr>
        <w:ind w:left="1840"/>
        <w:spacing w:after="0" w:line="235" w:lineRule="auto"/>
        <w:rPr>
          <w:sz w:val="20"/>
          <w:szCs w:val="20"/>
          <w:color w:val="auto"/>
        </w:rPr>
      </w:pPr>
      <w:r>
        <w:rPr>
          <w:rFonts w:ascii="Arial" w:cs="Arial" w:eastAsia="Arial" w:hAnsi="Arial"/>
          <w:sz w:val="15"/>
          <w:szCs w:val="15"/>
          <w:color w:val="auto"/>
        </w:rPr>
        <w:t>Issuance of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Changes in estimated fair value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5"/>
          <w:szCs w:val="15"/>
          <w:color w:val="auto"/>
        </w:rPr>
        <w:t>Changes in estimated fair value (unaudited)</w:t>
      </w:r>
    </w:p>
    <w:p>
      <w:pPr>
        <w:ind w:left="1840"/>
        <w:spacing w:after="0"/>
        <w:rPr>
          <w:sz w:val="20"/>
          <w:szCs w:val="20"/>
          <w:color w:val="auto"/>
        </w:rPr>
      </w:pPr>
      <w:r>
        <w:rPr>
          <w:rFonts w:ascii="Arial" w:cs="Arial" w:eastAsia="Arial" w:hAnsi="Arial"/>
          <w:sz w:val="15"/>
          <w:szCs w:val="15"/>
          <w:color w:val="auto"/>
        </w:rPr>
        <w:t>Issuance of common stock warrants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073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5"/>
          <w:szCs w:val="15"/>
          <w:color w:val="auto"/>
        </w:rPr>
        <w:t>Balance at July 31, 2021 (unaudited)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Warrant</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2"/>
          <w:szCs w:val="12"/>
          <w:b w:val="1"/>
          <w:bCs w:val="1"/>
          <w:u w:val="single" w:color="auto"/>
          <w:color w:val="auto"/>
        </w:rPr>
        <w:t>Liability</w:t>
      </w:r>
    </w:p>
    <w:p>
      <w:pPr>
        <w:ind w:left="249" w:hanging="249"/>
        <w:spacing w:after="0"/>
        <w:tabs>
          <w:tab w:leader="none" w:pos="249" w:val="left"/>
        </w:tabs>
        <w:numPr>
          <w:ilvl w:val="0"/>
          <w:numId w:val="201"/>
        </w:numPr>
        <w:rPr>
          <w:rFonts w:ascii="Arial" w:cs="Arial" w:eastAsia="Arial" w:hAnsi="Arial"/>
          <w:sz w:val="15"/>
          <w:szCs w:val="15"/>
          <w:color w:val="auto"/>
        </w:rPr>
      </w:pPr>
      <w:r>
        <w:rPr>
          <w:rFonts w:ascii="Arial" w:cs="Arial" w:eastAsia="Arial" w:hAnsi="Arial"/>
          <w:sz w:val="15"/>
          <w:szCs w:val="15"/>
          <w:color w:val="auto"/>
        </w:rPr>
        <w:t>0.6</w:t>
      </w:r>
    </w:p>
    <w:p>
      <w:pPr>
        <w:ind w:left="169"/>
        <w:spacing w:after="0" w:line="235" w:lineRule="auto"/>
        <w:rPr>
          <w:rFonts w:ascii="Arial" w:cs="Arial" w:eastAsia="Arial" w:hAnsi="Arial"/>
          <w:sz w:val="15"/>
          <w:szCs w:val="15"/>
          <w:color w:val="auto"/>
        </w:rPr>
      </w:pPr>
      <w:r>
        <w:rPr>
          <w:rFonts w:ascii="Arial" w:cs="Arial" w:eastAsia="Arial" w:hAnsi="Arial"/>
          <w:sz w:val="15"/>
          <w:szCs w:val="15"/>
          <w:color w:val="auto"/>
        </w:rPr>
        <w:t>11.6</w:t>
      </w:r>
    </w:p>
    <w:p>
      <w:pPr>
        <w:ind w:left="309"/>
        <w:spacing w:after="0" w:line="235" w:lineRule="auto"/>
        <w:rPr>
          <w:rFonts w:ascii="Arial" w:cs="Arial" w:eastAsia="Arial" w:hAnsi="Arial"/>
          <w:sz w:val="15"/>
          <w:szCs w:val="15"/>
          <w:color w:val="auto"/>
        </w:rPr>
      </w:pPr>
      <w:r>
        <w:rPr>
          <w:rFonts w:ascii="Arial" w:cs="Arial" w:eastAsia="Arial" w:hAnsi="Arial"/>
          <w:sz w:val="15"/>
          <w:szCs w:val="15"/>
          <w:color w:val="auto"/>
        </w:rPr>
        <w:t>—</w:t>
      </w:r>
    </w:p>
    <w:p>
      <w:pPr>
        <w:ind w:left="209"/>
        <w:spacing w:after="0"/>
        <w:rPr>
          <w:rFonts w:ascii="Arial" w:cs="Arial" w:eastAsia="Arial" w:hAnsi="Arial"/>
          <w:sz w:val="15"/>
          <w:szCs w:val="15"/>
          <w:color w:val="auto"/>
        </w:rPr>
      </w:pPr>
      <w:r>
        <w:rPr>
          <w:rFonts w:ascii="Arial" w:cs="Arial" w:eastAsia="Arial" w:hAnsi="Arial"/>
          <w:sz w:val="14"/>
          <w:szCs w:val="14"/>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9337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7" w:lineRule="exact"/>
        <w:rPr>
          <w:sz w:val="20"/>
          <w:szCs w:val="20"/>
          <w:color w:val="auto"/>
        </w:rPr>
      </w:pPr>
    </w:p>
    <w:p>
      <w:pPr>
        <w:ind w:left="169" w:hanging="169"/>
        <w:spacing w:after="0"/>
        <w:tabs>
          <w:tab w:leader="none" w:pos="169" w:val="left"/>
        </w:tabs>
        <w:numPr>
          <w:ilvl w:val="0"/>
          <w:numId w:val="202"/>
        </w:numPr>
        <w:rPr>
          <w:rFonts w:ascii="Arial" w:cs="Arial" w:eastAsia="Arial" w:hAnsi="Arial"/>
          <w:sz w:val="15"/>
          <w:szCs w:val="15"/>
          <w:color w:val="auto"/>
        </w:rPr>
      </w:pPr>
      <w:r>
        <w:rPr>
          <w:rFonts w:ascii="Arial" w:cs="Arial" w:eastAsia="Arial" w:hAnsi="Arial"/>
          <w:sz w:val="15"/>
          <w:szCs w:val="15"/>
          <w:color w:val="auto"/>
        </w:rPr>
        <w:t>11.8</w:t>
      </w:r>
    </w:p>
    <w:p>
      <w:pPr>
        <w:ind w:left="249"/>
        <w:spacing w:after="0" w:line="235" w:lineRule="auto"/>
        <w:rPr>
          <w:rFonts w:ascii="Arial" w:cs="Arial" w:eastAsia="Arial" w:hAnsi="Arial"/>
          <w:sz w:val="15"/>
          <w:szCs w:val="15"/>
          <w:color w:val="auto"/>
        </w:rPr>
      </w:pPr>
      <w:r>
        <w:rPr>
          <w:rFonts w:ascii="Arial" w:cs="Arial" w:eastAsia="Arial" w:hAnsi="Arial"/>
          <w:sz w:val="15"/>
          <w:szCs w:val="15"/>
          <w:color w:val="auto"/>
        </w:rPr>
        <w:t>7.0</w:t>
      </w:r>
    </w:p>
    <w:p>
      <w:pPr>
        <w:ind w:left="249"/>
        <w:spacing w:after="0"/>
        <w:rPr>
          <w:rFonts w:ascii="Arial" w:cs="Arial" w:eastAsia="Arial" w:hAnsi="Arial"/>
          <w:sz w:val="15"/>
          <w:szCs w:val="15"/>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29337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u w:val="single" w:color="auto"/>
          <w:color w:val="auto"/>
        </w:rPr>
        <w:t>$ 19.3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9337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31" w:space="720"/>
            <w:col w:w="1049"/>
          </w:cols>
          <w:pgMar w:left="320" w:top="407" w:right="1379" w:bottom="1440" w:gutter="0" w:footer="0" w:header="0"/>
          <w:type w:val="continuous"/>
        </w:sectPr>
      </w:pPr>
    </w:p>
    <w:p>
      <w:pPr>
        <w:spacing w:after="0" w:line="22"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There were no issuances of warrants during the year ended January 31, 2020. The changes in estimated fair value of preferred stock warrants during the six months ended July 31, 2020 and year ended January 31, 2020 were not material. The (gain) / loss resulting from changes in the estimated fair value of common and preferred stock warrants are recorded within other income / (expense) on the consolidated statements of operations.</w:t>
      </w:r>
    </w:p>
    <w:p>
      <w:pPr>
        <w:spacing w:after="0" w:line="172" w:lineRule="exact"/>
        <w:rPr>
          <w:sz w:val="20"/>
          <w:szCs w:val="20"/>
          <w:color w:val="auto"/>
        </w:rPr>
      </w:pPr>
    </w:p>
    <w:p>
      <w:pPr>
        <w:ind w:left="1480" w:right="360"/>
        <w:spacing w:after="0"/>
        <w:rPr>
          <w:sz w:val="20"/>
          <w:szCs w:val="20"/>
          <w:color w:val="auto"/>
        </w:rPr>
      </w:pPr>
      <w:r>
        <w:rPr>
          <w:rFonts w:ascii="Arial" w:cs="Arial" w:eastAsia="Arial" w:hAnsi="Arial"/>
          <w:sz w:val="15"/>
          <w:szCs w:val="15"/>
          <w:color w:val="auto"/>
        </w:rPr>
        <w:t>The Company issued a warrant for 40,828 shares of common stock with a fair value at issuance of $0.5 million during the six months ended July 31, 2021. The warrant for 76,627 shares of preferred stock with a fair value at issuance of $0.0 million was exercised during the six months ended July 31, 2021 for cash proceeds of $1.1 million.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00"/>
          </w:cols>
          <w:pgMar w:left="320" w:top="407" w:right="1379" w:bottom="1440" w:gutter="0" w:footer="0" w:header="0"/>
          <w:type w:val="continuous"/>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59"/>
        <w:spacing w:after="0" w:line="245" w:lineRule="auto"/>
        <w:rPr>
          <w:sz w:val="20"/>
          <w:szCs w:val="20"/>
          <w:color w:val="auto"/>
        </w:rPr>
      </w:pPr>
      <w:r>
        <w:rPr>
          <w:rFonts w:ascii="Arial" w:cs="Arial" w:eastAsia="Arial" w:hAnsi="Arial"/>
          <w:sz w:val="15"/>
          <w:szCs w:val="15"/>
          <w:color w:val="auto"/>
        </w:rPr>
        <w:t>The key assumptions used in the Black-Scholes option pricing model for the valuation of the common and preferred stock warrant liabilities were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6"/>
              </w:rPr>
              <w:t>Year Ended</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660" w:type="dxa"/>
            <w:vAlign w:val="bottom"/>
          </w:tcPr>
          <w:p>
            <w:pPr>
              <w:spacing w:after="0"/>
              <w:rPr>
                <w:sz w:val="12"/>
                <w:szCs w:val="12"/>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9"/>
              </w:rPr>
              <w:t>January 31,</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56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5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2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87.68%</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67.42%-80.83%</w:t>
            </w: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6.75</w:t>
            </w:r>
          </w:p>
        </w:tc>
        <w:tc>
          <w:tcPr>
            <w:tcW w:w="620" w:type="dxa"/>
            <w:vAlign w:val="bottom"/>
          </w:tcPr>
          <w:p>
            <w:pPr>
              <w:spacing w:after="0"/>
              <w:rPr>
                <w:sz w:val="14"/>
                <w:szCs w:val="14"/>
                <w:color w:val="auto"/>
              </w:rPr>
            </w:pP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1.50 – 6.25</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0.79%</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0.19%-0.69%</w:t>
            </w:r>
          </w:p>
        </w:tc>
      </w:tr>
    </w:tbl>
    <w:p>
      <w:pPr>
        <w:spacing w:after="0" w:line="286" w:lineRule="exact"/>
        <w:rPr>
          <w:sz w:val="20"/>
          <w:szCs w:val="20"/>
          <w:color w:val="auto"/>
        </w:rPr>
      </w:pPr>
    </w:p>
    <w:p>
      <w:pPr>
        <w:ind w:left="1480" w:hanging="453"/>
        <w:spacing w:after="0"/>
        <w:tabs>
          <w:tab w:leader="none" w:pos="1480" w:val="left"/>
        </w:tabs>
        <w:numPr>
          <w:ilvl w:val="0"/>
          <w:numId w:val="203"/>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Preferred Stock</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tables summarize the Company’s redeemable preferred stock:</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68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23"/>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23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27,096,062</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330.5</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332.6</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6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8,140,584</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4,145,650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57.6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61.1</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35,236,646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31,137,921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388.1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393.7</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380" w:type="dxa"/>
            <w:vAlign w:val="bottom"/>
          </w:tcPr>
          <w:p>
            <w:pPr>
              <w:spacing w:after="0"/>
              <w:rPr>
                <w:sz w:val="24"/>
                <w:szCs w:val="24"/>
                <w:color w:val="auto"/>
              </w:rPr>
            </w:pPr>
          </w:p>
        </w:tc>
        <w:tc>
          <w:tcPr>
            <w:tcW w:w="2840" w:type="dxa"/>
            <w:vAlign w:val="bottom"/>
            <w:gridSpan w:val="3"/>
          </w:tcPr>
          <w:p>
            <w:pPr>
              <w:jc w:val="right"/>
              <w:ind w:right="980"/>
              <w:spacing w:after="0"/>
              <w:rPr>
                <w:sz w:val="20"/>
                <w:szCs w:val="20"/>
                <w:color w:val="auto"/>
              </w:rPr>
            </w:pPr>
            <w:r>
              <w:rPr>
                <w:rFonts w:ascii="Arial" w:cs="Arial" w:eastAsia="Arial" w:hAnsi="Arial"/>
                <w:sz w:val="15"/>
                <w:szCs w:val="15"/>
                <w:color w:val="auto"/>
              </w:rPr>
              <w:t>F-31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2"/>
                <w:szCs w:val="12"/>
                <w:b w:val="1"/>
                <w:bCs w:val="1"/>
                <w:color w:val="auto"/>
              </w:rPr>
              <w:t>July 31, 2021 (unaudited)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w w:val="98"/>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160" w:type="dxa"/>
            <w:vAlign w:val="bottom"/>
            <w:gridSpan w:val="2"/>
          </w:tcPr>
          <w:p>
            <w:pPr>
              <w:jc w:val="right"/>
              <w:ind w:right="56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406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40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1,845,569</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8,975,101</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5,583,191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82.3</w:t>
            </w:r>
          </w:p>
        </w:tc>
      </w:tr>
      <w:tr>
        <w:trPr>
          <w:trHeight w:val="20"/>
        </w:trPr>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36,055,409</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32,575,462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409.</w:t>
            </w:r>
            <w:r>
              <w:rPr>
                <w:rFonts w:ascii="Arial" w:cs="Arial" w:eastAsia="Arial" w:hAnsi="Arial"/>
                <w:sz w:val="15"/>
                <w:szCs w:val="15"/>
                <w:u w:val="single" w:color="auto"/>
                <w:color w:val="auto"/>
              </w:rPr>
              <w:t>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414.9</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Voting</w:t>
      </w:r>
    </w:p>
    <w:p>
      <w:pPr>
        <w:spacing w:after="0" w:line="105"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Dividends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holders of redeemable preferred stock are entitled to receive dividends if and when declared by the Board of Directors. In the event the Board of Directors declares a dividend payable on 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Liquidation Preference</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7" w:right="135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Conversion</w:t>
      </w:r>
    </w:p>
    <w:p>
      <w:pPr>
        <w:spacing w:after="0" w:line="105" w:lineRule="exact"/>
        <w:rPr>
          <w:sz w:val="20"/>
          <w:szCs w:val="20"/>
          <w:color w:val="auto"/>
        </w:rPr>
      </w:pPr>
    </w:p>
    <w:p>
      <w:pPr>
        <w:ind w:left="1480"/>
        <w:spacing w:after="0" w:line="235" w:lineRule="auto"/>
        <w:rPr>
          <w:sz w:val="20"/>
          <w:szCs w:val="20"/>
          <w:color w:val="auto"/>
        </w:rPr>
      </w:pPr>
      <w:r>
        <w:rPr>
          <w:rFonts w:ascii="Arial" w:cs="Arial" w:eastAsia="Arial" w:hAnsi="Arial"/>
          <w:sz w:val="15"/>
          <w:szCs w:val="15"/>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 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Capital Ventures (collectively BCIP Venture Associates, BCIP Venture Associates-B and Bain Capital Venture Fund 2009, L.P.) as long as it holds the requisite amount of Series F or Franklin (collectively Franklin Strategic Series—Franklin Small Cap Growth Fund and Franklin Templeton Investment Funds—Franklin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183" w:lineRule="exact"/>
        <w:rPr>
          <w:sz w:val="20"/>
          <w:szCs w:val="20"/>
          <w:color w:val="auto"/>
        </w:rPr>
      </w:pPr>
    </w:p>
    <w:p>
      <w:pPr>
        <w:ind w:left="1480" w:right="740"/>
        <w:spacing w:after="0" w:line="245" w:lineRule="auto"/>
        <w:rPr>
          <w:sz w:val="20"/>
          <w:szCs w:val="20"/>
          <w:color w:val="auto"/>
        </w:rPr>
      </w:pPr>
      <w:r>
        <w:rPr>
          <w:rFonts w:ascii="Arial" w:cs="Arial" w:eastAsia="Arial" w:hAnsi="Arial"/>
          <w:sz w:val="15"/>
          <w:szCs w:val="15"/>
          <w:color w:val="auto"/>
        </w:rPr>
        <w:t>The issuance of Series G redeemable preferred stock did not result in any anti-dilution adjustments to the other series of redeemable preferred stock.</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00"/>
          </w:cols>
          <w:pgMar w:left="320" w:top="407" w:right="137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Redemption</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or July 31, 2021, the carrying values of the redeemable preferred stock are not being accreted to their liquidation values. In the event that it becomes probable that the Company’s redeemable preferred stock will be redeemed, the Company will immediately accrete the carrying values of the redeemable preferred stock to their liquidation values.</w:t>
      </w:r>
    </w:p>
    <w:p>
      <w:pPr>
        <w:spacing w:after="0" w:line="277" w:lineRule="exact"/>
        <w:rPr>
          <w:sz w:val="20"/>
          <w:szCs w:val="20"/>
          <w:color w:val="auto"/>
        </w:rPr>
      </w:pPr>
    </w:p>
    <w:p>
      <w:pPr>
        <w:ind w:left="1480" w:right="7220" w:hanging="453"/>
        <w:spacing w:after="0" w:line="373" w:lineRule="auto"/>
        <w:tabs>
          <w:tab w:leader="none" w:pos="1471"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ind w:left="1480" w:right="16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00"/>
          </w:cols>
          <w:pgMar w:left="320" w:top="407" w:right="137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As of January 31, 2020 and 2021 and July 31, 2021, the Company had the following outstanding warrants: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January 31, 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Comerica Bank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Oct-13</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15,754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C</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11.11</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24,650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103,791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January 31, 2021</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24,650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10 Jay</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76,627</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G</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1,651,701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1,816,365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5"/>
                <w:szCs w:val="15"/>
                <w:color w:val="auto"/>
              </w:rPr>
              <w:t>F-35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9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7" w:right="1440"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July 31, 2021 (unaudited)</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8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0"/>
                <w:szCs w:val="10"/>
                <w:color w:val="auto"/>
              </w:rPr>
            </w:pPr>
          </w:p>
        </w:tc>
        <w:tc>
          <w:tcPr>
            <w:tcW w:w="940" w:type="dxa"/>
            <w:vAlign w:val="bottom"/>
            <w:gridSpan w:val="2"/>
          </w:tcPr>
          <w:p>
            <w:pPr>
              <w:jc w:val="right"/>
              <w:ind w:right="380"/>
              <w:spacing w:after="0" w:line="117" w:lineRule="exact"/>
              <w:rPr>
                <w:sz w:val="20"/>
                <w:szCs w:val="20"/>
                <w:color w:val="auto"/>
              </w:rPr>
            </w:pPr>
            <w:r>
              <w:rPr>
                <w:rFonts w:ascii="Arial" w:cs="Arial" w:eastAsia="Arial" w:hAnsi="Arial"/>
                <w:sz w:val="12"/>
                <w:szCs w:val="12"/>
                <w:b w:val="1"/>
                <w:bCs w:val="1"/>
                <w:color w:val="auto"/>
              </w:rPr>
              <w:t>Class of</w:t>
            </w:r>
          </w:p>
        </w:tc>
        <w:tc>
          <w:tcPr>
            <w:tcW w:w="780" w:type="dxa"/>
            <w:vAlign w:val="bottom"/>
            <w:gridSpan w:val="2"/>
          </w:tcPr>
          <w:p>
            <w:pPr>
              <w:jc w:val="right"/>
              <w:ind w:right="280"/>
              <w:spacing w:after="0" w:line="117" w:lineRule="exact"/>
              <w:rPr>
                <w:sz w:val="20"/>
                <w:szCs w:val="20"/>
                <w:color w:val="auto"/>
              </w:rPr>
            </w:pPr>
            <w:r>
              <w:rPr>
                <w:rFonts w:ascii="Arial" w:cs="Arial" w:eastAsia="Arial" w:hAnsi="Arial"/>
                <w:sz w:val="12"/>
                <w:szCs w:val="12"/>
                <w:b w:val="1"/>
                <w:bCs w:val="1"/>
                <w:color w:val="auto"/>
                <w:w w:val="97"/>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00" w:type="dxa"/>
            <w:vAlign w:val="bottom"/>
          </w:tcPr>
          <w:p>
            <w:pPr>
              <w:ind w:left="1200"/>
              <w:spacing w:after="0"/>
              <w:rPr>
                <w:sz w:val="20"/>
                <w:szCs w:val="20"/>
                <w:color w:val="auto"/>
              </w:rPr>
            </w:pPr>
            <w:r>
              <w:rPr>
                <w:rFonts w:ascii="Arial" w:cs="Arial" w:eastAsia="Arial" w:hAnsi="Arial"/>
                <w:sz w:val="12"/>
                <w:szCs w:val="12"/>
                <w:b w:val="1"/>
                <w:bCs w:val="1"/>
                <w:color w:val="auto"/>
              </w:rPr>
              <w:t>Outstanding Warrants</w:t>
            </w: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Issued</w:t>
            </w:r>
          </w:p>
        </w:tc>
        <w:tc>
          <w:tcPr>
            <w:tcW w:w="720" w:type="dxa"/>
            <w:vAlign w:val="bottom"/>
          </w:tcPr>
          <w:p>
            <w:pPr>
              <w:jc w:val="right"/>
              <w:ind w:right="88"/>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82,891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18,236</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14,920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35,215</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28,172</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24,650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1,651,701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May-21</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40,828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1,780,566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1480" w:right="60"/>
        <w:spacing w:after="0"/>
        <w:rPr>
          <w:sz w:val="20"/>
          <w:szCs w:val="20"/>
          <w:color w:val="auto"/>
        </w:rPr>
      </w:pPr>
      <w:r>
        <w:rPr>
          <w:rFonts w:ascii="Arial" w:cs="Arial" w:eastAsia="Arial" w:hAnsi="Arial"/>
          <w:sz w:val="15"/>
          <w:szCs w:val="15"/>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80"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8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81" w:lineRule="exact"/>
        <w:rPr>
          <w:sz w:val="20"/>
          <w:szCs w:val="20"/>
          <w:color w:val="auto"/>
        </w:rPr>
      </w:pPr>
    </w:p>
    <w:p>
      <w:pPr>
        <w:jc w:val="both"/>
        <w:ind w:left="1480" w:right="100"/>
        <w:spacing w:after="0"/>
        <w:rPr>
          <w:sz w:val="20"/>
          <w:szCs w:val="20"/>
          <w:color w:val="auto"/>
        </w:rPr>
      </w:pPr>
      <w:r>
        <w:rPr>
          <w:rFonts w:ascii="Arial" w:cs="Arial" w:eastAsia="Arial" w:hAnsi="Arial"/>
          <w:sz w:val="15"/>
          <w:szCs w:val="15"/>
          <w:color w:val="auto"/>
        </w:rPr>
        <w:t>As of January 31, 2020 and 2021 and July 31,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00"/>
          </w:cols>
          <w:pgMar w:left="320" w:top="407" w:right="137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hanging="453"/>
        <w:spacing w:after="0"/>
        <w:tabs>
          <w:tab w:leader="none" w:pos="1480"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Stock Incentive Plan</w:t>
      </w:r>
    </w:p>
    <w:p>
      <w:pPr>
        <w:spacing w:after="0" w:line="104" w:lineRule="exact"/>
        <w:rPr>
          <w:rFonts w:ascii="Arial" w:cs="Arial" w:eastAsia="Arial" w:hAnsi="Arial"/>
          <w:sz w:val="15"/>
          <w:szCs w:val="15"/>
          <w:b w:val="1"/>
          <w:bCs w:val="1"/>
          <w:color w:val="auto"/>
        </w:rPr>
      </w:pPr>
    </w:p>
    <w:p>
      <w:pPr>
        <w:ind w:left="148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83"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and July 31, 2021, there were 582,258, 2,459,983, and 702,367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 awards. Since the Company’s shares are not publicly traded and its shares are infrequently traded privately,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and during the six months ended July 31, 2021, were as follows:</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Six Months</w:t>
            </w:r>
          </w:p>
        </w:tc>
      </w:tr>
      <w:tr>
        <w:trPr>
          <w:trHeight w:val="145"/>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2"/>
                <w:szCs w:val="12"/>
                <w:b w:val="1"/>
                <w:bCs w:val="1"/>
                <w:color w:val="auto"/>
              </w:rPr>
              <w:t>Year Ended January 31,</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2020</w:t>
            </w:r>
          </w:p>
        </w:tc>
        <w:tc>
          <w:tcPr>
            <w:tcW w:w="6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2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1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840" w:type="dxa"/>
            <w:vAlign w:val="bottom"/>
          </w:tcPr>
          <w:p>
            <w:pPr>
              <w:spacing w:after="0"/>
              <w:rPr>
                <w:sz w:val="14"/>
                <w:szCs w:val="14"/>
                <w:color w:val="auto"/>
              </w:rPr>
            </w:pPr>
          </w:p>
        </w:tc>
        <w:tc>
          <w:tcPr>
            <w:tcW w:w="11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56.04%</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63.91%</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68.44%</w:t>
            </w: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3020" w:type="dxa"/>
            <w:vAlign w:val="bottom"/>
            <w:gridSpan w:val="3"/>
          </w:tcPr>
          <w:p>
            <w:pPr>
              <w:jc w:val="right"/>
              <w:ind w:right="620"/>
              <w:spacing w:after="0" w:line="169" w:lineRule="exact"/>
              <w:rPr>
                <w:sz w:val="20"/>
                <w:szCs w:val="20"/>
                <w:color w:val="auto"/>
              </w:rPr>
            </w:pPr>
            <w:r>
              <w:rPr>
                <w:rFonts w:ascii="Arial" w:cs="Arial" w:eastAsia="Arial" w:hAnsi="Arial"/>
                <w:sz w:val="15"/>
                <w:szCs w:val="15"/>
                <w:color w:val="auto"/>
              </w:rPr>
              <w:t>6.10</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4.89</w:t>
            </w:r>
          </w:p>
        </w:tc>
        <w:tc>
          <w:tcPr>
            <w:tcW w:w="62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1.91%</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0.34%</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w:t>
            </w:r>
          </w:p>
        </w:tc>
      </w:tr>
      <w:tr>
        <w:trPr>
          <w:trHeight w:val="303"/>
        </w:trPr>
        <w:tc>
          <w:tcPr>
            <w:tcW w:w="2920" w:type="dxa"/>
            <w:vAlign w:val="bottom"/>
          </w:tcPr>
          <w:p>
            <w:pPr>
              <w:spacing w:after="0"/>
              <w:rPr>
                <w:sz w:val="24"/>
                <w:szCs w:val="24"/>
                <w:color w:val="auto"/>
              </w:rPr>
            </w:pPr>
          </w:p>
        </w:tc>
        <w:tc>
          <w:tcPr>
            <w:tcW w:w="3020" w:type="dxa"/>
            <w:vAlign w:val="bottom"/>
            <w:gridSpan w:val="3"/>
          </w:tcPr>
          <w:p>
            <w:pPr>
              <w:jc w:val="right"/>
              <w:ind w:right="1700"/>
              <w:spacing w:after="0"/>
              <w:rPr>
                <w:sz w:val="20"/>
                <w:szCs w:val="20"/>
                <w:color w:val="auto"/>
              </w:rPr>
            </w:pPr>
            <w:r>
              <w:rPr>
                <w:rFonts w:ascii="Arial" w:cs="Arial" w:eastAsia="Arial" w:hAnsi="Arial"/>
                <w:sz w:val="15"/>
                <w:szCs w:val="15"/>
                <w:color w:val="auto"/>
              </w:rPr>
              <w:t>F-37</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60"/>
          </w:cols>
          <w:pgMar w:left="320" w:top="407" w:right="141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Weighted</w:t>
            </w:r>
          </w:p>
        </w:tc>
        <w:tc>
          <w:tcPr>
            <w:tcW w:w="104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w w:val="97"/>
              </w:rPr>
              <w:t>Remaining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Contract</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Number of</w:t>
            </w: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rPr>
              <w:t>Exercise</w:t>
            </w:r>
          </w:p>
        </w:tc>
        <w:tc>
          <w:tcPr>
            <w:tcW w:w="10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5"/>
              </w:rPr>
              <w:t>Term</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(in years)</w:t>
            </w:r>
          </w:p>
        </w:tc>
        <w:tc>
          <w:tcPr>
            <w:tcW w:w="10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Value</w:t>
            </w:r>
          </w:p>
        </w:tc>
      </w:tr>
      <w:tr>
        <w:trPr>
          <w:trHeight w:val="160"/>
        </w:trPr>
        <w:tc>
          <w:tcPr>
            <w:tcW w:w="20" w:type="dxa"/>
            <w:vAlign w:val="bottom"/>
          </w:tcPr>
          <w:p>
            <w:pPr>
              <w:spacing w:after="0"/>
              <w:rPr>
                <w:sz w:val="13"/>
                <w:szCs w:val="13"/>
                <w:color w:val="auto"/>
              </w:rPr>
            </w:pPr>
          </w:p>
        </w:tc>
        <w:tc>
          <w:tcPr>
            <w:tcW w:w="42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Balances at January 31, 2019</w:t>
            </w:r>
          </w:p>
        </w:tc>
        <w:tc>
          <w:tcPr>
            <w:tcW w:w="7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5,355,557</w:t>
            </w: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7.82</w:t>
            </w:r>
          </w:p>
        </w:tc>
        <w:tc>
          <w:tcPr>
            <w:tcW w:w="4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7.78</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24.7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2,310,773</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13.43</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(270,978)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6.56</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(371,818)</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11.56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2020</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7,023,534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9.52</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7.31</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34.8</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(1)</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3,153,275</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7.47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(84,885)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6.81</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(1)</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(4,031,817)</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12.16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2021</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6,060,107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6.76</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3.7</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3,859,949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7.01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 (unaudited)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(334,732)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5.58</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(270,719)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7.17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July 31, 2021 (unaudited)</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9,314,605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6.88</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40.7</w:t>
            </w:r>
          </w:p>
        </w:tc>
      </w:tr>
      <w:tr>
        <w:trPr>
          <w:trHeight w:val="180"/>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Exercisable at July 31, 2021 (unaudited)</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4,151,051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20"/>
              <w:spacing w:after="0"/>
              <w:rPr>
                <w:sz w:val="20"/>
                <w:szCs w:val="20"/>
                <w:color w:val="auto"/>
              </w:rPr>
            </w:pPr>
            <w:r>
              <w:rPr>
                <w:rFonts w:ascii="Arial" w:cs="Arial" w:eastAsia="Arial" w:hAnsi="Arial"/>
                <w:sz w:val="15"/>
                <w:szCs w:val="15"/>
                <w:color w:val="auto"/>
              </w:rPr>
              <w:t>6.66</w:t>
            </w:r>
          </w:p>
        </w:tc>
        <w:tc>
          <w:tcPr>
            <w:tcW w:w="620" w:type="dxa"/>
            <w:vAlign w:val="bottom"/>
          </w:tcPr>
          <w:p>
            <w:pPr>
              <w:jc w:val="right"/>
              <w:spacing w:after="0"/>
              <w:rPr>
                <w:sz w:val="20"/>
                <w:szCs w:val="20"/>
                <w:color w:val="auto"/>
              </w:rPr>
            </w:pPr>
            <w:r>
              <w:rPr>
                <w:rFonts w:ascii="Arial" w:cs="Arial" w:eastAsia="Arial" w:hAnsi="Arial"/>
                <w:sz w:val="15"/>
                <w:szCs w:val="15"/>
                <w:color w:val="auto"/>
              </w:rPr>
              <w:t>5.50</w:t>
            </w:r>
          </w:p>
        </w:tc>
        <w:tc>
          <w:tcPr>
            <w:tcW w:w="4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19.1</w:t>
            </w:r>
          </w:p>
        </w:tc>
      </w:tr>
    </w:tbl>
    <w:p>
      <w:pPr>
        <w:spacing w:after="0" w:line="9" w:lineRule="exact"/>
        <w:rPr>
          <w:sz w:val="20"/>
          <w:szCs w:val="20"/>
          <w:color w:val="auto"/>
        </w:rPr>
      </w:pPr>
    </w:p>
    <w:p>
      <w:pPr>
        <w:ind w:left="2020" w:hanging="543"/>
        <w:spacing w:after="0"/>
        <w:tabs>
          <w:tab w:leader="none" w:pos="2020" w:val="left"/>
        </w:tabs>
        <w:numPr>
          <w:ilvl w:val="0"/>
          <w:numId w:val="206"/>
        </w:numPr>
        <w:rPr>
          <w:rFonts w:ascii="Arial" w:cs="Arial" w:eastAsia="Arial" w:hAnsi="Arial"/>
          <w:sz w:val="20"/>
          <w:szCs w:val="20"/>
          <w:color w:val="auto"/>
          <w:vertAlign w:val="superscript"/>
        </w:rPr>
      </w:pPr>
      <w:r>
        <w:rPr>
          <w:rFonts w:ascii="Arial" w:cs="Arial" w:eastAsia="Arial" w:hAnsi="Arial"/>
          <w:sz w:val="12"/>
          <w:szCs w:val="12"/>
          <w:color w:val="auto"/>
        </w:rPr>
        <w:t>Includes options that were canceled and re-granted as part of the option repricing modification, as further discussed below.</w:t>
      </w:r>
    </w:p>
    <w:p>
      <w:pPr>
        <w:spacing w:after="0" w:line="7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weighted average grant date fair values of stock options granted during fiscal years 2019 and 2020 and for the six months ended July 31, 2021 were $7.21, $1.53 (as adjusted for the option repricing modification as further discussed below), and $4.49, respectively. The total intrinsic value of stock options exercised during the fiscal years 2019 and 2020 and for the six months ended July 31, 2021 were $1.9 million, $0.3 million, and $0.6 million, respectively.</w:t>
      </w:r>
    </w:p>
    <w:p>
      <w:pPr>
        <w:spacing w:after="0" w:line="8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there were $13.0 million and $9.6 million of unrecognized compensation costs related to stock options granted under the Plan that are expected to be recognized over a weighted average period of 2.82 and 2.23 years, respectively. As of July 31, 2021, there was $16.7 million of unrecognized compensation cost related to stock options granted under the Plan that is expected to be recognized over a weighted average period of 3.32 years.</w:t>
      </w:r>
    </w:p>
    <w:p>
      <w:pPr>
        <w:spacing w:after="0" w:line="8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currently uses authorized and unissued shares to satisfy exercising of stock option awards.</w:t>
      </w:r>
    </w:p>
    <w:p>
      <w:pPr>
        <w:spacing w:after="0" w:line="87"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whereby the incremental fair value of each option was determined using the Black-Scholes option pricing model at the date of the modification, and $ 1.2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RSUs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RSUs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Grant-Date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Number of</w:t>
            </w: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Unvested and outstanding as of January 31, 2020</w:t>
            </w:r>
          </w:p>
        </w:tc>
        <w:tc>
          <w:tcPr>
            <w:tcW w:w="720" w:type="dxa"/>
            <w:vAlign w:val="bottom"/>
            <w:tcBorders>
              <w:top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1,689,217</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Forfeited</w:t>
            </w:r>
          </w:p>
        </w:tc>
        <w:tc>
          <w:tcPr>
            <w:tcW w:w="10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(179,616)</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40" w:type="dxa"/>
            <w:vAlign w:val="bottom"/>
            <w:gridSpan w:val="2"/>
          </w:tcPr>
          <w:p>
            <w:pPr>
              <w:spacing w:after="0"/>
              <w:rPr>
                <w:sz w:val="20"/>
                <w:szCs w:val="20"/>
                <w:color w:val="auto"/>
              </w:rPr>
            </w:pPr>
            <w:r>
              <w:rPr>
                <w:rFonts w:ascii="Arial" w:cs="Arial" w:eastAsia="Arial" w:hAnsi="Arial"/>
                <w:sz w:val="15"/>
                <w:szCs w:val="15"/>
                <w:color w:val="auto"/>
              </w:rPr>
              <w:t>Unvested and outstanding as of January 31, 2021</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1,509,601</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797,592</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0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(120.020)</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Unvested and outstanding as of July 31, 2021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2,187,173</w:t>
            </w:r>
          </w:p>
        </w:tc>
        <w:tc>
          <w:tcPr>
            <w:tcW w:w="160" w:type="dxa"/>
            <w:vAlign w:val="bottom"/>
            <w:shd w:val="clear" w:color="auto" w:fill="CCEEFF"/>
          </w:tcPr>
          <w:p>
            <w:pPr>
              <w:jc w:val="right"/>
              <w:ind w:right="16"/>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The table above excludes 203,526 RSUs that were agreed to be granted during the six months ended July 31, 2021, but will not be granted until the consummation of an IPO event.</w:t>
      </w:r>
    </w:p>
    <w:p>
      <w:pPr>
        <w:spacing w:after="0" w:line="7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total unrecorded share-based compensation expense related to these awards was $12.7 million and $17.9 million as of January 31, 2021 and July 31, 2021, respectively. The total unrecorded share 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the financial statements had the initial public offering been determined to be probable as of January 31, 2021 and July 31, 2021. There were no outstanding RSUs and, as such, no related unrecorded share-based compensation expense as of January 31, 2020.</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7" w:right="1359"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Share-Based Compensation Summary</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classification of share-based compensation by line item within the consolidated statements of operations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1260" w:type="dxa"/>
            <w:vAlign w:val="bottom"/>
            <w:gridSpan w:val="5"/>
            <w:vMerge w:val="restart"/>
          </w:tcPr>
          <w:p>
            <w:pPr>
              <w:jc w:val="right"/>
              <w:ind w:right="620"/>
              <w:spacing w:after="0"/>
              <w:rPr>
                <w:sz w:val="20"/>
                <w:szCs w:val="20"/>
                <w:color w:val="auto"/>
              </w:rPr>
            </w:pPr>
            <w:r>
              <w:rPr>
                <w:rFonts w:ascii="Arial" w:cs="Arial" w:eastAsia="Arial" w:hAnsi="Arial"/>
                <w:sz w:val="12"/>
                <w:szCs w:val="12"/>
                <w:b w:val="1"/>
                <w:bCs w:val="1"/>
                <w:color w:val="auto"/>
                <w:w w:val="93"/>
              </w:rPr>
              <w:t>Year Ended</w:t>
            </w: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Six Months</w:t>
            </w:r>
          </w:p>
        </w:tc>
        <w:tc>
          <w:tcPr>
            <w:tcW w:w="0" w:type="dxa"/>
            <w:vAlign w:val="bottom"/>
          </w:tcPr>
          <w:p>
            <w:pPr>
              <w:spacing w:after="0"/>
              <w:rPr>
                <w:sz w:val="1"/>
                <w:szCs w:val="1"/>
                <w:color w:val="auto"/>
              </w:rPr>
            </w:pPr>
          </w:p>
        </w:tc>
      </w:tr>
      <w:tr>
        <w:trPr>
          <w:trHeight w:val="124"/>
        </w:trPr>
        <w:tc>
          <w:tcPr>
            <w:tcW w:w="588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1040" w:type="dxa"/>
            <w:vAlign w:val="bottom"/>
            <w:gridSpan w:val="4"/>
          </w:tcPr>
          <w:p>
            <w:pPr>
              <w:jc w:val="center"/>
              <w:ind w:right="60"/>
              <w:spacing w:after="0" w:line="124"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6"/>
              </w:rPr>
              <w:t>January 31,</w:t>
            </w:r>
          </w:p>
        </w:tc>
        <w:tc>
          <w:tcPr>
            <w:tcW w:w="600" w:type="dxa"/>
            <w:vAlign w:val="bottom"/>
            <w:gridSpan w:val="2"/>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8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gridSpan w:val="2"/>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4"/>
          </w:tcPr>
          <w:p>
            <w:pPr>
              <w:jc w:val="right"/>
              <w:ind w:right="180"/>
              <w:spacing w:after="0" w:line="136" w:lineRule="exact"/>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Technology</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$ 2.0</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$ 1.0</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$ 0.9</w:t>
            </w:r>
          </w:p>
        </w:tc>
        <w:tc>
          <w:tcPr>
            <w:tcW w:w="0" w:type="dxa"/>
            <w:vAlign w:val="bottom"/>
          </w:tcPr>
          <w:p>
            <w:pPr>
              <w:spacing w:after="0"/>
              <w:rPr>
                <w:sz w:val="1"/>
                <w:szCs w:val="1"/>
                <w:color w:val="auto"/>
              </w:rPr>
            </w:pP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5"/>
                <w:szCs w:val="15"/>
                <w:color w:val="auto"/>
              </w:rPr>
              <w:t>Marketing</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0.4</w:t>
            </w:r>
          </w:p>
        </w:tc>
        <w:tc>
          <w:tcPr>
            <w:tcW w:w="6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5.8</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2.6</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80" w:type="dxa"/>
            <w:vAlign w:val="bottom"/>
          </w:tcPr>
          <w:p>
            <w:pPr>
              <w:ind w:left="300"/>
              <w:spacing w:after="0"/>
              <w:rPr>
                <w:sz w:val="20"/>
                <w:szCs w:val="20"/>
                <w:color w:val="auto"/>
              </w:rPr>
            </w:pPr>
            <w:r>
              <w:rPr>
                <w:rFonts w:ascii="Arial" w:cs="Arial" w:eastAsia="Arial" w:hAnsi="Arial"/>
                <w:sz w:val="15"/>
                <w:szCs w:val="15"/>
                <w:color w:val="auto"/>
              </w:rPr>
              <w:t>Total share-based compensation</w:t>
            </w:r>
          </w:p>
        </w:tc>
        <w:tc>
          <w:tcPr>
            <w:tcW w:w="360" w:type="dxa"/>
            <w:vAlign w:val="bottom"/>
          </w:tcPr>
          <w:p>
            <w:pPr>
              <w:jc w:val="right"/>
              <w:spacing w:after="0"/>
              <w:rPr>
                <w:sz w:val="20"/>
                <w:szCs w:val="20"/>
                <w:color w:val="auto"/>
              </w:rPr>
            </w:pPr>
            <w:r>
              <w:rPr>
                <w:rFonts w:ascii="Arial" w:cs="Arial" w:eastAsia="Arial" w:hAnsi="Arial"/>
                <w:sz w:val="15"/>
                <w:szCs w:val="15"/>
                <w:color w:val="auto"/>
              </w:rPr>
              <w:t>$ 6.8</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5"/>
                <w:szCs w:val="15"/>
                <w:color w:val="auto"/>
              </w:rPr>
              <w:t>$ 8.2</w:t>
            </w: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$ 3.8</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$ 4.3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7"/>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 Attributable to Common Stockholders</w:t>
      </w:r>
    </w:p>
    <w:p>
      <w:pPr>
        <w:spacing w:after="0" w:line="104" w:lineRule="exact"/>
        <w:rPr>
          <w:rFonts w:ascii="Arial" w:cs="Arial" w:eastAsia="Arial" w:hAnsi="Arial"/>
          <w:sz w:val="15"/>
          <w:szCs w:val="15"/>
          <w:b w:val="1"/>
          <w:bCs w:val="1"/>
          <w:color w:val="auto"/>
        </w:rPr>
      </w:pPr>
    </w:p>
    <w:p>
      <w:pPr>
        <w:ind w:left="1480" w:right="63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computes net loss per share attributable to common stockholders under the two-class method required for participating securities. The Company has one class of common stock.</w:t>
      </w:r>
    </w:p>
    <w:p>
      <w:pPr>
        <w:spacing w:after="0" w:line="7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sets forth the computation of basic and diluted net loss per share attributable to common stockholders: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left="593"/>
              <w:spacing w:after="0"/>
              <w:rPr>
                <w:sz w:val="20"/>
                <w:szCs w:val="20"/>
                <w:color w:val="auto"/>
              </w:rPr>
            </w:pPr>
            <w:r>
              <w:rPr>
                <w:rFonts w:ascii="Arial" w:cs="Arial" w:eastAsia="Arial" w:hAnsi="Arial"/>
                <w:sz w:val="12"/>
                <w:szCs w:val="12"/>
                <w:b w:val="1"/>
                <w:bCs w:val="1"/>
                <w:color w:val="auto"/>
                <w:w w:val="99"/>
              </w:rPr>
              <w:t>Six Months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12"/>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33"/>
              <w:spacing w:after="0" w:line="126"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left="593"/>
              <w:spacing w:after="0" w:line="126" w:lineRule="exact"/>
              <w:rPr>
                <w:sz w:val="20"/>
                <w:szCs w:val="20"/>
                <w:color w:val="auto"/>
              </w:rPr>
            </w:pPr>
            <w:r>
              <w:rPr>
                <w:rFonts w:ascii="Arial" w:cs="Arial" w:eastAsia="Arial" w:hAnsi="Arial"/>
                <w:sz w:val="12"/>
                <w:szCs w:val="12"/>
                <w:b w:val="1"/>
                <w:bCs w:val="1"/>
                <w:color w:val="auto"/>
                <w:w w:val="97"/>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Net loss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stockholders</w:t>
            </w:r>
          </w:p>
        </w:tc>
        <w:tc>
          <w:tcPr>
            <w:tcW w:w="8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rPr>
              <w:t>(153.9)</w:t>
            </w: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520"/>
              <w:spacing w:after="0" w:line="170" w:lineRule="exact"/>
              <w:rPr>
                <w:sz w:val="20"/>
                <w:szCs w:val="20"/>
                <w:color w:val="auto"/>
              </w:rPr>
            </w:pPr>
            <w:r>
              <w:rPr>
                <w:rFonts w:ascii="Arial" w:cs="Arial" w:eastAsia="Arial" w:hAnsi="Arial"/>
                <w:sz w:val="15"/>
                <w:szCs w:val="15"/>
                <w:color w:val="auto"/>
              </w:rPr>
              <w:t>(171.1)</w:t>
            </w:r>
          </w:p>
        </w:tc>
        <w:tc>
          <w:tcPr>
            <w:tcW w:w="10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(88.0)</w:t>
            </w:r>
          </w:p>
        </w:tc>
        <w:tc>
          <w:tcPr>
            <w:tcW w:w="3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Weighted-average shares used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in computing net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share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stockholders, basic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line="170" w:lineRule="exact"/>
              <w:rPr>
                <w:sz w:val="20"/>
                <w:szCs w:val="20"/>
                <w:color w:val="auto"/>
              </w:rPr>
            </w:pPr>
            <w:r>
              <w:rPr>
                <w:rFonts w:ascii="Arial" w:cs="Arial" w:eastAsia="Arial" w:hAnsi="Arial"/>
                <w:sz w:val="15"/>
                <w:szCs w:val="15"/>
                <w:color w:val="auto"/>
                <w:w w:val="98"/>
              </w:rPr>
              <w:t>11,138,851</w:t>
            </w: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w w:val="98"/>
              </w:rPr>
              <w:t>11,375,889</w:t>
            </w:r>
          </w:p>
        </w:tc>
      </w:tr>
      <w:tr>
        <w:trPr>
          <w:trHeight w:val="168"/>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 per share attributable to</w:t>
            </w: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common stockholders, basic and</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70" w:lineRule="exact"/>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(14.04)</w:t>
            </w:r>
          </w:p>
        </w:tc>
        <w:tc>
          <w:tcPr>
            <w:tcW w:w="5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20"/>
              <w:spacing w:after="0" w:line="170" w:lineRule="exact"/>
              <w:rPr>
                <w:sz w:val="20"/>
                <w:szCs w:val="20"/>
                <w:color w:val="auto"/>
              </w:rPr>
            </w:pPr>
            <w:r>
              <w:rPr>
                <w:rFonts w:ascii="Arial" w:cs="Arial" w:eastAsia="Arial" w:hAnsi="Arial"/>
                <w:sz w:val="15"/>
                <w:szCs w:val="15"/>
                <w:color w:val="auto"/>
              </w:rPr>
              <w:t>(15.36)</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(7.91)</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F-40</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right="59"/>
        <w:spacing w:after="0" w:line="245" w:lineRule="auto"/>
        <w:rPr>
          <w:sz w:val="20"/>
          <w:szCs w:val="20"/>
          <w:color w:val="auto"/>
        </w:rPr>
      </w:pPr>
      <w:r>
        <w:rPr>
          <w:rFonts w:ascii="Arial" w:cs="Arial" w:eastAsia="Arial" w:hAnsi="Arial"/>
          <w:sz w:val="15"/>
          <w:szCs w:val="15"/>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2"/>
                <w:szCs w:val="12"/>
                <w:b w:val="1"/>
                <w:bCs w:val="1"/>
                <w:color w:val="auto"/>
              </w:rPr>
              <w:t>January 31,</w:t>
            </w:r>
          </w:p>
        </w:tc>
        <w:tc>
          <w:tcPr>
            <w:tcW w:w="2080" w:type="dxa"/>
            <w:vAlign w:val="bottom"/>
            <w:gridSpan w:val="4"/>
          </w:tcPr>
          <w:p>
            <w:pPr>
              <w:ind w:left="7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40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49"/>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71"/>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960" w:type="dxa"/>
            <w:vAlign w:val="bottom"/>
          </w:tcPr>
          <w:p>
            <w:pPr>
              <w:jc w:val="right"/>
              <w:ind w:right="89"/>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31,137,921</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29,387,695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32,575,462</w:t>
            </w:r>
          </w:p>
        </w:tc>
        <w:tc>
          <w:tcPr>
            <w:tcW w:w="60" w:type="dxa"/>
            <w:vAlign w:val="bottom"/>
            <w:shd w:val="clear" w:color="auto" w:fill="CCEEFF"/>
          </w:tcPr>
          <w:p>
            <w:pPr>
              <w:spacing w:after="0"/>
              <w:rPr>
                <w:sz w:val="14"/>
                <w:szCs w:val="14"/>
                <w:color w:val="auto"/>
              </w:rPr>
            </w:pP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Stock options</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7,023,534</w:t>
            </w: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6,060,107</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6,722,427</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9,314,605</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Common stock warrants</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879,203</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2,530,904</w:t>
            </w:r>
          </w:p>
        </w:tc>
        <w:tc>
          <w:tcPr>
            <w:tcW w:w="10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879,203</w:t>
            </w:r>
          </w:p>
        </w:tc>
        <w:tc>
          <w:tcPr>
            <w:tcW w:w="10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2,571,732</w:t>
            </w: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Preferred stock warrants</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103,791</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164,664</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103,791</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88,037</w:t>
            </w:r>
          </w:p>
        </w:tc>
      </w:tr>
      <w:tr>
        <w:trPr>
          <w:trHeight w:val="23"/>
        </w:trPr>
        <w:tc>
          <w:tcPr>
            <w:tcW w:w="4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0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34,998,799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39,893,596</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37,093,116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44,549,836</w:t>
            </w:r>
          </w:p>
        </w:tc>
        <w:tc>
          <w:tcPr>
            <w:tcW w:w="60" w:type="dxa"/>
            <w:vAlign w:val="bottom"/>
            <w:shd w:val="clear" w:color="auto" w:fill="CCEEFF"/>
          </w:tcPr>
          <w:p>
            <w:pPr>
              <w:spacing w:after="0"/>
              <w:rPr>
                <w:sz w:val="14"/>
                <w:szCs w:val="14"/>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239"/>
        <w:spacing w:after="0"/>
        <w:rPr>
          <w:sz w:val="20"/>
          <w:szCs w:val="20"/>
          <w:color w:val="auto"/>
        </w:rPr>
      </w:pPr>
      <w:r>
        <w:rPr>
          <w:rFonts w:ascii="Arial" w:cs="Arial" w:eastAsia="Arial" w:hAnsi="Arial"/>
          <w:sz w:val="15"/>
          <w:szCs w:val="15"/>
          <w:color w:val="auto"/>
        </w:rPr>
        <w:t>As of July 31, 2020, January 31, 2021, and July 31, 2021, RSUs to be settled in 1,280,323, 1,509,601 and 2,187,173 shares of common stock, respectively, were excluded from the table above because they are subject to performance-based vesting conditions that were not achieved as of such dates. There were no outstanding RSUs as of January 31, 2020.</w:t>
      </w:r>
    </w:p>
    <w:p>
      <w:pPr>
        <w:spacing w:after="0" w:line="276" w:lineRule="exact"/>
        <w:rPr>
          <w:sz w:val="20"/>
          <w:szCs w:val="20"/>
          <w:color w:val="auto"/>
        </w:rPr>
      </w:pPr>
    </w:p>
    <w:p>
      <w:pPr>
        <w:ind w:left="1480" w:hanging="453"/>
        <w:spacing w:after="0"/>
        <w:tabs>
          <w:tab w:leader="none" w:pos="148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104" w:lineRule="exact"/>
        <w:rPr>
          <w:rFonts w:ascii="Arial" w:cs="Arial" w:eastAsia="Arial" w:hAnsi="Arial"/>
          <w:sz w:val="15"/>
          <w:szCs w:val="15"/>
          <w:b w:val="1"/>
          <w:bCs w:val="1"/>
          <w:color w:val="auto"/>
        </w:rPr>
      </w:pPr>
    </w:p>
    <w:p>
      <w:pPr>
        <w:ind w:left="1480" w:right="7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Supplemental cash flow disclosures for the years ended January 31, 2020 and 2021 and the six months ended July 31, 2020 and 2021, are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Six Months Ended</w:t>
            </w:r>
          </w:p>
        </w:tc>
      </w:tr>
      <w:tr>
        <w:trPr>
          <w:trHeight w:val="145"/>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880" w:type="dxa"/>
            <w:vAlign w:val="bottom"/>
          </w:tcPr>
          <w:p>
            <w:pPr>
              <w:jc w:val="center"/>
              <w:ind w:left="370"/>
              <w:spacing w:after="0"/>
              <w:rPr>
                <w:sz w:val="20"/>
                <w:szCs w:val="20"/>
                <w:color w:val="auto"/>
              </w:rPr>
            </w:pPr>
            <w:r>
              <w:rPr>
                <w:rFonts w:ascii="Arial" w:cs="Arial" w:eastAsia="Arial" w:hAnsi="Arial"/>
                <w:sz w:val="12"/>
                <w:szCs w:val="12"/>
                <w:b w:val="1"/>
                <w:bCs w:val="1"/>
                <w:color w:val="auto"/>
                <w:w w:val="99"/>
              </w:rPr>
              <w:t>July 31,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510"/>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left="250"/>
              <w:spacing w:after="0" w:line="126" w:lineRule="exact"/>
              <w:rPr>
                <w:sz w:val="20"/>
                <w:szCs w:val="20"/>
                <w:color w:val="auto"/>
              </w:rPr>
            </w:pPr>
            <w:r>
              <w:rPr>
                <w:rFonts w:ascii="Arial" w:cs="Arial" w:eastAsia="Arial" w:hAnsi="Arial"/>
                <w:sz w:val="12"/>
                <w:szCs w:val="12"/>
                <w:b w:val="1"/>
                <w:bCs w:val="1"/>
                <w:color w:val="auto"/>
                <w:w w:val="97"/>
              </w:rPr>
              <w:t>(unaudited)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payments for:</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Interest paid on loans</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1.5</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$ 3.7</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1.2</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paid on financing leases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Fixed operating leases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7.0</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5"/>
                <w:szCs w:val="15"/>
                <w:color w:val="auto"/>
              </w:rPr>
              <w:t>(2.2)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8.3</w:t>
            </w: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Non-cash financing and investing activities: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Financing leases right-of-use asset amortization</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$ 0.2</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0.1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ROU assets obtained in exchange for lease liabilities (1)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5"/>
              </w:rPr>
              <w:t>40.0</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r>
      <w:tr>
        <w:trPr>
          <w:trHeight w:val="168"/>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Adjustments to ROU assets or lease liabilities due to modification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860" w:type="dxa"/>
            <w:vAlign w:val="bottom"/>
          </w:tcPr>
          <w:p>
            <w:pPr>
              <w:ind w:left="440"/>
              <w:spacing w:after="0" w:line="170" w:lineRule="exact"/>
              <w:rPr>
                <w:sz w:val="20"/>
                <w:szCs w:val="20"/>
                <w:color w:val="auto"/>
              </w:rPr>
            </w:pPr>
            <w:r>
              <w:rPr>
                <w:rFonts w:ascii="Arial" w:cs="Arial" w:eastAsia="Arial" w:hAnsi="Arial"/>
                <w:sz w:val="15"/>
                <w:szCs w:val="15"/>
                <w:color w:val="auto"/>
              </w:rPr>
              <w:t>or other reassessment events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80"/>
              <w:spacing w:after="0" w:line="170"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c>
          <w:tcPr>
            <w:tcW w:w="880" w:type="dxa"/>
            <w:vAlign w:val="bottom"/>
          </w:tcPr>
          <w:p>
            <w:pPr>
              <w:jc w:val="right"/>
              <w:ind w:right="370"/>
              <w:spacing w:after="0" w:line="170" w:lineRule="exact"/>
              <w:rPr>
                <w:sz w:val="20"/>
                <w:szCs w:val="20"/>
                <w:color w:val="auto"/>
              </w:rPr>
            </w:pPr>
            <w:r>
              <w:rPr>
                <w:rFonts w:ascii="Arial" w:cs="Arial" w:eastAsia="Arial" w:hAnsi="Arial"/>
                <w:sz w:val="15"/>
                <w:szCs w:val="15"/>
                <w:color w:val="auto"/>
              </w:rPr>
              <w:t>5.2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0.1</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Purchases of fixed assets not yet settled</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2.1</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0"/>
              <w:spacing w:after="0" w:line="169" w:lineRule="exact"/>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r>
      <w:tr>
        <w:trPr>
          <w:trHeight w:val="180"/>
        </w:trPr>
        <w:tc>
          <w:tcPr>
            <w:tcW w:w="4860" w:type="dxa"/>
            <w:vAlign w:val="bottom"/>
          </w:tcPr>
          <w:p>
            <w:pPr>
              <w:ind w:left="300"/>
              <w:spacing w:after="0"/>
              <w:rPr>
                <w:sz w:val="20"/>
                <w:szCs w:val="20"/>
                <w:color w:val="auto"/>
              </w:rPr>
            </w:pPr>
            <w:r>
              <w:rPr>
                <w:rFonts w:ascii="Arial" w:cs="Arial" w:eastAsia="Arial" w:hAnsi="Arial"/>
                <w:sz w:val="15"/>
                <w:szCs w:val="15"/>
                <w:color w:val="auto"/>
              </w:rPr>
              <w:t>Purchases of rental product not yet settled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72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1.7</w:t>
            </w:r>
          </w:p>
        </w:tc>
      </w:tr>
    </w:tbl>
    <w:p>
      <w:pPr>
        <w:spacing w:after="0" w:line="9" w:lineRule="exact"/>
        <w:rPr>
          <w:sz w:val="20"/>
          <w:szCs w:val="20"/>
          <w:color w:val="auto"/>
        </w:rPr>
      </w:pPr>
    </w:p>
    <w:p>
      <w:pPr>
        <w:ind w:left="2020" w:hanging="543"/>
        <w:spacing w:after="0"/>
        <w:tabs>
          <w:tab w:leader="none" w:pos="2020" w:val="left"/>
        </w:tabs>
        <w:numPr>
          <w:ilvl w:val="1"/>
          <w:numId w:val="209"/>
        </w:numPr>
        <w:rPr>
          <w:rFonts w:ascii="Arial" w:cs="Arial" w:eastAsia="Arial" w:hAnsi="Arial"/>
          <w:sz w:val="20"/>
          <w:szCs w:val="20"/>
          <w:color w:val="auto"/>
          <w:vertAlign w:val="superscript"/>
        </w:rPr>
      </w:pPr>
      <w:r>
        <w:rPr>
          <w:rFonts w:ascii="Arial" w:cs="Arial" w:eastAsia="Arial" w:hAnsi="Arial"/>
          <w:sz w:val="12"/>
          <w:szCs w:val="12"/>
          <w:color w:val="auto"/>
        </w:rPr>
        <w:t>Includes non-cash ROU assets obtained in exchange for lease liabilities in accordance with the adoption of ASC 842 as of February 1, 2019.</w:t>
      </w:r>
    </w:p>
    <w:p>
      <w:pPr>
        <w:spacing w:after="0" w:line="272" w:lineRule="exact"/>
        <w:rPr>
          <w:rFonts w:ascii="Arial" w:cs="Arial" w:eastAsia="Arial" w:hAnsi="Arial"/>
          <w:sz w:val="20"/>
          <w:szCs w:val="20"/>
          <w:color w:val="auto"/>
          <w:vertAlign w:val="superscript"/>
        </w:rPr>
      </w:pPr>
    </w:p>
    <w:p>
      <w:pPr>
        <w:ind w:left="1480" w:hanging="453"/>
        <w:spacing w:after="0"/>
        <w:tabs>
          <w:tab w:leader="none" w:pos="1480" w:val="left"/>
        </w:tabs>
        <w:numPr>
          <w:ilvl w:val="0"/>
          <w:numId w:val="21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04" w:lineRule="exact"/>
        <w:rPr>
          <w:rFonts w:ascii="Arial" w:cs="Arial" w:eastAsia="Arial" w:hAnsi="Arial"/>
          <w:sz w:val="15"/>
          <w:szCs w:val="15"/>
          <w:b w:val="1"/>
          <w:bCs w:val="1"/>
          <w:color w:val="auto"/>
        </w:rPr>
      </w:pPr>
    </w:p>
    <w:p>
      <w:pPr>
        <w:ind w:left="1480" w:right="139"/>
        <w:spacing w:after="0"/>
        <w:rPr>
          <w:rFonts w:ascii="Arial" w:cs="Arial" w:eastAsia="Arial" w:hAnsi="Arial"/>
          <w:sz w:val="15"/>
          <w:szCs w:val="15"/>
          <w:b w:val="1"/>
          <w:bCs w:val="1"/>
          <w:color w:val="auto"/>
        </w:rPr>
      </w:pPr>
      <w:r>
        <w:rPr>
          <w:rFonts w:ascii="Arial" w:cs="Arial" w:eastAsia="Arial" w:hAnsi="Arial"/>
          <w:sz w:val="15"/>
          <w:szCs w:val="15"/>
          <w:color w:val="auto"/>
        </w:rPr>
        <w:t>The Company had restricted cash balances for cash collateralized standby letters of credit as of January 31, 2020 and 2021 and July 31 2021 of $10.5 million, $13.9 million and $11.5 million, respectively (see Note 2), primarily to satisfy security deposit requirements on its leases (see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139"/>
          </w:cols>
          <w:pgMar w:left="320" w:top="407" w:right="1440"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Note 4). As of January 31, 2020, the Company had the ability and intent to redeem the restricted cash balances and issue letters of credit to satisfy security deposit requirements on its leases. Additionally, as of January 31, 2020 and 2021 and July 31, 2021, the Company had non-cash collateralized standby outstanding letters of credit of $1.7 million, $0.0 million, and $0.0 million, respectively.</w:t>
      </w:r>
    </w:p>
    <w:p>
      <w:pPr>
        <w:spacing w:after="0" w:line="82"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As of January 31, 2021 and July 31, 2021, there was no litigation or contingency with at least a reasonable possibility of a material loss.</w:t>
      </w:r>
    </w:p>
    <w:p>
      <w:pPr>
        <w:spacing w:after="0" w:line="272" w:lineRule="exact"/>
        <w:rPr>
          <w:sz w:val="20"/>
          <w:szCs w:val="20"/>
          <w:color w:val="auto"/>
        </w:rPr>
      </w:pPr>
    </w:p>
    <w:p>
      <w:pPr>
        <w:ind w:left="1480" w:hanging="453"/>
        <w:spacing w:after="0"/>
        <w:tabs>
          <w:tab w:leader="none" w:pos="1480" w:val="left"/>
        </w:tabs>
        <w:numPr>
          <w:ilvl w:val="0"/>
          <w:numId w:val="211"/>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04" w:lineRule="exact"/>
        <w:rPr>
          <w:rFonts w:ascii="Arial" w:cs="Arial" w:eastAsia="Arial" w:hAnsi="Arial"/>
          <w:sz w:val="15"/>
          <w:szCs w:val="15"/>
          <w:b w:val="1"/>
          <w:bCs w:val="1"/>
          <w:color w:val="auto"/>
        </w:rPr>
      </w:pPr>
    </w:p>
    <w:p>
      <w:pPr>
        <w:ind w:left="1480" w:right="4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Subsequent events have been evaluated through July 16, 2021, which is the date the consolidated financial statements were available to be issued.</w:t>
      </w:r>
    </w:p>
    <w:p>
      <w:pPr>
        <w:spacing w:after="0" w:line="76"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24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i w:val="1"/>
          <w:iCs w:val="1"/>
          <w:color w:val="auto"/>
        </w:rPr>
        <w:t>Events Subsequent to Original Issuance of Consolidated Financial Statements (unaudited)</w:t>
      </w:r>
    </w:p>
    <w:p>
      <w:pPr>
        <w:spacing w:after="0" w:line="102" w:lineRule="exact"/>
        <w:rPr>
          <w:rFonts w:ascii="Arial" w:cs="Arial" w:eastAsia="Arial" w:hAnsi="Arial"/>
          <w:sz w:val="15"/>
          <w:szCs w:val="15"/>
          <w:b w:val="1"/>
          <w:bCs w:val="1"/>
          <w:color w:val="auto"/>
        </w:rPr>
      </w:pPr>
    </w:p>
    <w:p>
      <w:pPr>
        <w:ind w:left="1480" w:right="6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On October 18, 2021 we entered into an amendment, or the Temasek Amendment, to our term loan agreement dated as of July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(iii) amend the interest rate to 12% with up to 5% payable in kind, (iv) add a minimum liquidity maintenance covenant of $50 million and (v) amend the call protection applicable to the loans outstanding thereunder.</w:t>
      </w:r>
    </w:p>
    <w:p>
      <w:pPr>
        <w:spacing w:after="0" w:line="8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In connection with the Credit Facility Amendment, we intend to issue to the Lenders warrants to purchase 394,343 shares of Class A common stock (based on 17,000,000 shares of Class A common stock at an initial public offering price of $21.00 per share of Class A common stock)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185420</wp:posOffset>
            </wp:positionV>
            <wp:extent cx="583819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235585</wp:posOffset>
            </wp:positionV>
            <wp:extent cx="583819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17,000,000 Shares</w:t>
      </w:r>
    </w:p>
    <w:p>
      <w:pPr>
        <w:spacing w:after="0" w:line="367"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940435</wp:posOffset>
            </wp:positionV>
            <wp:extent cx="123063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3516630</wp:posOffset>
            </wp:positionV>
            <wp:extent cx="123063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1233805</wp:posOffset>
            </wp:positionV>
            <wp:extent cx="1431290" cy="1960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43129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Morgan Stanley</w:t>
            </w:r>
          </w:p>
        </w:tc>
        <w:tc>
          <w:tcPr>
            <w:tcW w:w="15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351"/>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0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640" w:type="dxa"/>
            <w:vAlign w:val="bottom"/>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540" w:type="dxa"/>
            <w:vAlign w:val="bottom"/>
          </w:tcPr>
          <w:p>
            <w:pPr>
              <w:ind w:left="2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311"/>
        </w:trPr>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Arial" w:cs="Arial" w:eastAsia="Arial" w:hAnsi="Arial"/>
                <w:sz w:val="14"/>
                <w:szCs w:val="14"/>
                <w:b w:val="1"/>
                <w:bCs w:val="1"/>
                <w:color w:val="auto"/>
              </w:rPr>
              <w:t>Telsey Advisory Group</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35"/>
        </w:trPr>
        <w:tc>
          <w:tcPr>
            <w:tcW w:w="1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73"/>
        </w:trPr>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0220"/>
      </w:cols>
      <w:pgMar w:left="320" w:top="40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BFE8E0"/>
    <w:multiLevelType w:val="hybridMultilevel"/>
    <w:lvl w:ilvl="0">
      <w:lvlJc w:val="left"/>
      <w:lvlText w:val="(%1)"/>
      <w:numFmt w:val="decimal"/>
      <w:start w:val="1"/>
    </w:lvl>
  </w:abstractNum>
  <w:abstractNum w:abstractNumId="1">
    <w:nsid w:val="5092CA79"/>
    <w:multiLevelType w:val="hybridMultilevel"/>
    <w:lvl w:ilvl="0">
      <w:lvlJc w:val="left"/>
      <w:lvlText w:val="1"/>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2"/>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3"/>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4"/>
      <w:numFmt w:val="bullet"/>
      <w:start w:val="1"/>
    </w:lvl>
  </w:abstractNum>
  <w:abstractNum w:abstractNumId="10">
    <w:nsid w:val="53584BCB"/>
    <w:multiLevelType w:val="hybridMultilevel"/>
    <w:lvl w:ilvl="0">
      <w:lvlJc w:val="left"/>
      <w:lvlText w:val="5"/>
      <w:numFmt w:val="bullet"/>
      <w:start w:val="1"/>
    </w:lvl>
  </w:abstractNum>
  <w:abstractNum w:abstractNumId="11">
    <w:nsid w:val="415E286C"/>
    <w:multiLevelType w:val="hybridMultilevel"/>
    <w:lvl w:ilvl="0">
      <w:lvlJc w:val="left"/>
      <w:lvlText w:val="6"/>
      <w:numFmt w:val="bullet"/>
      <w:start w:val="1"/>
    </w:lvl>
  </w:abstractNum>
  <w:abstractNum w:abstractNumId="12">
    <w:nsid w:val="7C58FD05"/>
    <w:multiLevelType w:val="hybridMultilevel"/>
    <w:lvl w:ilvl="0">
      <w:lvlJc w:val="left"/>
      <w:lvlText w:val="7"/>
      <w:numFmt w:val="bullet"/>
      <w:start w:val="1"/>
    </w:lvl>
  </w:abstractNum>
  <w:abstractNum w:abstractNumId="13">
    <w:nsid w:val="23D86AAC"/>
    <w:multiLevelType w:val="hybridMultilevel"/>
    <w:lvl w:ilvl="0">
      <w:lvlJc w:val="left"/>
      <w:lvlText w:val="8"/>
      <w:numFmt w:val="bullet"/>
      <w:start w:val="1"/>
    </w:lvl>
  </w:abstractNum>
  <w:abstractNum w:abstractNumId="14">
    <w:nsid w:val="45E6D486"/>
    <w:multiLevelType w:val="hybridMultilevel"/>
    <w:lvl w:ilvl="0">
      <w:lvlJc w:val="left"/>
      <w:lvlText w:val="9"/>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1"/>
      <w:numFmt w:val="decimal"/>
      <w:start w:val="10"/>
    </w:lvl>
  </w:abstractNum>
  <w:abstractNum w:abstractNumId="18">
    <w:nsid w:val="4BD8591A"/>
    <w:multiLevelType w:val="hybridMultilevel"/>
    <w:lvl w:ilvl="0">
      <w:lvlJc w:val="left"/>
      <w:lvlText w:val="•"/>
      <w:numFmt w:val="bullet"/>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1"/>
      <w:numFmt w:val="decimal"/>
      <w:start w:val="16"/>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1"/>
      <w:numFmt w:val="decimal"/>
      <w:start w:val="17"/>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
      <w:numFmt w:val="bullet"/>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1)"/>
      <w:numFmt w:val="decimal"/>
      <w:start w:val="1"/>
    </w:lvl>
  </w:abstractNum>
  <w:abstractNum w:abstractNumId="33">
    <w:nsid w:val="5B25ACE2"/>
    <w:multiLevelType w:val="hybridMultilevel"/>
    <w:lvl w:ilvl="0">
      <w:lvlJc w:val="left"/>
      <w:lvlText w:val="(%1)"/>
      <w:numFmt w:val="lowerLetter"/>
      <w:start w:val="1"/>
    </w:lvl>
  </w:abstractNum>
  <w:abstractNum w:abstractNumId="34">
    <w:nsid w:val="175DFCF0"/>
    <w:multiLevelType w:val="hybridMultilevel"/>
    <w:lvl w:ilvl="0">
      <w:lvlJc w:val="left"/>
      <w:lvlText w:val="(%1)"/>
      <w:numFmt w:val="decimal"/>
      <w:start w:val="3"/>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decimal"/>
      <w:start w:val="1"/>
    </w:lvl>
  </w:abstractNum>
  <w:abstractNum w:abstractNumId="37">
    <w:nsid w:val="34FD6B4F"/>
    <w:multiLevelType w:val="hybridMultilevel"/>
    <w:lvl w:ilvl="0">
      <w:lvlJc w:val="left"/>
      <w:lvlText w:val="(%1)"/>
      <w:numFmt w:val="decimal"/>
      <w:start w:val="3"/>
    </w:lvl>
  </w:abstractNum>
  <w:abstractNum w:abstractNumId="38">
    <w:nsid w:val="5915FF32"/>
    <w:multiLevelType w:val="hybridMultilevel"/>
    <w:lvl w:ilvl="0">
      <w:lvlJc w:val="left"/>
      <w:lvlText w:val="(%1)"/>
      <w:numFmt w:val="decimal"/>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
      <w:numFmt w:val="bullet"/>
      <w:start w:val="1"/>
    </w:lvl>
  </w:abstractNum>
  <w:abstractNum w:abstractNumId="44">
    <w:nsid w:val="5046B5A9"/>
    <w:multiLevelType w:val="hybridMultilevel"/>
    <w:lvl w:ilvl="0">
      <w:lvlJc w:val="left"/>
      <w:lvlText w:val="•"/>
      <w:numFmt w:val="bullet"/>
      <w:start w:val="1"/>
    </w:lvl>
  </w:abstractNum>
  <w:abstractNum w:abstractNumId="45">
    <w:nsid w:val="5D888A08"/>
    <w:multiLevelType w:val="hybridMultilevel"/>
    <w:lvl w:ilvl="0">
      <w:lvlJc w:val="left"/>
      <w:lvlText w:val="•"/>
      <w:numFmt w:val="bullet"/>
      <w:start w:val="1"/>
    </w:lvl>
  </w:abstractNum>
  <w:abstractNum w:abstractNumId="46">
    <w:nsid w:val="2A082C70"/>
    <w:multiLevelType w:val="hybridMultilevel"/>
    <w:lvl w:ilvl="0">
      <w:lvlJc w:val="left"/>
      <w:lvlText w:val="•"/>
      <w:numFmt w:val="bullet"/>
      <w:start w:val="1"/>
    </w:lvl>
  </w:abstractNum>
  <w:abstractNum w:abstractNumId="47">
    <w:nsid w:val="5EC6AFD4"/>
    <w:multiLevelType w:val="hybridMultilevel"/>
    <w:lvl w:ilvl="0">
      <w:lvlJc w:val="left"/>
      <w:lvlText w:val="•"/>
      <w:numFmt w:val="bullet"/>
      <w:start w:val="1"/>
    </w:lvl>
  </w:abstractNum>
  <w:abstractNum w:abstractNumId="48">
    <w:nsid w:val="19E21BB2"/>
    <w:multiLevelType w:val="hybridMultilevel"/>
    <w:lvl w:ilvl="0">
      <w:lvlJc w:val="left"/>
      <w:lvlText w:val="•"/>
      <w:numFmt w:val="bullet"/>
      <w:start w:val="1"/>
    </w:lvl>
  </w:abstractNum>
  <w:abstractNum w:abstractNumId="49">
    <w:nsid w:val="75E0858A"/>
    <w:multiLevelType w:val="hybridMultilevel"/>
    <w:lvl w:ilvl="0">
      <w:lvlJc w:val="left"/>
      <w:lvlText w:val="•"/>
      <w:numFmt w:val="bullet"/>
      <w:start w:val="1"/>
    </w:lvl>
  </w:abstractNum>
  <w:abstractNum w:abstractNumId="50">
    <w:nsid w:val="57A61A29"/>
    <w:multiLevelType w:val="hybridMultilevel"/>
    <w:lvl w:ilvl="0">
      <w:lvlJc w:val="left"/>
      <w:lvlText w:val="•"/>
      <w:numFmt w:val="bullet"/>
      <w:start w:val="1"/>
    </w:lvl>
  </w:abstractNum>
  <w:abstractNum w:abstractNumId="51">
    <w:nsid w:val="5399C654"/>
    <w:multiLevelType w:val="hybridMultilevel"/>
    <w:lvl w:ilvl="0">
      <w:lvlJc w:val="left"/>
      <w:lvlText w:val="•"/>
      <w:numFmt w:val="bullet"/>
      <w:start w:val="1"/>
    </w:lvl>
  </w:abstractNum>
  <w:abstractNum w:abstractNumId="52">
    <w:nsid w:val="20EE1348"/>
    <w:multiLevelType w:val="hybridMultilevel"/>
    <w:lvl w:ilvl="0">
      <w:lvlJc w:val="left"/>
      <w:lvlText w:val="•"/>
      <w:numFmt w:val="bullet"/>
      <w:start w:val="1"/>
    </w:lvl>
  </w:abstractNum>
  <w:abstractNum w:abstractNumId="53">
    <w:nsid w:val="4427069A"/>
    <w:multiLevelType w:val="hybridMultilevel"/>
    <w:lvl w:ilvl="0">
      <w:lvlJc w:val="left"/>
      <w:lvlText w:val="•"/>
      <w:numFmt w:val="bullet"/>
      <w:start w:val="1"/>
    </w:lvl>
  </w:abstractNum>
  <w:abstractNum w:abstractNumId="54">
    <w:nsid w:val="B37E80A"/>
    <w:multiLevelType w:val="hybridMultilevel"/>
    <w:lvl w:ilvl="0">
      <w:lvlJc w:val="left"/>
      <w:lvlText w:val="•"/>
      <w:numFmt w:val="bullet"/>
      <w:start w:val="1"/>
    </w:lvl>
  </w:abstractNum>
  <w:abstractNum w:abstractNumId="55">
    <w:nsid w:val="2157F6BC"/>
    <w:multiLevelType w:val="hybridMultilevel"/>
    <w:lvl w:ilvl="0">
      <w:lvlJc w:val="left"/>
      <w:lvlText w:val="•"/>
      <w:numFmt w:val="bullet"/>
      <w:start w:val="1"/>
    </w:lvl>
  </w:abstractNum>
  <w:abstractNum w:abstractNumId="56">
    <w:nsid w:val="704E1DD5"/>
    <w:multiLevelType w:val="hybridMultilevel"/>
    <w:lvl w:ilvl="0">
      <w:lvlJc w:val="left"/>
      <w:lvlText w:val="•"/>
      <w:numFmt w:val="bullet"/>
      <w:start w:val="1"/>
    </w:lvl>
  </w:abstractNum>
  <w:abstractNum w:abstractNumId="57">
    <w:nsid w:val="57D2F10E"/>
    <w:multiLevelType w:val="hybridMultilevel"/>
    <w:lvl w:ilvl="0">
      <w:lvlJc w:val="left"/>
      <w:lvlText w:val="•"/>
      <w:numFmt w:val="bullet"/>
      <w:start w:val="1"/>
    </w:lvl>
  </w:abstractNum>
  <w:abstractNum w:abstractNumId="58">
    <w:nsid w:val="BFFAE18"/>
    <w:multiLevelType w:val="hybridMultilevel"/>
    <w:lvl w:ilvl="0">
      <w:lvlJc w:val="left"/>
      <w:lvlText w:val="•"/>
      <w:numFmt w:val="bullet"/>
      <w:start w:val="1"/>
    </w:lvl>
  </w:abstractNum>
  <w:abstractNum w:abstractNumId="59">
    <w:nsid w:val="E3E47A8"/>
    <w:multiLevelType w:val="hybridMultilevel"/>
    <w:lvl w:ilvl="0">
      <w:lvlJc w:val="left"/>
      <w:lvlText w:val="•"/>
      <w:numFmt w:val="bullet"/>
      <w:start w:val="1"/>
    </w:lvl>
  </w:abstractNum>
  <w:abstractNum w:abstractNumId="60">
    <w:nsid w:val="2E48F044"/>
    <w:multiLevelType w:val="hybridMultilevel"/>
    <w:lvl w:ilvl="0">
      <w:lvlJc w:val="left"/>
      <w:lvlText w:val="•"/>
      <w:numFmt w:val="bullet"/>
      <w:start w:val="1"/>
    </w:lvl>
  </w:abstractNum>
  <w:abstractNum w:abstractNumId="61">
    <w:nsid w:val="49D0FEAC"/>
    <w:multiLevelType w:val="hybridMultilevel"/>
    <w:lvl w:ilvl="0">
      <w:lvlJc w:val="left"/>
      <w:lvlText w:val="•"/>
      <w:numFmt w:val="bullet"/>
      <w:start w:val="1"/>
    </w:lvl>
  </w:abstractNum>
  <w:abstractNum w:abstractNumId="62">
    <w:nsid w:val="4BEE5A5B"/>
    <w:multiLevelType w:val="hybridMultilevel"/>
    <w:lvl w:ilvl="0">
      <w:lvlJc w:val="left"/>
      <w:lvlText w:val="•"/>
      <w:numFmt w:val="bullet"/>
      <w:start w:val="1"/>
    </w:lvl>
  </w:abstractNum>
  <w:abstractNum w:abstractNumId="63">
    <w:nsid w:val="5551B9F3"/>
    <w:multiLevelType w:val="hybridMultilevel"/>
    <w:lvl w:ilvl="0">
      <w:lvlJc w:val="left"/>
      <w:lvlText w:val="•"/>
      <w:numFmt w:val="bullet"/>
      <w:start w:val="1"/>
    </w:lvl>
  </w:abstractNum>
  <w:abstractNum w:abstractNumId="64">
    <w:nsid w:val="24F6AB8E"/>
    <w:multiLevelType w:val="hybridMultilevel"/>
    <w:lvl w:ilvl="0">
      <w:lvlJc w:val="left"/>
      <w:lvlText w:val="(%1)"/>
      <w:numFmt w:val="decimal"/>
      <w:start w:val="1"/>
    </w:lvl>
  </w:abstractNum>
  <w:abstractNum w:abstractNumId="65">
    <w:nsid w:val="634C574C"/>
    <w:multiLevelType w:val="hybridMultilevel"/>
    <w:lvl w:ilvl="0">
      <w:lvlJc w:val="left"/>
      <w:lvlText w:val="•"/>
      <w:numFmt w:val="bullet"/>
      <w:start w:val="1"/>
    </w:lvl>
  </w:abstractNum>
  <w:abstractNum w:abstractNumId="66">
    <w:nsid w:val="24E99DD7"/>
    <w:multiLevelType w:val="hybridMultilevel"/>
    <w:lvl w:ilvl="0">
      <w:lvlJc w:val="left"/>
      <w:lvlText w:val="•"/>
      <w:numFmt w:val="bullet"/>
      <w:start w:val="1"/>
    </w:lvl>
  </w:abstractNum>
  <w:abstractNum w:abstractNumId="67">
    <w:nsid w:val="2A31B62D"/>
    <w:multiLevelType w:val="hybridMultilevel"/>
    <w:lvl w:ilvl="0">
      <w:lvlJc w:val="left"/>
      <w:lvlText w:val="•"/>
      <w:numFmt w:val="bullet"/>
      <w:start w:val="1"/>
    </w:lvl>
  </w:abstractNum>
  <w:abstractNum w:abstractNumId="68">
    <w:nsid w:val="1849C29B"/>
    <w:multiLevelType w:val="hybridMultilevel"/>
    <w:lvl w:ilvl="0">
      <w:lvlJc w:val="left"/>
      <w:lvlText w:val="•"/>
      <w:numFmt w:val="bullet"/>
      <w:start w:val="1"/>
    </w:lvl>
  </w:abstractNum>
  <w:abstractNum w:abstractNumId="69">
    <w:nsid w:val="7DFF9D09"/>
    <w:multiLevelType w:val="hybridMultilevel"/>
    <w:lvl w:ilvl="0">
      <w:lvlJc w:val="left"/>
      <w:lvlText w:val="•"/>
      <w:numFmt w:val="bullet"/>
      <w:start w:val="1"/>
    </w:lvl>
  </w:abstractNum>
  <w:abstractNum w:abstractNumId="70">
    <w:nsid w:val="754342"/>
    <w:multiLevelType w:val="hybridMultilevel"/>
    <w:lvl w:ilvl="0">
      <w:lvlJc w:val="left"/>
      <w:lvlText w:val="•"/>
      <w:numFmt w:val="bullet"/>
      <w:start w:val="1"/>
    </w:lvl>
  </w:abstractNum>
  <w:abstractNum w:abstractNumId="71">
    <w:nsid w:val="69E7F3E5"/>
    <w:multiLevelType w:val="hybridMultilevel"/>
    <w:lvl w:ilvl="0">
      <w:lvlJc w:val="left"/>
      <w:lvlText w:val="•"/>
      <w:numFmt w:val="bullet"/>
      <w:start w:val="1"/>
    </w:lvl>
  </w:abstractNum>
  <w:abstractNum w:abstractNumId="72">
    <w:nsid w:val="2A6DE806"/>
    <w:multiLevelType w:val="hybridMultilevel"/>
    <w:lvl w:ilvl="0">
      <w:lvlJc w:val="left"/>
      <w:lvlText w:val="•"/>
      <w:numFmt w:val="bullet"/>
      <w:start w:val="1"/>
    </w:lvl>
  </w:abstractNum>
  <w:abstractNum w:abstractNumId="73">
    <w:nsid w:val="1816F8C4"/>
    <w:multiLevelType w:val="hybridMultilevel"/>
    <w:lvl w:ilvl="0">
      <w:lvlJc w:val="left"/>
      <w:lvlText w:val="•"/>
      <w:numFmt w:val="bullet"/>
      <w:start w:val="1"/>
    </w:lvl>
  </w:abstractNum>
  <w:abstractNum w:abstractNumId="74">
    <w:nsid w:val="37DF2233"/>
    <w:multiLevelType w:val="hybridMultilevel"/>
    <w:lvl w:ilvl="0">
      <w:lvlJc w:val="left"/>
      <w:lvlText w:val="•"/>
      <w:numFmt w:val="bullet"/>
      <w:start w:val="1"/>
    </w:lvl>
  </w:abstractNum>
  <w:abstractNum w:abstractNumId="75">
    <w:nsid w:val="7AB49DAF"/>
    <w:multiLevelType w:val="hybridMultilevel"/>
    <w:lvl w:ilvl="0">
      <w:lvlJc w:val="left"/>
      <w:lvlText w:val="•"/>
      <w:numFmt w:val="bullet"/>
      <w:start w:val="1"/>
    </w:lvl>
  </w:abstractNum>
  <w:abstractNum w:abstractNumId="76">
    <w:nsid w:val="759F82CD"/>
    <w:multiLevelType w:val="hybridMultilevel"/>
    <w:lvl w:ilvl="0">
      <w:lvlJc w:val="left"/>
      <w:lvlText w:val="•"/>
      <w:numFmt w:val="bullet"/>
      <w:start w:val="1"/>
    </w:lvl>
  </w:abstractNum>
  <w:abstractNum w:abstractNumId="77">
    <w:nsid w:val="61E74EA3"/>
    <w:multiLevelType w:val="hybridMultilevel"/>
    <w:lvl w:ilvl="0">
      <w:lvlJc w:val="left"/>
      <w:lvlText w:val="•"/>
      <w:numFmt w:val="bullet"/>
      <w:start w:val="1"/>
    </w:lvl>
  </w:abstractNum>
  <w:abstractNum w:abstractNumId="78">
    <w:nsid w:val="597B4D84"/>
    <w:multiLevelType w:val="hybridMultilevel"/>
    <w:lvl w:ilvl="0">
      <w:lvlJc w:val="left"/>
      <w:lvlText w:val="•"/>
      <w:numFmt w:val="bullet"/>
      <w:start w:val="1"/>
    </w:lvl>
  </w:abstractNum>
  <w:abstractNum w:abstractNumId="79">
    <w:nsid w:val="F819E7F"/>
    <w:multiLevelType w:val="hybridMultilevel"/>
    <w:lvl w:ilvl="0">
      <w:lvlJc w:val="left"/>
      <w:lvlText w:val="•"/>
      <w:numFmt w:val="bullet"/>
      <w:start w:val="1"/>
    </w:lvl>
  </w:abstractNum>
  <w:abstractNum w:abstractNumId="80">
    <w:nsid w:val="57C7D42D"/>
    <w:multiLevelType w:val="hybridMultilevel"/>
    <w:lvl w:ilvl="0">
      <w:lvlJc w:val="left"/>
      <w:lvlText w:val="%1."/>
      <w:numFmt w:val="decimal"/>
      <w:start w:val="1"/>
    </w:lvl>
  </w:abstractNum>
  <w:abstractNum w:abstractNumId="81">
    <w:nsid w:val="312167AD"/>
    <w:multiLevelType w:val="hybridMultilevel"/>
    <w:lvl w:ilvl="0">
      <w:lvlJc w:val="left"/>
      <w:lvlText w:val="%1."/>
      <w:numFmt w:val="decimal"/>
      <w:start w:val="2"/>
    </w:lvl>
  </w:abstractNum>
  <w:abstractNum w:abstractNumId="82">
    <w:nsid w:val="631B64D4"/>
    <w:multiLevelType w:val="hybridMultilevel"/>
    <w:lvl w:ilvl="0">
      <w:lvlJc w:val="left"/>
      <w:lvlText w:val="(%1)"/>
      <w:numFmt w:val="decimal"/>
      <w:start w:val="1"/>
    </w:lvl>
  </w:abstractNum>
  <w:abstractNum w:abstractNumId="83">
    <w:nsid w:val="78B5E776"/>
    <w:multiLevelType w:val="hybridMultilevel"/>
    <w:lvl w:ilvl="0">
      <w:lvlJc w:val="left"/>
      <w:lvlText w:val="(%1)"/>
      <w:numFmt w:val="decimal"/>
      <w:start w:val="1"/>
    </w:lvl>
  </w:abstractNum>
  <w:abstractNum w:abstractNumId="84">
    <w:nsid w:val="75486E47"/>
    <w:multiLevelType w:val="hybridMultilevel"/>
    <w:lvl w:ilvl="0">
      <w:lvlJc w:val="left"/>
      <w:lvlText w:val="(%1)"/>
      <w:numFmt w:val="decimal"/>
      <w:start w:val="6"/>
    </w:lvl>
  </w:abstractNum>
  <w:abstractNum w:abstractNumId="85">
    <w:nsid w:val="6E534CDE"/>
    <w:multiLevelType w:val="hybridMultilevel"/>
    <w:lvl w:ilvl="0">
      <w:lvlJc w:val="left"/>
      <w:lvlText w:val="(%1)"/>
      <w:numFmt w:val="decimal"/>
      <w:start w:val="1"/>
    </w:lvl>
  </w:abstractNum>
  <w:abstractNum w:abstractNumId="86">
    <w:nsid w:val="1A0DDE32"/>
    <w:multiLevelType w:val="hybridMultilevel"/>
    <w:lvl w:ilvl="0">
      <w:lvlJc w:val="left"/>
      <w:lvlText w:val="(%1)"/>
      <w:numFmt w:val="decimal"/>
      <w:start w:val="1"/>
    </w:lvl>
  </w:abstractNum>
  <w:abstractNum w:abstractNumId="87">
    <w:nsid w:val="65968C1C"/>
    <w:multiLevelType w:val="hybridMultilevel"/>
    <w:lvl w:ilvl="0">
      <w:lvlJc w:val="left"/>
      <w:lvlText w:val="•"/>
      <w:numFmt w:val="bullet"/>
      <w:start w:val="1"/>
    </w:lvl>
  </w:abstractNum>
  <w:abstractNum w:abstractNumId="88">
    <w:nsid w:val="46263DEC"/>
    <w:multiLevelType w:val="hybridMultilevel"/>
    <w:lvl w:ilvl="0">
      <w:lvlJc w:val="left"/>
      <w:lvlText w:val="•"/>
      <w:numFmt w:val="bullet"/>
      <w:start w:val="1"/>
    </w:lvl>
  </w:abstractNum>
  <w:abstractNum w:abstractNumId="89">
    <w:nsid w:val="260D8C4A"/>
    <w:multiLevelType w:val="hybridMultilevel"/>
    <w:lvl w:ilvl="0">
      <w:lvlJc w:val="left"/>
      <w:lvlText w:val="%1"/>
      <w:numFmt w:val="decimal"/>
      <w:start w:val="18"/>
    </w:lvl>
  </w:abstractNum>
  <w:abstractNum w:abstractNumId="90">
    <w:nsid w:val="73D4D3C4"/>
    <w:multiLevelType w:val="hybridMultilevel"/>
    <w:lvl w:ilvl="0">
      <w:lvlJc w:val="left"/>
      <w:lvlText w:val="•"/>
      <w:numFmt w:val="bullet"/>
      <w:start w:val="1"/>
    </w:lvl>
  </w:abstractNum>
  <w:abstractNum w:abstractNumId="91">
    <w:nsid w:val="746F2E30"/>
    <w:multiLevelType w:val="hybridMultilevel"/>
    <w:lvl w:ilvl="0">
      <w:lvlJc w:val="left"/>
      <w:lvlText w:val="•"/>
      <w:numFmt w:val="bullet"/>
      <w:start w:val="1"/>
    </w:lvl>
  </w:abstractNum>
  <w:abstractNum w:abstractNumId="92">
    <w:nsid w:val="6FDE8AF6"/>
    <w:multiLevelType w:val="hybridMultilevel"/>
    <w:lvl w:ilvl="0">
      <w:lvlJc w:val="left"/>
      <w:lvlText w:val="•"/>
      <w:numFmt w:val="bullet"/>
      <w:start w:val="1"/>
    </w:lvl>
  </w:abstractNum>
  <w:abstractNum w:abstractNumId="93">
    <w:nsid w:val="3FC32E20"/>
    <w:multiLevelType w:val="hybridMultilevel"/>
    <w:lvl w:ilvl="0">
      <w:lvlJc w:val="left"/>
      <w:lvlText w:val="•"/>
      <w:numFmt w:val="bullet"/>
      <w:start w:val="1"/>
    </w:lvl>
  </w:abstractNum>
  <w:abstractNum w:abstractNumId="94">
    <w:nsid w:val="49C0E823"/>
    <w:multiLevelType w:val="hybridMultilevel"/>
    <w:lvl w:ilvl="0">
      <w:lvlJc w:val="left"/>
      <w:lvlText w:val="•"/>
      <w:numFmt w:val="bullet"/>
      <w:start w:val="1"/>
    </w:lvl>
  </w:abstractNum>
  <w:abstractNum w:abstractNumId="95">
    <w:nsid w:val="14D53685"/>
    <w:multiLevelType w:val="hybridMultilevel"/>
    <w:lvl w:ilvl="0">
      <w:lvlJc w:val="left"/>
      <w:lvlText w:val="%1"/>
      <w:numFmt w:val="decimal"/>
      <w:start w:val="19"/>
    </w:lvl>
  </w:abstractNum>
  <w:abstractNum w:abstractNumId="96">
    <w:nsid w:val="230F856C"/>
    <w:multiLevelType w:val="hybridMultilevel"/>
    <w:lvl w:ilvl="0">
      <w:lvlJc w:val="left"/>
      <w:lvlText w:val="•"/>
      <w:numFmt w:val="bullet"/>
      <w:start w:val="1"/>
    </w:lvl>
  </w:abstractNum>
  <w:abstractNum w:abstractNumId="97">
    <w:nsid w:val="6EAA85FB"/>
    <w:multiLevelType w:val="hybridMultilevel"/>
    <w:lvl w:ilvl="0">
      <w:lvlJc w:val="left"/>
      <w:lvlText w:val="%1"/>
      <w:numFmt w:val="decimal"/>
      <w:start w:val="20"/>
    </w:lvl>
  </w:abstractNum>
  <w:abstractNum w:abstractNumId="98">
    <w:nsid w:val="3F06ECB2"/>
    <w:multiLevelType w:val="hybridMultilevel"/>
    <w:lvl w:ilvl="0">
      <w:lvlJc w:val="left"/>
      <w:lvlText w:val="•"/>
      <w:numFmt w:val="bullet"/>
      <w:start w:val="1"/>
    </w:lvl>
  </w:abstractNum>
  <w:abstractNum w:abstractNumId="99">
    <w:nsid w:val="3B594807"/>
    <w:multiLevelType w:val="hybridMultilevel"/>
    <w:lvl w:ilvl="0">
      <w:lvlJc w:val="left"/>
      <w:lvlText w:val="•"/>
      <w:numFmt w:val="bullet"/>
      <w:start w:val="1"/>
    </w:lvl>
  </w:abstractNum>
  <w:abstractNum w:abstractNumId="100">
    <w:nsid w:val="6CAA2304"/>
    <w:multiLevelType w:val="hybridMultilevel"/>
    <w:lvl w:ilvl="0">
      <w:lvlJc w:val="left"/>
      <w:lvlText w:val="•"/>
      <w:numFmt w:val="bullet"/>
      <w:start w:val="1"/>
    </w:lvl>
  </w:abstractNum>
  <w:abstractNum w:abstractNumId="101">
    <w:nsid w:val="3F7C2FF4"/>
    <w:multiLevelType w:val="hybridMultilevel"/>
    <w:lvl w:ilvl="0">
      <w:lvlJc w:val="left"/>
      <w:lvlText w:val="%1"/>
      <w:numFmt w:val="decimal"/>
      <w:start w:val="25"/>
    </w:lvl>
  </w:abstractNum>
  <w:abstractNum w:abstractNumId="102">
    <w:nsid w:val="25413BEC"/>
    <w:multiLevelType w:val="hybridMultilevel"/>
    <w:lvl w:ilvl="0">
      <w:lvlJc w:val="left"/>
      <w:lvlText w:val="•"/>
      <w:numFmt w:val="bullet"/>
      <w:start w:val="1"/>
    </w:lvl>
  </w:abstractNum>
  <w:abstractNum w:abstractNumId="103">
    <w:nsid w:val="17180B0B"/>
    <w:multiLevelType w:val="hybridMultilevel"/>
    <w:lvl w:ilvl="0">
      <w:lvlJc w:val="left"/>
      <w:lvlText w:val="•"/>
      <w:numFmt w:val="bullet"/>
      <w:start w:val="1"/>
    </w:lvl>
  </w:abstractNum>
  <w:abstractNum w:abstractNumId="104">
    <w:nsid w:val="579328B9"/>
    <w:multiLevelType w:val="hybridMultilevel"/>
    <w:lvl w:ilvl="0">
      <w:lvlJc w:val="left"/>
      <w:lvlText w:val="%1"/>
      <w:numFmt w:val="decimal"/>
      <w:start w:val="26"/>
    </w:lvl>
  </w:abstractNum>
  <w:abstractNum w:abstractNumId="105">
    <w:nsid w:val="5D205E20"/>
    <w:multiLevelType w:val="hybridMultilevel"/>
    <w:lvl w:ilvl="0">
      <w:lvlJc w:val="left"/>
      <w:lvlText w:val="•"/>
      <w:numFmt w:val="bullet"/>
      <w:start w:val="1"/>
    </w:lvl>
  </w:abstractNum>
  <w:abstractNum w:abstractNumId="106">
    <w:nsid w:val="11CCA8BA"/>
    <w:multiLevelType w:val="hybridMultilevel"/>
    <w:lvl w:ilvl="0">
      <w:lvlJc w:val="left"/>
      <w:lvlText w:val="•"/>
      <w:numFmt w:val="bullet"/>
      <w:start w:val="1"/>
    </w:lvl>
  </w:abstractNum>
  <w:abstractNum w:abstractNumId="107">
    <w:nsid w:val="4D32AB86"/>
    <w:multiLevelType w:val="hybridMultilevel"/>
    <w:lvl w:ilvl="0">
      <w:lvlJc w:val="left"/>
      <w:lvlText w:val="•"/>
      <w:numFmt w:val="bullet"/>
      <w:start w:val="1"/>
    </w:lvl>
  </w:abstractNum>
  <w:abstractNum w:abstractNumId="108">
    <w:nsid w:val="3F07ACC3"/>
    <w:multiLevelType w:val="hybridMultilevel"/>
    <w:lvl w:ilvl="0">
      <w:lvlJc w:val="left"/>
      <w:lvlText w:val="•"/>
      <w:numFmt w:val="bullet"/>
      <w:start w:val="1"/>
    </w:lvl>
  </w:abstractNum>
  <w:abstractNum w:abstractNumId="109">
    <w:nsid w:val="6B47F63E"/>
    <w:multiLevelType w:val="hybridMultilevel"/>
    <w:lvl w:ilvl="0">
      <w:lvlJc w:val="left"/>
      <w:lvlText w:val="•"/>
      <w:numFmt w:val="bullet"/>
      <w:start w:val="1"/>
    </w:lvl>
  </w:abstractNum>
  <w:abstractNum w:abstractNumId="110">
    <w:nsid w:val="5CB44A05"/>
    <w:multiLevelType w:val="hybridMultilevel"/>
    <w:lvl w:ilvl="0">
      <w:lvlJc w:val="left"/>
      <w:lvlText w:val="•"/>
      <w:numFmt w:val="bullet"/>
      <w:start w:val="1"/>
    </w:lvl>
  </w:abstractNum>
  <w:abstractNum w:abstractNumId="111">
    <w:nsid w:val="16CF80F1"/>
    <w:multiLevelType w:val="hybridMultilevel"/>
    <w:lvl w:ilvl="0">
      <w:lvlJc w:val="left"/>
      <w:lvlText w:val="•"/>
      <w:numFmt w:val="bullet"/>
      <w:start w:val="1"/>
    </w:lvl>
  </w:abstractNum>
  <w:abstractNum w:abstractNumId="112">
    <w:nsid w:val="1C695DEC"/>
    <w:multiLevelType w:val="hybridMultilevel"/>
    <w:lvl w:ilvl="0">
      <w:lvlJc w:val="left"/>
      <w:lvlText w:val="•"/>
      <w:numFmt w:val="bullet"/>
      <w:start w:val="1"/>
    </w:lvl>
  </w:abstractNum>
  <w:abstractNum w:abstractNumId="113">
    <w:nsid w:val="3FCFAED9"/>
    <w:multiLevelType w:val="hybridMultilevel"/>
    <w:lvl w:ilvl="0">
      <w:lvlJc w:val="left"/>
      <w:lvlText w:val="•"/>
      <w:numFmt w:val="bullet"/>
      <w:start w:val="1"/>
    </w:lvl>
  </w:abstractNum>
  <w:abstractNum w:abstractNumId="114">
    <w:nsid w:val="F856867"/>
    <w:multiLevelType w:val="hybridMultilevel"/>
    <w:lvl w:ilvl="0">
      <w:lvlJc w:val="left"/>
      <w:lvlText w:val="•"/>
      <w:numFmt w:val="bullet"/>
      <w:start w:val="1"/>
    </w:lvl>
  </w:abstractNum>
  <w:abstractNum w:abstractNumId="115">
    <w:nsid w:val="11B1CC33"/>
    <w:multiLevelType w:val="hybridMultilevel"/>
    <w:lvl w:ilvl="0">
      <w:lvlJc w:val="left"/>
      <w:lvlText w:val="•"/>
      <w:numFmt w:val="bullet"/>
      <w:start w:val="1"/>
    </w:lvl>
  </w:abstractNum>
  <w:abstractNum w:abstractNumId="116">
    <w:nsid w:val="2E22FBB7"/>
    <w:multiLevelType w:val="hybridMultilevel"/>
    <w:lvl w:ilvl="0">
      <w:lvlJc w:val="left"/>
      <w:lvlText w:val="•"/>
      <w:numFmt w:val="bullet"/>
      <w:start w:val="1"/>
    </w:lvl>
  </w:abstractNum>
  <w:abstractNum w:abstractNumId="117">
    <w:nsid w:val="29934699"/>
    <w:multiLevelType w:val="hybridMultilevel"/>
    <w:lvl w:ilvl="0">
      <w:lvlJc w:val="left"/>
      <w:lvlText w:val="%1"/>
      <w:numFmt w:val="decimal"/>
      <w:start w:val="28"/>
    </w:lvl>
  </w:abstractNum>
  <w:abstractNum w:abstractNumId="118">
    <w:nsid w:val="77485850"/>
    <w:multiLevelType w:val="hybridMultilevel"/>
    <w:lvl w:ilvl="0">
      <w:lvlJc w:val="left"/>
      <w:lvlText w:val="•"/>
      <w:numFmt w:val="bullet"/>
      <w:start w:val="1"/>
    </w:lvl>
  </w:abstractNum>
  <w:abstractNum w:abstractNumId="119">
    <w:nsid w:val="744939A3"/>
    <w:multiLevelType w:val="hybridMultilevel"/>
    <w:lvl w:ilvl="0">
      <w:lvlJc w:val="left"/>
      <w:lvlText w:val="•"/>
      <w:numFmt w:val="bullet"/>
      <w:start w:val="1"/>
    </w:lvl>
  </w:abstractNum>
  <w:abstractNum w:abstractNumId="120">
    <w:nsid w:val="4FA0D2E3"/>
    <w:multiLevelType w:val="hybridMultilevel"/>
    <w:lvl w:ilvl="0">
      <w:lvlJc w:val="left"/>
      <w:lvlText w:val="•"/>
      <w:numFmt w:val="bullet"/>
      <w:start w:val="1"/>
    </w:lvl>
  </w:abstractNum>
  <w:abstractNum w:abstractNumId="121">
    <w:nsid w:val="6B1D2C14"/>
    <w:multiLevelType w:val="hybridMultilevel"/>
    <w:lvl w:ilvl="0">
      <w:lvlJc w:val="left"/>
      <w:lvlText w:val="•"/>
      <w:numFmt w:val="bullet"/>
      <w:start w:val="1"/>
    </w:lvl>
  </w:abstractNum>
  <w:abstractNum w:abstractNumId="122">
    <w:nsid w:val="68B867D3"/>
    <w:multiLevelType w:val="hybridMultilevel"/>
    <w:lvl w:ilvl="0">
      <w:lvlJc w:val="left"/>
      <w:lvlText w:val="•"/>
      <w:numFmt w:val="bullet"/>
      <w:start w:val="1"/>
    </w:lvl>
  </w:abstractNum>
  <w:abstractNum w:abstractNumId="123">
    <w:nsid w:val="3F7F5DD9"/>
    <w:multiLevelType w:val="hybridMultilevel"/>
    <w:lvl w:ilvl="0">
      <w:lvlJc w:val="left"/>
      <w:lvlText w:val="•"/>
      <w:numFmt w:val="bullet"/>
      <w:start w:val="1"/>
    </w:lvl>
  </w:abstractNum>
  <w:abstractNum w:abstractNumId="124">
    <w:nsid w:val="2AE05A34"/>
    <w:multiLevelType w:val="hybridMultilevel"/>
    <w:lvl w:ilvl="0">
      <w:lvlJc w:val="left"/>
      <w:lvlText w:val="•"/>
      <w:numFmt w:val="bullet"/>
      <w:start w:val="1"/>
    </w:lvl>
  </w:abstractNum>
  <w:abstractNum w:abstractNumId="125">
    <w:nsid w:val="32794FF7"/>
    <w:multiLevelType w:val="hybridMultilevel"/>
    <w:lvl w:ilvl="0">
      <w:lvlJc w:val="left"/>
      <w:lvlText w:val="•"/>
      <w:numFmt w:val="bullet"/>
      <w:start w:val="1"/>
    </w:lvl>
  </w:abstractNum>
  <w:abstractNum w:abstractNumId="126">
    <w:nsid w:val="5454945E"/>
    <w:multiLevelType w:val="hybridMultilevel"/>
    <w:lvl w:ilvl="0">
      <w:lvlJc w:val="left"/>
      <w:lvlText w:val="•"/>
      <w:numFmt w:val="bullet"/>
      <w:start w:val="1"/>
    </w:lvl>
  </w:abstractNum>
  <w:abstractNum w:abstractNumId="127">
    <w:nsid w:val="4DEFDFA0"/>
    <w:multiLevelType w:val="hybridMultilevel"/>
    <w:lvl w:ilvl="0">
      <w:lvlJc w:val="left"/>
      <w:lvlText w:val="•"/>
      <w:numFmt w:val="bullet"/>
      <w:start w:val="1"/>
    </w:lvl>
  </w:abstractNum>
  <w:abstractNum w:abstractNumId="128">
    <w:nsid w:val="2123D5F2"/>
    <w:multiLevelType w:val="hybridMultilevel"/>
    <w:lvl w:ilvl="0">
      <w:lvlJc w:val="left"/>
      <w:lvlText w:val="•"/>
      <w:numFmt w:val="bullet"/>
      <w:start w:val="1"/>
    </w:lvl>
    <w:lvl w:ilvl="1">
      <w:lvlJc w:val="left"/>
      <w:lvlText w:val="•"/>
      <w:numFmt w:val="bullet"/>
      <w:start w:val="1"/>
    </w:lvl>
  </w:abstractNum>
  <w:abstractNum w:abstractNumId="129">
    <w:nsid w:val="135B8110"/>
    <w:multiLevelType w:val="hybridMultilevel"/>
    <w:lvl w:ilvl="0">
      <w:lvlJc w:val="left"/>
      <w:lvlText w:val="•"/>
      <w:numFmt w:val="bullet"/>
      <w:start w:val="1"/>
    </w:lvl>
  </w:abstractNum>
  <w:abstractNum w:abstractNumId="130">
    <w:nsid w:val="94927A8"/>
    <w:multiLevelType w:val="hybridMultilevel"/>
    <w:lvl w:ilvl="0">
      <w:lvlJc w:val="left"/>
      <w:lvlText w:val="•"/>
      <w:numFmt w:val="bullet"/>
      <w:start w:val="1"/>
    </w:lvl>
  </w:abstractNum>
  <w:abstractNum w:abstractNumId="131">
    <w:nsid w:val="DCDF8F6"/>
    <w:multiLevelType w:val="hybridMultilevel"/>
    <w:lvl w:ilvl="0">
      <w:lvlJc w:val="left"/>
      <w:lvlText w:val="•"/>
      <w:numFmt w:val="bullet"/>
      <w:start w:val="1"/>
    </w:lvl>
  </w:abstractNum>
  <w:abstractNum w:abstractNumId="132">
    <w:nsid w:val="52D7B105"/>
    <w:multiLevelType w:val="hybridMultilevel"/>
    <w:lvl w:ilvl="0">
      <w:lvlJc w:val="left"/>
      <w:lvlText w:val="•"/>
      <w:numFmt w:val="bullet"/>
      <w:start w:val="1"/>
    </w:lvl>
  </w:abstractNum>
  <w:abstractNum w:abstractNumId="133">
    <w:nsid w:val="2E8A6394"/>
    <w:multiLevelType w:val="hybridMultilevel"/>
    <w:lvl w:ilvl="0">
      <w:lvlJc w:val="left"/>
      <w:lvlText w:val="•"/>
      <w:numFmt w:val="bullet"/>
      <w:start w:val="1"/>
    </w:lvl>
  </w:abstractNum>
  <w:abstractNum w:abstractNumId="134">
    <w:nsid w:val="24E60401"/>
    <w:multiLevelType w:val="hybridMultilevel"/>
    <w:lvl w:ilvl="0">
      <w:lvlJc w:val="left"/>
      <w:lvlText w:val="%1"/>
      <w:numFmt w:val="decimal"/>
      <w:start w:val="29"/>
    </w:lvl>
  </w:abstractNum>
  <w:abstractNum w:abstractNumId="135">
    <w:nsid w:val="2A6AD9BE"/>
    <w:multiLevelType w:val="hybridMultilevel"/>
    <w:lvl w:ilvl="0">
      <w:lvlJc w:val="left"/>
      <w:lvlText w:val="•"/>
      <w:numFmt w:val="bullet"/>
      <w:start w:val="1"/>
    </w:lvl>
  </w:abstractNum>
  <w:abstractNum w:abstractNumId="136">
    <w:nsid w:val="BAAC1B4"/>
    <w:multiLevelType w:val="hybridMultilevel"/>
    <w:lvl w:ilvl="0">
      <w:lvlJc w:val="left"/>
      <w:lvlText w:val="%1"/>
      <w:numFmt w:val="decimal"/>
      <w:start w:val="30"/>
    </w:lvl>
  </w:abstractNum>
  <w:abstractNum w:abstractNumId="137">
    <w:nsid w:val="36B2ACBC"/>
    <w:multiLevelType w:val="hybridMultilevel"/>
    <w:lvl w:ilvl="0">
      <w:lvlJc w:val="left"/>
      <w:lvlText w:val="•"/>
      <w:numFmt w:val="bullet"/>
      <w:start w:val="1"/>
    </w:lvl>
  </w:abstractNum>
  <w:abstractNum w:abstractNumId="138">
    <w:nsid w:val="779D8544"/>
    <w:multiLevelType w:val="hybridMultilevel"/>
    <w:lvl w:ilvl="0">
      <w:lvlJc w:val="left"/>
      <w:lvlText w:val="%1"/>
      <w:numFmt w:val="decimal"/>
      <w:start w:val="33"/>
    </w:lvl>
  </w:abstractNum>
  <w:abstractNum w:abstractNumId="139">
    <w:nsid w:val="4AB26E78"/>
    <w:multiLevelType w:val="hybridMultilevel"/>
    <w:lvl w:ilvl="0">
      <w:lvlJc w:val="left"/>
      <w:lvlText w:val="•"/>
      <w:numFmt w:val="bullet"/>
      <w:start w:val="1"/>
    </w:lvl>
  </w:abstractNum>
  <w:abstractNum w:abstractNumId="140">
    <w:nsid w:val="21FAA2FA"/>
    <w:multiLevelType w:val="hybridMultilevel"/>
    <w:lvl w:ilvl="0">
      <w:lvlJc w:val="left"/>
      <w:lvlText w:val="•"/>
      <w:numFmt w:val="bullet"/>
      <w:start w:val="1"/>
    </w:lvl>
    <w:lvl w:ilvl="1">
      <w:lvlJc w:val="left"/>
      <w:lvlText w:val="•"/>
      <w:numFmt w:val="bullet"/>
      <w:start w:val="1"/>
    </w:lvl>
  </w:abstractNum>
  <w:abstractNum w:abstractNumId="141">
    <w:nsid w:val="5451CF49"/>
    <w:multiLevelType w:val="hybridMultilevel"/>
    <w:lvl w:ilvl="0">
      <w:lvlJc w:val="left"/>
      <w:lvlText w:val="%1"/>
      <w:numFmt w:val="decimal"/>
      <w:start w:val="37"/>
    </w:lvl>
  </w:abstractNum>
  <w:abstractNum w:abstractNumId="142">
    <w:nsid w:val="6181EF69"/>
    <w:multiLevelType w:val="hybridMultilevel"/>
    <w:lvl w:ilvl="0">
      <w:lvlJc w:val="left"/>
      <w:lvlText w:val="%1"/>
      <w:numFmt w:val="decimal"/>
      <w:start w:val="42"/>
    </w:lvl>
  </w:abstractNum>
  <w:abstractNum w:abstractNumId="143">
    <w:nsid w:val="3E6400E6"/>
    <w:multiLevelType w:val="hybridMultilevel"/>
    <w:lvl w:ilvl="0">
      <w:lvlJc w:val="left"/>
      <w:lvlText w:val="•"/>
      <w:numFmt w:val="bullet"/>
      <w:start w:val="1"/>
    </w:lvl>
  </w:abstractNum>
  <w:abstractNum w:abstractNumId="144">
    <w:nsid w:val="14217E23"/>
    <w:multiLevelType w:val="hybridMultilevel"/>
    <w:lvl w:ilvl="0">
      <w:lvlJc w:val="left"/>
      <w:lvlText w:val="%1"/>
      <w:numFmt w:val="decimal"/>
      <w:start w:val="46"/>
    </w:lvl>
  </w:abstractNum>
  <w:abstractNum w:abstractNumId="145">
    <w:nsid w:val="710757D0"/>
    <w:multiLevelType w:val="hybridMultilevel"/>
    <w:lvl w:ilvl="0">
      <w:lvlJc w:val="left"/>
      <w:lvlText w:val="•"/>
      <w:numFmt w:val="bullet"/>
      <w:start w:val="1"/>
    </w:lvl>
  </w:abstractNum>
  <w:abstractNum w:abstractNumId="146">
    <w:nsid w:val="5015CD1A"/>
    <w:multiLevelType w:val="hybridMultilevel"/>
    <w:lvl w:ilvl="0">
      <w:lvlJc w:val="left"/>
      <w:lvlText w:val="•"/>
      <w:numFmt w:val="bullet"/>
      <w:start w:val="1"/>
    </w:lvl>
  </w:abstractNum>
  <w:abstractNum w:abstractNumId="147">
    <w:nsid w:val="424479DA"/>
    <w:multiLevelType w:val="hybridMultilevel"/>
    <w:lvl w:ilvl="0">
      <w:lvlJc w:val="left"/>
      <w:lvlText w:val="\emdash "/>
      <w:numFmt w:val="bullet"/>
      <w:start w:val="1"/>
    </w:lvl>
    <w:lvl w:ilvl="1">
      <w:lvlJc w:val="left"/>
      <w:lvlText w:val="•"/>
      <w:numFmt w:val="bullet"/>
      <w:start w:val="1"/>
    </w:lvl>
  </w:abstractNum>
  <w:abstractNum w:abstractNumId="148">
    <w:nsid w:val="1A9A9E69"/>
    <w:multiLevelType w:val="hybridMultilevel"/>
    <w:lvl w:ilvl="0">
      <w:lvlJc w:val="left"/>
      <w:lvlText w:val="•"/>
      <w:numFmt w:val="bullet"/>
      <w:start w:val="1"/>
    </w:lvl>
  </w:abstractNum>
  <w:abstractNum w:abstractNumId="149">
    <w:nsid w:val="475E256A"/>
    <w:multiLevelType w:val="hybridMultilevel"/>
    <w:lvl w:ilvl="0">
      <w:lvlJc w:val="left"/>
      <w:lvlText w:val="•"/>
      <w:numFmt w:val="bullet"/>
      <w:start w:val="1"/>
    </w:lvl>
  </w:abstractNum>
  <w:abstractNum w:abstractNumId="150">
    <w:nsid w:val="368DB37E"/>
    <w:multiLevelType w:val="hybridMultilevel"/>
    <w:lvl w:ilvl="0">
      <w:lvlJc w:val="left"/>
      <w:lvlText w:val="%1"/>
      <w:numFmt w:val="decimal"/>
      <w:start w:val="48"/>
    </w:lvl>
  </w:abstractNum>
  <w:abstractNum w:abstractNumId="151">
    <w:nsid w:val="6A3B714C"/>
    <w:multiLevelType w:val="hybridMultilevel"/>
    <w:lvl w:ilvl="0">
      <w:lvlJc w:val="left"/>
      <w:lvlText w:val="•"/>
      <w:numFmt w:val="bullet"/>
      <w:start w:val="1"/>
    </w:lvl>
  </w:abstractNum>
  <w:abstractNum w:abstractNumId="152">
    <w:nsid w:val="327B517E"/>
    <w:multiLevelType w:val="hybridMultilevel"/>
    <w:lvl w:ilvl="0">
      <w:lvlJc w:val="left"/>
      <w:lvlText w:val="•"/>
      <w:numFmt w:val="bullet"/>
      <w:start w:val="1"/>
    </w:lvl>
  </w:abstractNum>
  <w:abstractNum w:abstractNumId="153">
    <w:nsid w:val="1F461B51"/>
    <w:multiLevelType w:val="hybridMultilevel"/>
    <w:lvl w:ilvl="0">
      <w:lvlJc w:val="left"/>
      <w:lvlText w:val="(%1)"/>
      <w:numFmt w:val="decimal"/>
      <w:start w:val="1"/>
    </w:lvl>
  </w:abstractNum>
  <w:abstractNum w:abstractNumId="154">
    <w:nsid w:val="29BACF25"/>
    <w:multiLevelType w:val="hybridMultilevel"/>
    <w:lvl w:ilvl="0">
      <w:lvlJc w:val="left"/>
      <w:lvlText w:val="•"/>
      <w:numFmt w:val="bullet"/>
      <w:start w:val="1"/>
    </w:lvl>
  </w:abstractNum>
  <w:abstractNum w:abstractNumId="155">
    <w:nsid w:val="5D5BABB3"/>
    <w:multiLevelType w:val="hybridMultilevel"/>
    <w:lvl w:ilvl="0">
      <w:lvlJc w:val="left"/>
      <w:lvlText w:val="•"/>
      <w:numFmt w:val="bullet"/>
      <w:start w:val="1"/>
    </w:lvl>
  </w:abstractNum>
  <w:abstractNum w:abstractNumId="156">
    <w:nsid w:val="51BF6B48"/>
    <w:multiLevelType w:val="hybridMultilevel"/>
    <w:lvl w:ilvl="0">
      <w:lvlJc w:val="left"/>
      <w:lvlText w:val="•"/>
      <w:numFmt w:val="bullet"/>
      <w:start w:val="1"/>
    </w:lvl>
  </w:abstractNum>
  <w:abstractNum w:abstractNumId="157">
    <w:nsid w:val="7E0F6384"/>
    <w:multiLevelType w:val="hybridMultilevel"/>
    <w:lvl w:ilvl="0">
      <w:lvlJc w:val="left"/>
      <w:lvlText w:val="•"/>
      <w:numFmt w:val="bullet"/>
      <w:start w:val="1"/>
    </w:lvl>
  </w:abstractNum>
  <w:abstractNum w:abstractNumId="158">
    <w:nsid w:val="2B4B8B53"/>
    <w:multiLevelType w:val="hybridMultilevel"/>
    <w:lvl w:ilvl="0">
      <w:lvlJc w:val="left"/>
      <w:lvlText w:val="•"/>
      <w:numFmt w:val="bullet"/>
      <w:start w:val="1"/>
    </w:lvl>
  </w:abstractNum>
  <w:abstractNum w:abstractNumId="159">
    <w:nsid w:val="72E3413A"/>
    <w:multiLevelType w:val="hybridMultilevel"/>
    <w:lvl w:ilvl="0">
      <w:lvlJc w:val="left"/>
      <w:lvlText w:val="•"/>
      <w:numFmt w:val="bullet"/>
      <w:start w:val="1"/>
    </w:lvl>
  </w:abstractNum>
  <w:abstractNum w:abstractNumId="160">
    <w:nsid w:val="116AE494"/>
    <w:multiLevelType w:val="hybridMultilevel"/>
    <w:lvl w:ilvl="0">
      <w:lvlJc w:val="left"/>
      <w:lvlText w:val="•"/>
      <w:numFmt w:val="bullet"/>
      <w:start w:val="1"/>
    </w:lvl>
  </w:abstractNum>
  <w:abstractNum w:abstractNumId="161">
    <w:nsid w:val="3494B2FB"/>
    <w:multiLevelType w:val="hybridMultilevel"/>
    <w:lvl w:ilvl="0">
      <w:lvlJc w:val="left"/>
      <w:lvlText w:val="(%1)"/>
      <w:numFmt w:val="decimal"/>
      <w:start w:val="1"/>
    </w:lvl>
  </w:abstractNum>
  <w:abstractNum w:abstractNumId="162">
    <w:nsid w:val="B13A31"/>
    <w:multiLevelType w:val="hybridMultilevel"/>
    <w:lvl w:ilvl="0">
      <w:lvlJc w:val="left"/>
      <w:lvlText w:val="•"/>
      <w:numFmt w:val="bullet"/>
      <w:start w:val="1"/>
    </w:lvl>
  </w:abstractNum>
  <w:abstractNum w:abstractNumId="163">
    <w:nsid w:val="64429599"/>
    <w:multiLevelType w:val="hybridMultilevel"/>
    <w:lvl w:ilvl="0">
      <w:lvlJc w:val="left"/>
      <w:lvlText w:val="(%1)"/>
      <w:numFmt w:val="decimal"/>
      <w:start w:val="1"/>
    </w:lvl>
  </w:abstractNum>
  <w:abstractNum w:abstractNumId="164">
    <w:nsid w:val="631F1690"/>
    <w:multiLevelType w:val="hybridMultilevel"/>
    <w:lvl w:ilvl="0">
      <w:lvlJc w:val="left"/>
      <w:lvlText w:val="•"/>
      <w:numFmt w:val="bullet"/>
      <w:start w:val="1"/>
    </w:lvl>
    <w:lvl w:ilvl="1">
      <w:lvlJc w:val="left"/>
      <w:lvlText w:val="•"/>
      <w:numFmt w:val="bullet"/>
      <w:start w:val="1"/>
    </w:lvl>
  </w:abstractNum>
  <w:abstractNum w:abstractNumId="165">
    <w:nsid w:val="25973E32"/>
    <w:multiLevelType w:val="hybridMultilevel"/>
    <w:lvl w:ilvl="0">
      <w:lvlJc w:val="left"/>
      <w:lvlText w:val="•"/>
      <w:numFmt w:val="bullet"/>
      <w:start w:val="1"/>
    </w:lvl>
    <w:lvl w:ilvl="1">
      <w:lvlJc w:val="left"/>
      <w:lvlText w:val="•"/>
      <w:numFmt w:val="bullet"/>
      <w:start w:val="1"/>
    </w:lvl>
  </w:abstractNum>
  <w:abstractNum w:abstractNumId="166">
    <w:nsid w:val="EAD6F57"/>
    <w:multiLevelType w:val="hybridMultilevel"/>
    <w:lvl w:ilvl="0">
      <w:lvlJc w:val="left"/>
      <w:lvlText w:val="•"/>
      <w:numFmt w:val="bullet"/>
      <w:start w:val="1"/>
    </w:lvl>
    <w:lvl w:ilvl="1">
      <w:lvlJc w:val="left"/>
      <w:lvlText w:val="•"/>
      <w:numFmt w:val="bullet"/>
      <w:start w:val="1"/>
    </w:lvl>
  </w:abstractNum>
  <w:abstractNum w:abstractNumId="167">
    <w:nsid w:val="6EC9D844"/>
    <w:multiLevelType w:val="hybridMultilevel"/>
    <w:lvl w:ilvl="0">
      <w:lvlJc w:val="left"/>
      <w:lvlText w:val="(%1)"/>
      <w:numFmt w:val="decimal"/>
      <w:start w:val="1"/>
    </w:lvl>
  </w:abstractNum>
  <w:abstractNum w:abstractNumId="168">
    <w:nsid w:val="5C49EAEE"/>
    <w:multiLevelType w:val="hybridMultilevel"/>
    <w:lvl w:ilvl="0">
      <w:lvlJc w:val="left"/>
      <w:lvlText w:val="(%1)"/>
      <w:numFmt w:val="decimal"/>
      <w:start w:val="2"/>
    </w:lvl>
  </w:abstractNum>
  <w:abstractNum w:abstractNumId="169">
    <w:nsid w:val="64AF49B"/>
    <w:multiLevelType w:val="hybridMultilevel"/>
    <w:lvl w:ilvl="0">
      <w:lvlJc w:val="left"/>
      <w:lvlText w:val="•"/>
      <w:numFmt w:val="bullet"/>
      <w:start w:val="1"/>
    </w:lvl>
  </w:abstractNum>
  <w:abstractNum w:abstractNumId="170">
    <w:nsid w:val="397C46BC"/>
    <w:multiLevelType w:val="hybridMultilevel"/>
    <w:lvl w:ilvl="0">
      <w:lvlJc w:val="left"/>
      <w:lvlText w:val="(%1)"/>
      <w:numFmt w:val="lowerRoman"/>
      <w:start w:val="4"/>
    </w:lvl>
  </w:abstractNum>
  <w:abstractNum w:abstractNumId="171">
    <w:nsid w:val="7E448DE9"/>
    <w:multiLevelType w:val="hybridMultilevel"/>
    <w:lvl w:ilvl="0">
      <w:lvlJc w:val="left"/>
      <w:lvlText w:val="•"/>
      <w:numFmt w:val="bullet"/>
      <w:start w:val="1"/>
    </w:lvl>
  </w:abstractNum>
  <w:abstractNum w:abstractNumId="172">
    <w:nsid w:val="5A9CC3E5"/>
    <w:multiLevelType w:val="hybridMultilevel"/>
    <w:lvl w:ilvl="0">
      <w:lvlJc w:val="left"/>
      <w:lvlText w:val="•"/>
      <w:numFmt w:val="bullet"/>
      <w:start w:val="1"/>
    </w:lvl>
  </w:abstractNum>
  <w:abstractNum w:abstractNumId="173">
    <w:nsid w:val="1AFE3625"/>
    <w:multiLevelType w:val="hybridMultilevel"/>
    <w:lvl w:ilvl="0">
      <w:lvlJc w:val="left"/>
      <w:lvlText w:val="•"/>
      <w:numFmt w:val="bullet"/>
      <w:start w:val="1"/>
    </w:lvl>
  </w:abstractNum>
  <w:abstractNum w:abstractNumId="174">
    <w:nsid w:val="3CA88ECF"/>
    <w:multiLevelType w:val="hybridMultilevel"/>
    <w:lvl w:ilvl="0">
      <w:lvlJc w:val="left"/>
      <w:lvlText w:val="(%1)"/>
      <w:numFmt w:val="decimal"/>
      <w:start w:val="1"/>
    </w:lvl>
  </w:abstractNum>
  <w:abstractNum w:abstractNumId="175">
    <w:nsid w:val="6EBE4208"/>
    <w:multiLevelType w:val="hybridMultilevel"/>
    <w:lvl w:ilvl="0">
      <w:lvlJc w:val="left"/>
      <w:lvlText w:val="(%1)"/>
      <w:numFmt w:val="decimal"/>
      <w:start w:val="1"/>
    </w:lvl>
  </w:abstractNum>
  <w:abstractNum w:abstractNumId="176">
    <w:nsid w:val="C058DF5"/>
    <w:multiLevelType w:val="hybridMultilevel"/>
    <w:lvl w:ilvl="0">
      <w:lvlJc w:val="left"/>
      <w:lvlText w:val="(%1)"/>
      <w:numFmt w:val="decimal"/>
      <w:start w:val="1"/>
    </w:lvl>
  </w:abstractNum>
  <w:abstractNum w:abstractNumId="177">
    <w:nsid w:val="CBE5BE9"/>
    <w:multiLevelType w:val="hybridMultilevel"/>
    <w:lvl w:ilvl="0">
      <w:lvlJc w:val="left"/>
      <w:lvlText w:val="-"/>
      <w:numFmt w:val="bullet"/>
      <w:start w:val="1"/>
    </w:lvl>
  </w:abstractNum>
  <w:abstractNum w:abstractNumId="178">
    <w:nsid w:val="3102BBE2"/>
    <w:multiLevelType w:val="hybridMultilevel"/>
    <w:lvl w:ilvl="0">
      <w:lvlJc w:val="left"/>
      <w:lvlText w:val="•"/>
      <w:numFmt w:val="bullet"/>
      <w:start w:val="1"/>
    </w:lvl>
  </w:abstractNum>
  <w:abstractNum w:abstractNumId="179">
    <w:nsid w:val="26A02C5E"/>
    <w:multiLevelType w:val="hybridMultilevel"/>
    <w:lvl w:ilvl="0">
      <w:lvlJc w:val="left"/>
      <w:lvlText w:val="*"/>
      <w:numFmt w:val="bullet"/>
      <w:start w:val="1"/>
    </w:lvl>
  </w:abstractNum>
  <w:abstractNum w:abstractNumId="180">
    <w:nsid w:val="541C8153"/>
    <w:multiLevelType w:val="hybridMultilevel"/>
    <w:lvl w:ilvl="0">
      <w:lvlJc w:val="left"/>
      <w:lvlText w:val="(%1)"/>
      <w:numFmt w:val="decimal"/>
      <w:start w:val="1"/>
    </w:lvl>
  </w:abstractNum>
  <w:abstractNum w:abstractNumId="181">
    <w:nsid w:val="67906F60"/>
    <w:multiLevelType w:val="hybridMultilevel"/>
    <w:lvl w:ilvl="0">
      <w:lvlJc w:val="left"/>
      <w:lvlText w:val="(%1)"/>
      <w:numFmt w:val="decimal"/>
      <w:start w:val="6"/>
    </w:lvl>
  </w:abstractNum>
  <w:abstractNum w:abstractNumId="182">
    <w:nsid w:val="10DB9DAA"/>
    <w:multiLevelType w:val="hybridMultilevel"/>
    <w:lvl w:ilvl="0">
      <w:lvlJc w:val="left"/>
      <w:lvlText w:val="•"/>
      <w:numFmt w:val="bullet"/>
      <w:start w:val="1"/>
    </w:lvl>
  </w:abstractNum>
  <w:abstractNum w:abstractNumId="183">
    <w:nsid w:val="697D2D2"/>
    <w:multiLevelType w:val="hybridMultilevel"/>
    <w:lvl w:ilvl="0">
      <w:lvlJc w:val="left"/>
      <w:lvlText w:val="(%1)"/>
      <w:numFmt w:val="upperLetter"/>
      <w:start w:val="1"/>
    </w:lvl>
  </w:abstractNum>
  <w:abstractNum w:abstractNumId="184">
    <w:nsid w:val="6D68AB2"/>
    <w:multiLevelType w:val="hybridMultilevel"/>
    <w:lvl w:ilvl="0">
      <w:lvlJc w:val="left"/>
      <w:lvlText w:val="(%1)"/>
      <w:numFmt w:val="lowerRoman"/>
      <w:start w:val="2"/>
    </w:lvl>
  </w:abstractNum>
  <w:abstractNum w:abstractNumId="185">
    <w:nsid w:val="3A966CD0"/>
    <w:multiLevelType w:val="hybridMultilevel"/>
    <w:lvl w:ilvl="0">
      <w:lvlJc w:val="left"/>
      <w:lvlText w:val="•"/>
      <w:numFmt w:val="bullet"/>
      <w:start w:val="1"/>
    </w:lvl>
  </w:abstractNum>
  <w:abstractNum w:abstractNumId="186">
    <w:nsid w:val="63F37E85"/>
    <w:multiLevelType w:val="hybridMultilevel"/>
    <w:lvl w:ilvl="0">
      <w:lvlJc w:val="left"/>
      <w:lvlText w:val="•"/>
      <w:numFmt w:val="bullet"/>
      <w:start w:val="1"/>
    </w:lvl>
  </w:abstractNum>
  <w:abstractNum w:abstractNumId="187">
    <w:nsid w:val="5895F5FA"/>
    <w:multiLevelType w:val="hybridMultilevel"/>
    <w:lvl w:ilvl="0">
      <w:lvlJc w:val="left"/>
      <w:lvlText w:val="•"/>
      <w:numFmt w:val="bullet"/>
      <w:start w:val="1"/>
    </w:lvl>
  </w:abstractNum>
  <w:abstractNum w:abstractNumId="188">
    <w:nsid w:val="38A5D054"/>
    <w:multiLevelType w:val="hybridMultilevel"/>
    <w:lvl w:ilvl="0">
      <w:lvlJc w:val="left"/>
      <w:lvlText w:val="•"/>
      <w:numFmt w:val="bullet"/>
      <w:start w:val="1"/>
    </w:lvl>
  </w:abstractNum>
  <w:abstractNum w:abstractNumId="189">
    <w:nsid w:val="F3F09D8"/>
    <w:multiLevelType w:val="hybridMultilevel"/>
    <w:lvl w:ilvl="0">
      <w:lvlJc w:val="left"/>
      <w:lvlText w:val="(%1)"/>
      <w:numFmt w:val="lowerRoman"/>
      <w:start w:val="2"/>
    </w:lvl>
  </w:abstractNum>
  <w:abstractNum w:abstractNumId="190">
    <w:nsid w:val="4B793735"/>
    <w:multiLevelType w:val="hybridMultilevel"/>
    <w:lvl w:ilvl="0">
      <w:lvlJc w:val="left"/>
      <w:lvlText w:val="(%1)"/>
      <w:numFmt w:val="lowerLetter"/>
      <w:start w:val="1"/>
    </w:lvl>
  </w:abstractNum>
  <w:abstractNum w:abstractNumId="191">
    <w:nsid w:val="4A10B4E8"/>
    <w:multiLevelType w:val="hybridMultilevel"/>
    <w:lvl w:ilvl="0">
      <w:lvlJc w:val="left"/>
      <w:lvlText w:val="(%1)"/>
      <w:numFmt w:val="lowerLetter"/>
      <w:start w:val="1"/>
    </w:lvl>
  </w:abstractNum>
  <w:abstractNum w:abstractNumId="192">
    <w:nsid w:val="43D3BCD4"/>
    <w:multiLevelType w:val="hybridMultilevel"/>
    <w:lvl w:ilvl="0">
      <w:lvlJc w:val="left"/>
      <w:lvlText w:val="%1."/>
      <w:numFmt w:val="decimal"/>
      <w:start w:val="1"/>
    </w:lvl>
  </w:abstractNum>
  <w:abstractNum w:abstractNumId="193">
    <w:nsid w:val="4C2A7166"/>
    <w:multiLevelType w:val="hybridMultilevel"/>
    <w:lvl w:ilvl="0">
      <w:lvlJc w:val="left"/>
      <w:lvlText w:val="%1."/>
      <w:numFmt w:val="decimal"/>
      <w:start w:val="3"/>
    </w:lvl>
  </w:abstractNum>
  <w:abstractNum w:abstractNumId="194">
    <w:nsid w:val="2E534A82"/>
    <w:multiLevelType w:val="hybridMultilevel"/>
    <w:lvl w:ilvl="0">
      <w:lvlJc w:val="left"/>
      <w:lvlText w:val="%1."/>
      <w:numFmt w:val="decimal"/>
      <w:start w:val="4"/>
    </w:lvl>
  </w:abstractNum>
  <w:abstractNum w:abstractNumId="195">
    <w:nsid w:val="26F2D364"/>
    <w:multiLevelType w:val="hybridMultilevel"/>
    <w:lvl w:ilvl="0">
      <w:lvlJc w:val="left"/>
      <w:lvlText w:val="%1."/>
      <w:numFmt w:val="decimal"/>
      <w:start w:val="7"/>
    </w:lvl>
  </w:abstractNum>
  <w:abstractNum w:abstractNumId="196">
    <w:nsid w:val="71C1AF98"/>
    <w:multiLevelType w:val="hybridMultilevel"/>
    <w:lvl w:ilvl="0">
      <w:lvlJc w:val="left"/>
      <w:lvlText w:val="%1."/>
      <w:numFmt w:val="decimal"/>
      <w:start w:val="8"/>
    </w:lvl>
  </w:abstractNum>
  <w:abstractNum w:abstractNumId="197">
    <w:nsid w:val="3D00B9D9"/>
    <w:multiLevelType w:val="hybridMultilevel"/>
    <w:lvl w:ilvl="0">
      <w:lvlJc w:val="left"/>
      <w:lvlText w:val="(%1)"/>
      <w:numFmt w:val="decimal"/>
      <w:start w:val="1"/>
    </w:lvl>
  </w:abstractNum>
  <w:abstractNum w:abstractNumId="198">
    <w:nsid w:val="15BCABA8"/>
    <w:multiLevelType w:val="hybridMultilevel"/>
    <w:lvl w:ilvl="0">
      <w:lvlJc w:val="left"/>
      <w:lvlText w:val="%1."/>
      <w:numFmt w:val="decimal"/>
      <w:start w:val="9"/>
    </w:lvl>
  </w:abstractNum>
  <w:abstractNum w:abstractNumId="199">
    <w:nsid w:val="4E0B9A87"/>
    <w:multiLevelType w:val="hybridMultilevel"/>
    <w:lvl w:ilvl="0">
      <w:lvlJc w:val="left"/>
      <w:lvlText w:val="%1."/>
      <w:numFmt w:val="decimal"/>
      <w:start w:val="10"/>
    </w:lvl>
  </w:abstractNum>
  <w:abstractNum w:abstractNumId="200">
    <w:nsid w:val="434BAE75"/>
    <w:multiLevelType w:val="hybridMultilevel"/>
    <w:lvl w:ilvl="0">
      <w:lvlJc w:val="left"/>
      <w:lvlText w:val="$"/>
      <w:numFmt w:val="bullet"/>
      <w:start w:val="1"/>
    </w:lvl>
  </w:abstractNum>
  <w:abstractNum w:abstractNumId="201">
    <w:nsid w:val="4F38F265"/>
    <w:multiLevelType w:val="hybridMultilevel"/>
    <w:lvl w:ilvl="0">
      <w:lvlJc w:val="left"/>
      <w:lvlText w:val="$"/>
      <w:numFmt w:val="bullet"/>
      <w:start w:val="1"/>
    </w:lvl>
  </w:abstractNum>
  <w:abstractNum w:abstractNumId="202">
    <w:nsid w:val="4C502870"/>
    <w:multiLevelType w:val="hybridMultilevel"/>
    <w:lvl w:ilvl="0">
      <w:lvlJc w:val="left"/>
      <w:lvlText w:val="%1."/>
      <w:numFmt w:val="decimal"/>
      <w:start w:val="11"/>
    </w:lvl>
  </w:abstractNum>
  <w:abstractNum w:abstractNumId="203">
    <w:nsid w:val="1DE8725A"/>
    <w:multiLevelType w:val="hybridMultilevel"/>
    <w:lvl w:ilvl="0">
      <w:lvlJc w:val="left"/>
      <w:lvlText w:val="%1."/>
      <w:numFmt w:val="decimal"/>
      <w:start w:val="12"/>
    </w:lvl>
  </w:abstractNum>
  <w:abstractNum w:abstractNumId="204">
    <w:nsid w:val="6A37288A"/>
    <w:multiLevelType w:val="hybridMultilevel"/>
    <w:lvl w:ilvl="0">
      <w:lvlJc w:val="left"/>
      <w:lvlText w:val="%1."/>
      <w:numFmt w:val="decimal"/>
      <w:start w:val="13"/>
    </w:lvl>
  </w:abstractNum>
  <w:abstractNum w:abstractNumId="205">
    <w:nsid w:val="8F8B73F"/>
    <w:multiLevelType w:val="hybridMultilevel"/>
    <w:lvl w:ilvl="0">
      <w:lvlJc w:val="left"/>
      <w:lvlText w:val="(%1)"/>
      <w:numFmt w:val="decimal"/>
      <w:start w:val="1"/>
    </w:lvl>
  </w:abstractNum>
  <w:abstractNum w:abstractNumId="206">
    <w:nsid w:val="CA6B462"/>
    <w:multiLevelType w:val="hybridMultilevel"/>
    <w:lvl w:ilvl="0">
      <w:lvlJc w:val="left"/>
      <w:lvlText w:val="%1."/>
      <w:numFmt w:val="decimal"/>
      <w:start w:val="14"/>
    </w:lvl>
  </w:abstractNum>
  <w:abstractNum w:abstractNumId="207">
    <w:nsid w:val="763CB680"/>
    <w:multiLevelType w:val="hybridMultilevel"/>
    <w:lvl w:ilvl="0">
      <w:lvlJc w:val="left"/>
      <w:lvlText w:val="%1."/>
      <w:numFmt w:val="decimal"/>
      <w:start w:val="15"/>
    </w:lvl>
  </w:abstractNum>
  <w:abstractNum w:abstractNumId="208">
    <w:nsid w:val="15B71329"/>
    <w:multiLevelType w:val="hybridMultilevel"/>
    <w:lvl w:ilvl="0">
      <w:lvlJc w:val="left"/>
      <w:lvlText w:val="%1"/>
      <w:numFmt w:val="decimal"/>
      <w:start w:val="1"/>
    </w:lvl>
    <w:lvl w:ilvl="1">
      <w:lvlJc w:val="left"/>
      <w:lvlText w:val="(%2)"/>
      <w:numFmt w:val="decimal"/>
      <w:start w:val="1"/>
    </w:lvl>
  </w:abstractNum>
  <w:abstractNum w:abstractNumId="209">
    <w:nsid w:val="3DA97044"/>
    <w:multiLevelType w:val="hybridMultilevel"/>
    <w:lvl w:ilvl="0">
      <w:lvlJc w:val="left"/>
      <w:lvlText w:val="%1."/>
      <w:numFmt w:val="decimal"/>
      <w:start w:val="16"/>
    </w:lvl>
    <w:lvl w:ilvl="1">
      <w:lvlJc w:val="left"/>
      <w:lvlText w:val="%2"/>
      <w:numFmt w:val="decimal"/>
      <w:start w:val="1"/>
    </w:lvl>
  </w:abstractNum>
  <w:abstractNum w:abstractNumId="210">
    <w:nsid w:val="1CDCE2DE"/>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2021-10-27T05:27:38Z</dcterms:created>
  <dcterms:modified xsi:type="dcterms:W3CDTF">2021-10-27T05:27:38Z</dcterms:modified>
</cp:coreProperties>
</file>