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Rent the Runway,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Wendy Ruberti</w:t>
              <w:br/>
              <w:t>APS US Management LLC, 550 Madison Avenue, 22nd Floor</w:t>
              <w:br/>
              <w:t>New York, NY, 10022</w:t>
              <w:br/>
              <w:t>(929) 783-1801</w:t>
            </w:r>
          </w:p>
          <w:p>
            <w:pPr>
              <w:pStyle w:val="TableContents"/>
              <w:bidi w:val="0"/>
              <w:jc w:val="left"/>
              <w:rPr/>
            </w:pPr>
            <w:r>
              <w:rPr/>
            </w:r>
          </w:p>
          <w:p>
            <w:pPr>
              <w:pStyle w:val="TableContents"/>
              <w:bidi w:val="0"/>
              <w:spacing w:before="0" w:after="0"/>
              <w:jc w:val="center"/>
              <w:rPr>
                <w:b/>
                <w:color w:val="0000FF"/>
              </w:rPr>
            </w:pPr>
            <w:r>
              <w:rPr>
                <w:b/>
                <w:color w:val="0000FF"/>
              </w:rPr>
              <w:t>Michael Ellis</w:t>
              <w:br/>
              <w:t>Proskauer Rose LLP, Eleven Times Square</w:t>
              <w:br/>
              <w:t>New York, NY, 10036</w:t>
              <w:br/>
              <w:t>(212) 969-3000</w:t>
            </w:r>
          </w:p>
          <w:p>
            <w:pPr>
              <w:pStyle w:val="TableContents"/>
              <w:bidi w:val="0"/>
              <w:jc w:val="left"/>
              <w:rPr/>
            </w:pPr>
            <w:r>
              <w:rPr/>
            </w:r>
          </w:p>
          <w:p>
            <w:pPr>
              <w:pStyle w:val="TableContents"/>
              <w:bidi w:val="0"/>
              <w:spacing w:before="0" w:after="0"/>
              <w:jc w:val="center"/>
              <w:rPr>
                <w:b/>
                <w:color w:val="0000FF"/>
              </w:rPr>
            </w:pPr>
            <w:r>
              <w:rPr>
                <w:b/>
                <w:color w:val="0000FF"/>
              </w:rPr>
              <w:t>Louis Rambo</w:t>
              <w:br/>
              <w:t>Proskauer Rose LLP, 1001 Pennsylvania Ave. NW, Suite 600</w:t>
              <w:br/>
              <w:t>Washington, DC, 20004</w:t>
              <w:br/>
              <w:t>(202) 416-6800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US Investments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22,937,292.00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22,937,292.00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22,937,292.00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GP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ONTARIO, CANADA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22,937,292.00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22,937,292.00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22,937,292.00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UGP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22,937,292.00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22,937,292.00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22,937,292.00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CHS Platform Holdings Pte. Ltd.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SINGAPORE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22,937,292.00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22,937,292.00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22,937,292.00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APS US Management LLC</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22,937,292.00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22,937,292.00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22,937,292.00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item1to7"/>
      <w:bookmarkStart w:id="27" w:name="item1to7"/>
      <w:bookmarkEnd w:id="27"/>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Item 1.</w:t>
            </w:r>
          </w:p>
        </w:tc>
        <w:tc>
          <w:tcPr>
            <w:tcW w:w="9034" w:type="dxa"/>
            <w:tcBorders/>
            <w:vAlign w:val="center"/>
          </w:tcPr>
          <w:p>
            <w:pPr>
              <w:pStyle w:val="TableContents"/>
              <w:bidi w:val="0"/>
              <w:spacing w:before="0" w:after="283"/>
              <w:jc w:val="left"/>
              <w:rPr/>
            </w:pPr>
            <w:r>
              <w:rPr/>
              <w:t>Security and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jc w:val="left"/>
              <w:rPr/>
            </w:pPr>
            <w:r>
              <w:rPr/>
              <w:t xml:space="preserve">Name of Issuer: </w:t>
            </w:r>
          </w:p>
          <w:p>
            <w:pPr>
              <w:pStyle w:val="TableContents"/>
              <w:bidi w:val="0"/>
              <w:spacing w:before="0" w:after="0"/>
              <w:jc w:val="left"/>
              <w:rPr/>
            </w:pPr>
            <w:r>
              <w:rPr/>
              <w:t>Rent the Runway, Inc.</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Jay Street, Brooklyn, NEW YORK , 11201.</w:t>
            </w:r>
          </w:p>
        </w:tc>
      </w:tr>
      <w:tr>
        <w:trPr/>
        <w:tc>
          <w:tcPr>
            <w:tcW w:w="1171" w:type="dxa"/>
            <w:tcBorders/>
            <w:vAlign w:val="center"/>
          </w:tcPr>
          <w:p>
            <w:pPr>
              <w:pStyle w:val="TableContents"/>
              <w:bidi w:val="0"/>
              <w:spacing w:before="0" w:after="283"/>
              <w:jc w:val="left"/>
              <w:rPr/>
            </w:pPr>
            <w:r>
              <w:rPr/>
              <w:t>Item 5.</w:t>
            </w:r>
          </w:p>
        </w:tc>
        <w:tc>
          <w:tcPr>
            <w:tcW w:w="9034" w:type="dxa"/>
            <w:tcBorders/>
            <w:vAlign w:val="center"/>
          </w:tcPr>
          <w:p>
            <w:pPr>
              <w:pStyle w:val="TableContents"/>
              <w:bidi w:val="0"/>
              <w:spacing w:before="0" w:after="283"/>
              <w:jc w:val="left"/>
              <w:rPr/>
            </w:pPr>
            <w:r>
              <w:rPr/>
              <w:t>Interest in Securities of the Issuer</w:t>
            </w:r>
          </w:p>
        </w:tc>
      </w:tr>
      <w:tr>
        <w:trPr/>
        <w:tc>
          <w:tcPr>
            <w:tcW w:w="1171" w:type="dxa"/>
            <w:tcBorders/>
            <w:vAlign w:val="center"/>
          </w:tcPr>
          <w:p>
            <w:pPr>
              <w:pStyle w:val="TableContents"/>
              <w:bidi w:val="0"/>
              <w:spacing w:before="0" w:after="283"/>
              <w:jc w:val="left"/>
              <w:rPr/>
            </w:pPr>
            <w:r>
              <w:rPr/>
              <w:t>(a)</w:t>
            </w:r>
          </w:p>
        </w:tc>
        <w:tc>
          <w:tcPr>
            <w:tcW w:w="9034" w:type="dxa"/>
            <w:tcBorders/>
            <w:vAlign w:val="center"/>
          </w:tcPr>
          <w:p>
            <w:pPr>
              <w:pStyle w:val="TableContents"/>
              <w:bidi w:val="0"/>
              <w:spacing w:before="0" w:after="0"/>
              <w:jc w:val="left"/>
              <w:rPr/>
            </w:pPr>
            <w:r>
              <w:rPr/>
              <w:t>Items 5(a)-(c) of the Schedule 13D are hereby amended and supplemented as follows: The beneficial ownership percentages reported herein are based on an aggregate of 37,999,472 shares of Class A Common Stock outstanding, comprising (i) 33,774,121 shares of Class A Common Stock outstanding as of September 4, 2026, as reported by the Issuer in its Quarterly Report on Form 10-Q filed with the Securities and Exchange Commission on September 11, 2026, and (ii) 4,225,351 shares of Class A Common Stock issued in the Issuer's Rights Offering and pursuant to the A&amp;R Backstop Agreement (as defined in Item 6 hereof). CHS US Investments directly holds 22,937,292 shares of Class A Common Stock. APS US Management is the investment manager of CHS US Investments. CHS GP is the managing member of CHS US Investments. CHS UGP is the general partner of CHS GP. CHS UGP is a direct, wholly owned subsidiary of CHS Platform.</w:t>
            </w:r>
          </w:p>
        </w:tc>
      </w:tr>
      <w:tr>
        <w:trPr/>
        <w:tc>
          <w:tcPr>
            <w:tcW w:w="1171" w:type="dxa"/>
            <w:tcBorders/>
            <w:vAlign w:val="center"/>
          </w:tcPr>
          <w:p>
            <w:pPr>
              <w:pStyle w:val="TableContents"/>
              <w:bidi w:val="0"/>
              <w:spacing w:before="0" w:after="283"/>
              <w:jc w:val="left"/>
              <w:rPr/>
            </w:pPr>
            <w:r>
              <w:rPr/>
              <w:t>(b)</w:t>
            </w:r>
          </w:p>
        </w:tc>
        <w:tc>
          <w:tcPr>
            <w:tcW w:w="9034" w:type="dxa"/>
            <w:tcBorders/>
            <w:vAlign w:val="center"/>
          </w:tcPr>
          <w:p>
            <w:pPr>
              <w:pStyle w:val="TableContents"/>
              <w:bidi w:val="0"/>
              <w:spacing w:before="0" w:after="0"/>
              <w:jc w:val="left"/>
              <w:rPr/>
            </w:pPr>
            <w:r>
              <w:rPr/>
              <w:t>The information set forth in the cover pages of this Schedule 13D is incorporated by reference into this Item 5(b). Based on filings made by Nexus and Story3, the Reporting Persons believe Nexus and Story3 each have beneficial ownership of 4,907,316 shares of Class A Common Stock, or 12.9% of the Issuer's outstanding shares of Class A Common Stock. Accordingly, the Reporting Persons believe that collectively, the Reporting Persons, Nexus, and Story3 have beneficial ownership of 32,751,924 shares of Class A Common Stock, or approximately 86.2% of the Issuer's outstanding shares of Class A Common Stock. The Reporting Persons expressly disclaim the existence of, or membership in a "group" within the meaning of Section 13(d)(3) of the Act and Rule 13d-5(b) thereunder with Nexus or Story3, as well as beneficial ownership with respect to any shares of Class A Common Stock beneficially owned by Nexus and Story3, and neither the filing of this Statement on Schedule 13D nor any of its contents shall be deemed to constitute an admission by any Reporting Person that it is the beneficial owner of any of the shares of Class A Common Stock referred to herein for purposes of Section 13(d) of the Act, or for any other purpose, and such beneficial ownership is expressly disclaimed by the Reporting Persons.</w:t>
            </w:r>
          </w:p>
        </w:tc>
      </w:tr>
      <w:tr>
        <w:trPr/>
        <w:tc>
          <w:tcPr>
            <w:tcW w:w="1171" w:type="dxa"/>
            <w:tcBorders/>
            <w:vAlign w:val="center"/>
          </w:tcPr>
          <w:p>
            <w:pPr>
              <w:pStyle w:val="TableContents"/>
              <w:bidi w:val="0"/>
              <w:spacing w:before="0" w:after="283"/>
              <w:jc w:val="left"/>
              <w:rPr/>
            </w:pPr>
            <w:r>
              <w:rPr/>
              <w:t>(c)</w:t>
            </w:r>
          </w:p>
        </w:tc>
        <w:tc>
          <w:tcPr>
            <w:tcW w:w="9034" w:type="dxa"/>
            <w:tcBorders/>
            <w:vAlign w:val="center"/>
          </w:tcPr>
          <w:p>
            <w:pPr>
              <w:pStyle w:val="TableContents"/>
              <w:bidi w:val="0"/>
              <w:spacing w:before="0" w:after="0"/>
              <w:jc w:val="left"/>
              <w:rPr/>
            </w:pPr>
            <w:r>
              <w:rPr/>
              <w:t>On October 21, 2026, CHS US Investments purchased 458,245 shares of Class A Common Stock at a purchase price of $3.55 per share pursuant to the A&amp;R Backstop Agreement. Except for such purchase, none of the Reporting Persons has effected any transaction with respect to the Class A Common Stock since the filing of Amendment No. 3 to the Schedule 13D filed on October 16, 2026.</w:t>
            </w:r>
          </w:p>
        </w:tc>
      </w:tr>
      <w:tr>
        <w:trPr/>
        <w:tc>
          <w:tcPr>
            <w:tcW w:w="1171" w:type="dxa"/>
            <w:tcBorders/>
            <w:vAlign w:val="center"/>
          </w:tcPr>
          <w:p>
            <w:pPr>
              <w:pStyle w:val="TableContents"/>
              <w:bidi w:val="0"/>
              <w:spacing w:before="0" w:after="283"/>
              <w:jc w:val="left"/>
              <w:rPr/>
            </w:pPr>
            <w:r>
              <w:rPr/>
              <w:t>Item 6.</w:t>
            </w:r>
          </w:p>
        </w:tc>
        <w:tc>
          <w:tcPr>
            <w:tcW w:w="9034" w:type="dxa"/>
            <w:tcBorders/>
            <w:vAlign w:val="center"/>
          </w:tcPr>
          <w:p>
            <w:pPr>
              <w:pStyle w:val="TableContents"/>
              <w:bidi w:val="0"/>
              <w:spacing w:before="0" w:after="283"/>
              <w:jc w:val="left"/>
              <w:rPr/>
            </w:pPr>
            <w:r>
              <w:rPr/>
              <w:t>Contracts, Arrangements, Understandings or Relationships With Respect to Securities of the Issuer</w:t>
            </w:r>
          </w:p>
        </w:tc>
      </w:tr>
      <w:tr>
        <w:trPr/>
        <w:tc>
          <w:tcPr>
            <w:tcW w:w="1171" w:type="dxa"/>
            <w:tcBorders/>
            <w:vAlign w:val="center"/>
          </w:tcPr>
          <w:p>
            <w:pPr>
              <w:pStyle w:val="TableContents"/>
              <w:bidi w:val="0"/>
              <w:spacing w:before="0" w:after="283"/>
              <w:jc w:val="left"/>
              <w:rPr/>
            </w:pPr>
            <w:r>
              <w:rPr/>
              <w:t> </w:t>
            </w:r>
          </w:p>
        </w:tc>
        <w:tc>
          <w:tcPr>
            <w:tcW w:w="9034" w:type="dxa"/>
            <w:tcBorders/>
            <w:vAlign w:val="center"/>
          </w:tcPr>
          <w:p>
            <w:pPr>
              <w:pStyle w:val="TableContents"/>
              <w:bidi w:val="0"/>
              <w:spacing w:before="0" w:after="0"/>
              <w:jc w:val="left"/>
              <w:rPr/>
            </w:pPr>
            <w:r>
              <w:rPr/>
              <w:t>Item 6 of the Schedule 13D is hereby amended and supplemented as follows: On October 20, 2026, the Investor Group and the Company entered into the Amended and Restated Rights Offering Backstop Agreement (the "A&amp;R Backstop Agreement"), which amended and restated the Rights Offering Backstop Agreement previously described in Amendment No. 2 to the Schedule 13D filed on September 11, 2026. The A&amp;R Backstop Agreement amended the Rights Offering Backstop Agreement such that the number of shares each member of the Investor Group would be required to purchase pursuant to the A&amp;R Backstop Agreement was reduced by the number of shares such investor acquired pursuant to the exercise of rights in the Issuer's Rights Offering.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signatureInfo"/>
      <w:bookmarkStart w:id="29" w:name="signatureInfo"/>
      <w:bookmarkEnd w:id="2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CHS US Investments LLC</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2"/>
        <w:gridCol w:w="4353"/>
      </w:tblGrid>
      <w:tr>
        <w:trPr/>
        <w:tc>
          <w:tcPr>
            <w:tcW w:w="585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Alexandra Grigos</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CHS GP LP, its managing member; By: CHS UGP LLC, its general partner, By: Alexandra Grigos, Director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353"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CHS GP LP</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1"/>
        <w:gridCol w:w="4434"/>
      </w:tblGrid>
      <w:tr>
        <w:trPr/>
        <w:tc>
          <w:tcPr>
            <w:tcW w:w="57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Alexandra Grigos</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By: CHS UGP LLC, its general partner, By: Alexandra Grigos, Director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43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CHS UGP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Alexandra Grigos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Alexandra Grigos,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tbl>
      <w:tblPr>
        <w:tblW w:w="6866" w:type="dxa"/>
        <w:jc w:val="left"/>
        <w:tblInd w:w="0" w:type="dxa"/>
        <w:tblLayout w:type="fixed"/>
        <w:tblCellMar>
          <w:top w:w="28" w:type="dxa"/>
          <w:left w:w="28" w:type="dxa"/>
          <w:bottom w:w="28" w:type="dxa"/>
          <w:right w:w="28" w:type="dxa"/>
        </w:tblCellMar>
      </w:tblPr>
      <w:tblGrid>
        <w:gridCol w:w="3433"/>
        <w:gridCol w:w="3433"/>
      </w:tblGrid>
      <w:tr>
        <w:trPr/>
        <w:tc>
          <w:tcPr>
            <w:tcW w:w="3433" w:type="dxa"/>
            <w:tcBorders/>
            <w:vAlign w:val="center"/>
          </w:tcPr>
          <w:p>
            <w:pPr>
              <w:pStyle w:val="TableContents"/>
              <w:bidi w:val="0"/>
              <w:spacing w:before="0" w:after="0"/>
              <w:jc w:val="left"/>
              <w:rPr/>
            </w:pPr>
            <w:r>
              <w:rPr/>
              <w:t> </w:t>
            </w:r>
          </w:p>
          <w:tbl>
            <w:tblPr>
              <w:tblW w:w="3316" w:type="dxa"/>
              <w:jc w:val="left"/>
              <w:tblInd w:w="0" w:type="dxa"/>
              <w:tblLayout w:type="fixed"/>
              <w:tblCellMar>
                <w:top w:w="28" w:type="dxa"/>
                <w:left w:w="28" w:type="dxa"/>
                <w:bottom w:w="28" w:type="dxa"/>
                <w:right w:w="28" w:type="dxa"/>
              </w:tblCellMar>
            </w:tblPr>
            <w:tblGrid>
              <w:gridCol w:w="3316"/>
            </w:tblGrid>
            <w:tr>
              <w:trPr/>
              <w:tc>
                <w:tcPr>
                  <w:tcW w:w="3316" w:type="dxa"/>
                  <w:tcBorders/>
                  <w:vAlign w:val="center"/>
                </w:tcPr>
                <w:p>
                  <w:pPr>
                    <w:pStyle w:val="TableContents"/>
                    <w:bidi w:val="0"/>
                    <w:spacing w:before="0" w:after="0"/>
                    <w:jc w:val="left"/>
                    <w:rPr/>
                  </w:pPr>
                  <w:r>
                    <w:rPr/>
                    <w:t>CHS Platform Holdings Pte. Ltd.</w:t>
                  </w:r>
                </w:p>
              </w:tc>
            </w:tr>
          </w:tbl>
          <w:p>
            <w:pPr>
              <w:pStyle w:val="TableContents"/>
              <w:bidi w:val="0"/>
              <w:spacing w:before="0" w:after="283"/>
              <w:jc w:val="left"/>
              <w:rPr/>
            </w:pPr>
            <w:r>
              <w:rPr/>
            </w:r>
          </w:p>
        </w:tc>
        <w:tc>
          <w:tcPr>
            <w:tcW w:w="34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24"/>
        <w:gridCol w:w="4181"/>
      </w:tblGrid>
      <w:tr>
        <w:trPr/>
        <w:tc>
          <w:tcPr>
            <w:tcW w:w="60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Nicolas Debetencourt</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Nicolas Debetencourt, Director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181" w:type="dxa"/>
            <w:tcBorders/>
            <w:vAlign w:val="center"/>
          </w:tcPr>
          <w:p>
            <w:pPr>
              <w:pStyle w:val="TableContents"/>
              <w:bidi w:val="0"/>
              <w:spacing w:before="0" w:after="283"/>
              <w:jc w:val="left"/>
              <w:rPr>
                <w:sz w:val="4"/>
                <w:szCs w:val="4"/>
              </w:rPr>
            </w:pPr>
            <w:r>
              <w:rPr>
                <w:sz w:val="4"/>
                <w:szCs w:val="4"/>
              </w:rPr>
            </w:r>
          </w:p>
        </w:tc>
      </w:tr>
    </w:tbl>
    <w:tbl>
      <w:tblPr>
        <w:tblW w:w="5886" w:type="dxa"/>
        <w:jc w:val="left"/>
        <w:tblInd w:w="0" w:type="dxa"/>
        <w:tblLayout w:type="fixed"/>
        <w:tblCellMar>
          <w:top w:w="28" w:type="dxa"/>
          <w:left w:w="28" w:type="dxa"/>
          <w:bottom w:w="28" w:type="dxa"/>
          <w:right w:w="28" w:type="dxa"/>
        </w:tblCellMar>
      </w:tblPr>
      <w:tblGrid>
        <w:gridCol w:w="2943"/>
        <w:gridCol w:w="2943"/>
      </w:tblGrid>
      <w:tr>
        <w:trPr/>
        <w:tc>
          <w:tcPr>
            <w:tcW w:w="2943" w:type="dxa"/>
            <w:tcBorders/>
            <w:vAlign w:val="center"/>
          </w:tcPr>
          <w:p>
            <w:pPr>
              <w:pStyle w:val="TableContents"/>
              <w:bidi w:val="0"/>
              <w:spacing w:before="0" w:after="0"/>
              <w:jc w:val="left"/>
              <w:rPr/>
            </w:pPr>
            <w:r>
              <w:rPr/>
              <w:t> </w:t>
            </w:r>
          </w:p>
          <w:tbl>
            <w:tblPr>
              <w:tblW w:w="2806" w:type="dxa"/>
              <w:jc w:val="left"/>
              <w:tblInd w:w="0" w:type="dxa"/>
              <w:tblLayout w:type="fixed"/>
              <w:tblCellMar>
                <w:top w:w="28" w:type="dxa"/>
                <w:left w:w="28" w:type="dxa"/>
                <w:bottom w:w="28" w:type="dxa"/>
                <w:right w:w="28" w:type="dxa"/>
              </w:tblCellMar>
            </w:tblPr>
            <w:tblGrid>
              <w:gridCol w:w="2806"/>
            </w:tblGrid>
            <w:tr>
              <w:trPr/>
              <w:tc>
                <w:tcPr>
                  <w:tcW w:w="2806" w:type="dxa"/>
                  <w:tcBorders/>
                  <w:vAlign w:val="center"/>
                </w:tcPr>
                <w:p>
                  <w:pPr>
                    <w:pStyle w:val="TableContents"/>
                    <w:bidi w:val="0"/>
                    <w:spacing w:before="0" w:after="0"/>
                    <w:jc w:val="left"/>
                    <w:rPr/>
                  </w:pPr>
                  <w:r>
                    <w:rPr/>
                    <w:t>APS US Management LLC</w:t>
                  </w:r>
                </w:p>
              </w:tc>
            </w:tr>
          </w:tbl>
          <w:p>
            <w:pPr>
              <w:pStyle w:val="TableContents"/>
              <w:bidi w:val="0"/>
              <w:spacing w:before="0" w:after="283"/>
              <w:jc w:val="left"/>
              <w:rPr/>
            </w:pPr>
            <w:r>
              <w:rPr/>
            </w:r>
          </w:p>
        </w:tc>
        <w:tc>
          <w:tcPr>
            <w:tcW w:w="294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Alexandra Grigos</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Alexandra Grigos, Chief Operating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10/23/2026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1628</Words>
  <Characters>8370</Characters>
  <CharactersWithSpaces>9870</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