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2374900</wp:posOffset>
            </wp:positionH>
            <wp:positionV relativeFrom="paragraph">
              <wp:posOffset>218440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13e-4)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Tender Offer Statement Under Section 14(d)(1) or 13(e)(1)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2374900</wp:posOffset>
            </wp:positionH>
            <wp:positionV relativeFrom="paragraph">
              <wp:posOffset>228600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RENT THE RUNWAY,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Subject Company (Issuer) and Filing Person (Offeror))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2374900</wp:posOffset>
            </wp:positionH>
            <wp:positionV relativeFrom="paragraph">
              <wp:posOffset>227330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left="840" w:right="2320"/>
        <w:spacing w:after="0" w:line="266" w:lineRule="auto"/>
        <w:rPr>
          <w:sz w:val="20"/>
          <w:szCs w:val="20"/>
          <w:color w:val="auto"/>
        </w:rPr>
      </w:pPr>
      <w:r>
        <w:rPr>
          <w:rFonts w:ascii="Arial" w:cs="Arial" w:eastAsia="Arial" w:hAnsi="Arial"/>
          <w:sz w:val="18"/>
          <w:szCs w:val="18"/>
          <w:b w:val="1"/>
          <w:bCs w:val="1"/>
          <w:color w:val="auto"/>
        </w:rPr>
        <w:t>Options to Purchase Class A Common Stock, Par Value $0.001 Per Share Options to Purchase Class B Common Stock, Par Value $0.001 Per Share (Title of Class of Securities)</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76010Y103 (Class A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 (Class B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(CUSIP Number of Class of Securities)</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Jennifer Y. Hyman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Co-Founder, Chief Executive Officer and Chair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Rent the Runway,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 Jay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Brooklyn, New York 11201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524-6860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Address and Telephone Number of Person Authorized To Receive Notices and Communications on Behalf of the Filing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2374900</wp:posOffset>
            </wp:positionH>
            <wp:positionV relativeFrom="paragraph">
              <wp:posOffset>226060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 D. Jaffe,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Jenna B. Cooper,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1271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906-1200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-299085</wp:posOffset>
            </wp:positionH>
            <wp:positionV relativeFrom="paragraph">
              <wp:posOffset>66040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160020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306070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800" w:top="535" w:right="819" w:bottom="1440" w:gutter="0" w:footer="0" w:header="0"/>
        </w:sectPr>
      </w:pPr>
    </w:p>
    <w:bookmarkStart w:id="1" w:name="page2"/>
    <w:bookmarkEnd w:id="1"/>
    <w:p>
      <w:pPr>
        <w:ind w:right="859" w:firstLine="8"/>
        <w:spacing w:after="0" w:line="490"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46" w:lineRule="exact"/>
        <w:rPr>
          <w:sz w:val="20"/>
          <w:szCs w:val="20"/>
          <w:color w:val="auto"/>
        </w:rPr>
      </w:pPr>
    </w:p>
    <w:p>
      <w:pPr>
        <w:ind w:left="1020" w:hanging="563"/>
        <w:spacing w:after="0"/>
        <w:tabs>
          <w:tab w:leader="none" w:pos="10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158" w:lineRule="exact"/>
        <w:rPr>
          <w:sz w:val="20"/>
          <w:szCs w:val="20"/>
          <w:color w:val="auto"/>
        </w:rPr>
      </w:pPr>
    </w:p>
    <w:p>
      <w:pPr>
        <w:ind w:left="1020" w:hanging="563"/>
        <w:spacing w:after="0"/>
        <w:tabs>
          <w:tab w:leader="none" w:pos="10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58" w:lineRule="exact"/>
        <w:rPr>
          <w:sz w:val="20"/>
          <w:szCs w:val="20"/>
          <w:color w:val="auto"/>
        </w:rPr>
      </w:pPr>
    </w:p>
    <w:p>
      <w:pPr>
        <w:ind w:left="1020" w:hanging="563"/>
        <w:spacing w:after="0"/>
        <w:tabs>
          <w:tab w:leader="none" w:pos="10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157" w:lineRule="exact"/>
        <w:rPr>
          <w:rFonts w:ascii="MS PGothic" w:cs="MS PGothic" w:eastAsia="MS PGothic" w:hAnsi="MS PGothic"/>
          <w:sz w:val="18"/>
          <w:szCs w:val="18"/>
          <w:color w:val="auto"/>
        </w:rPr>
      </w:pPr>
    </w:p>
    <w:p>
      <w:pPr>
        <w:ind w:left="1020" w:hanging="563"/>
        <w:spacing w:after="0"/>
        <w:tabs>
          <w:tab w:leader="none" w:pos="10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8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252" w:lineRule="exact"/>
        <w:rPr>
          <w:sz w:val="20"/>
          <w:szCs w:val="20"/>
          <w:color w:val="auto"/>
        </w:rPr>
      </w:pPr>
    </w:p>
    <w:p>
      <w:pPr>
        <w:ind w:left="1020" w:hanging="563"/>
        <w:spacing w:after="0"/>
        <w:tabs>
          <w:tab w:leader="none" w:pos="10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157" w:lineRule="exact"/>
        <w:rPr>
          <w:rFonts w:ascii="MS PGothic" w:cs="MS PGothic" w:eastAsia="MS PGothic" w:hAnsi="MS PGothic"/>
          <w:sz w:val="18"/>
          <w:szCs w:val="18"/>
          <w:color w:val="auto"/>
        </w:rPr>
      </w:pPr>
    </w:p>
    <w:p>
      <w:pPr>
        <w:ind w:left="1020" w:hanging="563"/>
        <w:spacing w:after="0"/>
        <w:tabs>
          <w:tab w:leader="none" w:pos="10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Amendment No. 2 to Tender Offer Statement on Schedule TO (this “Amendment No. 2”) amends and supplements the Tender Offer Statement on Schedule TO (the “Schedule TO”) relating to the Offer to Exchange Certain Eligible Outstanding Options for a Number of Replacement Restricted Stock Units, dated June 9, 2023 (as amended on July 7, 2023) (the “Offer to Exchange”) by Rent the Runway, Inc., a Delaware corporation (the “Company”), originally filed by the Company with the Securities and Exchange Commission on June 9, 2023, as amended and supplemented by Amendment No. 1 dated and filed on July 7, 2023.</w:t>
      </w:r>
    </w:p>
    <w:p>
      <w:pPr>
        <w:spacing w:after="0" w:line="21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This Amendment No. 2 is the final amendment and is being made to report the results of the Option Exchange and to amend and supplement Item 4(a) (Material Terms) of the Schedule TO to report such results.</w:t>
      </w:r>
    </w:p>
    <w:p>
      <w:pPr>
        <w:spacing w:after="0" w:line="19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information in the Schedule TO, including all schedules and annexes to the Schedule TO, which were previously filed with the Schedule TO, is incorporated herein by reference to answer the items required in this Schedule TO, except that such information is hereby amended and supplemented to the extent specifically provided in this Amendment No. 2. Except as specifically set forth herein, this Amendment No. 2 does not modify any of the information previously reported on the Schedule TO.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Terms of the Transaction.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 4(a) of the Schedule TO is amended and supplemented by adding the following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Material Terms.</w:t>
      </w:r>
    </w:p>
    <w:p>
      <w:pPr>
        <w:spacing w:after="0" w:line="25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Option Exchange expired 11:59 p.m., U.S. Eastern Time, on Monday, July 10, 2023. Pursuant to the Option Exchange, as of the expiration of the Option Exchange, 98 eligible service providers (as defined in the Offer to Exchange) tendered, and the Company accepted for cancellation, eligible options (as defined in the Offer to Exchange) to purchase an aggregate of (i) 3,570,394 shares of the Company’s Class A Common Stock, representing approximately 92% of the total shares of the Class A Common Stock underlying the eligible options held by eligible service providers and (ii) 3,057,017 shares of the Company’s Class B Common Stock, representing 100% of the total shares of the Class B Common Stock underlying the eligible options held by eligible service providers. On July 11, 2023, following the expiration of the Option Exchange, the Company granted an aggregate of 2,650,930 replacement RSUs (as defined in the Offer to Exchange) in exchange for the cancellation of the tendered eligible options. The vesting terms of the replacement RSUs are described in detail in the Offer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July 12, 2023</w:t>
      </w:r>
      <w:r>
        <w:rPr>
          <w:sz w:val="20"/>
          <w:szCs w:val="20"/>
          <w:color w:val="auto"/>
        </w:rPr>
        <w:tab/>
      </w:r>
      <w:r>
        <w:rPr>
          <w:rFonts w:ascii="Arial" w:cs="Arial" w:eastAsia="Arial" w:hAnsi="Arial"/>
          <w:sz w:val="17"/>
          <w:szCs w:val="17"/>
          <w:color w:val="auto"/>
        </w:rPr>
        <w:t>RENT THE RUNWAY, INC.</w:t>
      </w:r>
    </w:p>
    <w:p>
      <w:pPr>
        <w:spacing w:after="0" w:line="225" w:lineRule="exact"/>
        <w:rPr>
          <w:sz w:val="20"/>
          <w:szCs w:val="20"/>
          <w:color w:val="auto"/>
        </w:rPr>
      </w:pPr>
    </w:p>
    <w:p>
      <w:pPr>
        <w:ind w:left="5620"/>
        <w:spacing w:after="0"/>
        <w:tabs>
          <w:tab w:leader="none" w:pos="6060" w:val="left"/>
        </w:tabs>
        <w:rPr>
          <w:sz w:val="20"/>
          <w:szCs w:val="20"/>
          <w:color w:val="auto"/>
        </w:rPr>
      </w:pPr>
      <w:r>
        <w:rPr>
          <w:rFonts w:ascii="Arial" w:cs="Arial" w:eastAsia="Arial" w:hAnsi="Arial"/>
          <w:sz w:val="18"/>
          <w:szCs w:val="18"/>
          <w:color w:val="auto"/>
        </w:rPr>
        <w:t>By:</w:t>
        <w:tab/>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328358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3585" cy="17145"/>
                    </a:xfrm>
                    <a:prstGeom prst="rect">
                      <a:avLst/>
                    </a:prstGeom>
                    <a:noFill/>
                  </pic:spPr>
                </pic:pic>
              </a:graphicData>
            </a:graphic>
          </wp:anchor>
        </w:drawing>
      </w:r>
    </w:p>
    <w:p>
      <w:pPr>
        <w:spacing w:after="0" w:line="1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Jennifer Y. Hyman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320" w:top="364" w:right="10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of Filing Fee Tables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SC TO-I/A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Type)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RENT THE RUNWAY,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1 – Transaction Valuation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00" w:type="dxa"/>
            <w:vAlign w:val="bottom"/>
            <w:gridSpan w:val="2"/>
          </w:tcPr>
          <w:p>
            <w:pPr>
              <w:jc w:val="right"/>
              <w:ind w:right="1025"/>
              <w:spacing w:after="0"/>
              <w:rPr>
                <w:sz w:val="20"/>
                <w:szCs w:val="20"/>
                <w:color w:val="auto"/>
              </w:rPr>
            </w:pPr>
            <w:r>
              <w:rPr>
                <w:rFonts w:ascii="Arial" w:cs="Arial" w:eastAsia="Arial" w:hAnsi="Arial"/>
                <w:sz w:val="18"/>
                <w:szCs w:val="18"/>
                <w:b w:val="1"/>
                <w:bCs w:val="1"/>
                <w:color w:val="auto"/>
              </w:rPr>
              <w:t>Transaction</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Amount of</w:t>
            </w:r>
          </w:p>
        </w:tc>
      </w:tr>
      <w:tr>
        <w:trPr>
          <w:trHeight w:val="241"/>
        </w:trPr>
        <w:tc>
          <w:tcPr>
            <w:tcW w:w="340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Valuation</w:t>
            </w:r>
          </w:p>
        </w:tc>
        <w:tc>
          <w:tcPr>
            <w:tcW w:w="44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Fee Rate</w:t>
            </w:r>
          </w:p>
        </w:tc>
        <w:tc>
          <w:tcPr>
            <w:tcW w:w="5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8"/>
                <w:szCs w:val="18"/>
                <w:b w:val="1"/>
                <w:bCs w:val="1"/>
                <w:color w:val="auto"/>
                <w:w w:val="90"/>
              </w:rPr>
              <w:t>Filing Fee</w:t>
            </w:r>
          </w:p>
        </w:tc>
        <w:tc>
          <w:tcPr>
            <w:tcW w:w="440" w:type="dxa"/>
            <w:vAlign w:val="bottom"/>
            <w:tcBorders>
              <w:bottom w:val="single" w:sz="8" w:color="CCEEFF"/>
            </w:tcBorders>
          </w:tcPr>
          <w:p>
            <w:pPr>
              <w:spacing w:after="0"/>
              <w:rPr>
                <w:sz w:val="20"/>
                <w:szCs w:val="20"/>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Fees to Be Paid</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0.01102%</w:t>
            </w:r>
            <w:r>
              <w:rPr>
                <w:rFonts w:ascii="Arial" w:cs="Arial" w:eastAsia="Arial" w:hAnsi="Arial"/>
                <w:sz w:val="14"/>
                <w:szCs w:val="14"/>
                <w:color w:val="auto"/>
              </w:rPr>
              <w:t>(2)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w w:val="88"/>
              </w:rPr>
              <w:t>—</w:t>
            </w:r>
          </w:p>
        </w:tc>
        <w:tc>
          <w:tcPr>
            <w:tcW w:w="440" w:type="dxa"/>
            <w:vAlign w:val="bottom"/>
            <w:shd w:val="clear" w:color="auto" w:fill="CCEEFF"/>
          </w:tcPr>
          <w:p>
            <w:pPr>
              <w:spacing w:after="0"/>
              <w:rPr>
                <w:sz w:val="18"/>
                <w:szCs w:val="18"/>
                <w:color w:val="auto"/>
              </w:rPr>
            </w:pPr>
          </w:p>
        </w:tc>
      </w:tr>
      <w:tr>
        <w:trPr>
          <w:trHeight w:val="237"/>
        </w:trPr>
        <w:tc>
          <w:tcPr>
            <w:tcW w:w="3400" w:type="dxa"/>
            <w:vAlign w:val="bottom"/>
          </w:tcPr>
          <w:p>
            <w:pPr>
              <w:spacing w:after="0"/>
              <w:rPr>
                <w:sz w:val="20"/>
                <w:szCs w:val="20"/>
                <w:color w:val="auto"/>
              </w:rPr>
            </w:pPr>
            <w:r>
              <w:rPr>
                <w:rFonts w:ascii="Arial" w:cs="Arial" w:eastAsia="Arial" w:hAnsi="Arial"/>
                <w:sz w:val="18"/>
                <w:szCs w:val="18"/>
                <w:color w:val="auto"/>
              </w:rPr>
              <w:t>Fees Previously Paid</w:t>
            </w:r>
          </w:p>
        </w:tc>
        <w:tc>
          <w:tcPr>
            <w:tcW w:w="16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205"/>
              <w:spacing w:after="0"/>
              <w:rPr>
                <w:sz w:val="20"/>
                <w:szCs w:val="20"/>
                <w:color w:val="auto"/>
              </w:rPr>
            </w:pPr>
            <w:r>
              <w:rPr>
                <w:rFonts w:ascii="Arial" w:cs="Arial" w:eastAsia="Arial" w:hAnsi="Arial"/>
                <w:sz w:val="18"/>
                <w:szCs w:val="18"/>
                <w:color w:val="auto"/>
              </w:rPr>
              <w:t>16,644,412.80</w:t>
            </w:r>
            <w:r>
              <w:rPr>
                <w:rFonts w:ascii="Arial" w:cs="Arial" w:eastAsia="Arial" w:hAnsi="Arial"/>
                <w:sz w:val="14"/>
                <w:szCs w:val="14"/>
                <w:color w:val="auto"/>
              </w:rPr>
              <w:t>(1)</w:t>
            </w: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1,834.21</w:t>
            </w:r>
            <w:r>
              <w:rPr>
                <w:rFonts w:ascii="Arial" w:cs="Arial" w:eastAsia="Arial" w:hAnsi="Arial"/>
                <w:sz w:val="14"/>
                <w:szCs w:val="14"/>
                <w:color w:val="auto"/>
              </w:rPr>
              <w:t>(2)</w:t>
            </w:r>
          </w:p>
        </w:tc>
      </w:tr>
      <w:tr>
        <w:trPr>
          <w:trHeight w:val="216"/>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Transaction Valuation</w:t>
            </w:r>
          </w:p>
        </w:tc>
        <w:tc>
          <w:tcPr>
            <w:tcW w:w="1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16,644,412.80</w:t>
            </w:r>
          </w:p>
        </w:tc>
        <w:tc>
          <w:tcPr>
            <w:tcW w:w="440" w:type="dxa"/>
            <w:vAlign w:val="bottom"/>
            <w:tcBorders>
              <w:top w:val="single" w:sz="8" w:color="CCEEFF"/>
            </w:tcBorders>
            <w:shd w:val="clear" w:color="auto" w:fill="CCEEFF"/>
          </w:tcPr>
          <w:p>
            <w:pPr>
              <w:jc w:val="right"/>
              <w:ind w:right="205"/>
              <w:spacing w:after="0"/>
              <w:rPr>
                <w:sz w:val="20"/>
                <w:szCs w:val="20"/>
                <w:color w:val="auto"/>
              </w:rPr>
            </w:pPr>
            <w:r>
              <w:rPr>
                <w:rFonts w:ascii="Arial" w:cs="Arial" w:eastAsia="Arial" w:hAnsi="Arial"/>
                <w:sz w:val="15"/>
                <w:szCs w:val="15"/>
                <w:b w:val="1"/>
                <w:bCs w:val="1"/>
                <w:color w:val="auto"/>
                <w:w w:val="76"/>
              </w:rPr>
              <w:t>(1)</w:t>
            </w:r>
          </w:p>
        </w:tc>
        <w:tc>
          <w:tcPr>
            <w:tcW w:w="1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color w:val="auto"/>
              </w:rPr>
              <w:t>Total Fees Due for Filing</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tcPr>
          <w:p>
            <w:pPr>
              <w:jc w:val="right"/>
              <w:ind w:right="260"/>
              <w:spacing w:after="0" w:line="216" w:lineRule="exact"/>
              <w:rPr>
                <w:sz w:val="20"/>
                <w:szCs w:val="20"/>
                <w:color w:val="auto"/>
              </w:rPr>
            </w:pPr>
            <w:r>
              <w:rPr>
                <w:rFonts w:ascii="Arial" w:cs="Arial" w:eastAsia="Arial" w:hAnsi="Arial"/>
                <w:sz w:val="16"/>
                <w:szCs w:val="16"/>
                <w:b w:val="1"/>
                <w:bCs w:val="1"/>
                <w:color w:val="auto"/>
              </w:rPr>
              <w:t>1,834.21</w:t>
            </w:r>
            <w:r>
              <w:rPr>
                <w:rFonts w:ascii="Arial" w:cs="Arial" w:eastAsia="Arial" w:hAnsi="Arial"/>
                <w:sz w:val="25"/>
                <w:szCs w:val="25"/>
                <w:b w:val="1"/>
                <w:bCs w:val="1"/>
                <w:color w:val="auto"/>
                <w:vertAlign w:val="subscript"/>
              </w:rPr>
              <w:t>(2)</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Fees Previously Paid</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shd w:val="clear" w:color="auto" w:fill="CCEEFF"/>
          </w:tcPr>
          <w:p>
            <w:pPr>
              <w:jc w:val="right"/>
              <w:ind w:right="260"/>
              <w:spacing w:after="0" w:line="216" w:lineRule="exact"/>
              <w:rPr>
                <w:sz w:val="20"/>
                <w:szCs w:val="20"/>
                <w:color w:val="auto"/>
              </w:rPr>
            </w:pPr>
            <w:r>
              <w:rPr>
                <w:rFonts w:ascii="Arial" w:cs="Arial" w:eastAsia="Arial" w:hAnsi="Arial"/>
                <w:sz w:val="16"/>
                <w:szCs w:val="16"/>
                <w:b w:val="1"/>
                <w:bCs w:val="1"/>
                <w:color w:val="auto"/>
              </w:rPr>
              <w:t>1,834.21</w:t>
            </w:r>
            <w:r>
              <w:rPr>
                <w:rFonts w:ascii="Arial" w:cs="Arial" w:eastAsia="Arial" w:hAnsi="Arial"/>
                <w:sz w:val="25"/>
                <w:szCs w:val="25"/>
                <w:b w:val="1"/>
                <w:bCs w:val="1"/>
                <w:color w:val="auto"/>
                <w:vertAlign w:val="subscript"/>
              </w:rPr>
              <w:t>(2)</w:t>
            </w:r>
          </w:p>
        </w:tc>
      </w:t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color w:val="auto"/>
              </w:rPr>
              <w:t>Total Fee Offsets</w:t>
            </w: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Fee Due</w:t>
            </w: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r>
    </w:tbl>
    <w:p>
      <w:pPr>
        <w:spacing w:after="0" w:line="229" w:lineRule="exact"/>
        <w:rPr>
          <w:sz w:val="20"/>
          <w:szCs w:val="20"/>
          <w:color w:val="auto"/>
        </w:rPr>
      </w:pPr>
    </w:p>
    <w:p>
      <w:pPr>
        <w:ind w:left="500" w:right="160" w:hanging="492"/>
        <w:spacing w:after="0" w:line="25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Calculated solely for purposes of determining the filing fee. The calculation of the Transaction Valuation assumes that all outstanding options to purchase shares of the Issuer’s Class A common stock and Class B common stock, as applicable, that may be eligible for exchange in the offer will be exchanged pursuant to the offer. This calculation assumes options to purchase an aggregate of 3,878,155 shares of the Issuer's Class A common stock and 3,057,017 shares of the Issuer’s Class B common stock, having an aggregate value of $16,644,412.80 based on the average high and low prices of our Class A common stock on June 8, 2023.</w:t>
      </w:r>
    </w:p>
    <w:p>
      <w:pPr>
        <w:spacing w:after="0" w:line="214" w:lineRule="exact"/>
        <w:rPr>
          <w:rFonts w:ascii="Arial" w:cs="Arial" w:eastAsia="Arial" w:hAnsi="Arial"/>
          <w:sz w:val="18"/>
          <w:szCs w:val="18"/>
          <w:color w:val="auto"/>
        </w:rPr>
      </w:pPr>
    </w:p>
    <w:p>
      <w:pPr>
        <w:ind w:left="460" w:right="80" w:hanging="452"/>
        <w:spacing w:after="0" w:line="25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filing fee of $1,834.21 was previously paid in connection with the filing of the Tender Offer Statement on Schedule TO on June 9, 2023 by Rent the Runway, Inc., as amended by Amendment No. 1 to the Schedule TO on July 7, 2023 (File No. 005-92995). The amount of the filing fee, calculated in accordance with Rule 0-11(b) of the Securities Exchange Act of 1934, as amended, equals $110.20 per $1,000,000 of the aggregate amount of the Transaction Valuation. The Transaction Valuation set forth above was calculated for the sole purpose of determining the filing fee and should not be used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2023-07-12T13:21:19Z</dcterms:created>
  <dcterms:modified xsi:type="dcterms:W3CDTF">2023-07-12T13:21:19Z</dcterms:modified>
</cp:coreProperties>
</file>