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620395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2362200</wp:posOffset>
            </wp:positionH>
            <wp:positionV relativeFrom="paragraph">
              <wp:posOffset>46990</wp:posOffset>
            </wp:positionV>
            <wp:extent cx="24257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22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2362200</wp:posOffset>
            </wp:positionH>
            <wp:positionV relativeFrom="paragraph">
              <wp:posOffset>75565</wp:posOffset>
            </wp:positionV>
            <wp:extent cx="242570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27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 the</w:t>
      </w:r>
    </w:p>
    <w:p>
      <w:pPr>
        <w:jc w:val="center"/>
        <w:spacing w:after="0"/>
        <w:rPr>
          <w:sz w:val="20"/>
          <w:szCs w:val="20"/>
          <w:color w:val="auto"/>
        </w:rPr>
      </w:pPr>
      <w:r>
        <w:rPr>
          <w:rFonts w:ascii="Arial" w:cs="Arial" w:eastAsia="Arial" w:hAnsi="Arial"/>
          <w:sz w:val="22"/>
          <w:szCs w:val="22"/>
          <w:b w:val="1"/>
          <w:bCs w:val="1"/>
          <w:color w:val="auto"/>
        </w:rPr>
        <w:t>Securities Exchange Act of 1934</w:t>
      </w:r>
    </w:p>
    <w:p>
      <w:pPr>
        <w:spacing w:after="0" w:line="7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Date of Report (Date of earliest event reported): December 8,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2362200</wp:posOffset>
            </wp:positionH>
            <wp:positionV relativeFrom="paragraph">
              <wp:posOffset>62230</wp:posOffset>
            </wp:positionV>
            <wp:extent cx="242570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251"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Rent the Runway, Inc.</w:t>
      </w:r>
    </w:p>
    <w:p>
      <w:pPr>
        <w:spacing w:after="0" w:line="3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2362200</wp:posOffset>
            </wp:positionH>
            <wp:positionV relativeFrom="paragraph">
              <wp:posOffset>47625</wp:posOffset>
            </wp:positionV>
            <wp:extent cx="24257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293" w:lineRule="exact"/>
        <w:rPr>
          <w:sz w:val="24"/>
          <w:szCs w:val="24"/>
          <w:color w:val="auto"/>
        </w:rPr>
      </w:pPr>
    </w:p>
    <w:tbl>
      <w:tblPr>
        <w:tblLayout w:type="fixed"/>
        <w:tblInd w:w="1000" w:type="dxa"/>
        <w:tblCellMar>
          <w:top w:w="0" w:type="dxa"/>
          <w:left w:w="0" w:type="dxa"/>
          <w:bottom w:w="0" w:type="dxa"/>
          <w:right w:w="0" w:type="dxa"/>
        </w:tblCellMar>
      </w:tblPr>
      <w:tr>
        <w:trPr>
          <w:trHeight w:val="234"/>
        </w:trPr>
        <w:tc>
          <w:tcPr>
            <w:tcW w:w="1840" w:type="dxa"/>
            <w:vAlign w:val="bottom"/>
          </w:tcPr>
          <w:p>
            <w:pPr>
              <w:jc w:val="center"/>
              <w:ind w:right="122"/>
              <w:spacing w:after="0"/>
              <w:rPr>
                <w:sz w:val="20"/>
                <w:szCs w:val="20"/>
                <w:color w:val="auto"/>
              </w:rPr>
            </w:pPr>
            <w:r>
              <w:rPr>
                <w:rFonts w:ascii="Arial" w:cs="Arial" w:eastAsia="Arial" w:hAnsi="Arial"/>
                <w:sz w:val="18"/>
                <w:szCs w:val="18"/>
                <w:b w:val="1"/>
                <w:bCs w:val="1"/>
                <w:color w:val="auto"/>
                <w:w w:val="91"/>
              </w:rPr>
              <w:t>Delaware</w:t>
            </w:r>
          </w:p>
        </w:tc>
        <w:tc>
          <w:tcPr>
            <w:tcW w:w="4700" w:type="dxa"/>
            <w:vAlign w:val="bottom"/>
            <w:gridSpan w:val="2"/>
          </w:tcPr>
          <w:p>
            <w:pPr>
              <w:ind w:left="2360"/>
              <w:spacing w:after="0"/>
              <w:rPr>
                <w:sz w:val="20"/>
                <w:szCs w:val="20"/>
                <w:color w:val="auto"/>
              </w:rPr>
            </w:pPr>
            <w:r>
              <w:rPr>
                <w:rFonts w:ascii="Arial" w:cs="Arial" w:eastAsia="Arial" w:hAnsi="Arial"/>
                <w:sz w:val="18"/>
                <w:szCs w:val="18"/>
                <w:b w:val="1"/>
                <w:bCs w:val="1"/>
                <w:color w:val="auto"/>
              </w:rPr>
              <w:t>001-40958</w:t>
            </w:r>
          </w:p>
        </w:tc>
        <w:tc>
          <w:tcPr>
            <w:tcW w:w="900" w:type="dxa"/>
            <w:vAlign w:val="bottom"/>
          </w:tcPr>
          <w:p>
            <w:pPr>
              <w:spacing w:after="0"/>
              <w:rPr>
                <w:sz w:val="20"/>
                <w:szCs w:val="20"/>
                <w:color w:val="auto"/>
              </w:rPr>
            </w:pPr>
          </w:p>
        </w:tc>
        <w:tc>
          <w:tcPr>
            <w:tcW w:w="1660" w:type="dxa"/>
            <w:vAlign w:val="bottom"/>
          </w:tcPr>
          <w:p>
            <w:pPr>
              <w:jc w:val="center"/>
              <w:ind w:left="162"/>
              <w:spacing w:after="0"/>
              <w:rPr>
                <w:sz w:val="20"/>
                <w:szCs w:val="20"/>
                <w:color w:val="auto"/>
              </w:rPr>
            </w:pPr>
            <w:r>
              <w:rPr>
                <w:rFonts w:ascii="Arial" w:cs="Arial" w:eastAsia="Arial" w:hAnsi="Arial"/>
                <w:sz w:val="18"/>
                <w:szCs w:val="18"/>
                <w:b w:val="1"/>
                <w:bCs w:val="1"/>
                <w:color w:val="auto"/>
                <w:w w:val="89"/>
              </w:rPr>
              <w:t>80-0376379</w:t>
            </w:r>
          </w:p>
        </w:tc>
      </w:tr>
      <w:tr>
        <w:trPr>
          <w:trHeight w:val="166"/>
        </w:trPr>
        <w:tc>
          <w:tcPr>
            <w:tcW w:w="1840" w:type="dxa"/>
            <w:vAlign w:val="bottom"/>
          </w:tcPr>
          <w:p>
            <w:pPr>
              <w:jc w:val="center"/>
              <w:ind w:right="122"/>
              <w:spacing w:after="0"/>
              <w:rPr>
                <w:sz w:val="20"/>
                <w:szCs w:val="20"/>
                <w:color w:val="auto"/>
              </w:rPr>
            </w:pPr>
            <w:r>
              <w:rPr>
                <w:rFonts w:ascii="Arial" w:cs="Arial" w:eastAsia="Arial" w:hAnsi="Arial"/>
                <w:sz w:val="14"/>
                <w:szCs w:val="14"/>
                <w:b w:val="1"/>
                <w:bCs w:val="1"/>
                <w:color w:val="auto"/>
                <w:w w:val="93"/>
              </w:rPr>
              <w:t>(State or other jurisdiction</w:t>
            </w:r>
          </w:p>
        </w:tc>
        <w:tc>
          <w:tcPr>
            <w:tcW w:w="880" w:type="dxa"/>
            <w:vAlign w:val="bottom"/>
          </w:tcPr>
          <w:p>
            <w:pPr>
              <w:spacing w:after="0"/>
              <w:rPr>
                <w:sz w:val="14"/>
                <w:szCs w:val="14"/>
                <w:color w:val="auto"/>
              </w:rPr>
            </w:pPr>
          </w:p>
        </w:tc>
        <w:tc>
          <w:tcPr>
            <w:tcW w:w="4720" w:type="dxa"/>
            <w:vAlign w:val="bottom"/>
            <w:gridSpan w:val="2"/>
          </w:tcPr>
          <w:p>
            <w:pPr>
              <w:ind w:left="1480"/>
              <w:spacing w:after="0"/>
              <w:rPr>
                <w:sz w:val="20"/>
                <w:szCs w:val="20"/>
                <w:color w:val="auto"/>
              </w:rPr>
            </w:pPr>
            <w:r>
              <w:rPr>
                <w:rFonts w:ascii="Arial" w:cs="Arial" w:eastAsia="Arial" w:hAnsi="Arial"/>
                <w:sz w:val="14"/>
                <w:szCs w:val="14"/>
                <w:b w:val="1"/>
                <w:bCs w:val="1"/>
                <w:color w:val="auto"/>
              </w:rPr>
              <w:t>(Commission</w:t>
            </w:r>
          </w:p>
        </w:tc>
        <w:tc>
          <w:tcPr>
            <w:tcW w:w="1660" w:type="dxa"/>
            <w:vAlign w:val="bottom"/>
          </w:tcPr>
          <w:p>
            <w:pPr>
              <w:jc w:val="center"/>
              <w:ind w:left="162"/>
              <w:spacing w:after="0"/>
              <w:rPr>
                <w:sz w:val="20"/>
                <w:szCs w:val="20"/>
                <w:color w:val="auto"/>
              </w:rPr>
            </w:pPr>
            <w:r>
              <w:rPr>
                <w:rFonts w:ascii="Arial" w:cs="Arial" w:eastAsia="Arial" w:hAnsi="Arial"/>
                <w:sz w:val="14"/>
                <w:szCs w:val="14"/>
                <w:b w:val="1"/>
                <w:bCs w:val="1"/>
                <w:color w:val="auto"/>
                <w:w w:val="98"/>
              </w:rPr>
              <w:t>(IRS Employer</w:t>
            </w:r>
          </w:p>
        </w:tc>
      </w:tr>
      <w:tr>
        <w:trPr>
          <w:trHeight w:val="186"/>
        </w:trPr>
        <w:tc>
          <w:tcPr>
            <w:tcW w:w="1840" w:type="dxa"/>
            <w:vAlign w:val="bottom"/>
          </w:tcPr>
          <w:p>
            <w:pPr>
              <w:jc w:val="center"/>
              <w:ind w:right="122"/>
              <w:spacing w:after="0"/>
              <w:rPr>
                <w:sz w:val="20"/>
                <w:szCs w:val="20"/>
                <w:color w:val="auto"/>
              </w:rPr>
            </w:pPr>
            <w:r>
              <w:rPr>
                <w:rFonts w:ascii="Arial" w:cs="Arial" w:eastAsia="Arial" w:hAnsi="Arial"/>
                <w:sz w:val="14"/>
                <w:szCs w:val="14"/>
                <w:b w:val="1"/>
                <w:bCs w:val="1"/>
                <w:color w:val="auto"/>
                <w:w w:val="92"/>
              </w:rPr>
              <w:t>of incorporation)</w:t>
            </w:r>
          </w:p>
        </w:tc>
        <w:tc>
          <w:tcPr>
            <w:tcW w:w="880" w:type="dxa"/>
            <w:vAlign w:val="bottom"/>
          </w:tcPr>
          <w:p>
            <w:pPr>
              <w:spacing w:after="0"/>
              <w:rPr>
                <w:sz w:val="16"/>
                <w:szCs w:val="16"/>
                <w:color w:val="auto"/>
              </w:rPr>
            </w:pPr>
          </w:p>
        </w:tc>
        <w:tc>
          <w:tcPr>
            <w:tcW w:w="4720" w:type="dxa"/>
            <w:vAlign w:val="bottom"/>
            <w:gridSpan w:val="2"/>
          </w:tcPr>
          <w:p>
            <w:pPr>
              <w:ind w:left="1460"/>
              <w:spacing w:after="0"/>
              <w:rPr>
                <w:sz w:val="20"/>
                <w:szCs w:val="20"/>
                <w:color w:val="auto"/>
              </w:rPr>
            </w:pPr>
            <w:r>
              <w:rPr>
                <w:rFonts w:ascii="Arial" w:cs="Arial" w:eastAsia="Arial" w:hAnsi="Arial"/>
                <w:sz w:val="14"/>
                <w:szCs w:val="14"/>
                <w:b w:val="1"/>
                <w:bCs w:val="1"/>
                <w:color w:val="auto"/>
              </w:rPr>
              <w:t>File Number)</w:t>
            </w:r>
          </w:p>
        </w:tc>
        <w:tc>
          <w:tcPr>
            <w:tcW w:w="1660" w:type="dxa"/>
            <w:vAlign w:val="bottom"/>
          </w:tcPr>
          <w:p>
            <w:pPr>
              <w:jc w:val="center"/>
              <w:ind w:left="162"/>
              <w:spacing w:after="0"/>
              <w:rPr>
                <w:sz w:val="20"/>
                <w:szCs w:val="20"/>
                <w:color w:val="auto"/>
              </w:rPr>
            </w:pPr>
            <w:r>
              <w:rPr>
                <w:rFonts w:ascii="Arial" w:cs="Arial" w:eastAsia="Arial" w:hAnsi="Arial"/>
                <w:sz w:val="14"/>
                <w:szCs w:val="14"/>
                <w:b w:val="1"/>
                <w:bCs w:val="1"/>
                <w:color w:val="auto"/>
                <w:w w:val="95"/>
              </w:rPr>
              <w:t>Identification Number)</w:t>
            </w:r>
          </w:p>
        </w:tc>
      </w:tr>
      <w:tr>
        <w:trPr>
          <w:trHeight w:val="412"/>
        </w:trPr>
        <w:tc>
          <w:tcPr>
            <w:tcW w:w="18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720" w:type="dxa"/>
            <w:vAlign w:val="bottom"/>
            <w:gridSpan w:val="2"/>
          </w:tcPr>
          <w:p>
            <w:pPr>
              <w:jc w:val="center"/>
              <w:ind w:right="920"/>
              <w:spacing w:after="0"/>
              <w:rPr>
                <w:sz w:val="20"/>
                <w:szCs w:val="20"/>
                <w:color w:val="auto"/>
              </w:rPr>
            </w:pPr>
            <w:r>
              <w:rPr>
                <w:rFonts w:ascii="Arial" w:cs="Arial" w:eastAsia="Arial" w:hAnsi="Arial"/>
                <w:sz w:val="18"/>
                <w:szCs w:val="18"/>
                <w:b w:val="1"/>
                <w:bCs w:val="1"/>
                <w:color w:val="auto"/>
                <w:w w:val="91"/>
              </w:rPr>
              <w:t>Rent the Runway, Inc.</w:t>
            </w:r>
          </w:p>
        </w:tc>
        <w:tc>
          <w:tcPr>
            <w:tcW w:w="1660" w:type="dxa"/>
            <w:vAlign w:val="bottom"/>
          </w:tcPr>
          <w:p>
            <w:pPr>
              <w:spacing w:after="0"/>
              <w:rPr>
                <w:sz w:val="24"/>
                <w:szCs w:val="24"/>
                <w:color w:val="auto"/>
              </w:rPr>
            </w:pPr>
          </w:p>
        </w:tc>
      </w:tr>
      <w:tr>
        <w:trPr>
          <w:trHeight w:val="203"/>
        </w:trPr>
        <w:tc>
          <w:tcPr>
            <w:tcW w:w="18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720" w:type="dxa"/>
            <w:vAlign w:val="bottom"/>
            <w:gridSpan w:val="2"/>
          </w:tcPr>
          <w:p>
            <w:pPr>
              <w:jc w:val="center"/>
              <w:ind w:right="920"/>
              <w:spacing w:after="0" w:line="202" w:lineRule="exact"/>
              <w:rPr>
                <w:sz w:val="20"/>
                <w:szCs w:val="20"/>
                <w:color w:val="auto"/>
              </w:rPr>
            </w:pPr>
            <w:r>
              <w:rPr>
                <w:rFonts w:ascii="Arial" w:cs="Arial" w:eastAsia="Arial" w:hAnsi="Arial"/>
                <w:sz w:val="18"/>
                <w:szCs w:val="18"/>
                <w:b w:val="1"/>
                <w:bCs w:val="1"/>
                <w:color w:val="auto"/>
                <w:w w:val="89"/>
              </w:rPr>
              <w:t>10 Jay Street</w:t>
            </w:r>
          </w:p>
        </w:tc>
        <w:tc>
          <w:tcPr>
            <w:tcW w:w="1660" w:type="dxa"/>
            <w:vAlign w:val="bottom"/>
          </w:tcPr>
          <w:p>
            <w:pPr>
              <w:spacing w:after="0"/>
              <w:rPr>
                <w:sz w:val="17"/>
                <w:szCs w:val="17"/>
                <w:color w:val="auto"/>
              </w:rPr>
            </w:pPr>
          </w:p>
        </w:tc>
      </w:tr>
      <w:tr>
        <w:trPr>
          <w:trHeight w:val="198"/>
        </w:trPr>
        <w:tc>
          <w:tcPr>
            <w:tcW w:w="18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720" w:type="dxa"/>
            <w:vAlign w:val="bottom"/>
            <w:gridSpan w:val="2"/>
          </w:tcPr>
          <w:p>
            <w:pPr>
              <w:jc w:val="center"/>
              <w:ind w:right="900"/>
              <w:spacing w:after="0" w:line="198" w:lineRule="exact"/>
              <w:rPr>
                <w:sz w:val="20"/>
                <w:szCs w:val="20"/>
                <w:color w:val="auto"/>
              </w:rPr>
            </w:pPr>
            <w:r>
              <w:rPr>
                <w:rFonts w:ascii="Arial" w:cs="Arial" w:eastAsia="Arial" w:hAnsi="Arial"/>
                <w:sz w:val="18"/>
                <w:szCs w:val="18"/>
                <w:b w:val="1"/>
                <w:bCs w:val="1"/>
                <w:color w:val="auto"/>
                <w:w w:val="91"/>
              </w:rPr>
              <w:t>Brooklyn, New York 11201</w:t>
            </w:r>
          </w:p>
        </w:tc>
        <w:tc>
          <w:tcPr>
            <w:tcW w:w="1660" w:type="dxa"/>
            <w:vAlign w:val="bottom"/>
          </w:tcPr>
          <w:p>
            <w:pPr>
              <w:spacing w:after="0"/>
              <w:rPr>
                <w:sz w:val="17"/>
                <w:szCs w:val="17"/>
                <w:color w:val="auto"/>
              </w:rPr>
            </w:pPr>
          </w:p>
        </w:tc>
      </w:tr>
      <w:tr>
        <w:trPr>
          <w:trHeight w:val="186"/>
        </w:trPr>
        <w:tc>
          <w:tcPr>
            <w:tcW w:w="18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720" w:type="dxa"/>
            <w:vAlign w:val="bottom"/>
            <w:gridSpan w:val="2"/>
          </w:tcPr>
          <w:p>
            <w:pPr>
              <w:jc w:val="center"/>
              <w:ind w:right="920"/>
              <w:spacing w:after="0"/>
              <w:rPr>
                <w:sz w:val="20"/>
                <w:szCs w:val="20"/>
                <w:color w:val="auto"/>
              </w:rPr>
            </w:pPr>
            <w:r>
              <w:rPr>
                <w:rFonts w:ascii="Arial" w:cs="Arial" w:eastAsia="Arial" w:hAnsi="Arial"/>
                <w:sz w:val="14"/>
                <w:szCs w:val="14"/>
                <w:b w:val="1"/>
                <w:bCs w:val="1"/>
                <w:color w:val="auto"/>
                <w:w w:val="92"/>
              </w:rPr>
              <w:t>(Address of principal executive offices, including Zip Code)</w:t>
            </w:r>
          </w:p>
        </w:tc>
        <w:tc>
          <w:tcPr>
            <w:tcW w:w="1660" w:type="dxa"/>
            <w:vAlign w:val="bottom"/>
          </w:tcPr>
          <w:p>
            <w:pPr>
              <w:spacing w:after="0"/>
              <w:rPr>
                <w:sz w:val="16"/>
                <w:szCs w:val="16"/>
                <w:color w:val="auto"/>
              </w:rPr>
            </w:pPr>
          </w:p>
        </w:tc>
      </w:tr>
      <w:tr>
        <w:trPr>
          <w:trHeight w:val="323"/>
        </w:trPr>
        <w:tc>
          <w:tcPr>
            <w:tcW w:w="1840" w:type="dxa"/>
            <w:vAlign w:val="bottom"/>
          </w:tcPr>
          <w:p>
            <w:pPr>
              <w:spacing w:after="0"/>
              <w:rPr>
                <w:sz w:val="24"/>
                <w:szCs w:val="24"/>
                <w:color w:val="auto"/>
              </w:rPr>
            </w:pPr>
          </w:p>
        </w:tc>
        <w:tc>
          <w:tcPr>
            <w:tcW w:w="5600" w:type="dxa"/>
            <w:vAlign w:val="bottom"/>
            <w:gridSpan w:val="3"/>
          </w:tcPr>
          <w:p>
            <w:pPr>
              <w:jc w:val="center"/>
              <w:ind w:right="40"/>
              <w:spacing w:after="0"/>
              <w:rPr>
                <w:sz w:val="20"/>
                <w:szCs w:val="20"/>
                <w:color w:val="auto"/>
              </w:rPr>
            </w:pPr>
            <w:r>
              <w:rPr>
                <w:rFonts w:ascii="Arial" w:cs="Arial" w:eastAsia="Arial" w:hAnsi="Arial"/>
                <w:sz w:val="18"/>
                <w:szCs w:val="18"/>
                <w:b w:val="1"/>
                <w:bCs w:val="1"/>
                <w:color w:val="auto"/>
                <w:w w:val="89"/>
              </w:rPr>
              <w:t>Registrant’s telephone number, including area code: (212) 524-6860</w:t>
            </w:r>
          </w:p>
        </w:tc>
        <w:tc>
          <w:tcPr>
            <w:tcW w:w="1660" w:type="dxa"/>
            <w:vAlign w:val="bottom"/>
          </w:tcPr>
          <w:p>
            <w:pPr>
              <w:spacing w:after="0"/>
              <w:rPr>
                <w:sz w:val="24"/>
                <w:szCs w:val="24"/>
                <w:color w:val="auto"/>
              </w:rPr>
            </w:pPr>
          </w:p>
        </w:tc>
      </w:tr>
      <w:tr>
        <w:trPr>
          <w:trHeight w:val="68"/>
        </w:trPr>
        <w:tc>
          <w:tcPr>
            <w:tcW w:w="1840" w:type="dxa"/>
            <w:vAlign w:val="bottom"/>
          </w:tcPr>
          <w:p>
            <w:pPr>
              <w:spacing w:after="0"/>
              <w:rPr>
                <w:sz w:val="5"/>
                <w:szCs w:val="5"/>
                <w:color w:val="auto"/>
              </w:rPr>
            </w:pPr>
          </w:p>
        </w:tc>
        <w:tc>
          <w:tcPr>
            <w:tcW w:w="880" w:type="dxa"/>
            <w:vAlign w:val="bottom"/>
          </w:tcPr>
          <w:p>
            <w:pPr>
              <w:spacing w:after="0"/>
              <w:rPr>
                <w:sz w:val="5"/>
                <w:szCs w:val="5"/>
                <w:color w:val="auto"/>
              </w:rPr>
            </w:pPr>
          </w:p>
        </w:tc>
        <w:tc>
          <w:tcPr>
            <w:tcW w:w="3820" w:type="dxa"/>
            <w:vAlign w:val="bottom"/>
            <w:tcBorders>
              <w:bottom w:val="single" w:sz="8" w:color="auto"/>
            </w:tcBorders>
          </w:tcPr>
          <w:p>
            <w:pPr>
              <w:spacing w:after="0"/>
              <w:rPr>
                <w:sz w:val="5"/>
                <w:szCs w:val="5"/>
                <w:color w:val="auto"/>
              </w:rPr>
            </w:pPr>
          </w:p>
        </w:tc>
        <w:tc>
          <w:tcPr>
            <w:tcW w:w="900" w:type="dxa"/>
            <w:vAlign w:val="bottom"/>
          </w:tcPr>
          <w:p>
            <w:pPr>
              <w:spacing w:after="0"/>
              <w:rPr>
                <w:sz w:val="5"/>
                <w:szCs w:val="5"/>
                <w:color w:val="auto"/>
              </w:rPr>
            </w:pPr>
          </w:p>
        </w:tc>
        <w:tc>
          <w:tcPr>
            <w:tcW w:w="1660" w:type="dxa"/>
            <w:vAlign w:val="bottom"/>
          </w:tcPr>
          <w:p>
            <w:pPr>
              <w:spacing w:after="0"/>
              <w:rPr>
                <w:sz w:val="5"/>
                <w:szCs w:val="5"/>
                <w:color w:val="auto"/>
              </w:rPr>
            </w:pPr>
          </w:p>
        </w:tc>
      </w:tr>
    </w:tbl>
    <w:p>
      <w:pPr>
        <w:spacing w:after="0" w:line="188" w:lineRule="exact"/>
        <w:rPr>
          <w:sz w:val="24"/>
          <w:szCs w:val="24"/>
          <w:color w:val="auto"/>
        </w:rPr>
      </w:pPr>
    </w:p>
    <w:p>
      <w:pPr>
        <w:ind w:right="680"/>
        <w:spacing w:after="0" w:line="261"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17" w:lineRule="exact"/>
        <w:rPr>
          <w:sz w:val="24"/>
          <w:szCs w:val="24"/>
          <w:color w:val="auto"/>
        </w:rPr>
      </w:pPr>
    </w:p>
    <w:p>
      <w:pPr>
        <w:ind w:left="1060" w:hanging="397"/>
        <w:spacing w:after="0"/>
        <w:tabs>
          <w:tab w:leader="none" w:pos="10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2" w:lineRule="exact"/>
        <w:rPr>
          <w:rFonts w:ascii="MS PGothic" w:cs="MS PGothic" w:eastAsia="MS PGothic" w:hAnsi="MS PGothic"/>
          <w:sz w:val="18"/>
          <w:szCs w:val="18"/>
          <w:color w:val="auto"/>
        </w:rPr>
      </w:pPr>
    </w:p>
    <w:p>
      <w:pPr>
        <w:ind w:left="1060" w:hanging="397"/>
        <w:spacing w:after="0"/>
        <w:tabs>
          <w:tab w:leader="none" w:pos="10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38" w:lineRule="exact"/>
        <w:rPr>
          <w:rFonts w:ascii="MS PGothic" w:cs="MS PGothic" w:eastAsia="MS PGothic" w:hAnsi="MS PGothic"/>
          <w:sz w:val="18"/>
          <w:szCs w:val="18"/>
          <w:color w:val="auto"/>
        </w:rPr>
      </w:pPr>
    </w:p>
    <w:p>
      <w:pPr>
        <w:ind w:left="1060" w:hanging="397"/>
        <w:spacing w:after="0"/>
        <w:tabs>
          <w:tab w:leader="none" w:pos="10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52" w:lineRule="exact"/>
        <w:rPr>
          <w:rFonts w:ascii="MS PGothic" w:cs="MS PGothic" w:eastAsia="MS PGothic" w:hAnsi="MS PGothic"/>
          <w:sz w:val="18"/>
          <w:szCs w:val="18"/>
          <w:color w:val="auto"/>
        </w:rPr>
      </w:pPr>
    </w:p>
    <w:p>
      <w:pPr>
        <w:ind w:left="1060" w:hanging="397"/>
        <w:spacing w:after="0"/>
        <w:tabs>
          <w:tab w:leader="none" w:pos="10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12"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63" w:lineRule="exact"/>
        <w:rPr>
          <w:sz w:val="24"/>
          <w:szCs w:val="24"/>
          <w:color w:val="auto"/>
        </w:rPr>
      </w:pPr>
    </w:p>
    <w:tbl>
      <w:tblPr>
        <w:tblLayout w:type="fixed"/>
        <w:tblInd w:w="0" w:type="dxa"/>
        <w:tblCellMar>
          <w:top w:w="0" w:type="dxa"/>
          <w:left w:w="0" w:type="dxa"/>
          <w:bottom w:w="0" w:type="dxa"/>
          <w:right w:w="0" w:type="dxa"/>
        </w:tblCellMar>
      </w:tblPr>
      <w:tr>
        <w:trPr>
          <w:trHeight w:val="162"/>
        </w:trPr>
        <w:tc>
          <w:tcPr>
            <w:tcW w:w="3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7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7"/>
              </w:rPr>
              <w:t>Trading</w:t>
            </w:r>
          </w:p>
        </w:tc>
        <w:tc>
          <w:tcPr>
            <w:tcW w:w="3580" w:type="dxa"/>
            <w:vAlign w:val="bottom"/>
          </w:tcPr>
          <w:p>
            <w:pPr>
              <w:spacing w:after="0"/>
              <w:rPr>
                <w:sz w:val="14"/>
                <w:szCs w:val="14"/>
                <w:color w:val="auto"/>
              </w:rPr>
            </w:pPr>
          </w:p>
        </w:tc>
      </w:tr>
      <w:tr>
        <w:trPr>
          <w:trHeight w:val="219"/>
        </w:trPr>
        <w:tc>
          <w:tcPr>
            <w:tcW w:w="39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7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1"/>
              </w:rPr>
              <w:t>Symbol(s)</w:t>
            </w:r>
          </w:p>
        </w:tc>
        <w:tc>
          <w:tcPr>
            <w:tcW w:w="3580" w:type="dxa"/>
            <w:vAlign w:val="bottom"/>
          </w:tcPr>
          <w:p>
            <w:pPr>
              <w:jc w:val="center"/>
              <w:spacing w:after="0"/>
              <w:rPr>
                <w:sz w:val="20"/>
                <w:szCs w:val="20"/>
                <w:color w:val="auto"/>
              </w:rPr>
            </w:pPr>
            <w:r>
              <w:rPr>
                <w:rFonts w:ascii="Arial" w:cs="Arial" w:eastAsia="Arial" w:hAnsi="Arial"/>
                <w:sz w:val="14"/>
                <w:szCs w:val="14"/>
                <w:b w:val="1"/>
                <w:bCs w:val="1"/>
                <w:color w:val="auto"/>
                <w:w w:val="89"/>
              </w:rPr>
              <w:t>Name of each exchange on which registered</w:t>
            </w:r>
          </w:p>
        </w:tc>
      </w:tr>
      <w:tr>
        <w:trPr>
          <w:trHeight w:val="175"/>
        </w:trPr>
        <w:tc>
          <w:tcPr>
            <w:tcW w:w="3780" w:type="dxa"/>
            <w:vAlign w:val="bottom"/>
            <w:tcBorders>
              <w:top w:val="single" w:sz="8" w:color="auto"/>
            </w:tcBorders>
          </w:tcPr>
          <w:p>
            <w:pPr>
              <w:jc w:val="center"/>
              <w:spacing w:after="0" w:line="175" w:lineRule="exact"/>
              <w:rPr>
                <w:sz w:val="20"/>
                <w:szCs w:val="20"/>
                <w:color w:val="auto"/>
              </w:rPr>
            </w:pPr>
            <w:r>
              <w:rPr>
                <w:rFonts w:ascii="Arial" w:cs="Arial" w:eastAsia="Arial" w:hAnsi="Arial"/>
                <w:sz w:val="18"/>
                <w:szCs w:val="18"/>
                <w:b w:val="1"/>
                <w:bCs w:val="1"/>
                <w:color w:val="auto"/>
                <w:w w:val="89"/>
              </w:rPr>
              <w:t>Class A common stock, $0.001 par value per</w:t>
            </w:r>
          </w:p>
        </w:tc>
        <w:tc>
          <w:tcPr>
            <w:tcW w:w="160" w:type="dxa"/>
            <w:vAlign w:val="bottom"/>
          </w:tcPr>
          <w:p>
            <w:pPr>
              <w:spacing w:after="0"/>
              <w:rPr>
                <w:sz w:val="15"/>
                <w:szCs w:val="15"/>
                <w:color w:val="auto"/>
              </w:rPr>
            </w:pPr>
          </w:p>
        </w:tc>
        <w:tc>
          <w:tcPr>
            <w:tcW w:w="3580" w:type="dxa"/>
            <w:vAlign w:val="bottom"/>
            <w:tcBorders>
              <w:top w:val="single" w:sz="8" w:color="auto"/>
            </w:tcBorders>
          </w:tcPr>
          <w:p>
            <w:pPr>
              <w:jc w:val="center"/>
              <w:spacing w:after="0" w:line="175" w:lineRule="exact"/>
              <w:rPr>
                <w:sz w:val="20"/>
                <w:szCs w:val="20"/>
                <w:color w:val="auto"/>
              </w:rPr>
            </w:pPr>
            <w:r>
              <w:rPr>
                <w:rFonts w:ascii="Arial" w:cs="Arial" w:eastAsia="Arial" w:hAnsi="Arial"/>
                <w:sz w:val="18"/>
                <w:szCs w:val="18"/>
                <w:b w:val="1"/>
                <w:bCs w:val="1"/>
                <w:color w:val="auto"/>
              </w:rPr>
              <w:t>RENT</w:t>
            </w:r>
          </w:p>
        </w:tc>
        <w:tc>
          <w:tcPr>
            <w:tcW w:w="140" w:type="dxa"/>
            <w:vAlign w:val="bottom"/>
          </w:tcPr>
          <w:p>
            <w:pPr>
              <w:spacing w:after="0"/>
              <w:rPr>
                <w:sz w:val="15"/>
                <w:szCs w:val="15"/>
                <w:color w:val="auto"/>
              </w:rPr>
            </w:pPr>
          </w:p>
        </w:tc>
        <w:tc>
          <w:tcPr>
            <w:tcW w:w="3580" w:type="dxa"/>
            <w:vAlign w:val="bottom"/>
            <w:tcBorders>
              <w:top w:val="single" w:sz="8" w:color="auto"/>
            </w:tcBorders>
          </w:tcPr>
          <w:p>
            <w:pPr>
              <w:jc w:val="center"/>
              <w:spacing w:after="0" w:line="175" w:lineRule="exact"/>
              <w:rPr>
                <w:sz w:val="20"/>
                <w:szCs w:val="20"/>
                <w:color w:val="auto"/>
              </w:rPr>
            </w:pPr>
            <w:r>
              <w:rPr>
                <w:rFonts w:ascii="Arial" w:cs="Arial" w:eastAsia="Arial" w:hAnsi="Arial"/>
                <w:sz w:val="18"/>
                <w:szCs w:val="18"/>
                <w:b w:val="1"/>
                <w:bCs w:val="1"/>
                <w:color w:val="auto"/>
                <w:w w:val="92"/>
              </w:rPr>
              <w:t>The Nasdaq Global Select Market</w:t>
            </w:r>
          </w:p>
        </w:tc>
      </w:tr>
      <w:tr>
        <w:trPr>
          <w:trHeight w:val="234"/>
        </w:trPr>
        <w:tc>
          <w:tcPr>
            <w:tcW w:w="394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7"/>
              </w:rPr>
              <w:t>share</w:t>
            </w:r>
          </w:p>
        </w:tc>
        <w:tc>
          <w:tcPr>
            <w:tcW w:w="3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580" w:type="dxa"/>
            <w:vAlign w:val="bottom"/>
          </w:tcPr>
          <w:p>
            <w:pPr>
              <w:spacing w:after="0"/>
              <w:rPr>
                <w:sz w:val="20"/>
                <w:szCs w:val="20"/>
                <w:color w:val="auto"/>
              </w:rPr>
            </w:pPr>
          </w:p>
        </w:tc>
      </w:tr>
    </w:tbl>
    <w:p>
      <w:pPr>
        <w:spacing w:after="0" w:line="170" w:lineRule="exact"/>
        <w:rPr>
          <w:sz w:val="24"/>
          <w:szCs w:val="24"/>
          <w:color w:val="auto"/>
        </w:rPr>
      </w:pPr>
    </w:p>
    <w:p>
      <w:pPr>
        <w:ind w:right="520"/>
        <w:spacing w:after="0" w:line="261"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30" w:lineRule="exact"/>
        <w:rPr>
          <w:sz w:val="24"/>
          <w:szCs w:val="24"/>
          <w:color w:val="auto"/>
        </w:rPr>
      </w:pPr>
    </w:p>
    <w:p>
      <w:pPr>
        <w:spacing w:after="0" w:line="207" w:lineRule="exact"/>
        <w:tabs>
          <w:tab w:leader="none" w:pos="2080" w:val="left"/>
        </w:tabs>
        <w:rPr>
          <w:sz w:val="20"/>
          <w:szCs w:val="20"/>
          <w:color w:val="auto"/>
        </w:rPr>
      </w:pPr>
      <w:r>
        <w:rPr>
          <w:rFonts w:ascii="Arial" w:cs="Arial" w:eastAsia="Arial" w:hAnsi="Arial"/>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136" w:lineRule="exact"/>
        <w:rPr>
          <w:sz w:val="24"/>
          <w:szCs w:val="24"/>
          <w:color w:val="auto"/>
        </w:rPr>
      </w:pPr>
    </w:p>
    <w:p>
      <w:pPr>
        <w:ind w:right="160"/>
        <w:spacing w:after="0" w:line="226"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892175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287655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1" w:name="page2"/>
    <w:bookmarkEnd w:id="1"/>
    <w:p>
      <w:pPr>
        <w:ind w:left="20"/>
        <w:spacing w:after="0"/>
        <w:tabs>
          <w:tab w:leader="none" w:pos="114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216" w:lineRule="exact"/>
        <w:rPr>
          <w:sz w:val="20"/>
          <w:szCs w:val="20"/>
          <w:color w:val="auto"/>
        </w:rPr>
      </w:pPr>
    </w:p>
    <w:p>
      <w:pPr>
        <w:ind w:right="360"/>
        <w:spacing w:after="0" w:line="261" w:lineRule="auto"/>
        <w:rPr>
          <w:sz w:val="20"/>
          <w:szCs w:val="20"/>
          <w:color w:val="auto"/>
        </w:rPr>
      </w:pPr>
      <w:r>
        <w:rPr>
          <w:rFonts w:ascii="Arial" w:cs="Arial" w:eastAsia="Arial" w:hAnsi="Arial"/>
          <w:sz w:val="18"/>
          <w:szCs w:val="18"/>
          <w:color w:val="auto"/>
        </w:rPr>
        <w:t>On December 8, 2021, Rent the Runway, Inc. (the “Company”) issued a press release announcing its financial results for the quarter ended October 31, 2021. A copy of the press release is furnished as Exhibit 99.1 to this Form 8-K and is incorporated by reference.</w:t>
      </w:r>
    </w:p>
    <w:p>
      <w:pPr>
        <w:spacing w:after="0" w:line="198"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Information in Exhibit 99.1 of this Form 8-K shall not be deemed “filed” for the purposes of Section 18 of the Securities Exchange Act of 1934, as amended (the “Exchange Act”), or otherwise incorporated by reference into any filing pursuant to the Securities Act of 1933, as amended, or the Exchange Act, except as otherwise expressly stated in such filing.</w:t>
      </w:r>
    </w:p>
    <w:p>
      <w:pPr>
        <w:spacing w:after="0" w:line="4" w:lineRule="exact"/>
        <w:rPr>
          <w:sz w:val="20"/>
          <w:szCs w:val="20"/>
          <w:color w:val="auto"/>
        </w:rPr>
      </w:pPr>
    </w:p>
    <w:p>
      <w:pPr>
        <w:ind w:left="20"/>
        <w:spacing w:after="0"/>
        <w:tabs>
          <w:tab w:leader="none" w:pos="114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600" w:type="dxa"/>
            <w:vAlign w:val="bottom"/>
            <w:gridSpan w:val="2"/>
          </w:tcPr>
          <w:p>
            <w:pPr>
              <w:ind w:left="120"/>
              <w:spacing w:after="0"/>
              <w:rPr>
                <w:sz w:val="20"/>
                <w:szCs w:val="20"/>
                <w:color w:val="auto"/>
              </w:rPr>
            </w:pPr>
            <w:r>
              <w:rPr>
                <w:rFonts w:ascii="Arial" w:cs="Arial" w:eastAsia="Arial" w:hAnsi="Arial"/>
                <w:sz w:val="14"/>
                <w:szCs w:val="14"/>
                <w:b w:val="1"/>
                <w:bCs w:val="1"/>
                <w:color w:val="auto"/>
              </w:rPr>
              <w:t>Exhibit No.</w:t>
            </w:r>
          </w:p>
        </w:tc>
        <w:tc>
          <w:tcPr>
            <w:tcW w:w="20" w:type="dxa"/>
            <w:vAlign w:val="bottom"/>
          </w:tcPr>
          <w:p>
            <w:pPr>
              <w:spacing w:after="0"/>
              <w:rPr>
                <w:sz w:val="16"/>
                <w:szCs w:val="16"/>
                <w:color w:val="auto"/>
              </w:rPr>
            </w:pPr>
          </w:p>
        </w:tc>
        <w:tc>
          <w:tcPr>
            <w:tcW w:w="9620" w:type="dxa"/>
            <w:vAlign w:val="bottom"/>
            <w:gridSpan w:val="2"/>
          </w:tcPr>
          <w:p>
            <w:pPr>
              <w:ind w:left="444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256"/>
        </w:trPr>
        <w:tc>
          <w:tcPr>
            <w:tcW w:w="9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99.1</w:t>
            </w:r>
          </w:p>
        </w:tc>
        <w:tc>
          <w:tcPr>
            <w:tcW w:w="640" w:type="dxa"/>
            <w:vAlign w:val="bottom"/>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9620" w:type="dxa"/>
            <w:vAlign w:val="bottom"/>
            <w:tcBorders>
              <w:top w:val="single" w:sz="8" w:color="auto"/>
            </w:tcBorders>
            <w:gridSpan w:val="2"/>
          </w:tcPr>
          <w:p>
            <w:pPr>
              <w:spacing w:after="0"/>
              <w:rPr>
                <w:rFonts w:ascii="Arial" w:cs="Arial" w:eastAsia="Arial" w:hAnsi="Arial"/>
                <w:sz w:val="18"/>
                <w:szCs w:val="18"/>
                <w:color w:val="0000FF"/>
              </w:rPr>
            </w:pPr>
            <w:hyperlink w:anchor="page4">
              <w:r>
                <w:rPr>
                  <w:rFonts w:ascii="Arial" w:cs="Arial" w:eastAsia="Arial" w:hAnsi="Arial"/>
                  <w:sz w:val="18"/>
                  <w:szCs w:val="18"/>
                  <w:color w:val="0000FF"/>
                </w:rPr>
                <w:t xml:space="preserve">Press </w:t>
              </w:r>
            </w:hyperlink>
            <w:r>
              <w:rPr>
                <w:rFonts w:ascii="Arial" w:cs="Arial" w:eastAsia="Arial" w:hAnsi="Arial"/>
                <w:sz w:val="18"/>
                <w:szCs w:val="18"/>
                <w:color w:val="0000FF"/>
              </w:rPr>
              <w:t xml:space="preserve">Release </w:t>
            </w:r>
            <w:hyperlink w:anchor="page4">
              <w:r>
                <w:rPr>
                  <w:rFonts w:ascii="Arial" w:cs="Arial" w:eastAsia="Arial" w:hAnsi="Arial"/>
                  <w:sz w:val="18"/>
                  <w:szCs w:val="18"/>
                  <w:color w:val="0000FF"/>
                </w:rPr>
                <w:t xml:space="preserve">issued by Rent the </w:t>
              </w:r>
            </w:hyperlink>
            <w:r>
              <w:rPr>
                <w:rFonts w:ascii="Arial" w:cs="Arial" w:eastAsia="Arial" w:hAnsi="Arial"/>
                <w:sz w:val="18"/>
                <w:szCs w:val="18"/>
                <w:color w:val="0000FF"/>
              </w:rPr>
              <w:t xml:space="preserve">Runway, </w:t>
            </w:r>
            <w:hyperlink w:anchor="page4">
              <w:r>
                <w:rPr>
                  <w:rFonts w:ascii="Arial" w:cs="Arial" w:eastAsia="Arial" w:hAnsi="Arial"/>
                  <w:sz w:val="18"/>
                  <w:szCs w:val="18"/>
                  <w:color w:val="0000FF"/>
                </w:rPr>
                <w:t>Inc. on December 8, 2021.</w:t>
              </w:r>
            </w:hyperlink>
          </w:p>
        </w:tc>
        <w:tc>
          <w:tcPr>
            <w:tcW w:w="0" w:type="dxa"/>
            <w:vAlign w:val="bottom"/>
          </w:tcPr>
          <w:p>
            <w:pPr>
              <w:spacing w:after="0"/>
              <w:rPr>
                <w:sz w:val="1"/>
                <w:szCs w:val="1"/>
                <w:color w:val="auto"/>
              </w:rPr>
            </w:pPr>
          </w:p>
        </w:tc>
      </w:tr>
      <w:tr>
        <w:trPr>
          <w:trHeight w:val="20"/>
        </w:trPr>
        <w:tc>
          <w:tcPr>
            <w:tcW w:w="960" w:type="dxa"/>
            <w:vAlign w:val="bottom"/>
            <w:vMerge w:val="restart"/>
          </w:tcPr>
          <w:p>
            <w:pPr>
              <w:ind w:left="20"/>
              <w:spacing w:after="0"/>
              <w:rPr>
                <w:sz w:val="20"/>
                <w:szCs w:val="20"/>
                <w:color w:val="auto"/>
              </w:rPr>
            </w:pPr>
            <w:r>
              <w:rPr>
                <w:rFonts w:ascii="Arial" w:cs="Arial" w:eastAsia="Arial" w:hAnsi="Arial"/>
                <w:sz w:val="18"/>
                <w:szCs w:val="18"/>
                <w:color w:val="auto"/>
              </w:rPr>
              <w:t>104</w:t>
            </w: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980" w:type="dxa"/>
            <w:vAlign w:val="bottom"/>
            <w:shd w:val="clear" w:color="auto" w:fill="0000FF"/>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960" w:type="dxa"/>
            <w:vAlign w:val="bottom"/>
            <w:vMerge w:val="continue"/>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20" w:type="dxa"/>
            <w:vAlign w:val="bottom"/>
            <w:gridSpan w:val="2"/>
          </w:tcPr>
          <w:p>
            <w:pPr>
              <w:spacing w:after="0"/>
              <w:rPr>
                <w:sz w:val="20"/>
                <w:szCs w:val="20"/>
                <w:color w:val="auto"/>
              </w:rPr>
            </w:pPr>
            <w:r>
              <w:rPr>
                <w:rFonts w:ascii="Arial" w:cs="Arial" w:eastAsia="Arial" w:hAnsi="Arial"/>
                <w:sz w:val="18"/>
                <w:szCs w:val="18"/>
                <w:color w:val="auto"/>
              </w:rPr>
              <w:t>Cover Page Interactive Data File - the cover page XBRL tags are embedded within the Inline XBRL document</w:t>
            </w:r>
          </w:p>
        </w:tc>
        <w:tc>
          <w:tcPr>
            <w:tcW w:w="0" w:type="dxa"/>
            <w:vAlign w:val="bottom"/>
          </w:tcPr>
          <w:p>
            <w:pPr>
              <w:spacing w:after="0"/>
              <w:rPr>
                <w:sz w:val="1"/>
                <w:szCs w:val="1"/>
                <w:color w:val="auto"/>
              </w:rPr>
            </w:pPr>
          </w:p>
        </w:tc>
      </w:tr>
      <w:tr>
        <w:trPr>
          <w:trHeight w:val="2464"/>
        </w:trPr>
        <w:tc>
          <w:tcPr>
            <w:tcW w:w="96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980" w:type="dxa"/>
            <w:vAlign w:val="bottom"/>
            <w:tcBorders>
              <w:bottom w:val="single" w:sz="8" w:color="9A9A9A"/>
            </w:tcBorders>
          </w:tcPr>
          <w:p>
            <w:pPr>
              <w:spacing w:after="0"/>
              <w:rPr>
                <w:sz w:val="24"/>
                <w:szCs w:val="24"/>
                <w:color w:val="auto"/>
              </w:rPr>
            </w:pPr>
          </w:p>
        </w:tc>
        <w:tc>
          <w:tcPr>
            <w:tcW w:w="46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10" w:right="339" w:bottom="1440" w:gutter="0" w:footer="0" w:header="0"/>
        </w:sectPr>
      </w:pPr>
    </w:p>
    <w:bookmarkStart w:id="2" w:name="page3"/>
    <w:bookmarkEnd w:id="2"/>
    <w:p>
      <w:pPr>
        <w:jc w:val="center"/>
        <w:ind w:right="-79"/>
        <w:spacing w:after="0"/>
        <w:rPr>
          <w:sz w:val="20"/>
          <w:szCs w:val="20"/>
          <w:color w:val="auto"/>
        </w:rPr>
      </w:pPr>
      <w:r>
        <w:rPr>
          <w:rFonts w:ascii="Arial" w:cs="Arial" w:eastAsia="Arial" w:hAnsi="Arial"/>
          <w:sz w:val="18"/>
          <w:szCs w:val="18"/>
          <w:b w:val="1"/>
          <w:bCs w:val="1"/>
          <w:color w:val="auto"/>
        </w:rPr>
        <w:t>SIGNATURES</w:t>
      </w:r>
    </w:p>
    <w:p>
      <w:pPr>
        <w:spacing w:after="0" w:line="216" w:lineRule="exact"/>
        <w:rPr>
          <w:sz w:val="20"/>
          <w:szCs w:val="20"/>
          <w:color w:val="auto"/>
        </w:rPr>
      </w:pPr>
    </w:p>
    <w:p>
      <w:pPr>
        <w:ind w:firstLine="441"/>
        <w:spacing w:after="0" w:line="261"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234" w:lineRule="exact"/>
        <w:rPr>
          <w:sz w:val="20"/>
          <w:szCs w:val="20"/>
          <w:color w:val="auto"/>
        </w:rPr>
      </w:pPr>
    </w:p>
    <w:p>
      <w:pPr>
        <w:ind w:left="5580"/>
        <w:spacing w:after="0"/>
        <w:rPr>
          <w:sz w:val="20"/>
          <w:szCs w:val="20"/>
          <w:color w:val="auto"/>
        </w:rPr>
      </w:pPr>
      <w:r>
        <w:rPr>
          <w:rFonts w:ascii="Arial" w:cs="Arial" w:eastAsia="Arial" w:hAnsi="Arial"/>
          <w:sz w:val="18"/>
          <w:szCs w:val="18"/>
          <w:b w:val="1"/>
          <w:bCs w:val="1"/>
          <w:color w:val="auto"/>
        </w:rPr>
        <w:t>RENT THE RUNWAY, INC.</w:t>
      </w:r>
    </w:p>
    <w:p>
      <w:pPr>
        <w:spacing w:after="0" w:line="135" w:lineRule="exact"/>
        <w:rPr>
          <w:sz w:val="20"/>
          <w:szCs w:val="20"/>
          <w:color w:val="auto"/>
        </w:rPr>
      </w:pPr>
    </w:p>
    <w:p>
      <w:pPr>
        <w:ind w:left="440"/>
        <w:spacing w:after="0"/>
        <w:tabs>
          <w:tab w:leader="none" w:pos="5560" w:val="left"/>
          <w:tab w:leader="none" w:pos="6180" w:val="left"/>
        </w:tabs>
        <w:rPr>
          <w:sz w:val="20"/>
          <w:szCs w:val="20"/>
          <w:color w:val="auto"/>
        </w:rPr>
      </w:pPr>
      <w:r>
        <w:rPr>
          <w:rFonts w:ascii="Arial" w:cs="Arial" w:eastAsia="Arial" w:hAnsi="Arial"/>
          <w:sz w:val="18"/>
          <w:szCs w:val="18"/>
          <w:color w:val="auto"/>
        </w:rPr>
        <w:t>Date: December 8,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Scarlett O’Sullivan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18897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188970" cy="8890"/>
                    </a:xfrm>
                    <a:prstGeom prst="rect">
                      <a:avLst/>
                    </a:prstGeom>
                    <a:noFill/>
                  </pic:spPr>
                </pic:pic>
              </a:graphicData>
            </a:graphic>
          </wp:anchor>
        </w:drawing>
      </w:r>
    </w:p>
    <w:p>
      <w:pPr>
        <w:spacing w:after="0" w:line="30"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Scarlett O’Sullivan</w:t>
      </w:r>
    </w:p>
    <w:p>
      <w:pPr>
        <w:spacing w:after="0" w:line="12"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160"/>
          </w:cols>
          <w:pgMar w:left="320" w:top="769" w:right="419" w:bottom="1440" w:gutter="0" w:footer="0" w:header="0"/>
        </w:sectPr>
      </w:pPr>
    </w:p>
    <w:bookmarkStart w:id="3" w:name="page4"/>
    <w:bookmarkEnd w:id="3"/>
    <w:p>
      <w:pPr>
        <w:jc w:val="right"/>
        <w:spacing w:after="0"/>
        <w:rPr>
          <w:sz w:val="20"/>
          <w:szCs w:val="20"/>
          <w:color w:val="auto"/>
        </w:rPr>
      </w:pPr>
      <w:r>
        <w:rPr>
          <w:rFonts w:ascii="Arial" w:cs="Arial" w:eastAsia="Arial" w:hAnsi="Arial"/>
          <w:sz w:val="20"/>
          <w:szCs w:val="20"/>
          <w:b w:val="1"/>
          <w:bCs w:val="1"/>
          <w:color w:val="auto"/>
        </w:rPr>
        <w:t>Exhibit 99.1</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23"/>
          <w:szCs w:val="23"/>
          <w:b w:val="1"/>
          <w:bCs w:val="1"/>
          <w:color w:val="auto"/>
        </w:rPr>
        <w:t>Rent the Runway, Inc. Announces Fiscal Third Quarter Results</w:t>
      </w:r>
    </w:p>
    <w:p>
      <w:pPr>
        <w:spacing w:after="0" w:line="28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Active Subscribers up 78% year-over-year, at 87% of pre-COVID active subscriber count</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Revenue grew 66% year-over-year and 26% quarter-over-quarter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Gross Profit margin of 34%, up significantly from 7% in Q3 2020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Majority of rental product acquisition continues through capital-light strategies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Paid down approximately one-third of pre-IPO debt balance</w:t>
      </w:r>
    </w:p>
    <w:p>
      <w:pPr>
        <w:spacing w:after="0" w:line="265" w:lineRule="exact"/>
        <w:rPr>
          <w:sz w:val="20"/>
          <w:szCs w:val="20"/>
          <w:color w:val="auto"/>
        </w:rPr>
      </w:pPr>
    </w:p>
    <w:p>
      <w:pPr>
        <w:jc w:val="both"/>
        <w:spacing w:after="0" w:line="300" w:lineRule="auto"/>
        <w:rPr>
          <w:sz w:val="20"/>
          <w:szCs w:val="20"/>
          <w:color w:val="auto"/>
        </w:rPr>
      </w:pPr>
      <w:r>
        <w:rPr>
          <w:rFonts w:ascii="Arial" w:cs="Arial" w:eastAsia="Arial" w:hAnsi="Arial"/>
          <w:sz w:val="20"/>
          <w:szCs w:val="20"/>
          <w:b w:val="1"/>
          <w:bCs w:val="1"/>
          <w:color w:val="auto"/>
        </w:rPr>
        <w:t xml:space="preserve">New York (Dec. 8, 2021) </w:t>
      </w:r>
      <w:r>
        <w:rPr>
          <w:rFonts w:ascii="Arial" w:cs="Arial" w:eastAsia="Arial" w:hAnsi="Arial"/>
          <w:sz w:val="20"/>
          <w:szCs w:val="20"/>
          <w:color w:val="auto"/>
        </w:rPr>
        <w:t>- Rent the Runway, Inc. (“Rent the Runway”) (NASDAQ: RENT), the world’s first and largest shared</w:t>
      </w:r>
      <w:r>
        <w:rPr>
          <w:rFonts w:ascii="Arial" w:cs="Arial" w:eastAsia="Arial" w:hAnsi="Arial"/>
          <w:sz w:val="20"/>
          <w:szCs w:val="20"/>
          <w:b w:val="1"/>
          <w:bCs w:val="1"/>
          <w:color w:val="auto"/>
        </w:rPr>
        <w:t xml:space="preserve"> </w:t>
      </w:r>
      <w:r>
        <w:rPr>
          <w:rFonts w:ascii="Arial" w:cs="Arial" w:eastAsia="Arial" w:hAnsi="Arial"/>
          <w:sz w:val="20"/>
          <w:szCs w:val="20"/>
          <w:color w:val="auto"/>
        </w:rPr>
        <w:t>designer closet platform, today reported financial results for the fiscal third quarter ended October 31, 2021.</w:t>
      </w:r>
    </w:p>
    <w:p>
      <w:pPr>
        <w:spacing w:after="0" w:line="205" w:lineRule="exact"/>
        <w:rPr>
          <w:sz w:val="20"/>
          <w:szCs w:val="20"/>
          <w:color w:val="auto"/>
        </w:rPr>
      </w:pPr>
    </w:p>
    <w:p>
      <w:pPr>
        <w:jc w:val="both"/>
        <w:spacing w:after="0" w:line="268" w:lineRule="auto"/>
        <w:rPr>
          <w:sz w:val="20"/>
          <w:szCs w:val="20"/>
          <w:color w:val="auto"/>
        </w:rPr>
      </w:pPr>
      <w:r>
        <w:rPr>
          <w:rFonts w:ascii="Arial" w:cs="Arial" w:eastAsia="Arial" w:hAnsi="Arial"/>
          <w:sz w:val="20"/>
          <w:szCs w:val="20"/>
          <w:color w:val="auto"/>
        </w:rPr>
        <w:t>"We are excited to share our strong third quarter 2021 results and report for the first time as a public company,” said Jennifer Hyman, CEO and Co-Founder of Rent the Runway. “We delivered significant growth across subscribers and revenue and improved our gross margins. As a leader in clothing subscription and rental with a differentiated operating platform and deep competitive advantages, we believe these metrics are clear indicators of our ongoing business re-acceleration. We are incredibly energized about the opportunity for our Closet in the Cloud and are focused on execution, growing our subscriber base and capitalizing on the major secular trends in our favor including access over ownership, the sustainability of the secondhand economy and financial value.”</w:t>
      </w:r>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Fiscal Third Quarter 2021 Key Metrics and Financial Highlights</w:t>
      </w:r>
    </w:p>
    <w:p>
      <w:pPr>
        <w:spacing w:after="0" w:line="294" w:lineRule="exact"/>
        <w:rPr>
          <w:sz w:val="20"/>
          <w:szCs w:val="20"/>
          <w:color w:val="auto"/>
        </w:rPr>
      </w:pPr>
    </w:p>
    <w:p>
      <w:pPr>
        <w:jc w:val="both"/>
        <w:ind w:left="500" w:right="160" w:hanging="330"/>
        <w:spacing w:after="0" w:line="281" w:lineRule="auto"/>
        <w:tabs>
          <w:tab w:leader="none" w:pos="488" w:val="left"/>
        </w:tabs>
        <w:numPr>
          <w:ilvl w:val="0"/>
          <w:numId w:val="2"/>
        </w:numPr>
        <w:rPr>
          <w:rFonts w:ascii="Arial" w:cs="Arial" w:eastAsia="Arial" w:hAnsi="Arial"/>
          <w:sz w:val="19"/>
          <w:szCs w:val="19"/>
          <w:color w:val="auto"/>
        </w:rPr>
      </w:pPr>
      <w:r>
        <w:rPr>
          <w:rFonts w:ascii="Arial" w:cs="Arial" w:eastAsia="Arial" w:hAnsi="Arial"/>
          <w:sz w:val="19"/>
          <w:szCs w:val="19"/>
          <w:color w:val="auto"/>
        </w:rPr>
        <w:t>116,833 ending Active Subscribers (excluding paused subscribers), representing an increase of 78% year-over-year from 65,545 at the end of the third quarter of 2020, and representing 87% of Active Subscribers at the end of fiscal year 2019.</w:t>
      </w:r>
    </w:p>
    <w:p>
      <w:pPr>
        <w:spacing w:after="0" w:line="1" w:lineRule="exact"/>
        <w:rPr>
          <w:rFonts w:ascii="Arial" w:cs="Arial" w:eastAsia="Arial" w:hAnsi="Arial"/>
          <w:sz w:val="19"/>
          <w:szCs w:val="19"/>
          <w:color w:val="auto"/>
        </w:rPr>
      </w:pPr>
    </w:p>
    <w:p>
      <w:pPr>
        <w:ind w:left="500" w:right="460" w:hanging="330"/>
        <w:spacing w:after="0" w:line="267" w:lineRule="auto"/>
        <w:tabs>
          <w:tab w:leader="none" w:pos="488" w:val="left"/>
        </w:tabs>
        <w:numPr>
          <w:ilvl w:val="0"/>
          <w:numId w:val="2"/>
        </w:numPr>
        <w:rPr>
          <w:rFonts w:ascii="Arial" w:cs="Arial" w:eastAsia="Arial" w:hAnsi="Arial"/>
          <w:sz w:val="20"/>
          <w:szCs w:val="20"/>
          <w:color w:val="auto"/>
        </w:rPr>
      </w:pPr>
      <w:r>
        <w:rPr>
          <w:rFonts w:ascii="Arial" w:cs="Arial" w:eastAsia="Arial" w:hAnsi="Arial"/>
          <w:sz w:val="20"/>
          <w:szCs w:val="20"/>
          <w:color w:val="auto"/>
        </w:rPr>
        <w:t>150,075 ending total subscribers, representing an increase of 45% year-over-year from 103,708 at the end of the third quarter of 2020.</w:t>
      </w:r>
    </w:p>
    <w:p>
      <w:pPr>
        <w:spacing w:after="0" w:line="1" w:lineRule="exact"/>
        <w:rPr>
          <w:rFonts w:ascii="Arial" w:cs="Arial" w:eastAsia="Arial" w:hAnsi="Arial"/>
          <w:sz w:val="20"/>
          <w:szCs w:val="20"/>
          <w:color w:val="auto"/>
        </w:rPr>
      </w:pPr>
    </w:p>
    <w:p>
      <w:pPr>
        <w:ind w:left="480" w:hanging="310"/>
        <w:spacing w:after="0"/>
        <w:tabs>
          <w:tab w:leader="none" w:pos="480" w:val="left"/>
        </w:tabs>
        <w:numPr>
          <w:ilvl w:val="0"/>
          <w:numId w:val="2"/>
        </w:numPr>
        <w:rPr>
          <w:rFonts w:ascii="Arial" w:cs="Arial" w:eastAsia="Arial" w:hAnsi="Arial"/>
          <w:sz w:val="20"/>
          <w:szCs w:val="20"/>
          <w:color w:val="auto"/>
        </w:rPr>
      </w:pPr>
      <w:r>
        <w:rPr>
          <w:rFonts w:ascii="Arial" w:cs="Arial" w:eastAsia="Arial" w:hAnsi="Arial"/>
          <w:sz w:val="20"/>
          <w:szCs w:val="20"/>
          <w:color w:val="auto"/>
        </w:rPr>
        <w:t>Revenue was $59.0 million, a 66% increase year-over-year from $35.5 million in the third quarter of 2020.</w:t>
      </w:r>
    </w:p>
    <w:p>
      <w:pPr>
        <w:spacing w:after="0" w:line="26" w:lineRule="exact"/>
        <w:rPr>
          <w:rFonts w:ascii="Arial" w:cs="Arial" w:eastAsia="Arial" w:hAnsi="Arial"/>
          <w:sz w:val="20"/>
          <w:szCs w:val="20"/>
          <w:color w:val="auto"/>
        </w:rPr>
      </w:pPr>
    </w:p>
    <w:p>
      <w:pPr>
        <w:ind w:left="500" w:right="260" w:hanging="330"/>
        <w:spacing w:after="0" w:line="264" w:lineRule="auto"/>
        <w:tabs>
          <w:tab w:leader="none" w:pos="488" w:val="left"/>
        </w:tabs>
        <w:numPr>
          <w:ilvl w:val="0"/>
          <w:numId w:val="2"/>
        </w:numPr>
        <w:rPr>
          <w:rFonts w:ascii="Arial" w:cs="Arial" w:eastAsia="Arial" w:hAnsi="Arial"/>
          <w:sz w:val="20"/>
          <w:szCs w:val="20"/>
          <w:color w:val="auto"/>
        </w:rPr>
      </w:pPr>
      <w:r>
        <w:rPr>
          <w:rFonts w:ascii="Arial" w:cs="Arial" w:eastAsia="Arial" w:hAnsi="Arial"/>
          <w:sz w:val="20"/>
          <w:szCs w:val="20"/>
          <w:color w:val="auto"/>
        </w:rPr>
        <w:t>Gross Profit was $19.9 million which increased from $2.4 million in the third quarter of 2020. Gross margin was 33.7% in the third quarter of 2021, as compared to 6.8% in the third quarter of 2020.</w:t>
      </w:r>
    </w:p>
    <w:p>
      <w:pPr>
        <w:spacing w:after="0" w:line="7" w:lineRule="exact"/>
        <w:rPr>
          <w:rFonts w:ascii="Arial" w:cs="Arial" w:eastAsia="Arial" w:hAnsi="Arial"/>
          <w:sz w:val="20"/>
          <w:szCs w:val="20"/>
          <w:color w:val="auto"/>
        </w:rPr>
      </w:pPr>
    </w:p>
    <w:p>
      <w:pPr>
        <w:ind w:left="500" w:right="140" w:hanging="330"/>
        <w:spacing w:after="0" w:line="267" w:lineRule="auto"/>
        <w:tabs>
          <w:tab w:leader="none" w:pos="495" w:val="left"/>
        </w:tabs>
        <w:numPr>
          <w:ilvl w:val="0"/>
          <w:numId w:val="2"/>
        </w:numPr>
        <w:rPr>
          <w:rFonts w:ascii="Arial" w:cs="Arial" w:eastAsia="Arial" w:hAnsi="Arial"/>
          <w:sz w:val="18"/>
          <w:szCs w:val="18"/>
          <w:b w:val="1"/>
          <w:bCs w:val="1"/>
          <w:i w:val="1"/>
          <w:iCs w:val="1"/>
          <w:color w:val="auto"/>
        </w:rPr>
      </w:pPr>
      <w:r>
        <w:rPr>
          <w:rFonts w:ascii="Arial" w:cs="Arial" w:eastAsia="Arial" w:hAnsi="Arial"/>
          <w:sz w:val="20"/>
          <w:szCs w:val="20"/>
          <w:color w:val="auto"/>
        </w:rPr>
        <w:t>Net Loss was $(87.8) million, as compared to $(44.3) million in the third quarter of 2020. Net Loss as a percentage of revenue was (148.8)%, as compared to (124.8)% in the third quarter of 2020. Net Loss included a non-recurring $(17.4) million non-cash loss on the revaluation of warrants that were exercised or reclassified at IPO, as well as a $(12.2) million non-recurring, primarily non-cash loss on the extinguishment of debt paid down concurrently with the IPO. It also included a $(14.4) million one-time, non-cash charge associated with the satisfaction of the liquidity based vesting conditions for certain RSUs upon the effectiveness of our IPO.</w:t>
      </w:r>
    </w:p>
    <w:p>
      <w:pPr>
        <w:spacing w:after="0" w:line="3" w:lineRule="exact"/>
        <w:rPr>
          <w:rFonts w:ascii="Arial" w:cs="Arial" w:eastAsia="Arial" w:hAnsi="Arial"/>
          <w:sz w:val="18"/>
          <w:szCs w:val="18"/>
          <w:b w:val="1"/>
          <w:bCs w:val="1"/>
          <w:i w:val="1"/>
          <w:iCs w:val="1"/>
          <w:color w:val="auto"/>
        </w:rPr>
      </w:pPr>
    </w:p>
    <w:p>
      <w:pPr>
        <w:ind w:left="500" w:right="280" w:hanging="330"/>
        <w:spacing w:after="0" w:line="275" w:lineRule="auto"/>
        <w:tabs>
          <w:tab w:leader="none" w:pos="488" w:val="left"/>
        </w:tabs>
        <w:numPr>
          <w:ilvl w:val="0"/>
          <w:numId w:val="2"/>
        </w:numPr>
        <w:rPr>
          <w:rFonts w:ascii="Arial" w:cs="Arial" w:eastAsia="Arial" w:hAnsi="Arial"/>
          <w:sz w:val="20"/>
          <w:szCs w:val="20"/>
          <w:color w:val="auto"/>
        </w:rPr>
      </w:pPr>
      <w:r>
        <w:rPr>
          <w:rFonts w:ascii="Arial" w:cs="Arial" w:eastAsia="Arial" w:hAnsi="Arial"/>
          <w:sz w:val="20"/>
          <w:szCs w:val="20"/>
          <w:color w:val="auto"/>
        </w:rPr>
        <w:t>Adjusted EBITDA was $(5.6) million, as compared to $(5.4) million in the third quarter of 2020. Adjusted EBITDA margin was (9.5)%, as compared to (15.2)% in the third quarter of 2020.</w:t>
      </w:r>
    </w:p>
    <w:p>
      <w:pPr>
        <w:sectPr>
          <w:pgSz w:w="11900" w:h="16838" w:orient="portrait"/>
          <w:cols w:equalWidth="0" w:num="1">
            <w:col w:w="11240"/>
          </w:cols>
          <w:pgMar w:left="320" w:top="1097" w:right="339" w:bottom="1440" w:gutter="0" w:footer="0" w:header="0"/>
        </w:sectPr>
      </w:pPr>
    </w:p>
    <w:bookmarkStart w:id="4" w:name="page5"/>
    <w:bookmarkEnd w:id="4"/>
    <w:p>
      <w:pPr>
        <w:ind w:left="500" w:right="500" w:hanging="330"/>
        <w:spacing w:after="0" w:line="267" w:lineRule="auto"/>
        <w:tabs>
          <w:tab w:leader="none" w:pos="488" w:val="left"/>
        </w:tabs>
        <w:numPr>
          <w:ilvl w:val="0"/>
          <w:numId w:val="3"/>
        </w:numPr>
        <w:rPr>
          <w:rFonts w:ascii="Arial" w:cs="Arial" w:eastAsia="Arial" w:hAnsi="Arial"/>
          <w:sz w:val="20"/>
          <w:szCs w:val="20"/>
          <w:color w:val="auto"/>
        </w:rPr>
      </w:pPr>
      <w:r>
        <w:rPr>
          <w:rFonts w:ascii="Arial" w:cs="Arial" w:eastAsia="Arial" w:hAnsi="Arial"/>
          <w:sz w:val="20"/>
          <w:szCs w:val="20"/>
          <w:color w:val="auto"/>
        </w:rPr>
        <w:t>Net cash used in operating activities plus net cash used in investing activities was $(32.9) million for the nine months ended October 31, 2021, as compared to $(87.2) million for the nine months ended October 31, 2020.</w:t>
      </w:r>
    </w:p>
    <w:p>
      <w:pPr>
        <w:spacing w:after="0" w:line="1" w:lineRule="exact"/>
        <w:rPr>
          <w:rFonts w:ascii="Arial" w:cs="Arial" w:eastAsia="Arial" w:hAnsi="Arial"/>
          <w:sz w:val="20"/>
          <w:szCs w:val="20"/>
          <w:color w:val="auto"/>
        </w:rPr>
      </w:pPr>
    </w:p>
    <w:p>
      <w:pPr>
        <w:ind w:left="500" w:right="40" w:hanging="330"/>
        <w:spacing w:after="0" w:line="267" w:lineRule="auto"/>
        <w:tabs>
          <w:tab w:leader="none" w:pos="488" w:val="left"/>
        </w:tabs>
        <w:numPr>
          <w:ilvl w:val="0"/>
          <w:numId w:val="3"/>
        </w:numPr>
        <w:rPr>
          <w:rFonts w:ascii="Arial" w:cs="Arial" w:eastAsia="Arial" w:hAnsi="Arial"/>
          <w:sz w:val="20"/>
          <w:szCs w:val="20"/>
          <w:color w:val="auto"/>
        </w:rPr>
      </w:pPr>
      <w:r>
        <w:rPr>
          <w:rFonts w:ascii="Arial" w:cs="Arial" w:eastAsia="Arial" w:hAnsi="Arial"/>
          <w:sz w:val="20"/>
          <w:szCs w:val="20"/>
          <w:color w:val="auto"/>
        </w:rPr>
        <w:t>Net cash used in operating activities plus net cash used in investing activities as a percentage of revenue was (23.6)% for the nine months ended October 31, 2021, as compared to (70.3)% for the nine months ended October 31, 2020.</w:t>
      </w:r>
    </w:p>
    <w:p>
      <w:pPr>
        <w:spacing w:after="0" w:line="1" w:lineRule="exact"/>
        <w:rPr>
          <w:rFonts w:ascii="Arial" w:cs="Arial" w:eastAsia="Arial" w:hAnsi="Arial"/>
          <w:sz w:val="20"/>
          <w:szCs w:val="20"/>
          <w:color w:val="auto"/>
        </w:rPr>
      </w:pPr>
    </w:p>
    <w:p>
      <w:pPr>
        <w:ind w:left="500" w:right="420" w:hanging="330"/>
        <w:spacing w:after="0" w:line="302" w:lineRule="auto"/>
        <w:tabs>
          <w:tab w:leader="none" w:pos="488" w:val="left"/>
        </w:tabs>
        <w:numPr>
          <w:ilvl w:val="0"/>
          <w:numId w:val="3"/>
        </w:numPr>
        <w:rPr>
          <w:rFonts w:ascii="Arial" w:cs="Arial" w:eastAsia="Arial" w:hAnsi="Arial"/>
          <w:sz w:val="19"/>
          <w:szCs w:val="19"/>
          <w:color w:val="auto"/>
        </w:rPr>
      </w:pPr>
      <w:r>
        <w:rPr>
          <w:rFonts w:ascii="Arial" w:cs="Arial" w:eastAsia="Arial" w:hAnsi="Arial"/>
          <w:sz w:val="19"/>
          <w:szCs w:val="19"/>
          <w:color w:val="auto"/>
        </w:rPr>
        <w:t>As of October 31, 2021, cash and cash equivalents were $278.7 million, after paydown of $140.7 million of debt and accrued interest (approximately one-third of the company’s pre-IPO debt balance) with a portion of the IPO proceeds.</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Fiscal Third Quarter Business Highlights</w:t>
      </w:r>
    </w:p>
    <w:p>
      <w:pPr>
        <w:spacing w:after="0" w:line="280" w:lineRule="exact"/>
        <w:rPr>
          <w:sz w:val="20"/>
          <w:szCs w:val="20"/>
          <w:color w:val="auto"/>
        </w:rPr>
      </w:pPr>
    </w:p>
    <w:p>
      <w:pPr>
        <w:ind w:left="500" w:right="660" w:hanging="330"/>
        <w:spacing w:after="0" w:line="267" w:lineRule="auto"/>
        <w:tabs>
          <w:tab w:leader="none" w:pos="488" w:val="left"/>
        </w:tabs>
        <w:numPr>
          <w:ilvl w:val="0"/>
          <w:numId w:val="4"/>
        </w:numPr>
        <w:rPr>
          <w:rFonts w:ascii="Arial" w:cs="Arial" w:eastAsia="Arial" w:hAnsi="Arial"/>
          <w:sz w:val="20"/>
          <w:szCs w:val="20"/>
          <w:color w:val="auto"/>
        </w:rPr>
      </w:pPr>
      <w:r>
        <w:rPr>
          <w:rFonts w:ascii="Arial" w:cs="Arial" w:eastAsia="Arial" w:hAnsi="Arial"/>
          <w:sz w:val="20"/>
          <w:szCs w:val="20"/>
          <w:color w:val="auto"/>
        </w:rPr>
        <w:t>Strong subscriber engagement: 24% of subscribers added one or more paid additional items into their subscription program.</w:t>
      </w:r>
    </w:p>
    <w:p>
      <w:pPr>
        <w:spacing w:after="0" w:line="1" w:lineRule="exact"/>
        <w:rPr>
          <w:rFonts w:ascii="Arial" w:cs="Arial" w:eastAsia="Arial" w:hAnsi="Arial"/>
          <w:sz w:val="20"/>
          <w:szCs w:val="20"/>
          <w:color w:val="auto"/>
        </w:rPr>
      </w:pPr>
    </w:p>
    <w:p>
      <w:pPr>
        <w:ind w:left="500" w:hanging="330"/>
        <w:spacing w:after="0" w:line="267" w:lineRule="auto"/>
        <w:tabs>
          <w:tab w:leader="none" w:pos="488" w:val="left"/>
        </w:tabs>
        <w:numPr>
          <w:ilvl w:val="0"/>
          <w:numId w:val="4"/>
        </w:numPr>
        <w:rPr>
          <w:rFonts w:ascii="Arial" w:cs="Arial" w:eastAsia="Arial" w:hAnsi="Arial"/>
          <w:sz w:val="20"/>
          <w:szCs w:val="20"/>
          <w:color w:val="auto"/>
        </w:rPr>
      </w:pPr>
      <w:r>
        <w:rPr>
          <w:rFonts w:ascii="Arial" w:cs="Arial" w:eastAsia="Arial" w:hAnsi="Arial"/>
          <w:sz w:val="20"/>
          <w:szCs w:val="20"/>
          <w:color w:val="auto"/>
        </w:rPr>
        <w:t>All major U.S. metros back to approximately 90% of pre-COVID subscriber count except New York, Washington, D.C., and San Francisco; Markets in South Atlantic, South and Mountain regions significantly higher than pre-COVID.</w:t>
      </w:r>
    </w:p>
    <w:p>
      <w:pPr>
        <w:spacing w:after="0" w:line="1" w:lineRule="exact"/>
        <w:rPr>
          <w:rFonts w:ascii="Arial" w:cs="Arial" w:eastAsia="Arial" w:hAnsi="Arial"/>
          <w:sz w:val="20"/>
          <w:szCs w:val="20"/>
          <w:color w:val="auto"/>
        </w:rPr>
      </w:pPr>
    </w:p>
    <w:p>
      <w:pPr>
        <w:ind w:left="500" w:right="60" w:hanging="330"/>
        <w:spacing w:after="0" w:line="267" w:lineRule="auto"/>
        <w:tabs>
          <w:tab w:leader="none" w:pos="488" w:val="left"/>
        </w:tabs>
        <w:numPr>
          <w:ilvl w:val="0"/>
          <w:numId w:val="4"/>
        </w:numPr>
        <w:rPr>
          <w:rFonts w:ascii="Arial" w:cs="Arial" w:eastAsia="Arial" w:hAnsi="Arial"/>
          <w:sz w:val="20"/>
          <w:szCs w:val="20"/>
          <w:color w:val="auto"/>
        </w:rPr>
      </w:pPr>
      <w:r>
        <w:rPr>
          <w:rFonts w:ascii="Arial" w:cs="Arial" w:eastAsia="Arial" w:hAnsi="Arial"/>
          <w:sz w:val="20"/>
          <w:szCs w:val="20"/>
          <w:color w:val="auto"/>
        </w:rPr>
        <w:t>Continued to diversify geographic distribution of subscriber base with subscribers outside Top 20 markets now comprising 29% of base, up from 23% in fiscal year 2019, with subscriber use cases at 50% casual occasions, up from 32% in fiscal year 2019.</w:t>
      </w:r>
    </w:p>
    <w:p>
      <w:pPr>
        <w:spacing w:after="0" w:line="1" w:lineRule="exact"/>
        <w:rPr>
          <w:rFonts w:ascii="Arial" w:cs="Arial" w:eastAsia="Arial" w:hAnsi="Arial"/>
          <w:sz w:val="20"/>
          <w:szCs w:val="20"/>
          <w:color w:val="auto"/>
        </w:rPr>
      </w:pPr>
    </w:p>
    <w:p>
      <w:pPr>
        <w:ind w:left="480" w:hanging="310"/>
        <w:spacing w:after="0"/>
        <w:tabs>
          <w:tab w:leader="none" w:pos="480" w:val="left"/>
        </w:tabs>
        <w:numPr>
          <w:ilvl w:val="0"/>
          <w:numId w:val="4"/>
        </w:numPr>
        <w:rPr>
          <w:rFonts w:ascii="Arial" w:cs="Arial" w:eastAsia="Arial" w:hAnsi="Arial"/>
          <w:sz w:val="20"/>
          <w:szCs w:val="20"/>
          <w:color w:val="auto"/>
        </w:rPr>
      </w:pPr>
      <w:r>
        <w:rPr>
          <w:rFonts w:ascii="Arial" w:cs="Arial" w:eastAsia="Arial" w:hAnsi="Arial"/>
          <w:sz w:val="20"/>
          <w:szCs w:val="20"/>
          <w:color w:val="auto"/>
        </w:rPr>
        <w:t>Onboarded 30 new brands including Altuzarra, LaQuan Smith, Rachel Antonoff and Rotate.</w:t>
      </w:r>
    </w:p>
    <w:p>
      <w:pPr>
        <w:spacing w:after="0" w:line="26" w:lineRule="exact"/>
        <w:rPr>
          <w:rFonts w:ascii="Arial" w:cs="Arial" w:eastAsia="Arial" w:hAnsi="Arial"/>
          <w:sz w:val="20"/>
          <w:szCs w:val="20"/>
          <w:color w:val="auto"/>
        </w:rPr>
      </w:pPr>
    </w:p>
    <w:p>
      <w:pPr>
        <w:ind w:left="480" w:hanging="310"/>
        <w:spacing w:after="0"/>
        <w:tabs>
          <w:tab w:leader="none" w:pos="480" w:val="left"/>
        </w:tabs>
        <w:numPr>
          <w:ilvl w:val="0"/>
          <w:numId w:val="4"/>
        </w:numPr>
        <w:rPr>
          <w:rFonts w:ascii="Arial" w:cs="Arial" w:eastAsia="Arial" w:hAnsi="Arial"/>
          <w:sz w:val="20"/>
          <w:szCs w:val="20"/>
          <w:color w:val="auto"/>
        </w:rPr>
      </w:pPr>
      <w:r>
        <w:rPr>
          <w:rFonts w:ascii="Arial" w:cs="Arial" w:eastAsia="Arial" w:hAnsi="Arial"/>
          <w:sz w:val="20"/>
          <w:szCs w:val="20"/>
          <w:color w:val="auto"/>
        </w:rPr>
        <w:t>Launched fit algorithm enhancement, driving meaningful improvement in fit rate, which increases customer loyalty.</w:t>
      </w:r>
    </w:p>
    <w:p>
      <w:pPr>
        <w:spacing w:after="0" w:line="26" w:lineRule="exact"/>
        <w:rPr>
          <w:rFonts w:ascii="Arial" w:cs="Arial" w:eastAsia="Arial" w:hAnsi="Arial"/>
          <w:sz w:val="20"/>
          <w:szCs w:val="20"/>
          <w:color w:val="auto"/>
        </w:rPr>
      </w:pPr>
    </w:p>
    <w:p>
      <w:pPr>
        <w:ind w:left="480" w:hanging="310"/>
        <w:spacing w:after="0"/>
        <w:tabs>
          <w:tab w:leader="none" w:pos="480" w:val="left"/>
        </w:tabs>
        <w:numPr>
          <w:ilvl w:val="0"/>
          <w:numId w:val="4"/>
        </w:numPr>
        <w:rPr>
          <w:rFonts w:ascii="Arial" w:cs="Arial" w:eastAsia="Arial" w:hAnsi="Arial"/>
          <w:sz w:val="20"/>
          <w:szCs w:val="20"/>
          <w:color w:val="auto"/>
        </w:rPr>
      </w:pPr>
      <w:r>
        <w:rPr>
          <w:rFonts w:ascii="Arial" w:cs="Arial" w:eastAsia="Arial" w:hAnsi="Arial"/>
          <w:sz w:val="20"/>
          <w:szCs w:val="20"/>
          <w:color w:val="auto"/>
        </w:rPr>
        <w:t>Conducted a brand awareness campaign that drove a more than 10% lift in traffic during the campaign.</w:t>
      </w:r>
    </w:p>
    <w:p>
      <w:pPr>
        <w:spacing w:after="0" w:line="26" w:lineRule="exact"/>
        <w:rPr>
          <w:rFonts w:ascii="Arial" w:cs="Arial" w:eastAsia="Arial" w:hAnsi="Arial"/>
          <w:sz w:val="20"/>
          <w:szCs w:val="20"/>
          <w:color w:val="auto"/>
        </w:rPr>
      </w:pPr>
    </w:p>
    <w:p>
      <w:pPr>
        <w:ind w:left="500" w:right="60" w:hanging="330"/>
        <w:spacing w:after="0" w:line="267" w:lineRule="auto"/>
        <w:tabs>
          <w:tab w:leader="none" w:pos="488" w:val="left"/>
        </w:tabs>
        <w:numPr>
          <w:ilvl w:val="0"/>
          <w:numId w:val="4"/>
        </w:numPr>
        <w:rPr>
          <w:rFonts w:ascii="Arial" w:cs="Arial" w:eastAsia="Arial" w:hAnsi="Arial"/>
          <w:sz w:val="20"/>
          <w:szCs w:val="20"/>
          <w:color w:val="auto"/>
        </w:rPr>
      </w:pPr>
      <w:r>
        <w:rPr>
          <w:rFonts w:ascii="Arial" w:cs="Arial" w:eastAsia="Arial" w:hAnsi="Arial"/>
          <w:sz w:val="20"/>
          <w:szCs w:val="20"/>
          <w:color w:val="auto"/>
        </w:rPr>
        <w:t>Launched at-home pickup in five major metros resulting in lower shipping costs and an easier way for customers to return orders; over one-third of customers in initial markets have adopted the offering.</w:t>
      </w:r>
    </w:p>
    <w:p>
      <w:pPr>
        <w:spacing w:after="0" w:line="1" w:lineRule="exact"/>
        <w:rPr>
          <w:rFonts w:ascii="Arial" w:cs="Arial" w:eastAsia="Arial" w:hAnsi="Arial"/>
          <w:sz w:val="20"/>
          <w:szCs w:val="20"/>
          <w:color w:val="auto"/>
        </w:rPr>
      </w:pPr>
    </w:p>
    <w:p>
      <w:pPr>
        <w:ind w:left="480" w:hanging="310"/>
        <w:spacing w:after="0"/>
        <w:tabs>
          <w:tab w:leader="none" w:pos="480" w:val="left"/>
        </w:tabs>
        <w:numPr>
          <w:ilvl w:val="0"/>
          <w:numId w:val="4"/>
        </w:numPr>
        <w:rPr>
          <w:rFonts w:ascii="Arial" w:cs="Arial" w:eastAsia="Arial" w:hAnsi="Arial"/>
          <w:sz w:val="20"/>
          <w:szCs w:val="20"/>
          <w:color w:val="auto"/>
        </w:rPr>
      </w:pPr>
      <w:r>
        <w:rPr>
          <w:rFonts w:ascii="Arial" w:cs="Arial" w:eastAsia="Arial" w:hAnsi="Arial"/>
          <w:sz w:val="20"/>
          <w:szCs w:val="20"/>
          <w:color w:val="auto"/>
        </w:rPr>
        <w:t>Majority of rental product acquisition continues through capital-efficient channels, Exclusive Designs and Share by RTR.</w:t>
      </w:r>
    </w:p>
    <w:p>
      <w:pPr>
        <w:spacing w:after="0" w:line="24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Financial Outlook</w:t>
      </w:r>
    </w:p>
    <w:p>
      <w:pPr>
        <w:spacing w:after="0" w:line="294" w:lineRule="exact"/>
        <w:rPr>
          <w:sz w:val="20"/>
          <w:szCs w:val="20"/>
          <w:color w:val="auto"/>
        </w:rPr>
      </w:pPr>
    </w:p>
    <w:p>
      <w:pPr>
        <w:spacing w:after="0"/>
        <w:rPr>
          <w:sz w:val="20"/>
          <w:szCs w:val="20"/>
          <w:color w:val="auto"/>
        </w:rPr>
      </w:pPr>
      <w:r>
        <w:rPr>
          <w:rFonts w:ascii="Arial" w:cs="Arial" w:eastAsia="Arial" w:hAnsi="Arial"/>
          <w:sz w:val="20"/>
          <w:szCs w:val="20"/>
          <w:color w:val="auto"/>
        </w:rPr>
        <w:t>For the fiscal fourth quarter 2021, Rent the Runway expects:</w:t>
      </w:r>
    </w:p>
    <w:p>
      <w:pPr>
        <w:spacing w:after="0" w:line="27" w:lineRule="exact"/>
        <w:rPr>
          <w:sz w:val="20"/>
          <w:szCs w:val="20"/>
          <w:color w:val="auto"/>
        </w:rPr>
      </w:pPr>
    </w:p>
    <w:p>
      <w:pPr>
        <w:ind w:left="480" w:hanging="310"/>
        <w:spacing w:after="0"/>
        <w:tabs>
          <w:tab w:leader="none" w:pos="480" w:val="left"/>
        </w:tabs>
        <w:numPr>
          <w:ilvl w:val="0"/>
          <w:numId w:val="5"/>
        </w:numPr>
        <w:rPr>
          <w:rFonts w:ascii="Arial" w:cs="Arial" w:eastAsia="Arial" w:hAnsi="Arial"/>
          <w:sz w:val="20"/>
          <w:szCs w:val="20"/>
          <w:color w:val="auto"/>
        </w:rPr>
      </w:pPr>
      <w:r>
        <w:rPr>
          <w:rFonts w:ascii="Arial" w:cs="Arial" w:eastAsia="Arial" w:hAnsi="Arial"/>
          <w:sz w:val="20"/>
          <w:szCs w:val="20"/>
          <w:color w:val="auto"/>
        </w:rPr>
        <w:t>Ending Active Subscribers of 121K to 122K</w:t>
      </w:r>
    </w:p>
    <w:p>
      <w:pPr>
        <w:spacing w:after="0" w:line="26" w:lineRule="exact"/>
        <w:rPr>
          <w:rFonts w:ascii="Arial" w:cs="Arial" w:eastAsia="Arial" w:hAnsi="Arial"/>
          <w:sz w:val="20"/>
          <w:szCs w:val="20"/>
          <w:color w:val="auto"/>
        </w:rPr>
      </w:pPr>
    </w:p>
    <w:p>
      <w:pPr>
        <w:ind w:left="480" w:hanging="310"/>
        <w:spacing w:after="0"/>
        <w:tabs>
          <w:tab w:leader="none" w:pos="480" w:val="left"/>
        </w:tabs>
        <w:numPr>
          <w:ilvl w:val="0"/>
          <w:numId w:val="5"/>
        </w:numPr>
        <w:rPr>
          <w:rFonts w:ascii="Arial" w:cs="Arial" w:eastAsia="Arial" w:hAnsi="Arial"/>
          <w:sz w:val="20"/>
          <w:szCs w:val="20"/>
          <w:color w:val="auto"/>
        </w:rPr>
      </w:pPr>
      <w:r>
        <w:rPr>
          <w:rFonts w:ascii="Arial" w:cs="Arial" w:eastAsia="Arial" w:hAnsi="Arial"/>
          <w:sz w:val="20"/>
          <w:szCs w:val="20"/>
          <w:color w:val="auto"/>
        </w:rPr>
        <w:t>Revenue in the range of $62.8 million to $63.3 million</w:t>
      </w:r>
    </w:p>
    <w:p>
      <w:pPr>
        <w:spacing w:after="0" w:line="26" w:lineRule="exact"/>
        <w:rPr>
          <w:rFonts w:ascii="Arial" w:cs="Arial" w:eastAsia="Arial" w:hAnsi="Arial"/>
          <w:sz w:val="20"/>
          <w:szCs w:val="20"/>
          <w:color w:val="auto"/>
        </w:rPr>
      </w:pPr>
    </w:p>
    <w:p>
      <w:pPr>
        <w:ind w:left="480" w:hanging="310"/>
        <w:spacing w:after="0"/>
        <w:tabs>
          <w:tab w:leader="none" w:pos="480" w:val="left"/>
        </w:tabs>
        <w:numPr>
          <w:ilvl w:val="0"/>
          <w:numId w:val="5"/>
        </w:numPr>
        <w:rPr>
          <w:rFonts w:ascii="Arial" w:cs="Arial" w:eastAsia="Arial" w:hAnsi="Arial"/>
          <w:sz w:val="20"/>
          <w:szCs w:val="20"/>
          <w:color w:val="auto"/>
        </w:rPr>
      </w:pPr>
      <w:r>
        <w:rPr>
          <w:rFonts w:ascii="Arial" w:cs="Arial" w:eastAsia="Arial" w:hAnsi="Arial"/>
          <w:sz w:val="20"/>
          <w:szCs w:val="20"/>
          <w:color w:val="auto"/>
        </w:rPr>
        <w:t>Adjusted EBITDA margin of (8)%</w:t>
      </w:r>
    </w:p>
    <w:p>
      <w:pPr>
        <w:spacing w:after="0" w:line="270" w:lineRule="exact"/>
        <w:rPr>
          <w:sz w:val="20"/>
          <w:szCs w:val="20"/>
          <w:color w:val="auto"/>
        </w:rPr>
      </w:pPr>
    </w:p>
    <w:p>
      <w:pPr>
        <w:spacing w:after="0"/>
        <w:rPr>
          <w:sz w:val="20"/>
          <w:szCs w:val="20"/>
          <w:color w:val="auto"/>
        </w:rPr>
      </w:pPr>
      <w:r>
        <w:rPr>
          <w:rFonts w:ascii="Arial" w:cs="Arial" w:eastAsia="Arial" w:hAnsi="Arial"/>
          <w:sz w:val="20"/>
          <w:szCs w:val="20"/>
          <w:color w:val="auto"/>
        </w:rPr>
        <w:t>For the full fiscal year 2021, Rent the Runway expects:</w:t>
      </w:r>
    </w:p>
    <w:p>
      <w:pPr>
        <w:spacing w:after="0" w:line="27" w:lineRule="exact"/>
        <w:rPr>
          <w:sz w:val="20"/>
          <w:szCs w:val="20"/>
          <w:color w:val="auto"/>
        </w:rPr>
      </w:pPr>
    </w:p>
    <w:p>
      <w:pPr>
        <w:ind w:left="480" w:hanging="310"/>
        <w:spacing w:after="0"/>
        <w:tabs>
          <w:tab w:leader="none" w:pos="480" w:val="left"/>
        </w:tabs>
        <w:numPr>
          <w:ilvl w:val="0"/>
          <w:numId w:val="6"/>
        </w:numPr>
        <w:rPr>
          <w:rFonts w:ascii="Arial" w:cs="Arial" w:eastAsia="Arial" w:hAnsi="Arial"/>
          <w:sz w:val="20"/>
          <w:szCs w:val="20"/>
          <w:color w:val="auto"/>
        </w:rPr>
      </w:pPr>
      <w:r>
        <w:rPr>
          <w:rFonts w:ascii="Arial" w:cs="Arial" w:eastAsia="Arial" w:hAnsi="Arial"/>
          <w:sz w:val="20"/>
          <w:szCs w:val="20"/>
          <w:color w:val="auto"/>
        </w:rPr>
        <w:t>Ending Active Subscribers of 121K to 122K</w:t>
      </w:r>
    </w:p>
    <w:p>
      <w:pPr>
        <w:spacing w:after="0" w:line="26" w:lineRule="exact"/>
        <w:rPr>
          <w:rFonts w:ascii="Arial" w:cs="Arial" w:eastAsia="Arial" w:hAnsi="Arial"/>
          <w:sz w:val="20"/>
          <w:szCs w:val="20"/>
          <w:color w:val="auto"/>
        </w:rPr>
      </w:pPr>
    </w:p>
    <w:p>
      <w:pPr>
        <w:ind w:left="480" w:hanging="310"/>
        <w:spacing w:after="0"/>
        <w:tabs>
          <w:tab w:leader="none" w:pos="480" w:val="left"/>
        </w:tabs>
        <w:numPr>
          <w:ilvl w:val="0"/>
          <w:numId w:val="6"/>
        </w:numPr>
        <w:rPr>
          <w:rFonts w:ascii="Arial" w:cs="Arial" w:eastAsia="Arial" w:hAnsi="Arial"/>
          <w:sz w:val="20"/>
          <w:szCs w:val="20"/>
          <w:color w:val="auto"/>
        </w:rPr>
      </w:pPr>
      <w:r>
        <w:rPr>
          <w:rFonts w:ascii="Arial" w:cs="Arial" w:eastAsia="Arial" w:hAnsi="Arial"/>
          <w:sz w:val="20"/>
          <w:szCs w:val="20"/>
          <w:color w:val="auto"/>
        </w:rPr>
        <w:t>Revenue in the range of $202.0 million to $202.5 million</w:t>
      </w:r>
    </w:p>
    <w:p>
      <w:pPr>
        <w:spacing w:after="0" w:line="26" w:lineRule="exact"/>
        <w:rPr>
          <w:rFonts w:ascii="Arial" w:cs="Arial" w:eastAsia="Arial" w:hAnsi="Arial"/>
          <w:sz w:val="20"/>
          <w:szCs w:val="20"/>
          <w:color w:val="auto"/>
        </w:rPr>
      </w:pPr>
    </w:p>
    <w:p>
      <w:pPr>
        <w:ind w:left="480" w:hanging="310"/>
        <w:spacing w:after="0"/>
        <w:tabs>
          <w:tab w:leader="none" w:pos="480" w:val="left"/>
        </w:tabs>
        <w:numPr>
          <w:ilvl w:val="0"/>
          <w:numId w:val="6"/>
        </w:numPr>
        <w:rPr>
          <w:rFonts w:ascii="Arial" w:cs="Arial" w:eastAsia="Arial" w:hAnsi="Arial"/>
          <w:sz w:val="20"/>
          <w:szCs w:val="20"/>
          <w:color w:val="auto"/>
        </w:rPr>
      </w:pPr>
      <w:r>
        <w:rPr>
          <w:rFonts w:ascii="Arial" w:cs="Arial" w:eastAsia="Arial" w:hAnsi="Arial"/>
          <w:sz w:val="20"/>
          <w:szCs w:val="20"/>
          <w:color w:val="auto"/>
        </w:rPr>
        <w:t>Adjusted EBITDA margin of (9)%</w:t>
      </w:r>
    </w:p>
    <w:p>
      <w:pPr>
        <w:sectPr>
          <w:pgSz w:w="11900" w:h="16838" w:orient="portrait"/>
          <w:cols w:equalWidth="0" w:num="1">
            <w:col w:w="11160"/>
          </w:cols>
          <w:pgMar w:left="320" w:top="878" w:right="419" w:bottom="1440" w:gutter="0" w:footer="0" w:header="0"/>
        </w:sectPr>
      </w:pPr>
    </w:p>
    <w:bookmarkStart w:id="5" w:name="page6"/>
    <w:bookmarkEnd w:id="5"/>
    <w:p>
      <w:pPr>
        <w:spacing w:after="0"/>
        <w:rPr>
          <w:sz w:val="20"/>
          <w:szCs w:val="20"/>
          <w:color w:val="auto"/>
        </w:rPr>
      </w:pPr>
      <w:r>
        <w:rPr>
          <w:rFonts w:ascii="Arial" w:cs="Arial" w:eastAsia="Arial" w:hAnsi="Arial"/>
          <w:sz w:val="20"/>
          <w:szCs w:val="20"/>
          <w:b w:val="1"/>
          <w:bCs w:val="1"/>
          <w:color w:val="auto"/>
        </w:rPr>
        <w:t>Earnings Presentation, Conference Call and Webcast</w:t>
      </w:r>
    </w:p>
    <w:p>
      <w:pPr>
        <w:spacing w:after="0" w:line="294" w:lineRule="exact"/>
        <w:rPr>
          <w:sz w:val="20"/>
          <w:szCs w:val="20"/>
          <w:color w:val="auto"/>
        </w:rPr>
      </w:pPr>
    </w:p>
    <w:p>
      <w:pPr>
        <w:jc w:val="both"/>
        <w:ind w:right="20"/>
        <w:spacing w:after="0" w:line="275" w:lineRule="auto"/>
        <w:rPr>
          <w:sz w:val="20"/>
          <w:szCs w:val="20"/>
          <w:color w:val="auto"/>
        </w:rPr>
      </w:pPr>
      <w:r>
        <w:rPr>
          <w:rFonts w:ascii="Arial" w:cs="Arial" w:eastAsia="Arial" w:hAnsi="Arial"/>
          <w:sz w:val="20"/>
          <w:szCs w:val="20"/>
          <w:color w:val="auto"/>
        </w:rPr>
        <w:t>The Q3 2021 Earnings Presentation is now accessible through the Investor Relations section of Rent the Runway’s website at https://investors.renttherunway.com/ under the “Presentations” section.</w:t>
      </w:r>
    </w:p>
    <w:p>
      <w:pPr>
        <w:spacing w:after="0" w:line="202" w:lineRule="exact"/>
        <w:rPr>
          <w:sz w:val="20"/>
          <w:szCs w:val="20"/>
          <w:color w:val="auto"/>
        </w:rPr>
      </w:pPr>
    </w:p>
    <w:p>
      <w:pPr>
        <w:jc w:val="both"/>
        <w:spacing w:after="0" w:line="275" w:lineRule="auto"/>
        <w:rPr>
          <w:sz w:val="20"/>
          <w:szCs w:val="20"/>
          <w:color w:val="auto"/>
        </w:rPr>
      </w:pPr>
      <w:r>
        <w:rPr>
          <w:rFonts w:ascii="Arial" w:cs="Arial" w:eastAsia="Arial" w:hAnsi="Arial"/>
          <w:sz w:val="20"/>
          <w:szCs w:val="20"/>
          <w:color w:val="auto"/>
        </w:rPr>
        <w:t>Rent the Runway will host a conference call and webcast to discuss its third quarter 2021 financial results and provide a business update today at 5:00 pm EST.</w:t>
      </w:r>
    </w:p>
    <w:p>
      <w:pPr>
        <w:spacing w:after="0" w:line="202" w:lineRule="exact"/>
        <w:rPr>
          <w:sz w:val="20"/>
          <w:szCs w:val="20"/>
          <w:color w:val="auto"/>
        </w:rPr>
      </w:pPr>
    </w:p>
    <w:p>
      <w:pPr>
        <w:jc w:val="both"/>
        <w:spacing w:after="0" w:line="271" w:lineRule="auto"/>
        <w:rPr>
          <w:sz w:val="20"/>
          <w:szCs w:val="20"/>
          <w:color w:val="auto"/>
        </w:rPr>
      </w:pPr>
      <w:r>
        <w:rPr>
          <w:rFonts w:ascii="Arial" w:cs="Arial" w:eastAsia="Arial" w:hAnsi="Arial"/>
          <w:sz w:val="20"/>
          <w:szCs w:val="20"/>
          <w:color w:val="auto"/>
        </w:rPr>
        <w:t xml:space="preserve">The financial results and live webcast will be accessible through the Investor Relations section of Rent the Runway’s website at </w:t>
      </w:r>
      <w:r>
        <w:rPr>
          <w:rFonts w:ascii="Arial" w:cs="Arial" w:eastAsia="Arial" w:hAnsi="Arial"/>
          <w:sz w:val="20"/>
          <w:szCs w:val="20"/>
          <w:u w:val="single" w:color="auto"/>
          <w:color w:val="212D3D"/>
        </w:rPr>
        <w:t>https://investors.renttherunway.com/</w:t>
      </w:r>
      <w:r>
        <w:rPr>
          <w:rFonts w:ascii="Arial" w:cs="Arial" w:eastAsia="Arial" w:hAnsi="Arial"/>
          <w:sz w:val="20"/>
          <w:szCs w:val="20"/>
          <w:color w:val="212D3D"/>
        </w:rPr>
        <w:t xml:space="preserve"> </w:t>
      </w:r>
      <w:r>
        <w:rPr>
          <w:rFonts w:ascii="Arial" w:cs="Arial" w:eastAsia="Arial" w:hAnsi="Arial"/>
          <w:sz w:val="20"/>
          <w:szCs w:val="20"/>
          <w:color w:val="000000"/>
        </w:rPr>
        <w:t>under the “Events” section. To access the call through a conference line, dial 1-877-407-3982 (in the U.S.) or 1-201-493-6780 (international callers).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2011045</wp:posOffset>
            </wp:positionH>
            <wp:positionV relativeFrom="paragraph">
              <wp:posOffset>-328930</wp:posOffset>
            </wp:positionV>
            <wp:extent cx="5117465" cy="1371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117465" cy="137160"/>
                    </a:xfrm>
                    <a:prstGeom prst="rect">
                      <a:avLst/>
                    </a:prstGeom>
                    <a:noFill/>
                  </pic:spPr>
                </pic:pic>
              </a:graphicData>
            </a:graphic>
          </wp:anchor>
        </w:drawing>
      </w:r>
    </w:p>
    <w:p>
      <w:pPr>
        <w:spacing w:after="0" w:line="186" w:lineRule="exact"/>
        <w:rPr>
          <w:sz w:val="20"/>
          <w:szCs w:val="20"/>
          <w:color w:val="auto"/>
        </w:rPr>
      </w:pPr>
    </w:p>
    <w:p>
      <w:pPr>
        <w:jc w:val="both"/>
        <w:spacing w:after="0" w:line="275" w:lineRule="auto"/>
        <w:rPr>
          <w:sz w:val="20"/>
          <w:szCs w:val="20"/>
          <w:color w:val="auto"/>
        </w:rPr>
      </w:pPr>
      <w:r>
        <w:rPr>
          <w:rFonts w:ascii="Arial" w:cs="Arial" w:eastAsia="Arial" w:hAnsi="Arial"/>
          <w:sz w:val="20"/>
          <w:szCs w:val="20"/>
          <w:color w:val="auto"/>
        </w:rPr>
        <w:t>A replay of the conference call will be posted shortly after the call and will be available for at least fourteen days. To access the replay, dial 1-844-512-2921 (in the U.S.) or 1-412-317-6671 (international callers). The access code for the replay is 13724983.</w:t>
      </w:r>
    </w:p>
    <w:p>
      <w:pPr>
        <w:spacing w:after="0" w:line="17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Rent the Runway, Inc.</w:t>
      </w:r>
    </w:p>
    <w:p>
      <w:pPr>
        <w:spacing w:after="0" w:line="294" w:lineRule="exact"/>
        <w:rPr>
          <w:sz w:val="20"/>
          <w:szCs w:val="20"/>
          <w:color w:val="auto"/>
        </w:rPr>
      </w:pPr>
    </w:p>
    <w:p>
      <w:pPr>
        <w:jc w:val="both"/>
        <w:spacing w:after="0" w:line="268" w:lineRule="auto"/>
        <w:rPr>
          <w:sz w:val="20"/>
          <w:szCs w:val="20"/>
          <w:color w:val="auto"/>
        </w:rPr>
      </w:pPr>
      <w:r>
        <w:rPr>
          <w:rFonts w:ascii="Arial" w:cs="Arial" w:eastAsia="Arial" w:hAnsi="Arial"/>
          <w:sz w:val="20"/>
          <w:szCs w:val="20"/>
          <w:color w:val="auto"/>
        </w:rPr>
        <w:t>Founded in 2009, Rent the Runway is disrupting the trillion-dollar fashion industry and changing the way women get dressed through the Closet in the Cloud, the world’s first and largest shared designer closet. RTR’s mission has remained the same since its founding: powering women to feel their best every day. Through RTR, customers can subscribe, rent items a-la-carte and shop resale from over 780 designer brands. The Closet in the Cloud offers a wide assortment of millions of items for every occasion, from evening wear and accessories to ready-to-wear, workwear, denim, casual, maternity, outerwear, blouses, knitwear, loungewear, jewelry, handbags, activewear, ski wear, home goods and kidswear. RTR has built a two-sided discovery engine, which connects deeply engaged customers and differentiated brand partners on a powerful platform built around its brand, data, logistics and technology. Under CEO and Co-Founder Jennifer Hyman’s leadership, RTR has been named to CNBC’s “Disruptor 50” five times in ten years, and has been placed on Fast Company’s Most Innovative Companies list four times, while Hyman herself has been named to the “TIME 100: Most Influential People in the World" and as one of People Magazine’s “Women Changing the World.”</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Forward-Looking Statements</w:t>
      </w:r>
    </w:p>
    <w:p>
      <w:pPr>
        <w:spacing w:after="0" w:line="294" w:lineRule="exact"/>
        <w:rPr>
          <w:sz w:val="20"/>
          <w:szCs w:val="20"/>
          <w:color w:val="auto"/>
        </w:rPr>
      </w:pPr>
    </w:p>
    <w:p>
      <w:pPr>
        <w:jc w:val="both"/>
        <w:spacing w:after="0" w:line="268" w:lineRule="auto"/>
        <w:rPr>
          <w:sz w:val="20"/>
          <w:szCs w:val="20"/>
          <w:color w:val="auto"/>
        </w:rPr>
      </w:pPr>
      <w:r>
        <w:rPr>
          <w:rFonts w:ascii="Arial" w:cs="Arial" w:eastAsia="Arial" w:hAnsi="Arial"/>
          <w:sz w:val="20"/>
          <w:szCs w:val="20"/>
          <w:color w:val="auto"/>
        </w:rPr>
        <w:t>This press release contains forward-looking statements within the meaning of the Private Securities Litigation Reform Act of 1995. All statements contained in this press release that do not relate to matters of historical fact should be considered forward-looking statements. These statements include, but are not limited to, statements regarding our future results of operations, financial position, and revenue, business objectives, subscriber trends and impacts from the COVID-19 pandemic, plans to expand into new products and offerings, and total addressable market. Forward-looking statements are inherently subject to risks and uncertainties, some of which cannot be predicted or quantified. In some cases, you can identify forward-looking statements because they contain words such as “anticipate,” “believe,” “contemplate,” “continue,” “could,” “estimate,” “expect,” “intend,” “may,” “plan,” “potential,” “predict,” “project,” “should,” “target,” “toward,” “will,” or “would,” or the negative of these words or other similar</w:t>
      </w:r>
    </w:p>
    <w:p>
      <w:pPr>
        <w:sectPr>
          <w:pgSz w:w="11900" w:h="16838" w:orient="portrait"/>
          <w:cols w:equalWidth="0" w:num="1">
            <w:col w:w="11240"/>
          </w:cols>
          <w:pgMar w:left="320" w:top="854" w:right="339" w:bottom="1440" w:gutter="0" w:footer="0" w:header="0"/>
        </w:sectPr>
      </w:pPr>
    </w:p>
    <w:bookmarkStart w:id="6" w:name="page7"/>
    <w:bookmarkEnd w:id="6"/>
    <w:p>
      <w:pPr>
        <w:jc w:val="both"/>
        <w:spacing w:after="0" w:line="271" w:lineRule="auto"/>
        <w:rPr>
          <w:sz w:val="20"/>
          <w:szCs w:val="20"/>
          <w:color w:val="auto"/>
        </w:rPr>
      </w:pPr>
      <w:r>
        <w:rPr>
          <w:rFonts w:ascii="Arial" w:cs="Arial" w:eastAsia="Arial" w:hAnsi="Arial"/>
          <w:sz w:val="20"/>
          <w:szCs w:val="20"/>
          <w:color w:val="auto"/>
        </w:rPr>
        <w:t>terms or expressions. You should not put undue reliance on any forward-looking statements. Forward-looking statements should not be read as a guarantee of future performance or results and will not necessarily be accurate indications of the times at, or by, which such performance or results will be achieved, if at all.</w:t>
      </w:r>
    </w:p>
    <w:p>
      <w:pPr>
        <w:spacing w:after="0" w:line="206" w:lineRule="exact"/>
        <w:rPr>
          <w:sz w:val="20"/>
          <w:szCs w:val="20"/>
          <w:color w:val="auto"/>
        </w:rPr>
      </w:pPr>
    </w:p>
    <w:p>
      <w:pPr>
        <w:jc w:val="both"/>
        <w:spacing w:after="0" w:line="268" w:lineRule="auto"/>
        <w:rPr>
          <w:sz w:val="20"/>
          <w:szCs w:val="20"/>
          <w:color w:val="auto"/>
        </w:rPr>
      </w:pPr>
      <w:r>
        <w:rPr>
          <w:rFonts w:ascii="Arial" w:cs="Arial" w:eastAsia="Arial" w:hAnsi="Arial"/>
          <w:sz w:val="20"/>
          <w:szCs w:val="20"/>
          <w:color w:val="auto"/>
        </w:rPr>
        <w:t>Forward-looking statements are based on information available at the time those statements are made and were based on current expectations, estimates, forecasts, and projections as well as the beliefs and assumptions of management as of that time with respect to future events. These statements are subject to risks and uncertainties, many of which involve factors or circumstances that are beyond our control, that could cause actual performance or results to differ materially from those expressed in or suggested by the forward-looking statements. In light of these risks and uncertainties, the forward-looking events and circumstances discussed in this press release may not occur and actual results could differ materially from those anticipated or implied in the forward-looking statements. These risks and uncertainties include our ability to manage our growth effectively; risks related to the COVID-19 pandemic; the highly competitive and rapidly changing nature of the global fashion industry; our ability to cost-effectively grow our customer base; any failure to retain customers; our ability to accurately forecast customer demand, manage our offerings effectively and plan for future expenses; risks related to shipping, logistics and our supply chain; our reliance on the effective operation of proprietary technology systems and software as well as those of third-party vendors and service providers; our ability to remediate our material weaknesses in our internal control over financial reporting; laws and regulations applicable to our business; failure to adequately maintain and protect our intellectual property and proprietary rights; compliance with data privacy, data security, data protection and consumer protection laws and industry standards; risks associated with our brand partners; reliance on third parties for elements of the payment processing infrastructure underlying our business; dependence on online sources to attract consumers and promote our business which may be affected by third-party interference or cause our customer acquisition costs to rise; failure by us, our brand partners, or third party manufacturers to comply with our vendor code of conduct or other laws; and risks related to our Class A capital stock and ownership structure. Additional information regarding these and other risks and uncertainties that could cause actual results to differ materially from the Company’s expectations is included in our final prospectus dated October 26, 2021. Except as required by law, we do not undertake any obligation to publicly update or revise any forward-looking statement, whether as a result of new information, future developments, or otherwise.</w:t>
      </w:r>
    </w:p>
    <w:p>
      <w:pPr>
        <w:spacing w:after="0" w:line="18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Key Business and Financial Metrics</w:t>
      </w:r>
    </w:p>
    <w:p>
      <w:pPr>
        <w:spacing w:after="0" w:line="294" w:lineRule="exact"/>
        <w:rPr>
          <w:sz w:val="20"/>
          <w:szCs w:val="20"/>
          <w:color w:val="auto"/>
        </w:rPr>
      </w:pPr>
    </w:p>
    <w:p>
      <w:pPr>
        <w:jc w:val="both"/>
        <w:ind w:right="20"/>
        <w:spacing w:after="0" w:line="275" w:lineRule="auto"/>
        <w:rPr>
          <w:sz w:val="20"/>
          <w:szCs w:val="20"/>
          <w:color w:val="auto"/>
        </w:rPr>
      </w:pPr>
      <w:r>
        <w:rPr>
          <w:rFonts w:ascii="Arial" w:cs="Arial" w:eastAsia="Arial" w:hAnsi="Arial"/>
          <w:sz w:val="20"/>
          <w:szCs w:val="20"/>
          <w:color w:val="auto"/>
        </w:rPr>
        <w:t>Active Subscribers is defined as the number of subscribers with an active membership as of the last day of any given period and excludes paused subscribers.</w:t>
      </w:r>
    </w:p>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Gross Profit is defined as total revenue less fulfillment expense, revenue share and rental product depreciation. We depreciate owned apparel assets over three years and owned accessory assets over two years net of 20% and 30% salvage values, respectively, and recognize the depreciation and remaining cost of items when sold or retired on our statement of operations. Rental product depreciation expense is time-based and reflects all items we own. We use Gross Profit and Gross Profit as a percentage of revenue, or Gross Margin to measure the continued efficiency of our business after the total cost of our products are included.</w:t>
      </w:r>
    </w:p>
    <w:p>
      <w:pPr>
        <w:sectPr>
          <w:pgSz w:w="11900" w:h="16838" w:orient="portrait"/>
          <w:cols w:equalWidth="0" w:num="1">
            <w:col w:w="11240"/>
          </w:cols>
          <w:pgMar w:left="320" w:top="878" w:right="339" w:bottom="1440" w:gutter="0" w:footer="0" w:header="0"/>
        </w:sectPr>
      </w:pPr>
    </w:p>
    <w:bookmarkStart w:id="7" w:name="page8"/>
    <w:bookmarkEnd w:id="7"/>
    <w:p>
      <w:pPr>
        <w:spacing w:after="0"/>
        <w:rPr>
          <w:sz w:val="20"/>
          <w:szCs w:val="20"/>
          <w:color w:val="auto"/>
        </w:rPr>
      </w:pPr>
      <w:r>
        <w:rPr>
          <w:rFonts w:ascii="Arial" w:cs="Arial" w:eastAsia="Arial" w:hAnsi="Arial"/>
          <w:sz w:val="20"/>
          <w:szCs w:val="20"/>
          <w:b w:val="1"/>
          <w:bCs w:val="1"/>
          <w:color w:val="auto"/>
        </w:rPr>
        <w:t>Non-GAAP Financial Measures</w:t>
      </w:r>
    </w:p>
    <w:p>
      <w:pPr>
        <w:spacing w:after="0" w:line="294" w:lineRule="exact"/>
        <w:rPr>
          <w:sz w:val="20"/>
          <w:szCs w:val="20"/>
          <w:color w:val="auto"/>
        </w:rPr>
      </w:pPr>
    </w:p>
    <w:p>
      <w:pPr>
        <w:jc w:val="both"/>
        <w:spacing w:after="0" w:line="268" w:lineRule="auto"/>
        <w:rPr>
          <w:sz w:val="20"/>
          <w:szCs w:val="20"/>
          <w:color w:val="auto"/>
        </w:rPr>
      </w:pPr>
      <w:r>
        <w:rPr>
          <w:rFonts w:ascii="Arial" w:cs="Arial" w:eastAsia="Arial" w:hAnsi="Arial"/>
          <w:sz w:val="20"/>
          <w:szCs w:val="20"/>
          <w:color w:val="auto"/>
        </w:rPr>
        <w:t>This press release and the accompanying tables contain the non-GAAP financial measures of Adjusted EBITDA and Adjusted EBITDA margin. In addition to our results determined in accordance with GAAP, we believe that Adjusted EBITDA and Adjusted EBITDA margin are useful in evaluating our performance. Adjusted EBITDA is a key performance measure used by management to assess our operating performance and the operating leverage of our business prior to capital expenditures. These non-GAAP financial metrics are not meant to be considered as an indicator of our financial performance in isolation from or as a substitute for our financial information prepared in accordance with GAAP and should be read only in conjunction with financial information presented on a GAAP basis. There are limitations to the use of the non-GAAP financial metrics presented in this press release. For example, our non-GAAP financial metrics may not be comparable to similarly titled measures of other companies. Other companies, including companies in our industry, may calculate non-GAAP financial metrics differently than we do, limiting the usefulness of those measures for comparative purposes.</w:t>
      </w:r>
    </w:p>
    <w:p>
      <w:pPr>
        <w:spacing w:after="0" w:line="213" w:lineRule="exact"/>
        <w:rPr>
          <w:sz w:val="20"/>
          <w:szCs w:val="20"/>
          <w:color w:val="auto"/>
        </w:rPr>
      </w:pPr>
    </w:p>
    <w:p>
      <w:pPr>
        <w:jc w:val="both"/>
        <w:spacing w:after="0" w:line="270" w:lineRule="auto"/>
        <w:rPr>
          <w:sz w:val="20"/>
          <w:szCs w:val="20"/>
          <w:color w:val="auto"/>
        </w:rPr>
      </w:pPr>
      <w:r>
        <w:rPr>
          <w:rFonts w:ascii="Arial" w:cs="Arial" w:eastAsia="Arial" w:hAnsi="Arial"/>
          <w:sz w:val="20"/>
          <w:szCs w:val="20"/>
          <w:color w:val="auto"/>
        </w:rPr>
        <w:t>We define Adjusted EBITDA as net loss, adjusted to exclude interest expense, rental product depreciation, other depreciation and amortization, stock-based compensation expense, write-off of liquidated assets, certain non-recurring, one-time, costs (see below footnotes to reconciliation table), income taxes, other income and expense, and other gains / losses. Adjusted EBITDA margin is defined as Adjusted EBITDA calculated as a percentage of revenue.</w:t>
      </w:r>
    </w:p>
    <w:p>
      <w:pPr>
        <w:spacing w:after="0" w:line="207" w:lineRule="exact"/>
        <w:rPr>
          <w:sz w:val="20"/>
          <w:szCs w:val="20"/>
          <w:color w:val="auto"/>
        </w:rPr>
      </w:pPr>
    </w:p>
    <w:p>
      <w:pPr>
        <w:jc w:val="both"/>
        <w:spacing w:after="0" w:line="268" w:lineRule="auto"/>
        <w:rPr>
          <w:sz w:val="20"/>
          <w:szCs w:val="20"/>
          <w:color w:val="auto"/>
        </w:rPr>
      </w:pPr>
      <w:r>
        <w:rPr>
          <w:rFonts w:ascii="Arial" w:cs="Arial" w:eastAsia="Arial" w:hAnsi="Arial"/>
          <w:sz w:val="20"/>
          <w:szCs w:val="20"/>
          <w:color w:val="auto"/>
        </w:rPr>
        <w:t>Reconciliations of the non-GAAP financial metric to its most directly comparable GAAP financial measure are presented below. We encourage you to review the reconciliations in conjunction with the presentation of the non-GAAP financial metrics for each of the periods presented. In future periods, we may exclude similar items, may incur income and expenses similar to these excluded items, and may include other expenses, costs and non-recurring items. With respect to our expectations under "Financial Outlook" above, reconciliation of Adjusted EBITDA and Adjusted EBITDA margin guidance to the closest corresponding GAAP measure is not available without unreasonable efforts on a forward-looking basis due to the high variability, complexity, and low visibility with respect to the charges excluded from these non-GAAP measures, in particular, stock-based compensation expense and non-recurring expenses which can have unpredictable fluctuations based on unforeseen activity that is out of our control and/or cannot reasonably be predicted.</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Investor Contact</w:t>
      </w:r>
    </w:p>
    <w:p>
      <w:pPr>
        <w:spacing w:after="0" w:line="51" w:lineRule="exact"/>
        <w:rPr>
          <w:sz w:val="20"/>
          <w:szCs w:val="20"/>
          <w:color w:val="auto"/>
        </w:rPr>
      </w:pPr>
    </w:p>
    <w:p>
      <w:pPr>
        <w:spacing w:after="0"/>
        <w:rPr>
          <w:sz w:val="20"/>
          <w:szCs w:val="20"/>
          <w:color w:val="auto"/>
        </w:rPr>
      </w:pPr>
      <w:r>
        <w:rPr>
          <w:rFonts w:ascii="Arial" w:cs="Arial" w:eastAsia="Arial" w:hAnsi="Arial"/>
          <w:sz w:val="20"/>
          <w:szCs w:val="20"/>
          <w:color w:val="auto"/>
        </w:rPr>
        <w:t>investors@renttherunway.com</w:t>
      </w:r>
    </w:p>
    <w:p>
      <w:pPr>
        <w:spacing w:after="0" w:line="24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Media Contact</w:t>
      </w:r>
    </w:p>
    <w:p>
      <w:pPr>
        <w:spacing w:after="0" w:line="51" w:lineRule="exact"/>
        <w:rPr>
          <w:sz w:val="20"/>
          <w:szCs w:val="20"/>
          <w:color w:val="auto"/>
        </w:rPr>
      </w:pPr>
    </w:p>
    <w:p>
      <w:pPr>
        <w:spacing w:after="0"/>
        <w:rPr>
          <w:sz w:val="20"/>
          <w:szCs w:val="20"/>
          <w:color w:val="auto"/>
        </w:rPr>
      </w:pPr>
      <w:r>
        <w:rPr>
          <w:rFonts w:ascii="Arial" w:cs="Arial" w:eastAsia="Arial" w:hAnsi="Arial"/>
          <w:sz w:val="20"/>
          <w:szCs w:val="20"/>
          <w:color w:val="auto"/>
        </w:rPr>
        <w:t>Alison Rappaport</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press@renttherunway.com</w:t>
      </w:r>
    </w:p>
    <w:p>
      <w:pPr>
        <w:sectPr>
          <w:pgSz w:w="11900" w:h="16838" w:orient="portrait"/>
          <w:cols w:equalWidth="0" w:num="1">
            <w:col w:w="11240"/>
          </w:cols>
          <w:pgMar w:left="320" w:top="854" w:right="339" w:bottom="1440" w:gutter="0" w:footer="0" w:header="0"/>
        </w:sectPr>
      </w:pPr>
    </w:p>
    <w:bookmarkStart w:id="8" w:name="page9"/>
    <w:bookmarkEnd w:id="8"/>
    <w:p>
      <w:pPr>
        <w:ind w:left="4300"/>
        <w:spacing w:after="0"/>
        <w:rPr>
          <w:sz w:val="20"/>
          <w:szCs w:val="20"/>
          <w:color w:val="auto"/>
        </w:rPr>
      </w:pPr>
      <w:r>
        <w:rPr>
          <w:rFonts w:ascii="Arial" w:cs="Arial" w:eastAsia="Arial" w:hAnsi="Arial"/>
          <w:sz w:val="20"/>
          <w:szCs w:val="20"/>
          <w:b w:val="1"/>
          <w:bCs w:val="1"/>
          <w:color w:val="auto"/>
        </w:rPr>
        <w:t>Rent the Runway, Inc.</w:t>
      </w:r>
    </w:p>
    <w:p>
      <w:pPr>
        <w:ind w:left="3380"/>
        <w:spacing w:after="0" w:line="221" w:lineRule="auto"/>
        <w:rPr>
          <w:sz w:val="20"/>
          <w:szCs w:val="20"/>
          <w:color w:val="auto"/>
        </w:rPr>
      </w:pPr>
      <w:r>
        <w:rPr>
          <w:rFonts w:ascii="Arial" w:cs="Arial" w:eastAsia="Arial" w:hAnsi="Arial"/>
          <w:sz w:val="20"/>
          <w:szCs w:val="20"/>
          <w:b w:val="1"/>
          <w:bCs w:val="1"/>
          <w:color w:val="auto"/>
        </w:rPr>
        <w:t>Condensed Consolidated Balance Sheets</w:t>
      </w:r>
    </w:p>
    <w:p>
      <w:pPr>
        <w:ind w:left="4760"/>
        <w:spacing w:after="0" w:line="198" w:lineRule="auto"/>
        <w:rPr>
          <w:sz w:val="20"/>
          <w:szCs w:val="20"/>
          <w:color w:val="auto"/>
        </w:rPr>
      </w:pPr>
      <w:r>
        <w:rPr>
          <w:rFonts w:ascii="Arial" w:cs="Arial" w:eastAsia="Arial" w:hAnsi="Arial"/>
          <w:sz w:val="20"/>
          <w:szCs w:val="20"/>
          <w:b w:val="1"/>
          <w:bCs w:val="1"/>
          <w:color w:val="auto"/>
        </w:rPr>
        <w:t>(in millions)</w:t>
      </w:r>
    </w:p>
    <w:p>
      <w:pPr>
        <w:ind w:left="4820"/>
        <w:spacing w:after="0"/>
        <w:rPr>
          <w:sz w:val="20"/>
          <w:szCs w:val="20"/>
          <w:color w:val="auto"/>
        </w:rPr>
      </w:pPr>
      <w:r>
        <w:rPr>
          <w:rFonts w:ascii="Arial" w:cs="Arial" w:eastAsia="Arial" w:hAnsi="Arial"/>
          <w:sz w:val="20"/>
          <w:szCs w:val="20"/>
          <w:color w:val="auto"/>
        </w:rPr>
        <w:t>(unaudited)</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80" w:type="dxa"/>
            <w:vAlign w:val="bottom"/>
            <w:gridSpan w:val="2"/>
          </w:tcPr>
          <w:p>
            <w:pPr>
              <w:ind w:left="120"/>
              <w:spacing w:after="0"/>
              <w:rPr>
                <w:sz w:val="20"/>
                <w:szCs w:val="20"/>
                <w:color w:val="auto"/>
              </w:rPr>
            </w:pPr>
            <w:r>
              <w:rPr>
                <w:rFonts w:ascii="Arial" w:cs="Arial" w:eastAsia="Arial" w:hAnsi="Arial"/>
                <w:sz w:val="14"/>
                <w:szCs w:val="14"/>
                <w:b w:val="1"/>
                <w:bCs w:val="1"/>
                <w:color w:val="auto"/>
              </w:rPr>
              <w:t>October 31,</w:t>
            </w:r>
          </w:p>
        </w:tc>
        <w:tc>
          <w:tcPr>
            <w:tcW w:w="240" w:type="dxa"/>
            <w:vAlign w:val="bottom"/>
          </w:tcPr>
          <w:p>
            <w:pPr>
              <w:spacing w:after="0"/>
              <w:rPr>
                <w:sz w:val="17"/>
                <w:szCs w:val="17"/>
                <w:color w:val="auto"/>
              </w:rPr>
            </w:pPr>
          </w:p>
        </w:tc>
        <w:tc>
          <w:tcPr>
            <w:tcW w:w="1300" w:type="dxa"/>
            <w:vAlign w:val="bottom"/>
          </w:tcPr>
          <w:p>
            <w:pPr>
              <w:jc w:val="right"/>
              <w:ind w:right="295"/>
              <w:spacing w:after="0"/>
              <w:rPr>
                <w:sz w:val="20"/>
                <w:szCs w:val="20"/>
                <w:color w:val="auto"/>
              </w:rPr>
            </w:pPr>
            <w:r>
              <w:rPr>
                <w:rFonts w:ascii="Arial" w:cs="Arial" w:eastAsia="Arial" w:hAnsi="Arial"/>
                <w:sz w:val="14"/>
                <w:szCs w:val="14"/>
                <w:b w:val="1"/>
                <w:bCs w:val="1"/>
                <w:color w:val="auto"/>
              </w:rPr>
              <w:t>January 31,</w:t>
            </w:r>
          </w:p>
        </w:tc>
        <w:tc>
          <w:tcPr>
            <w:tcW w:w="0" w:type="dxa"/>
            <w:vAlign w:val="bottom"/>
          </w:tcPr>
          <w:p>
            <w:pPr>
              <w:spacing w:after="0"/>
              <w:rPr>
                <w:sz w:val="1"/>
                <w:szCs w:val="1"/>
                <w:color w:val="auto"/>
              </w:rPr>
            </w:pPr>
          </w:p>
        </w:tc>
      </w:tr>
      <w:tr>
        <w:trPr>
          <w:trHeight w:val="217"/>
        </w:trPr>
        <w:tc>
          <w:tcPr>
            <w:tcW w:w="73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51"/>
        </w:trPr>
        <w:tc>
          <w:tcPr>
            <w:tcW w:w="7380" w:type="dxa"/>
            <w:vAlign w:val="bottom"/>
          </w:tcPr>
          <w:p>
            <w:pPr>
              <w:spacing w:after="0"/>
              <w:rPr>
                <w:sz w:val="20"/>
                <w:szCs w:val="20"/>
                <w:color w:val="auto"/>
              </w:rPr>
            </w:pPr>
            <w:r>
              <w:rPr>
                <w:rFonts w:ascii="Arial" w:cs="Arial" w:eastAsia="Arial" w:hAnsi="Arial"/>
                <w:sz w:val="17"/>
                <w:szCs w:val="17"/>
                <w:b w:val="1"/>
                <w:bCs w:val="1"/>
                <w:color w:val="auto"/>
              </w:rPr>
              <w:t>Assets</w:t>
            </w:r>
          </w:p>
        </w:tc>
        <w:tc>
          <w:tcPr>
            <w:tcW w:w="26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7380" w:type="dxa"/>
            <w:vAlign w:val="bottom"/>
          </w:tcPr>
          <w:p>
            <w:pPr>
              <w:spacing w:after="0"/>
              <w:rPr>
                <w:sz w:val="20"/>
                <w:szCs w:val="20"/>
                <w:color w:val="auto"/>
              </w:rPr>
            </w:pPr>
            <w:r>
              <w:rPr>
                <w:rFonts w:ascii="Arial" w:cs="Arial" w:eastAsia="Arial" w:hAnsi="Arial"/>
                <w:sz w:val="17"/>
                <w:szCs w:val="17"/>
                <w:color w:val="auto"/>
              </w:rPr>
              <w:t>Current assets:</w:t>
            </w:r>
          </w:p>
        </w:tc>
        <w:tc>
          <w:tcPr>
            <w:tcW w:w="2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7380" w:type="dxa"/>
            <w:vAlign w:val="bottom"/>
          </w:tcPr>
          <w:p>
            <w:pPr>
              <w:ind w:left="340"/>
              <w:spacing w:after="0"/>
              <w:rPr>
                <w:sz w:val="20"/>
                <w:szCs w:val="20"/>
                <w:color w:val="auto"/>
              </w:rPr>
            </w:pPr>
            <w:r>
              <w:rPr>
                <w:rFonts w:ascii="Arial" w:cs="Arial" w:eastAsia="Arial" w:hAnsi="Arial"/>
                <w:sz w:val="17"/>
                <w:szCs w:val="17"/>
                <w:color w:val="auto"/>
              </w:rPr>
              <w:t>Cash and cash equivalents</w:t>
            </w:r>
          </w:p>
        </w:tc>
        <w:tc>
          <w:tcPr>
            <w:tcW w:w="260" w:type="dxa"/>
            <w:vAlign w:val="bottom"/>
          </w:tcPr>
          <w:p>
            <w:pPr>
              <w:jc w:val="right"/>
              <w:ind w:right="55"/>
              <w:spacing w:after="0"/>
              <w:rPr>
                <w:sz w:val="20"/>
                <w:szCs w:val="20"/>
                <w:color w:val="auto"/>
              </w:rPr>
            </w:pPr>
            <w:r>
              <w:rPr>
                <w:rFonts w:ascii="Arial" w:cs="Arial" w:eastAsia="Arial" w:hAnsi="Arial"/>
                <w:sz w:val="17"/>
                <w:szCs w:val="17"/>
                <w:color w:val="auto"/>
              </w:rPr>
              <w:t>$</w:t>
            </w:r>
          </w:p>
        </w:tc>
        <w:tc>
          <w:tcPr>
            <w:tcW w:w="1280" w:type="dxa"/>
            <w:vAlign w:val="bottom"/>
          </w:tcPr>
          <w:p>
            <w:pPr>
              <w:jc w:val="right"/>
              <w:spacing w:after="0"/>
              <w:rPr>
                <w:sz w:val="20"/>
                <w:szCs w:val="20"/>
                <w:color w:val="auto"/>
              </w:rPr>
            </w:pPr>
            <w:r>
              <w:rPr>
                <w:rFonts w:ascii="Arial" w:cs="Arial" w:eastAsia="Arial" w:hAnsi="Arial"/>
                <w:sz w:val="17"/>
                <w:szCs w:val="17"/>
                <w:color w:val="auto"/>
              </w:rPr>
              <w:t>278.7</w:t>
            </w:r>
          </w:p>
        </w:tc>
        <w:tc>
          <w:tcPr>
            <w:tcW w:w="200" w:type="dxa"/>
            <w:vAlign w:val="bottom"/>
          </w:tcPr>
          <w:p>
            <w:pPr>
              <w:spacing w:after="0"/>
              <w:rPr>
                <w:sz w:val="22"/>
                <w:szCs w:val="22"/>
                <w:color w:val="auto"/>
              </w:rPr>
            </w:pPr>
          </w:p>
        </w:tc>
        <w:tc>
          <w:tcPr>
            <w:tcW w:w="24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1300" w:type="dxa"/>
            <w:vAlign w:val="bottom"/>
          </w:tcPr>
          <w:p>
            <w:pPr>
              <w:jc w:val="right"/>
              <w:spacing w:after="0"/>
              <w:rPr>
                <w:sz w:val="20"/>
                <w:szCs w:val="20"/>
                <w:color w:val="auto"/>
              </w:rPr>
            </w:pPr>
            <w:r>
              <w:rPr>
                <w:rFonts w:ascii="Arial" w:cs="Arial" w:eastAsia="Arial" w:hAnsi="Arial"/>
                <w:sz w:val="17"/>
                <w:szCs w:val="17"/>
                <w:color w:val="auto"/>
              </w:rPr>
              <w:t>95.3</w:t>
            </w:r>
          </w:p>
        </w:tc>
        <w:tc>
          <w:tcPr>
            <w:tcW w:w="0" w:type="dxa"/>
            <w:vAlign w:val="bottom"/>
          </w:tcPr>
          <w:p>
            <w:pPr>
              <w:spacing w:after="0"/>
              <w:rPr>
                <w:sz w:val="1"/>
                <w:szCs w:val="1"/>
                <w:color w:val="auto"/>
              </w:rPr>
            </w:pPr>
          </w:p>
        </w:tc>
      </w:tr>
      <w:tr>
        <w:trPr>
          <w:trHeight w:val="257"/>
        </w:trPr>
        <w:tc>
          <w:tcPr>
            <w:tcW w:w="7380" w:type="dxa"/>
            <w:vAlign w:val="bottom"/>
          </w:tcPr>
          <w:p>
            <w:pPr>
              <w:ind w:left="340"/>
              <w:spacing w:after="0"/>
              <w:rPr>
                <w:sz w:val="20"/>
                <w:szCs w:val="20"/>
                <w:color w:val="auto"/>
              </w:rPr>
            </w:pPr>
            <w:r>
              <w:rPr>
                <w:rFonts w:ascii="Arial" w:cs="Arial" w:eastAsia="Arial" w:hAnsi="Arial"/>
                <w:sz w:val="17"/>
                <w:szCs w:val="17"/>
                <w:color w:val="auto"/>
              </w:rPr>
              <w:t>Restricted cash, current</w:t>
            </w:r>
          </w:p>
        </w:tc>
        <w:tc>
          <w:tcPr>
            <w:tcW w:w="26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5.6</w:t>
            </w:r>
          </w:p>
        </w:tc>
        <w:tc>
          <w:tcPr>
            <w:tcW w:w="2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3.4</w:t>
            </w:r>
          </w:p>
        </w:tc>
        <w:tc>
          <w:tcPr>
            <w:tcW w:w="0" w:type="dxa"/>
            <w:vAlign w:val="bottom"/>
          </w:tcPr>
          <w:p>
            <w:pPr>
              <w:spacing w:after="0"/>
              <w:rPr>
                <w:sz w:val="1"/>
                <w:szCs w:val="1"/>
                <w:color w:val="auto"/>
              </w:rPr>
            </w:pPr>
          </w:p>
        </w:tc>
      </w:tr>
      <w:tr>
        <w:trPr>
          <w:trHeight w:val="256"/>
        </w:trPr>
        <w:tc>
          <w:tcPr>
            <w:tcW w:w="7380" w:type="dxa"/>
            <w:vAlign w:val="bottom"/>
          </w:tcPr>
          <w:p>
            <w:pPr>
              <w:ind w:left="340"/>
              <w:spacing w:after="0"/>
              <w:rPr>
                <w:sz w:val="20"/>
                <w:szCs w:val="20"/>
                <w:color w:val="auto"/>
              </w:rPr>
            </w:pPr>
            <w:r>
              <w:rPr>
                <w:rFonts w:ascii="Arial" w:cs="Arial" w:eastAsia="Arial" w:hAnsi="Arial"/>
                <w:sz w:val="17"/>
                <w:szCs w:val="17"/>
                <w:color w:val="auto"/>
              </w:rPr>
              <w:t>Prepaid expenses and other current assets</w:t>
            </w:r>
          </w:p>
        </w:tc>
        <w:tc>
          <w:tcPr>
            <w:tcW w:w="26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5.4</w:t>
            </w:r>
          </w:p>
        </w:tc>
        <w:tc>
          <w:tcPr>
            <w:tcW w:w="2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4.7</w:t>
            </w:r>
          </w:p>
        </w:tc>
        <w:tc>
          <w:tcPr>
            <w:tcW w:w="0" w:type="dxa"/>
            <w:vAlign w:val="bottom"/>
          </w:tcPr>
          <w:p>
            <w:pPr>
              <w:spacing w:after="0"/>
              <w:rPr>
                <w:sz w:val="1"/>
                <w:szCs w:val="1"/>
                <w:color w:val="auto"/>
              </w:rPr>
            </w:pPr>
          </w:p>
        </w:tc>
      </w:tr>
      <w:tr>
        <w:trPr>
          <w:trHeight w:val="31"/>
        </w:trPr>
        <w:tc>
          <w:tcPr>
            <w:tcW w:w="73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9"/>
        </w:trPr>
        <w:tc>
          <w:tcPr>
            <w:tcW w:w="7380" w:type="dxa"/>
            <w:vAlign w:val="bottom"/>
          </w:tcPr>
          <w:p>
            <w:pPr>
              <w:ind w:left="660"/>
              <w:spacing w:after="0"/>
              <w:rPr>
                <w:sz w:val="20"/>
                <w:szCs w:val="20"/>
                <w:color w:val="auto"/>
              </w:rPr>
            </w:pPr>
            <w:r>
              <w:rPr>
                <w:rFonts w:ascii="Arial" w:cs="Arial" w:eastAsia="Arial" w:hAnsi="Arial"/>
                <w:sz w:val="17"/>
                <w:szCs w:val="17"/>
                <w:color w:val="auto"/>
              </w:rPr>
              <w:t>Total current assets</w:t>
            </w: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289.7</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103.4</w:t>
            </w:r>
          </w:p>
        </w:tc>
        <w:tc>
          <w:tcPr>
            <w:tcW w:w="0" w:type="dxa"/>
            <w:vAlign w:val="bottom"/>
          </w:tcPr>
          <w:p>
            <w:pPr>
              <w:spacing w:after="0"/>
              <w:rPr>
                <w:sz w:val="1"/>
                <w:szCs w:val="1"/>
                <w:color w:val="auto"/>
              </w:rPr>
            </w:pPr>
          </w:p>
        </w:tc>
      </w:tr>
      <w:tr>
        <w:trPr>
          <w:trHeight w:val="270"/>
        </w:trPr>
        <w:tc>
          <w:tcPr>
            <w:tcW w:w="7380" w:type="dxa"/>
            <w:vAlign w:val="bottom"/>
          </w:tcPr>
          <w:p>
            <w:pPr>
              <w:spacing w:after="0"/>
              <w:rPr>
                <w:sz w:val="20"/>
                <w:szCs w:val="20"/>
                <w:color w:val="auto"/>
              </w:rPr>
            </w:pPr>
            <w:r>
              <w:rPr>
                <w:rFonts w:ascii="Arial" w:cs="Arial" w:eastAsia="Arial" w:hAnsi="Arial"/>
                <w:sz w:val="17"/>
                <w:szCs w:val="17"/>
                <w:color w:val="auto"/>
              </w:rPr>
              <w:t>Restricted cash</w:t>
            </w:r>
          </w:p>
        </w:tc>
        <w:tc>
          <w:tcPr>
            <w:tcW w:w="26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7.7</w:t>
            </w:r>
          </w:p>
        </w:tc>
        <w:tc>
          <w:tcPr>
            <w:tcW w:w="2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10.5</w:t>
            </w:r>
          </w:p>
        </w:tc>
        <w:tc>
          <w:tcPr>
            <w:tcW w:w="0" w:type="dxa"/>
            <w:vAlign w:val="bottom"/>
          </w:tcPr>
          <w:p>
            <w:pPr>
              <w:spacing w:after="0"/>
              <w:rPr>
                <w:sz w:val="1"/>
                <w:szCs w:val="1"/>
                <w:color w:val="auto"/>
              </w:rPr>
            </w:pPr>
          </w:p>
        </w:tc>
      </w:tr>
      <w:tr>
        <w:trPr>
          <w:trHeight w:val="270"/>
        </w:trPr>
        <w:tc>
          <w:tcPr>
            <w:tcW w:w="7380" w:type="dxa"/>
            <w:vAlign w:val="bottom"/>
          </w:tcPr>
          <w:p>
            <w:pPr>
              <w:spacing w:after="0"/>
              <w:rPr>
                <w:sz w:val="20"/>
                <w:szCs w:val="20"/>
                <w:color w:val="auto"/>
              </w:rPr>
            </w:pPr>
            <w:r>
              <w:rPr>
                <w:rFonts w:ascii="Arial" w:cs="Arial" w:eastAsia="Arial" w:hAnsi="Arial"/>
                <w:sz w:val="17"/>
                <w:szCs w:val="17"/>
                <w:color w:val="auto"/>
              </w:rPr>
              <w:t>Rental product, net</w:t>
            </w:r>
          </w:p>
        </w:tc>
        <w:tc>
          <w:tcPr>
            <w:tcW w:w="26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79.9</w:t>
            </w:r>
          </w:p>
        </w:tc>
        <w:tc>
          <w:tcPr>
            <w:tcW w:w="2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97.6</w:t>
            </w:r>
          </w:p>
        </w:tc>
        <w:tc>
          <w:tcPr>
            <w:tcW w:w="0" w:type="dxa"/>
            <w:vAlign w:val="bottom"/>
          </w:tcPr>
          <w:p>
            <w:pPr>
              <w:spacing w:after="0"/>
              <w:rPr>
                <w:sz w:val="1"/>
                <w:szCs w:val="1"/>
                <w:color w:val="auto"/>
              </w:rPr>
            </w:pPr>
          </w:p>
        </w:tc>
      </w:tr>
      <w:tr>
        <w:trPr>
          <w:trHeight w:val="270"/>
        </w:trPr>
        <w:tc>
          <w:tcPr>
            <w:tcW w:w="7380" w:type="dxa"/>
            <w:vAlign w:val="bottom"/>
          </w:tcPr>
          <w:p>
            <w:pPr>
              <w:spacing w:after="0"/>
              <w:rPr>
                <w:sz w:val="20"/>
                <w:szCs w:val="20"/>
                <w:color w:val="auto"/>
              </w:rPr>
            </w:pPr>
            <w:r>
              <w:rPr>
                <w:rFonts w:ascii="Arial" w:cs="Arial" w:eastAsia="Arial" w:hAnsi="Arial"/>
                <w:sz w:val="17"/>
                <w:szCs w:val="17"/>
                <w:color w:val="auto"/>
              </w:rPr>
              <w:t>Fixed assets, net</w:t>
            </w:r>
          </w:p>
        </w:tc>
        <w:tc>
          <w:tcPr>
            <w:tcW w:w="26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57.5</w:t>
            </w:r>
          </w:p>
        </w:tc>
        <w:tc>
          <w:tcPr>
            <w:tcW w:w="2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64.7</w:t>
            </w:r>
          </w:p>
        </w:tc>
        <w:tc>
          <w:tcPr>
            <w:tcW w:w="0" w:type="dxa"/>
            <w:vAlign w:val="bottom"/>
          </w:tcPr>
          <w:p>
            <w:pPr>
              <w:spacing w:after="0"/>
              <w:rPr>
                <w:sz w:val="1"/>
                <w:szCs w:val="1"/>
                <w:color w:val="auto"/>
              </w:rPr>
            </w:pPr>
          </w:p>
        </w:tc>
      </w:tr>
      <w:tr>
        <w:trPr>
          <w:trHeight w:val="270"/>
        </w:trPr>
        <w:tc>
          <w:tcPr>
            <w:tcW w:w="7380" w:type="dxa"/>
            <w:vAlign w:val="bottom"/>
          </w:tcPr>
          <w:p>
            <w:pPr>
              <w:spacing w:after="0"/>
              <w:rPr>
                <w:sz w:val="20"/>
                <w:szCs w:val="20"/>
                <w:color w:val="auto"/>
              </w:rPr>
            </w:pPr>
            <w:r>
              <w:rPr>
                <w:rFonts w:ascii="Arial" w:cs="Arial" w:eastAsia="Arial" w:hAnsi="Arial"/>
                <w:sz w:val="17"/>
                <w:szCs w:val="17"/>
                <w:color w:val="auto"/>
              </w:rPr>
              <w:t>Intangible assets, net</w:t>
            </w:r>
          </w:p>
        </w:tc>
        <w:tc>
          <w:tcPr>
            <w:tcW w:w="26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6.8</w:t>
            </w:r>
          </w:p>
        </w:tc>
        <w:tc>
          <w:tcPr>
            <w:tcW w:w="2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7.8</w:t>
            </w:r>
          </w:p>
        </w:tc>
        <w:tc>
          <w:tcPr>
            <w:tcW w:w="0" w:type="dxa"/>
            <w:vAlign w:val="bottom"/>
          </w:tcPr>
          <w:p>
            <w:pPr>
              <w:spacing w:after="0"/>
              <w:rPr>
                <w:sz w:val="1"/>
                <w:szCs w:val="1"/>
                <w:color w:val="auto"/>
              </w:rPr>
            </w:pPr>
          </w:p>
        </w:tc>
      </w:tr>
      <w:tr>
        <w:trPr>
          <w:trHeight w:val="270"/>
        </w:trPr>
        <w:tc>
          <w:tcPr>
            <w:tcW w:w="7380" w:type="dxa"/>
            <w:vAlign w:val="bottom"/>
          </w:tcPr>
          <w:p>
            <w:pPr>
              <w:spacing w:after="0"/>
              <w:rPr>
                <w:sz w:val="20"/>
                <w:szCs w:val="20"/>
                <w:color w:val="auto"/>
              </w:rPr>
            </w:pPr>
            <w:r>
              <w:rPr>
                <w:rFonts w:ascii="Arial" w:cs="Arial" w:eastAsia="Arial" w:hAnsi="Arial"/>
                <w:sz w:val="17"/>
                <w:szCs w:val="17"/>
                <w:color w:val="auto"/>
              </w:rPr>
              <w:t>Operating lease right-of-use assets</w:t>
            </w:r>
          </w:p>
        </w:tc>
        <w:tc>
          <w:tcPr>
            <w:tcW w:w="26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32.4</w:t>
            </w:r>
          </w:p>
        </w:tc>
        <w:tc>
          <w:tcPr>
            <w:tcW w:w="2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34.9</w:t>
            </w:r>
          </w:p>
        </w:tc>
        <w:tc>
          <w:tcPr>
            <w:tcW w:w="0" w:type="dxa"/>
            <w:vAlign w:val="bottom"/>
          </w:tcPr>
          <w:p>
            <w:pPr>
              <w:spacing w:after="0"/>
              <w:rPr>
                <w:sz w:val="1"/>
                <w:szCs w:val="1"/>
                <w:color w:val="auto"/>
              </w:rPr>
            </w:pPr>
          </w:p>
        </w:tc>
      </w:tr>
      <w:tr>
        <w:trPr>
          <w:trHeight w:val="270"/>
        </w:trPr>
        <w:tc>
          <w:tcPr>
            <w:tcW w:w="7380" w:type="dxa"/>
            <w:vAlign w:val="bottom"/>
          </w:tcPr>
          <w:p>
            <w:pPr>
              <w:spacing w:after="0"/>
              <w:rPr>
                <w:sz w:val="20"/>
                <w:szCs w:val="20"/>
                <w:color w:val="auto"/>
              </w:rPr>
            </w:pPr>
            <w:r>
              <w:rPr>
                <w:rFonts w:ascii="Arial" w:cs="Arial" w:eastAsia="Arial" w:hAnsi="Arial"/>
                <w:sz w:val="17"/>
                <w:szCs w:val="17"/>
                <w:color w:val="auto"/>
              </w:rPr>
              <w:t>Other assets</w:t>
            </w:r>
          </w:p>
        </w:tc>
        <w:tc>
          <w:tcPr>
            <w:tcW w:w="26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4.4</w:t>
            </w:r>
          </w:p>
        </w:tc>
        <w:tc>
          <w:tcPr>
            <w:tcW w:w="2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1.8</w:t>
            </w:r>
          </w:p>
        </w:tc>
        <w:tc>
          <w:tcPr>
            <w:tcW w:w="0" w:type="dxa"/>
            <w:vAlign w:val="bottom"/>
          </w:tcPr>
          <w:p>
            <w:pPr>
              <w:spacing w:after="0"/>
              <w:rPr>
                <w:sz w:val="1"/>
                <w:szCs w:val="1"/>
                <w:color w:val="auto"/>
              </w:rPr>
            </w:pPr>
          </w:p>
        </w:tc>
      </w:tr>
      <w:tr>
        <w:trPr>
          <w:trHeight w:val="31"/>
        </w:trPr>
        <w:tc>
          <w:tcPr>
            <w:tcW w:w="73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6"/>
        </w:trPr>
        <w:tc>
          <w:tcPr>
            <w:tcW w:w="7380" w:type="dxa"/>
            <w:vAlign w:val="bottom"/>
          </w:tcPr>
          <w:p>
            <w:pPr>
              <w:ind w:left="660"/>
              <w:spacing w:after="0"/>
              <w:rPr>
                <w:sz w:val="20"/>
                <w:szCs w:val="20"/>
                <w:color w:val="auto"/>
              </w:rPr>
            </w:pPr>
            <w:r>
              <w:rPr>
                <w:rFonts w:ascii="Arial" w:cs="Arial" w:eastAsia="Arial" w:hAnsi="Arial"/>
                <w:sz w:val="17"/>
                <w:szCs w:val="17"/>
                <w:color w:val="auto"/>
              </w:rPr>
              <w:t>Total assets</w:t>
            </w:r>
          </w:p>
        </w:tc>
        <w:tc>
          <w:tcPr>
            <w:tcW w:w="26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478.4</w:t>
            </w:r>
          </w:p>
        </w:tc>
        <w:tc>
          <w:tcPr>
            <w:tcW w:w="200" w:type="dxa"/>
            <w:vAlign w:val="bottom"/>
          </w:tcPr>
          <w:p>
            <w:pPr>
              <w:spacing w:after="0"/>
              <w:rPr>
                <w:sz w:val="21"/>
                <w:szCs w:val="21"/>
                <w:color w:val="auto"/>
              </w:rPr>
            </w:pPr>
          </w:p>
        </w:tc>
        <w:tc>
          <w:tcPr>
            <w:tcW w:w="24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320.7</w:t>
            </w:r>
          </w:p>
        </w:tc>
        <w:tc>
          <w:tcPr>
            <w:tcW w:w="0" w:type="dxa"/>
            <w:vAlign w:val="bottom"/>
          </w:tcPr>
          <w:p>
            <w:pPr>
              <w:spacing w:after="0"/>
              <w:rPr>
                <w:sz w:val="1"/>
                <w:szCs w:val="1"/>
                <w:color w:val="auto"/>
              </w:rPr>
            </w:pPr>
          </w:p>
        </w:tc>
      </w:tr>
      <w:tr>
        <w:trPr>
          <w:trHeight w:val="24"/>
        </w:trPr>
        <w:tc>
          <w:tcPr>
            <w:tcW w:w="7380" w:type="dxa"/>
            <w:vAlign w:val="bottom"/>
            <w:vMerge w:val="restart"/>
          </w:tcPr>
          <w:p>
            <w:pPr>
              <w:spacing w:after="0"/>
              <w:rPr>
                <w:sz w:val="20"/>
                <w:szCs w:val="20"/>
                <w:color w:val="auto"/>
              </w:rPr>
            </w:pPr>
            <w:r>
              <w:rPr>
                <w:rFonts w:ascii="Arial" w:cs="Arial" w:eastAsia="Arial" w:hAnsi="Arial"/>
                <w:sz w:val="16"/>
                <w:szCs w:val="16"/>
                <w:b w:val="1"/>
                <w:bCs w:val="1"/>
                <w:color w:val="auto"/>
              </w:rPr>
              <w:t>Liabilities, Redeemable Preferred Stock and Stockholders’ Equity (Deficit)</w:t>
            </w: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38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7380" w:type="dxa"/>
            <w:vAlign w:val="bottom"/>
          </w:tcPr>
          <w:p>
            <w:pPr>
              <w:spacing w:after="0"/>
              <w:rPr>
                <w:sz w:val="20"/>
                <w:szCs w:val="20"/>
                <w:color w:val="auto"/>
              </w:rPr>
            </w:pPr>
            <w:r>
              <w:rPr>
                <w:rFonts w:ascii="Arial" w:cs="Arial" w:eastAsia="Arial" w:hAnsi="Arial"/>
                <w:sz w:val="17"/>
                <w:szCs w:val="17"/>
                <w:color w:val="auto"/>
              </w:rPr>
              <w:t>Current liabilities:</w:t>
            </w:r>
          </w:p>
        </w:tc>
        <w:tc>
          <w:tcPr>
            <w:tcW w:w="26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7380" w:type="dxa"/>
            <w:vAlign w:val="bottom"/>
          </w:tcPr>
          <w:p>
            <w:pPr>
              <w:ind w:left="340"/>
              <w:spacing w:after="0"/>
              <w:rPr>
                <w:sz w:val="20"/>
                <w:szCs w:val="20"/>
                <w:color w:val="auto"/>
              </w:rPr>
            </w:pPr>
            <w:r>
              <w:rPr>
                <w:rFonts w:ascii="Arial" w:cs="Arial" w:eastAsia="Arial" w:hAnsi="Arial"/>
                <w:sz w:val="17"/>
                <w:szCs w:val="17"/>
                <w:color w:val="auto"/>
              </w:rPr>
              <w:t>Accounts payable</w:t>
            </w:r>
          </w:p>
        </w:tc>
        <w:tc>
          <w:tcPr>
            <w:tcW w:w="260" w:type="dxa"/>
            <w:vAlign w:val="bottom"/>
          </w:tcPr>
          <w:p>
            <w:pPr>
              <w:jc w:val="right"/>
              <w:ind w:right="55"/>
              <w:spacing w:after="0"/>
              <w:rPr>
                <w:sz w:val="20"/>
                <w:szCs w:val="20"/>
                <w:color w:val="auto"/>
              </w:rPr>
            </w:pPr>
            <w:r>
              <w:rPr>
                <w:rFonts w:ascii="Arial" w:cs="Arial" w:eastAsia="Arial" w:hAnsi="Arial"/>
                <w:sz w:val="17"/>
                <w:szCs w:val="17"/>
                <w:color w:val="auto"/>
              </w:rPr>
              <w:t>$</w:t>
            </w:r>
          </w:p>
        </w:tc>
        <w:tc>
          <w:tcPr>
            <w:tcW w:w="1280" w:type="dxa"/>
            <w:vAlign w:val="bottom"/>
          </w:tcPr>
          <w:p>
            <w:pPr>
              <w:jc w:val="right"/>
              <w:spacing w:after="0"/>
              <w:rPr>
                <w:sz w:val="20"/>
                <w:szCs w:val="20"/>
                <w:color w:val="auto"/>
              </w:rPr>
            </w:pPr>
            <w:r>
              <w:rPr>
                <w:rFonts w:ascii="Arial" w:cs="Arial" w:eastAsia="Arial" w:hAnsi="Arial"/>
                <w:sz w:val="17"/>
                <w:szCs w:val="17"/>
                <w:color w:val="auto"/>
              </w:rPr>
              <w:t>22.0</w:t>
            </w:r>
          </w:p>
        </w:tc>
        <w:tc>
          <w:tcPr>
            <w:tcW w:w="200" w:type="dxa"/>
            <w:vAlign w:val="bottom"/>
          </w:tcPr>
          <w:p>
            <w:pPr>
              <w:spacing w:after="0"/>
              <w:rPr>
                <w:sz w:val="22"/>
                <w:szCs w:val="22"/>
                <w:color w:val="auto"/>
              </w:rPr>
            </w:pPr>
          </w:p>
        </w:tc>
        <w:tc>
          <w:tcPr>
            <w:tcW w:w="24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1300" w:type="dxa"/>
            <w:vAlign w:val="bottom"/>
          </w:tcPr>
          <w:p>
            <w:pPr>
              <w:jc w:val="right"/>
              <w:spacing w:after="0"/>
              <w:rPr>
                <w:sz w:val="20"/>
                <w:szCs w:val="20"/>
                <w:color w:val="auto"/>
              </w:rPr>
            </w:pPr>
            <w:r>
              <w:rPr>
                <w:rFonts w:ascii="Arial" w:cs="Arial" w:eastAsia="Arial" w:hAnsi="Arial"/>
                <w:sz w:val="17"/>
                <w:szCs w:val="17"/>
                <w:color w:val="auto"/>
              </w:rPr>
              <w:t>7.2</w:t>
            </w:r>
          </w:p>
        </w:tc>
        <w:tc>
          <w:tcPr>
            <w:tcW w:w="0" w:type="dxa"/>
            <w:vAlign w:val="bottom"/>
          </w:tcPr>
          <w:p>
            <w:pPr>
              <w:spacing w:after="0"/>
              <w:rPr>
                <w:sz w:val="1"/>
                <w:szCs w:val="1"/>
                <w:color w:val="auto"/>
              </w:rPr>
            </w:pPr>
          </w:p>
        </w:tc>
      </w:tr>
      <w:tr>
        <w:trPr>
          <w:trHeight w:val="257"/>
        </w:trPr>
        <w:tc>
          <w:tcPr>
            <w:tcW w:w="7380" w:type="dxa"/>
            <w:vAlign w:val="bottom"/>
          </w:tcPr>
          <w:p>
            <w:pPr>
              <w:ind w:left="340"/>
              <w:spacing w:after="0"/>
              <w:rPr>
                <w:sz w:val="20"/>
                <w:szCs w:val="20"/>
                <w:color w:val="auto"/>
              </w:rPr>
            </w:pPr>
            <w:r>
              <w:rPr>
                <w:rFonts w:ascii="Arial" w:cs="Arial" w:eastAsia="Arial" w:hAnsi="Arial"/>
                <w:sz w:val="17"/>
                <w:szCs w:val="17"/>
                <w:color w:val="auto"/>
              </w:rPr>
              <w:t>Accrued expenses and other current liabilities</w:t>
            </w:r>
          </w:p>
        </w:tc>
        <w:tc>
          <w:tcPr>
            <w:tcW w:w="26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23.7</w:t>
            </w:r>
          </w:p>
        </w:tc>
        <w:tc>
          <w:tcPr>
            <w:tcW w:w="2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14.1</w:t>
            </w:r>
          </w:p>
        </w:tc>
        <w:tc>
          <w:tcPr>
            <w:tcW w:w="0" w:type="dxa"/>
            <w:vAlign w:val="bottom"/>
          </w:tcPr>
          <w:p>
            <w:pPr>
              <w:spacing w:after="0"/>
              <w:rPr>
                <w:sz w:val="1"/>
                <w:szCs w:val="1"/>
                <w:color w:val="auto"/>
              </w:rPr>
            </w:pPr>
          </w:p>
        </w:tc>
      </w:tr>
      <w:tr>
        <w:trPr>
          <w:trHeight w:val="256"/>
        </w:trPr>
        <w:tc>
          <w:tcPr>
            <w:tcW w:w="7380" w:type="dxa"/>
            <w:vAlign w:val="bottom"/>
          </w:tcPr>
          <w:p>
            <w:pPr>
              <w:ind w:left="340"/>
              <w:spacing w:after="0"/>
              <w:rPr>
                <w:sz w:val="20"/>
                <w:szCs w:val="20"/>
                <w:color w:val="auto"/>
              </w:rPr>
            </w:pPr>
            <w:r>
              <w:rPr>
                <w:rFonts w:ascii="Arial" w:cs="Arial" w:eastAsia="Arial" w:hAnsi="Arial"/>
                <w:sz w:val="17"/>
                <w:szCs w:val="17"/>
                <w:color w:val="auto"/>
              </w:rPr>
              <w:t>Deferred revenue</w:t>
            </w:r>
          </w:p>
        </w:tc>
        <w:tc>
          <w:tcPr>
            <w:tcW w:w="26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11.0</w:t>
            </w:r>
          </w:p>
        </w:tc>
        <w:tc>
          <w:tcPr>
            <w:tcW w:w="2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5.6</w:t>
            </w:r>
          </w:p>
        </w:tc>
        <w:tc>
          <w:tcPr>
            <w:tcW w:w="0" w:type="dxa"/>
            <w:vAlign w:val="bottom"/>
          </w:tcPr>
          <w:p>
            <w:pPr>
              <w:spacing w:after="0"/>
              <w:rPr>
                <w:sz w:val="1"/>
                <w:szCs w:val="1"/>
                <w:color w:val="auto"/>
              </w:rPr>
            </w:pPr>
          </w:p>
        </w:tc>
      </w:tr>
      <w:tr>
        <w:trPr>
          <w:trHeight w:val="256"/>
        </w:trPr>
        <w:tc>
          <w:tcPr>
            <w:tcW w:w="7380" w:type="dxa"/>
            <w:vAlign w:val="bottom"/>
          </w:tcPr>
          <w:p>
            <w:pPr>
              <w:ind w:left="340"/>
              <w:spacing w:after="0"/>
              <w:rPr>
                <w:sz w:val="20"/>
                <w:szCs w:val="20"/>
                <w:color w:val="auto"/>
              </w:rPr>
            </w:pPr>
            <w:r>
              <w:rPr>
                <w:rFonts w:ascii="Arial" w:cs="Arial" w:eastAsia="Arial" w:hAnsi="Arial"/>
                <w:sz w:val="17"/>
                <w:szCs w:val="17"/>
                <w:color w:val="auto"/>
              </w:rPr>
              <w:t>Customer credit liabilities</w:t>
            </w:r>
          </w:p>
        </w:tc>
        <w:tc>
          <w:tcPr>
            <w:tcW w:w="26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6.7</w:t>
            </w:r>
          </w:p>
        </w:tc>
        <w:tc>
          <w:tcPr>
            <w:tcW w:w="2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7.0</w:t>
            </w:r>
          </w:p>
        </w:tc>
        <w:tc>
          <w:tcPr>
            <w:tcW w:w="0" w:type="dxa"/>
            <w:vAlign w:val="bottom"/>
          </w:tcPr>
          <w:p>
            <w:pPr>
              <w:spacing w:after="0"/>
              <w:rPr>
                <w:sz w:val="1"/>
                <w:szCs w:val="1"/>
                <w:color w:val="auto"/>
              </w:rPr>
            </w:pPr>
          </w:p>
        </w:tc>
      </w:tr>
      <w:tr>
        <w:trPr>
          <w:trHeight w:val="257"/>
        </w:trPr>
        <w:tc>
          <w:tcPr>
            <w:tcW w:w="7380" w:type="dxa"/>
            <w:vAlign w:val="bottom"/>
          </w:tcPr>
          <w:p>
            <w:pPr>
              <w:ind w:left="340"/>
              <w:spacing w:after="0"/>
              <w:rPr>
                <w:sz w:val="20"/>
                <w:szCs w:val="20"/>
                <w:color w:val="auto"/>
              </w:rPr>
            </w:pPr>
            <w:r>
              <w:rPr>
                <w:rFonts w:ascii="Arial" w:cs="Arial" w:eastAsia="Arial" w:hAnsi="Arial"/>
                <w:sz w:val="17"/>
                <w:szCs w:val="17"/>
                <w:color w:val="auto"/>
              </w:rPr>
              <w:t>Operating lease liabilities</w:t>
            </w:r>
          </w:p>
        </w:tc>
        <w:tc>
          <w:tcPr>
            <w:tcW w:w="26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6.0</w:t>
            </w:r>
          </w:p>
        </w:tc>
        <w:tc>
          <w:tcPr>
            <w:tcW w:w="2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6.7</w:t>
            </w:r>
          </w:p>
        </w:tc>
        <w:tc>
          <w:tcPr>
            <w:tcW w:w="0" w:type="dxa"/>
            <w:vAlign w:val="bottom"/>
          </w:tcPr>
          <w:p>
            <w:pPr>
              <w:spacing w:after="0"/>
              <w:rPr>
                <w:sz w:val="1"/>
                <w:szCs w:val="1"/>
                <w:color w:val="auto"/>
              </w:rPr>
            </w:pPr>
          </w:p>
        </w:tc>
      </w:tr>
      <w:tr>
        <w:trPr>
          <w:trHeight w:val="31"/>
        </w:trPr>
        <w:tc>
          <w:tcPr>
            <w:tcW w:w="73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9"/>
        </w:trPr>
        <w:tc>
          <w:tcPr>
            <w:tcW w:w="7380" w:type="dxa"/>
            <w:vAlign w:val="bottom"/>
          </w:tcPr>
          <w:p>
            <w:pPr>
              <w:ind w:left="660"/>
              <w:spacing w:after="0"/>
              <w:rPr>
                <w:sz w:val="20"/>
                <w:szCs w:val="20"/>
                <w:color w:val="auto"/>
              </w:rPr>
            </w:pPr>
            <w:r>
              <w:rPr>
                <w:rFonts w:ascii="Arial" w:cs="Arial" w:eastAsia="Arial" w:hAnsi="Arial"/>
                <w:sz w:val="17"/>
                <w:szCs w:val="17"/>
                <w:color w:val="auto"/>
              </w:rPr>
              <w:t>Total current liabilities</w:t>
            </w: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69.4</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40.6</w:t>
            </w:r>
          </w:p>
        </w:tc>
        <w:tc>
          <w:tcPr>
            <w:tcW w:w="0" w:type="dxa"/>
            <w:vAlign w:val="bottom"/>
          </w:tcPr>
          <w:p>
            <w:pPr>
              <w:spacing w:after="0"/>
              <w:rPr>
                <w:sz w:val="1"/>
                <w:szCs w:val="1"/>
                <w:color w:val="auto"/>
              </w:rPr>
            </w:pPr>
          </w:p>
        </w:tc>
      </w:tr>
      <w:tr>
        <w:trPr>
          <w:trHeight w:val="256"/>
        </w:trPr>
        <w:tc>
          <w:tcPr>
            <w:tcW w:w="7380" w:type="dxa"/>
            <w:vAlign w:val="bottom"/>
          </w:tcPr>
          <w:p>
            <w:pPr>
              <w:spacing w:after="0"/>
              <w:rPr>
                <w:sz w:val="20"/>
                <w:szCs w:val="20"/>
                <w:color w:val="auto"/>
              </w:rPr>
            </w:pPr>
            <w:r>
              <w:rPr>
                <w:rFonts w:ascii="Arial" w:cs="Arial" w:eastAsia="Arial" w:hAnsi="Arial"/>
                <w:sz w:val="17"/>
                <w:szCs w:val="17"/>
                <w:color w:val="auto"/>
              </w:rPr>
              <w:t>Long-term debt, net</w:t>
            </w:r>
          </w:p>
        </w:tc>
        <w:tc>
          <w:tcPr>
            <w:tcW w:w="26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256.4</w:t>
            </w:r>
          </w:p>
        </w:tc>
        <w:tc>
          <w:tcPr>
            <w:tcW w:w="2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355.1</w:t>
            </w:r>
          </w:p>
        </w:tc>
        <w:tc>
          <w:tcPr>
            <w:tcW w:w="0" w:type="dxa"/>
            <w:vAlign w:val="bottom"/>
          </w:tcPr>
          <w:p>
            <w:pPr>
              <w:spacing w:after="0"/>
              <w:rPr>
                <w:sz w:val="1"/>
                <w:szCs w:val="1"/>
                <w:color w:val="auto"/>
              </w:rPr>
            </w:pPr>
          </w:p>
        </w:tc>
      </w:tr>
      <w:tr>
        <w:trPr>
          <w:trHeight w:val="257"/>
        </w:trPr>
        <w:tc>
          <w:tcPr>
            <w:tcW w:w="7380" w:type="dxa"/>
            <w:vAlign w:val="bottom"/>
          </w:tcPr>
          <w:p>
            <w:pPr>
              <w:spacing w:after="0"/>
              <w:rPr>
                <w:sz w:val="20"/>
                <w:szCs w:val="20"/>
                <w:color w:val="auto"/>
              </w:rPr>
            </w:pPr>
            <w:r>
              <w:rPr>
                <w:rFonts w:ascii="Arial" w:cs="Arial" w:eastAsia="Arial" w:hAnsi="Arial"/>
                <w:sz w:val="17"/>
                <w:szCs w:val="17"/>
                <w:color w:val="auto"/>
              </w:rPr>
              <w:t>Operating lease liabilities</w:t>
            </w:r>
          </w:p>
        </w:tc>
        <w:tc>
          <w:tcPr>
            <w:tcW w:w="26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47.3</w:t>
            </w:r>
          </w:p>
        </w:tc>
        <w:tc>
          <w:tcPr>
            <w:tcW w:w="2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51.5</w:t>
            </w:r>
          </w:p>
        </w:tc>
        <w:tc>
          <w:tcPr>
            <w:tcW w:w="0" w:type="dxa"/>
            <w:vAlign w:val="bottom"/>
          </w:tcPr>
          <w:p>
            <w:pPr>
              <w:spacing w:after="0"/>
              <w:rPr>
                <w:sz w:val="1"/>
                <w:szCs w:val="1"/>
                <w:color w:val="auto"/>
              </w:rPr>
            </w:pPr>
          </w:p>
        </w:tc>
      </w:tr>
      <w:tr>
        <w:trPr>
          <w:trHeight w:val="256"/>
        </w:trPr>
        <w:tc>
          <w:tcPr>
            <w:tcW w:w="7380" w:type="dxa"/>
            <w:vAlign w:val="bottom"/>
          </w:tcPr>
          <w:p>
            <w:pPr>
              <w:spacing w:after="0"/>
              <w:rPr>
                <w:sz w:val="20"/>
                <w:szCs w:val="20"/>
                <w:color w:val="auto"/>
              </w:rPr>
            </w:pPr>
            <w:r>
              <w:rPr>
                <w:rFonts w:ascii="Arial" w:cs="Arial" w:eastAsia="Arial" w:hAnsi="Arial"/>
                <w:sz w:val="17"/>
                <w:szCs w:val="17"/>
                <w:color w:val="auto"/>
              </w:rPr>
              <w:t>Warrant liability</w:t>
            </w:r>
          </w:p>
        </w:tc>
        <w:tc>
          <w:tcPr>
            <w:tcW w:w="260" w:type="dxa"/>
            <w:vAlign w:val="bottom"/>
          </w:tcPr>
          <w:p>
            <w:pPr>
              <w:spacing w:after="0"/>
              <w:rPr>
                <w:sz w:val="22"/>
                <w:szCs w:val="22"/>
                <w:color w:val="auto"/>
              </w:rPr>
            </w:pPr>
          </w:p>
        </w:tc>
        <w:tc>
          <w:tcPr>
            <w:tcW w:w="148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11.8</w:t>
            </w:r>
          </w:p>
        </w:tc>
        <w:tc>
          <w:tcPr>
            <w:tcW w:w="0" w:type="dxa"/>
            <w:vAlign w:val="bottom"/>
          </w:tcPr>
          <w:p>
            <w:pPr>
              <w:spacing w:after="0"/>
              <w:rPr>
                <w:sz w:val="1"/>
                <w:szCs w:val="1"/>
                <w:color w:val="auto"/>
              </w:rPr>
            </w:pPr>
          </w:p>
        </w:tc>
      </w:tr>
      <w:tr>
        <w:trPr>
          <w:trHeight w:val="257"/>
        </w:trPr>
        <w:tc>
          <w:tcPr>
            <w:tcW w:w="7380" w:type="dxa"/>
            <w:vAlign w:val="bottom"/>
          </w:tcPr>
          <w:p>
            <w:pPr>
              <w:spacing w:after="0"/>
              <w:rPr>
                <w:sz w:val="20"/>
                <w:szCs w:val="20"/>
                <w:color w:val="auto"/>
              </w:rPr>
            </w:pPr>
            <w:r>
              <w:rPr>
                <w:rFonts w:ascii="Arial" w:cs="Arial" w:eastAsia="Arial" w:hAnsi="Arial"/>
                <w:sz w:val="17"/>
                <w:szCs w:val="17"/>
                <w:color w:val="auto"/>
              </w:rPr>
              <w:t>Other liabilities</w:t>
            </w:r>
          </w:p>
        </w:tc>
        <w:tc>
          <w:tcPr>
            <w:tcW w:w="26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0.4</w:t>
            </w:r>
          </w:p>
        </w:tc>
        <w:tc>
          <w:tcPr>
            <w:tcW w:w="2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0.3</w:t>
            </w:r>
          </w:p>
        </w:tc>
        <w:tc>
          <w:tcPr>
            <w:tcW w:w="0" w:type="dxa"/>
            <w:vAlign w:val="bottom"/>
          </w:tcPr>
          <w:p>
            <w:pPr>
              <w:spacing w:after="0"/>
              <w:rPr>
                <w:sz w:val="1"/>
                <w:szCs w:val="1"/>
                <w:color w:val="auto"/>
              </w:rPr>
            </w:pPr>
          </w:p>
        </w:tc>
      </w:tr>
      <w:tr>
        <w:trPr>
          <w:trHeight w:val="31"/>
        </w:trPr>
        <w:tc>
          <w:tcPr>
            <w:tcW w:w="73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9"/>
        </w:trPr>
        <w:tc>
          <w:tcPr>
            <w:tcW w:w="7380" w:type="dxa"/>
            <w:vAlign w:val="bottom"/>
          </w:tcPr>
          <w:p>
            <w:pPr>
              <w:ind w:left="660"/>
              <w:spacing w:after="0"/>
              <w:rPr>
                <w:sz w:val="20"/>
                <w:szCs w:val="20"/>
                <w:color w:val="auto"/>
              </w:rPr>
            </w:pPr>
            <w:r>
              <w:rPr>
                <w:rFonts w:ascii="Arial" w:cs="Arial" w:eastAsia="Arial" w:hAnsi="Arial"/>
                <w:sz w:val="17"/>
                <w:szCs w:val="17"/>
                <w:color w:val="auto"/>
              </w:rPr>
              <w:t>Total liabilities</w:t>
            </w: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373.5</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459.3</w:t>
            </w:r>
          </w:p>
        </w:tc>
        <w:tc>
          <w:tcPr>
            <w:tcW w:w="0" w:type="dxa"/>
            <w:vAlign w:val="bottom"/>
          </w:tcPr>
          <w:p>
            <w:pPr>
              <w:spacing w:after="0"/>
              <w:rPr>
                <w:sz w:val="1"/>
                <w:szCs w:val="1"/>
                <w:color w:val="auto"/>
              </w:rPr>
            </w:pPr>
          </w:p>
        </w:tc>
      </w:tr>
      <w:tr>
        <w:trPr>
          <w:trHeight w:val="31"/>
        </w:trPr>
        <w:tc>
          <w:tcPr>
            <w:tcW w:w="73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22"/>
        </w:trPr>
        <w:tc>
          <w:tcPr>
            <w:tcW w:w="7380" w:type="dxa"/>
            <w:vAlign w:val="bottom"/>
          </w:tcPr>
          <w:p>
            <w:pPr>
              <w:spacing w:after="0"/>
              <w:rPr>
                <w:sz w:val="20"/>
                <w:szCs w:val="20"/>
                <w:color w:val="auto"/>
              </w:rPr>
            </w:pPr>
            <w:r>
              <w:rPr>
                <w:rFonts w:ascii="Arial" w:cs="Arial" w:eastAsia="Arial" w:hAnsi="Arial"/>
                <w:sz w:val="17"/>
                <w:szCs w:val="17"/>
                <w:color w:val="auto"/>
              </w:rPr>
              <w:t>Redeemable preferred stock</w:t>
            </w:r>
          </w:p>
        </w:tc>
        <w:tc>
          <w:tcPr>
            <w:tcW w:w="260" w:type="dxa"/>
            <w:vAlign w:val="bottom"/>
          </w:tcPr>
          <w:p>
            <w:pPr>
              <w:spacing w:after="0"/>
              <w:rPr>
                <w:sz w:val="24"/>
                <w:szCs w:val="24"/>
                <w:color w:val="auto"/>
              </w:rPr>
            </w:pPr>
          </w:p>
        </w:tc>
        <w:tc>
          <w:tcPr>
            <w:tcW w:w="148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388.1</w:t>
            </w:r>
          </w:p>
        </w:tc>
        <w:tc>
          <w:tcPr>
            <w:tcW w:w="0" w:type="dxa"/>
            <w:vAlign w:val="bottom"/>
          </w:tcPr>
          <w:p>
            <w:pPr>
              <w:spacing w:after="0"/>
              <w:rPr>
                <w:sz w:val="1"/>
                <w:szCs w:val="1"/>
                <w:color w:val="auto"/>
              </w:rPr>
            </w:pPr>
          </w:p>
        </w:tc>
      </w:tr>
      <w:tr>
        <w:trPr>
          <w:trHeight w:val="256"/>
        </w:trPr>
        <w:tc>
          <w:tcPr>
            <w:tcW w:w="7380" w:type="dxa"/>
            <w:vAlign w:val="bottom"/>
          </w:tcPr>
          <w:p>
            <w:pPr>
              <w:spacing w:after="0"/>
              <w:rPr>
                <w:sz w:val="20"/>
                <w:szCs w:val="20"/>
                <w:color w:val="auto"/>
              </w:rPr>
            </w:pPr>
            <w:r>
              <w:rPr>
                <w:rFonts w:ascii="Arial" w:cs="Arial" w:eastAsia="Arial" w:hAnsi="Arial"/>
                <w:sz w:val="17"/>
                <w:szCs w:val="17"/>
                <w:color w:val="auto"/>
              </w:rPr>
              <w:t>Stockholders’ equity</w:t>
            </w:r>
          </w:p>
        </w:tc>
        <w:tc>
          <w:tcPr>
            <w:tcW w:w="2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7380" w:type="dxa"/>
            <w:vAlign w:val="bottom"/>
          </w:tcPr>
          <w:p>
            <w:pPr>
              <w:ind w:left="340"/>
              <w:spacing w:after="0"/>
              <w:rPr>
                <w:sz w:val="20"/>
                <w:szCs w:val="20"/>
                <w:color w:val="auto"/>
              </w:rPr>
            </w:pPr>
            <w:r>
              <w:rPr>
                <w:rFonts w:ascii="Arial" w:cs="Arial" w:eastAsia="Arial" w:hAnsi="Arial"/>
                <w:sz w:val="17"/>
                <w:szCs w:val="17"/>
                <w:color w:val="auto"/>
              </w:rPr>
              <w:t>Common stock</w:t>
            </w:r>
          </w:p>
        </w:tc>
        <w:tc>
          <w:tcPr>
            <w:tcW w:w="260" w:type="dxa"/>
            <w:vAlign w:val="bottom"/>
          </w:tcPr>
          <w:p>
            <w:pPr>
              <w:spacing w:after="0"/>
              <w:rPr>
                <w:sz w:val="22"/>
                <w:szCs w:val="22"/>
                <w:color w:val="auto"/>
              </w:rPr>
            </w:pPr>
          </w:p>
        </w:tc>
        <w:tc>
          <w:tcPr>
            <w:tcW w:w="148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70"/>
        </w:trPr>
        <w:tc>
          <w:tcPr>
            <w:tcW w:w="7380" w:type="dxa"/>
            <w:vAlign w:val="bottom"/>
          </w:tcPr>
          <w:p>
            <w:pPr>
              <w:ind w:left="340"/>
              <w:spacing w:after="0"/>
              <w:rPr>
                <w:sz w:val="20"/>
                <w:szCs w:val="20"/>
                <w:color w:val="auto"/>
              </w:rPr>
            </w:pPr>
            <w:r>
              <w:rPr>
                <w:rFonts w:ascii="Arial" w:cs="Arial" w:eastAsia="Arial" w:hAnsi="Arial"/>
                <w:sz w:val="17"/>
                <w:szCs w:val="17"/>
                <w:color w:val="auto"/>
              </w:rPr>
              <w:t>Class A common stock</w:t>
            </w:r>
          </w:p>
        </w:tc>
        <w:tc>
          <w:tcPr>
            <w:tcW w:w="26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0.1</w:t>
            </w:r>
          </w:p>
        </w:tc>
        <w:tc>
          <w:tcPr>
            <w:tcW w:w="2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70"/>
        </w:trPr>
        <w:tc>
          <w:tcPr>
            <w:tcW w:w="7380" w:type="dxa"/>
            <w:vAlign w:val="bottom"/>
          </w:tcPr>
          <w:p>
            <w:pPr>
              <w:ind w:left="340"/>
              <w:spacing w:after="0"/>
              <w:rPr>
                <w:sz w:val="20"/>
                <w:szCs w:val="20"/>
                <w:color w:val="auto"/>
              </w:rPr>
            </w:pPr>
            <w:r>
              <w:rPr>
                <w:rFonts w:ascii="Arial" w:cs="Arial" w:eastAsia="Arial" w:hAnsi="Arial"/>
                <w:sz w:val="17"/>
                <w:szCs w:val="17"/>
                <w:color w:val="auto"/>
              </w:rPr>
              <w:t>Class B common stock</w:t>
            </w:r>
          </w:p>
        </w:tc>
        <w:tc>
          <w:tcPr>
            <w:tcW w:w="260" w:type="dxa"/>
            <w:vAlign w:val="bottom"/>
          </w:tcPr>
          <w:p>
            <w:pPr>
              <w:spacing w:after="0"/>
              <w:rPr>
                <w:sz w:val="23"/>
                <w:szCs w:val="23"/>
                <w:color w:val="auto"/>
              </w:rPr>
            </w:pPr>
          </w:p>
        </w:tc>
        <w:tc>
          <w:tcPr>
            <w:tcW w:w="148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70"/>
        </w:trPr>
        <w:tc>
          <w:tcPr>
            <w:tcW w:w="7380" w:type="dxa"/>
            <w:vAlign w:val="bottom"/>
          </w:tcPr>
          <w:p>
            <w:pPr>
              <w:ind w:left="340"/>
              <w:spacing w:after="0"/>
              <w:rPr>
                <w:sz w:val="20"/>
                <w:szCs w:val="20"/>
                <w:color w:val="auto"/>
              </w:rPr>
            </w:pPr>
            <w:r>
              <w:rPr>
                <w:rFonts w:ascii="Arial" w:cs="Arial" w:eastAsia="Arial" w:hAnsi="Arial"/>
                <w:sz w:val="17"/>
                <w:szCs w:val="17"/>
                <w:color w:val="auto"/>
              </w:rPr>
              <w:t>Preferred stock</w:t>
            </w:r>
          </w:p>
        </w:tc>
        <w:tc>
          <w:tcPr>
            <w:tcW w:w="260" w:type="dxa"/>
            <w:vAlign w:val="bottom"/>
          </w:tcPr>
          <w:p>
            <w:pPr>
              <w:spacing w:after="0"/>
              <w:rPr>
                <w:sz w:val="23"/>
                <w:szCs w:val="23"/>
                <w:color w:val="auto"/>
              </w:rPr>
            </w:pPr>
          </w:p>
        </w:tc>
        <w:tc>
          <w:tcPr>
            <w:tcW w:w="148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70"/>
        </w:trPr>
        <w:tc>
          <w:tcPr>
            <w:tcW w:w="7380" w:type="dxa"/>
            <w:vAlign w:val="bottom"/>
          </w:tcPr>
          <w:p>
            <w:pPr>
              <w:ind w:left="340"/>
              <w:spacing w:after="0"/>
              <w:rPr>
                <w:sz w:val="20"/>
                <w:szCs w:val="20"/>
                <w:color w:val="auto"/>
              </w:rPr>
            </w:pPr>
            <w:r>
              <w:rPr>
                <w:rFonts w:ascii="Arial" w:cs="Arial" w:eastAsia="Arial" w:hAnsi="Arial"/>
                <w:sz w:val="17"/>
                <w:szCs w:val="17"/>
                <w:color w:val="auto"/>
              </w:rPr>
              <w:t>Additional paid-in capital</w:t>
            </w:r>
          </w:p>
        </w:tc>
        <w:tc>
          <w:tcPr>
            <w:tcW w:w="26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866.7</w:t>
            </w:r>
          </w:p>
        </w:tc>
        <w:tc>
          <w:tcPr>
            <w:tcW w:w="2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62.7</w:t>
            </w:r>
          </w:p>
        </w:tc>
        <w:tc>
          <w:tcPr>
            <w:tcW w:w="0" w:type="dxa"/>
            <w:vAlign w:val="bottom"/>
          </w:tcPr>
          <w:p>
            <w:pPr>
              <w:spacing w:after="0"/>
              <w:rPr>
                <w:sz w:val="1"/>
                <w:szCs w:val="1"/>
                <w:color w:val="auto"/>
              </w:rPr>
            </w:pPr>
          </w:p>
        </w:tc>
      </w:tr>
      <w:tr>
        <w:trPr>
          <w:trHeight w:val="270"/>
        </w:trPr>
        <w:tc>
          <w:tcPr>
            <w:tcW w:w="7380" w:type="dxa"/>
            <w:vAlign w:val="bottom"/>
          </w:tcPr>
          <w:p>
            <w:pPr>
              <w:ind w:left="340"/>
              <w:spacing w:after="0"/>
              <w:rPr>
                <w:sz w:val="20"/>
                <w:szCs w:val="20"/>
                <w:color w:val="auto"/>
              </w:rPr>
            </w:pPr>
            <w:r>
              <w:rPr>
                <w:rFonts w:ascii="Arial" w:cs="Arial" w:eastAsia="Arial" w:hAnsi="Arial"/>
                <w:sz w:val="17"/>
                <w:szCs w:val="17"/>
                <w:color w:val="auto"/>
              </w:rPr>
              <w:t>Accumulated deficit</w:t>
            </w:r>
          </w:p>
        </w:tc>
        <w:tc>
          <w:tcPr>
            <w:tcW w:w="26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(761.9)</w:t>
            </w:r>
          </w:p>
        </w:tc>
        <w:tc>
          <w:tcPr>
            <w:tcW w:w="2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(589.4)</w:t>
            </w:r>
          </w:p>
        </w:tc>
        <w:tc>
          <w:tcPr>
            <w:tcW w:w="0" w:type="dxa"/>
            <w:vAlign w:val="bottom"/>
          </w:tcPr>
          <w:p>
            <w:pPr>
              <w:spacing w:after="0"/>
              <w:rPr>
                <w:sz w:val="1"/>
                <w:szCs w:val="1"/>
                <w:color w:val="auto"/>
              </w:rPr>
            </w:pPr>
          </w:p>
        </w:tc>
      </w:tr>
      <w:tr>
        <w:trPr>
          <w:trHeight w:val="256"/>
        </w:trPr>
        <w:tc>
          <w:tcPr>
            <w:tcW w:w="7380" w:type="dxa"/>
            <w:vAlign w:val="bottom"/>
          </w:tcPr>
          <w:p>
            <w:pPr>
              <w:spacing w:after="0"/>
              <w:rPr>
                <w:sz w:val="20"/>
                <w:szCs w:val="20"/>
                <w:color w:val="auto"/>
              </w:rPr>
            </w:pPr>
            <w:r>
              <w:rPr>
                <w:rFonts w:ascii="Arial" w:cs="Arial" w:eastAsia="Arial" w:hAnsi="Arial"/>
                <w:sz w:val="17"/>
                <w:szCs w:val="17"/>
                <w:color w:val="auto"/>
              </w:rPr>
              <w:t>Total stockholders’ equity (deficit)</w:t>
            </w:r>
          </w:p>
        </w:tc>
        <w:tc>
          <w:tcPr>
            <w:tcW w:w="26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104.9</w:t>
            </w:r>
          </w:p>
        </w:tc>
        <w:tc>
          <w:tcPr>
            <w:tcW w:w="2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(526.7)</w:t>
            </w:r>
          </w:p>
        </w:tc>
        <w:tc>
          <w:tcPr>
            <w:tcW w:w="0" w:type="dxa"/>
            <w:vAlign w:val="bottom"/>
          </w:tcPr>
          <w:p>
            <w:pPr>
              <w:spacing w:after="0"/>
              <w:rPr>
                <w:sz w:val="1"/>
                <w:szCs w:val="1"/>
                <w:color w:val="auto"/>
              </w:rPr>
            </w:pPr>
          </w:p>
        </w:tc>
      </w:tr>
      <w:tr>
        <w:trPr>
          <w:trHeight w:val="31"/>
        </w:trPr>
        <w:tc>
          <w:tcPr>
            <w:tcW w:w="73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8"/>
        </w:trPr>
        <w:tc>
          <w:tcPr>
            <w:tcW w:w="7380" w:type="dxa"/>
            <w:vAlign w:val="bottom"/>
          </w:tcPr>
          <w:p>
            <w:pPr>
              <w:spacing w:after="0"/>
              <w:rPr>
                <w:sz w:val="20"/>
                <w:szCs w:val="20"/>
                <w:color w:val="auto"/>
              </w:rPr>
            </w:pPr>
            <w:r>
              <w:rPr>
                <w:rFonts w:ascii="Arial" w:cs="Arial" w:eastAsia="Arial" w:hAnsi="Arial"/>
                <w:sz w:val="17"/>
                <w:szCs w:val="17"/>
                <w:color w:val="auto"/>
              </w:rPr>
              <w:t>Total liabilities, redeemable preferred stock and stockholders’ equity (deficit)</w:t>
            </w:r>
          </w:p>
        </w:tc>
        <w:tc>
          <w:tcPr>
            <w:tcW w:w="26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478.4</w:t>
            </w:r>
          </w:p>
        </w:tc>
        <w:tc>
          <w:tcPr>
            <w:tcW w:w="200" w:type="dxa"/>
            <w:vAlign w:val="bottom"/>
          </w:tcPr>
          <w:p>
            <w:pPr>
              <w:spacing w:after="0"/>
              <w:rPr>
                <w:sz w:val="21"/>
                <w:szCs w:val="21"/>
                <w:color w:val="auto"/>
              </w:rPr>
            </w:pPr>
          </w:p>
        </w:tc>
        <w:tc>
          <w:tcPr>
            <w:tcW w:w="24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320.7</w:t>
            </w:r>
          </w:p>
        </w:tc>
        <w:tc>
          <w:tcPr>
            <w:tcW w:w="0" w:type="dxa"/>
            <w:vAlign w:val="bottom"/>
          </w:tcPr>
          <w:p>
            <w:pPr>
              <w:spacing w:after="0"/>
              <w:rPr>
                <w:sz w:val="1"/>
                <w:szCs w:val="1"/>
                <w:color w:val="auto"/>
              </w:rPr>
            </w:pPr>
          </w:p>
        </w:tc>
      </w:tr>
      <w:tr>
        <w:trPr>
          <w:trHeight w:val="22"/>
        </w:trPr>
        <w:tc>
          <w:tcPr>
            <w:tcW w:w="73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ectPr>
          <w:pgSz w:w="11900" w:h="16838" w:orient="portrait"/>
          <w:cols w:equalWidth="0" w:num="1">
            <w:col w:w="10660"/>
          </w:cols>
          <w:pgMar w:left="620" w:top="611" w:right="619" w:bottom="1440" w:gutter="0" w:footer="0" w:header="0"/>
        </w:sectPr>
      </w:pPr>
    </w:p>
    <w:bookmarkStart w:id="9" w:name="page10"/>
    <w:bookmarkEnd w:id="9"/>
    <w:p>
      <w:pPr>
        <w:jc w:val="center"/>
        <w:ind w:right="20"/>
        <w:spacing w:after="0"/>
        <w:rPr>
          <w:sz w:val="20"/>
          <w:szCs w:val="20"/>
          <w:color w:val="auto"/>
        </w:rPr>
      </w:pPr>
      <w:r>
        <w:rPr>
          <w:rFonts w:ascii="Arial" w:cs="Arial" w:eastAsia="Arial" w:hAnsi="Arial"/>
          <w:sz w:val="20"/>
          <w:szCs w:val="20"/>
          <w:b w:val="1"/>
          <w:bCs w:val="1"/>
          <w:color w:val="auto"/>
        </w:rPr>
        <w:t>Rent the Runway, Inc.</w:t>
      </w:r>
    </w:p>
    <w:p>
      <w:pPr>
        <w:jc w:val="center"/>
        <w:ind w:right="20"/>
        <w:spacing w:after="0" w:line="221" w:lineRule="auto"/>
        <w:rPr>
          <w:sz w:val="20"/>
          <w:szCs w:val="20"/>
          <w:color w:val="auto"/>
        </w:rPr>
      </w:pPr>
      <w:r>
        <w:rPr>
          <w:rFonts w:ascii="Arial" w:cs="Arial" w:eastAsia="Arial" w:hAnsi="Arial"/>
          <w:sz w:val="20"/>
          <w:szCs w:val="20"/>
          <w:b w:val="1"/>
          <w:bCs w:val="1"/>
          <w:color w:val="auto"/>
        </w:rPr>
        <w:t>Condensed Consolidated Statements of Operations</w:t>
      </w:r>
    </w:p>
    <w:p>
      <w:pPr>
        <w:jc w:val="center"/>
        <w:ind w:right="20"/>
        <w:spacing w:after="0" w:line="198" w:lineRule="auto"/>
        <w:rPr>
          <w:sz w:val="20"/>
          <w:szCs w:val="20"/>
          <w:color w:val="auto"/>
        </w:rPr>
      </w:pPr>
      <w:r>
        <w:rPr>
          <w:rFonts w:ascii="Arial" w:cs="Arial" w:eastAsia="Arial" w:hAnsi="Arial"/>
          <w:sz w:val="20"/>
          <w:szCs w:val="20"/>
          <w:b w:val="1"/>
          <w:bCs w:val="1"/>
          <w:color w:val="auto"/>
        </w:rPr>
        <w:t>(in millions, except share and per share amounts)</w:t>
      </w:r>
    </w:p>
    <w:p>
      <w:pPr>
        <w:jc w:val="center"/>
        <w:ind w:right="20"/>
        <w:spacing w:after="0"/>
        <w:rPr>
          <w:sz w:val="20"/>
          <w:szCs w:val="20"/>
          <w:color w:val="auto"/>
        </w:rPr>
      </w:pPr>
      <w:r>
        <w:rPr>
          <w:rFonts w:ascii="Arial" w:cs="Arial" w:eastAsia="Arial" w:hAnsi="Arial"/>
          <w:sz w:val="20"/>
          <w:szCs w:val="20"/>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960" w:type="dxa"/>
            <w:vAlign w:val="bottom"/>
            <w:gridSpan w:val="5"/>
          </w:tcPr>
          <w:p>
            <w:pPr>
              <w:ind w:left="160"/>
              <w:spacing w:after="0"/>
              <w:rPr>
                <w:sz w:val="20"/>
                <w:szCs w:val="20"/>
                <w:color w:val="auto"/>
              </w:rPr>
            </w:pPr>
            <w:r>
              <w:rPr>
                <w:rFonts w:ascii="Arial" w:cs="Arial" w:eastAsia="Arial" w:hAnsi="Arial"/>
                <w:sz w:val="14"/>
                <w:szCs w:val="14"/>
                <w:b w:val="1"/>
                <w:bCs w:val="1"/>
                <w:color w:val="auto"/>
              </w:rPr>
              <w:t>Three Months Ended October 31,</w:t>
            </w:r>
          </w:p>
        </w:tc>
        <w:tc>
          <w:tcPr>
            <w:tcW w:w="300" w:type="dxa"/>
            <w:vAlign w:val="bottom"/>
          </w:tcPr>
          <w:p>
            <w:pPr>
              <w:spacing w:after="0"/>
              <w:rPr>
                <w:sz w:val="17"/>
                <w:szCs w:val="17"/>
                <w:color w:val="auto"/>
              </w:rPr>
            </w:pPr>
          </w:p>
        </w:tc>
        <w:tc>
          <w:tcPr>
            <w:tcW w:w="2840" w:type="dxa"/>
            <w:vAlign w:val="bottom"/>
            <w:gridSpan w:val="4"/>
          </w:tcPr>
          <w:p>
            <w:pPr>
              <w:jc w:val="right"/>
              <w:ind w:right="391"/>
              <w:spacing w:after="0"/>
              <w:rPr>
                <w:sz w:val="20"/>
                <w:szCs w:val="20"/>
                <w:color w:val="auto"/>
              </w:rPr>
            </w:pPr>
            <w:r>
              <w:rPr>
                <w:rFonts w:ascii="Arial" w:cs="Arial" w:eastAsia="Arial" w:hAnsi="Arial"/>
                <w:sz w:val="14"/>
                <w:szCs w:val="14"/>
                <w:b w:val="1"/>
                <w:bCs w:val="1"/>
                <w:color w:val="auto"/>
              </w:rPr>
              <w:t>Nine Months Ended October 31,</w:t>
            </w:r>
          </w:p>
        </w:tc>
        <w:tc>
          <w:tcPr>
            <w:tcW w:w="0" w:type="dxa"/>
            <w:vAlign w:val="bottom"/>
          </w:tcPr>
          <w:p>
            <w:pPr>
              <w:spacing w:after="0"/>
              <w:rPr>
                <w:sz w:val="1"/>
                <w:szCs w:val="1"/>
                <w:color w:val="auto"/>
              </w:rPr>
            </w:pPr>
          </w:p>
        </w:tc>
      </w:tr>
      <w:tr>
        <w:trPr>
          <w:trHeight w:val="209"/>
        </w:trPr>
        <w:tc>
          <w:tcPr>
            <w:tcW w:w="4800" w:type="dxa"/>
            <w:vAlign w:val="bottom"/>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29"/>
        </w:trPr>
        <w:tc>
          <w:tcPr>
            <w:tcW w:w="4800" w:type="dxa"/>
            <w:vAlign w:val="bottom"/>
          </w:tcPr>
          <w:p>
            <w:pPr>
              <w:spacing w:after="0"/>
              <w:rPr>
                <w:sz w:val="20"/>
                <w:szCs w:val="20"/>
                <w:color w:val="auto"/>
              </w:rPr>
            </w:pPr>
            <w:r>
              <w:rPr>
                <w:rFonts w:ascii="Arial" w:cs="Arial" w:eastAsia="Arial" w:hAnsi="Arial"/>
                <w:sz w:val="18"/>
                <w:szCs w:val="18"/>
                <w:color w:val="auto"/>
              </w:rPr>
              <w:t>Revenue:</w:t>
            </w:r>
          </w:p>
        </w:tc>
        <w:tc>
          <w:tcPr>
            <w:tcW w:w="2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4"/>
        </w:trPr>
        <w:tc>
          <w:tcPr>
            <w:tcW w:w="4800" w:type="dxa"/>
            <w:vAlign w:val="bottom"/>
          </w:tcPr>
          <w:p>
            <w:pPr>
              <w:ind w:left="320"/>
              <w:spacing w:after="0"/>
              <w:rPr>
                <w:sz w:val="20"/>
                <w:szCs w:val="20"/>
                <w:color w:val="auto"/>
              </w:rPr>
            </w:pPr>
            <w:r>
              <w:rPr>
                <w:rFonts w:ascii="Arial" w:cs="Arial" w:eastAsia="Arial" w:hAnsi="Arial"/>
                <w:sz w:val="18"/>
                <w:szCs w:val="18"/>
                <w:color w:val="auto"/>
              </w:rPr>
              <w:t>Subscription and Reserve rental revenue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54.3</w:t>
            </w:r>
          </w:p>
        </w:tc>
        <w:tc>
          <w:tcPr>
            <w:tcW w:w="100" w:type="dxa"/>
            <w:vAlign w:val="bottom"/>
          </w:tcPr>
          <w:p>
            <w:pPr>
              <w:spacing w:after="0"/>
              <w:rPr>
                <w:sz w:val="24"/>
                <w:szCs w:val="24"/>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30.5</w:t>
            </w:r>
          </w:p>
        </w:tc>
        <w:tc>
          <w:tcPr>
            <w:tcW w:w="100" w:type="dxa"/>
            <w:vAlign w:val="bottom"/>
          </w:tcPr>
          <w:p>
            <w:pPr>
              <w:spacing w:after="0"/>
              <w:rPr>
                <w:sz w:val="24"/>
                <w:szCs w:val="24"/>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127.0</w:t>
            </w:r>
          </w:p>
        </w:tc>
        <w:tc>
          <w:tcPr>
            <w:tcW w:w="100" w:type="dxa"/>
            <w:vAlign w:val="bottom"/>
          </w:tcPr>
          <w:p>
            <w:pPr>
              <w:spacing w:after="0"/>
              <w:rPr>
                <w:sz w:val="24"/>
                <w:szCs w:val="24"/>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106.8</w:t>
            </w:r>
          </w:p>
        </w:tc>
        <w:tc>
          <w:tcPr>
            <w:tcW w:w="0" w:type="dxa"/>
            <w:vAlign w:val="bottom"/>
          </w:tcPr>
          <w:p>
            <w:pPr>
              <w:spacing w:after="0"/>
              <w:rPr>
                <w:sz w:val="1"/>
                <w:szCs w:val="1"/>
                <w:color w:val="auto"/>
              </w:rPr>
            </w:pPr>
          </w:p>
        </w:tc>
      </w:tr>
      <w:tr>
        <w:trPr>
          <w:trHeight w:val="270"/>
        </w:trPr>
        <w:tc>
          <w:tcPr>
            <w:tcW w:w="4800" w:type="dxa"/>
            <w:vAlign w:val="bottom"/>
          </w:tcPr>
          <w:p>
            <w:pPr>
              <w:ind w:left="320"/>
              <w:spacing w:after="0"/>
              <w:rPr>
                <w:sz w:val="20"/>
                <w:szCs w:val="20"/>
                <w:color w:val="auto"/>
              </w:rPr>
            </w:pPr>
            <w:r>
              <w:rPr>
                <w:rFonts w:ascii="Arial" w:cs="Arial" w:eastAsia="Arial" w:hAnsi="Arial"/>
                <w:sz w:val="18"/>
                <w:szCs w:val="18"/>
                <w:color w:val="auto"/>
              </w:rPr>
              <w:t>Other revenue</w:t>
            </w:r>
          </w:p>
        </w:tc>
        <w:tc>
          <w:tcPr>
            <w:tcW w:w="28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12.2</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800" w:type="dxa"/>
            <w:vAlign w:val="bottom"/>
          </w:tcPr>
          <w:p>
            <w:pPr>
              <w:ind w:left="640"/>
              <w:spacing w:after="0"/>
              <w:rPr>
                <w:sz w:val="20"/>
                <w:szCs w:val="20"/>
                <w:color w:val="auto"/>
              </w:rPr>
            </w:pPr>
            <w:r>
              <w:rPr>
                <w:rFonts w:ascii="Arial" w:cs="Arial" w:eastAsia="Arial" w:hAnsi="Arial"/>
                <w:sz w:val="18"/>
                <w:szCs w:val="18"/>
                <w:color w:val="auto"/>
              </w:rPr>
              <w:t>Total revenue, net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59.0</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35.5</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139.2</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124.0</w:t>
            </w:r>
          </w:p>
        </w:tc>
        <w:tc>
          <w:tcPr>
            <w:tcW w:w="0" w:type="dxa"/>
            <w:vAlign w:val="bottom"/>
          </w:tcPr>
          <w:p>
            <w:pPr>
              <w:spacing w:after="0"/>
              <w:rPr>
                <w:sz w:val="1"/>
                <w:szCs w:val="1"/>
                <w:color w:val="auto"/>
              </w:rPr>
            </w:pPr>
          </w:p>
        </w:tc>
      </w:tr>
      <w:tr>
        <w:trPr>
          <w:trHeight w:val="27"/>
        </w:trPr>
        <w:tc>
          <w:tcPr>
            <w:tcW w:w="4800" w:type="dxa"/>
            <w:vAlign w:val="bottom"/>
            <w:vMerge w:val="restart"/>
          </w:tcPr>
          <w:p>
            <w:pPr>
              <w:spacing w:after="0"/>
              <w:rPr>
                <w:sz w:val="20"/>
                <w:szCs w:val="20"/>
                <w:color w:val="auto"/>
              </w:rPr>
            </w:pPr>
            <w:r>
              <w:rPr>
                <w:rFonts w:ascii="Arial" w:cs="Arial" w:eastAsia="Arial" w:hAnsi="Arial"/>
                <w:sz w:val="18"/>
                <w:szCs w:val="18"/>
                <w:color w:val="auto"/>
              </w:rPr>
              <w:t>Costs and expenses:</w:t>
            </w: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480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4800" w:type="dxa"/>
            <w:vAlign w:val="bottom"/>
          </w:tcPr>
          <w:p>
            <w:pPr>
              <w:ind w:left="320"/>
              <w:spacing w:after="0"/>
              <w:rPr>
                <w:sz w:val="20"/>
                <w:szCs w:val="20"/>
                <w:color w:val="auto"/>
              </w:rPr>
            </w:pPr>
            <w:r>
              <w:rPr>
                <w:rFonts w:ascii="Arial" w:cs="Arial" w:eastAsia="Arial" w:hAnsi="Arial"/>
                <w:sz w:val="18"/>
                <w:szCs w:val="18"/>
                <w:color w:val="auto"/>
              </w:rPr>
              <w:t>Fulfillment</w:t>
            </w:r>
          </w:p>
        </w:tc>
        <w:tc>
          <w:tcPr>
            <w:tcW w:w="28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19.2</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11.0</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41.5</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43.8</w:t>
            </w:r>
          </w:p>
        </w:tc>
        <w:tc>
          <w:tcPr>
            <w:tcW w:w="0" w:type="dxa"/>
            <w:vAlign w:val="bottom"/>
          </w:tcPr>
          <w:p>
            <w:pPr>
              <w:spacing w:after="0"/>
              <w:rPr>
                <w:sz w:val="1"/>
                <w:szCs w:val="1"/>
                <w:color w:val="auto"/>
              </w:rPr>
            </w:pPr>
          </w:p>
        </w:tc>
      </w:tr>
      <w:tr>
        <w:trPr>
          <w:trHeight w:val="270"/>
        </w:trPr>
        <w:tc>
          <w:tcPr>
            <w:tcW w:w="4800" w:type="dxa"/>
            <w:vAlign w:val="bottom"/>
          </w:tcPr>
          <w:p>
            <w:pPr>
              <w:ind w:left="320"/>
              <w:spacing w:after="0"/>
              <w:rPr>
                <w:sz w:val="20"/>
                <w:szCs w:val="20"/>
                <w:color w:val="auto"/>
              </w:rPr>
            </w:pPr>
            <w:r>
              <w:rPr>
                <w:rFonts w:ascii="Arial" w:cs="Arial" w:eastAsia="Arial" w:hAnsi="Arial"/>
                <w:sz w:val="18"/>
                <w:szCs w:val="18"/>
                <w:color w:val="auto"/>
              </w:rPr>
              <w:t>Technology</w:t>
            </w:r>
          </w:p>
        </w:tc>
        <w:tc>
          <w:tcPr>
            <w:tcW w:w="28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12.8</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9.4</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33.0</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28.0</w:t>
            </w:r>
          </w:p>
        </w:tc>
        <w:tc>
          <w:tcPr>
            <w:tcW w:w="0" w:type="dxa"/>
            <w:vAlign w:val="bottom"/>
          </w:tcPr>
          <w:p>
            <w:pPr>
              <w:spacing w:after="0"/>
              <w:rPr>
                <w:sz w:val="1"/>
                <w:szCs w:val="1"/>
                <w:color w:val="auto"/>
              </w:rPr>
            </w:pPr>
          </w:p>
        </w:tc>
      </w:tr>
      <w:tr>
        <w:trPr>
          <w:trHeight w:val="270"/>
        </w:trPr>
        <w:tc>
          <w:tcPr>
            <w:tcW w:w="4800" w:type="dxa"/>
            <w:vAlign w:val="bottom"/>
          </w:tcPr>
          <w:p>
            <w:pPr>
              <w:ind w:left="320"/>
              <w:spacing w:after="0"/>
              <w:rPr>
                <w:sz w:val="20"/>
                <w:szCs w:val="20"/>
                <w:color w:val="auto"/>
              </w:rPr>
            </w:pPr>
            <w:r>
              <w:rPr>
                <w:rFonts w:ascii="Arial" w:cs="Arial" w:eastAsia="Arial" w:hAnsi="Arial"/>
                <w:sz w:val="18"/>
                <w:szCs w:val="18"/>
                <w:color w:val="auto"/>
              </w:rPr>
              <w:t>Marketing</w:t>
            </w:r>
          </w:p>
        </w:tc>
        <w:tc>
          <w:tcPr>
            <w:tcW w:w="28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18.2</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70"/>
        </w:trPr>
        <w:tc>
          <w:tcPr>
            <w:tcW w:w="4800" w:type="dxa"/>
            <w:vAlign w:val="bottom"/>
          </w:tcPr>
          <w:p>
            <w:pPr>
              <w:ind w:left="320"/>
              <w:spacing w:after="0"/>
              <w:rPr>
                <w:sz w:val="20"/>
                <w:szCs w:val="20"/>
                <w:color w:val="auto"/>
              </w:rPr>
            </w:pPr>
            <w:r>
              <w:rPr>
                <w:rFonts w:ascii="Arial" w:cs="Arial" w:eastAsia="Arial" w:hAnsi="Arial"/>
                <w:sz w:val="18"/>
                <w:szCs w:val="18"/>
                <w:color w:val="auto"/>
              </w:rPr>
              <w:t>General and administrative</w:t>
            </w:r>
          </w:p>
        </w:tc>
        <w:tc>
          <w:tcPr>
            <w:tcW w:w="28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35.8</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17.9</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76.4</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59.9</w:t>
            </w:r>
          </w:p>
        </w:tc>
        <w:tc>
          <w:tcPr>
            <w:tcW w:w="0" w:type="dxa"/>
            <w:vAlign w:val="bottom"/>
          </w:tcPr>
          <w:p>
            <w:pPr>
              <w:spacing w:after="0"/>
              <w:rPr>
                <w:sz w:val="1"/>
                <w:szCs w:val="1"/>
                <w:color w:val="auto"/>
              </w:rPr>
            </w:pPr>
          </w:p>
        </w:tc>
      </w:tr>
      <w:tr>
        <w:trPr>
          <w:trHeight w:val="270"/>
        </w:trPr>
        <w:tc>
          <w:tcPr>
            <w:tcW w:w="4800" w:type="dxa"/>
            <w:vAlign w:val="bottom"/>
          </w:tcPr>
          <w:p>
            <w:pPr>
              <w:ind w:left="320"/>
              <w:spacing w:after="0"/>
              <w:rPr>
                <w:sz w:val="20"/>
                <w:szCs w:val="20"/>
                <w:color w:val="auto"/>
              </w:rPr>
            </w:pPr>
            <w:r>
              <w:rPr>
                <w:rFonts w:ascii="Arial" w:cs="Arial" w:eastAsia="Arial" w:hAnsi="Arial"/>
                <w:sz w:val="18"/>
                <w:szCs w:val="18"/>
                <w:color w:val="auto"/>
              </w:rPr>
              <w:t>Rental product depreciation and revenue share</w:t>
            </w:r>
          </w:p>
        </w:tc>
        <w:tc>
          <w:tcPr>
            <w:tcW w:w="28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19.9</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22.1</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51.5</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69.1</w:t>
            </w:r>
          </w:p>
        </w:tc>
        <w:tc>
          <w:tcPr>
            <w:tcW w:w="0" w:type="dxa"/>
            <w:vAlign w:val="bottom"/>
          </w:tcPr>
          <w:p>
            <w:pPr>
              <w:spacing w:after="0"/>
              <w:rPr>
                <w:sz w:val="1"/>
                <w:szCs w:val="1"/>
                <w:color w:val="auto"/>
              </w:rPr>
            </w:pPr>
          </w:p>
        </w:tc>
      </w:tr>
      <w:tr>
        <w:trPr>
          <w:trHeight w:val="270"/>
        </w:trPr>
        <w:tc>
          <w:tcPr>
            <w:tcW w:w="4800" w:type="dxa"/>
            <w:vAlign w:val="bottom"/>
          </w:tcPr>
          <w:p>
            <w:pPr>
              <w:ind w:left="320"/>
              <w:spacing w:after="0"/>
              <w:rPr>
                <w:sz w:val="20"/>
                <w:szCs w:val="20"/>
                <w:color w:val="auto"/>
              </w:rPr>
            </w:pPr>
            <w:r>
              <w:rPr>
                <w:rFonts w:ascii="Arial" w:cs="Arial" w:eastAsia="Arial" w:hAnsi="Arial"/>
                <w:sz w:val="18"/>
                <w:szCs w:val="18"/>
                <w:color w:val="auto"/>
              </w:rPr>
              <w:t>Other depreciation and amortization</w:t>
            </w:r>
          </w:p>
        </w:tc>
        <w:tc>
          <w:tcPr>
            <w:tcW w:w="28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14.6</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800" w:type="dxa"/>
            <w:vAlign w:val="bottom"/>
          </w:tcPr>
          <w:p>
            <w:pPr>
              <w:ind w:left="640"/>
              <w:spacing w:after="0"/>
              <w:rPr>
                <w:sz w:val="20"/>
                <w:szCs w:val="20"/>
                <w:color w:val="auto"/>
              </w:rPr>
            </w:pPr>
            <w:r>
              <w:rPr>
                <w:rFonts w:ascii="Arial" w:cs="Arial" w:eastAsia="Arial" w:hAnsi="Arial"/>
                <w:sz w:val="18"/>
                <w:szCs w:val="18"/>
                <w:color w:val="auto"/>
              </w:rPr>
              <w:t>Total costs and expenses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103.2</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67.5</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235.2</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224.7</w:t>
            </w: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800" w:type="dxa"/>
            <w:vAlign w:val="bottom"/>
          </w:tcPr>
          <w:p>
            <w:pPr>
              <w:ind w:left="980"/>
              <w:spacing w:after="0"/>
              <w:rPr>
                <w:sz w:val="20"/>
                <w:szCs w:val="20"/>
                <w:color w:val="auto"/>
              </w:rPr>
            </w:pPr>
            <w:r>
              <w:rPr>
                <w:rFonts w:ascii="Arial" w:cs="Arial" w:eastAsia="Arial" w:hAnsi="Arial"/>
                <w:sz w:val="18"/>
                <w:szCs w:val="18"/>
                <w:color w:val="auto"/>
              </w:rPr>
              <w:t>Operating loss</w:t>
            </w:r>
          </w:p>
        </w:tc>
        <w:tc>
          <w:tcPr>
            <w:tcW w:w="2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(44.2)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(32.0)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(96.0)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(100.7)</w:t>
            </w:r>
          </w:p>
        </w:tc>
        <w:tc>
          <w:tcPr>
            <w:tcW w:w="0" w:type="dxa"/>
            <w:vAlign w:val="bottom"/>
          </w:tcPr>
          <w:p>
            <w:pPr>
              <w:spacing w:after="0"/>
              <w:rPr>
                <w:sz w:val="1"/>
                <w:szCs w:val="1"/>
                <w:color w:val="auto"/>
              </w:rPr>
            </w:pPr>
          </w:p>
        </w:tc>
      </w:tr>
      <w:tr>
        <w:trPr>
          <w:trHeight w:val="270"/>
        </w:trPr>
        <w:tc>
          <w:tcPr>
            <w:tcW w:w="4800" w:type="dxa"/>
            <w:vAlign w:val="bottom"/>
          </w:tcPr>
          <w:p>
            <w:pPr>
              <w:spacing w:after="0"/>
              <w:rPr>
                <w:sz w:val="20"/>
                <w:szCs w:val="20"/>
                <w:color w:val="auto"/>
              </w:rPr>
            </w:pPr>
            <w:r>
              <w:rPr>
                <w:rFonts w:ascii="Arial" w:cs="Arial" w:eastAsia="Arial" w:hAnsi="Arial"/>
                <w:sz w:val="18"/>
                <w:szCs w:val="18"/>
                <w:color w:val="auto"/>
              </w:rPr>
              <w:t>Interest income / (expense), net</w:t>
            </w:r>
          </w:p>
        </w:tc>
        <w:tc>
          <w:tcPr>
            <w:tcW w:w="28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(14.3)</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(11.8)</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(43.7)</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(32.2)</w:t>
            </w:r>
          </w:p>
        </w:tc>
        <w:tc>
          <w:tcPr>
            <w:tcW w:w="0" w:type="dxa"/>
            <w:vAlign w:val="bottom"/>
          </w:tcPr>
          <w:p>
            <w:pPr>
              <w:spacing w:after="0"/>
              <w:rPr>
                <w:sz w:val="1"/>
                <w:szCs w:val="1"/>
                <w:color w:val="auto"/>
              </w:rPr>
            </w:pPr>
          </w:p>
        </w:tc>
      </w:tr>
      <w:tr>
        <w:trPr>
          <w:trHeight w:val="284"/>
        </w:trPr>
        <w:tc>
          <w:tcPr>
            <w:tcW w:w="4800" w:type="dxa"/>
            <w:vAlign w:val="bottom"/>
          </w:tcPr>
          <w:p>
            <w:pPr>
              <w:spacing w:after="0"/>
              <w:rPr>
                <w:sz w:val="20"/>
                <w:szCs w:val="20"/>
                <w:color w:val="auto"/>
              </w:rPr>
            </w:pPr>
            <w:r>
              <w:rPr>
                <w:rFonts w:ascii="Arial" w:cs="Arial" w:eastAsia="Arial" w:hAnsi="Arial"/>
                <w:sz w:val="18"/>
                <w:szCs w:val="18"/>
                <w:color w:val="auto"/>
              </w:rPr>
              <w:t>Gain / (loss) on warrant liability revaluation, net</w:t>
            </w:r>
          </w:p>
        </w:tc>
        <w:tc>
          <w:tcPr>
            <w:tcW w:w="28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(17.4)</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(24.9)</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4"/>
        </w:trPr>
        <w:tc>
          <w:tcPr>
            <w:tcW w:w="4800" w:type="dxa"/>
            <w:vAlign w:val="bottom"/>
          </w:tcPr>
          <w:p>
            <w:pPr>
              <w:spacing w:after="0"/>
              <w:rPr>
                <w:sz w:val="20"/>
                <w:szCs w:val="20"/>
                <w:color w:val="auto"/>
              </w:rPr>
            </w:pPr>
            <w:r>
              <w:rPr>
                <w:rFonts w:ascii="Arial" w:cs="Arial" w:eastAsia="Arial" w:hAnsi="Arial"/>
                <w:sz w:val="18"/>
                <w:szCs w:val="18"/>
                <w:color w:val="auto"/>
              </w:rPr>
              <w:t>Gain / (loss) on debt extinguishment, net</w:t>
            </w:r>
          </w:p>
        </w:tc>
        <w:tc>
          <w:tcPr>
            <w:tcW w:w="28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(12.2)</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(12.2)</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83"/>
        </w:trPr>
        <w:tc>
          <w:tcPr>
            <w:tcW w:w="4800" w:type="dxa"/>
            <w:vAlign w:val="bottom"/>
          </w:tcPr>
          <w:p>
            <w:pPr>
              <w:spacing w:after="0"/>
              <w:rPr>
                <w:sz w:val="20"/>
                <w:szCs w:val="20"/>
                <w:color w:val="auto"/>
              </w:rPr>
            </w:pPr>
            <w:r>
              <w:rPr>
                <w:rFonts w:ascii="Arial" w:cs="Arial" w:eastAsia="Arial" w:hAnsi="Arial"/>
                <w:sz w:val="18"/>
                <w:szCs w:val="18"/>
                <w:color w:val="auto"/>
              </w:rPr>
              <w:t>Other income / (expense), net</w:t>
            </w:r>
          </w:p>
        </w:tc>
        <w:tc>
          <w:tcPr>
            <w:tcW w:w="280" w:type="dxa"/>
            <w:vAlign w:val="bottom"/>
          </w:tcPr>
          <w:p>
            <w:pPr>
              <w:spacing w:after="0"/>
              <w:rPr>
                <w:sz w:val="24"/>
                <w:szCs w:val="24"/>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800" w:type="dxa"/>
            <w:vAlign w:val="bottom"/>
          </w:tcPr>
          <w:p>
            <w:pPr>
              <w:ind w:left="860"/>
              <w:spacing w:after="0"/>
              <w:rPr>
                <w:sz w:val="20"/>
                <w:szCs w:val="20"/>
                <w:color w:val="auto"/>
              </w:rPr>
            </w:pPr>
            <w:r>
              <w:rPr>
                <w:rFonts w:ascii="Arial" w:cs="Arial" w:eastAsia="Arial" w:hAnsi="Arial"/>
                <w:sz w:val="18"/>
                <w:szCs w:val="18"/>
                <w:color w:val="auto"/>
              </w:rPr>
              <w:t>Net loss before benefit from income taxes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(88.1)</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(44.3)</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(172.9)</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(132.3)</w:t>
            </w:r>
          </w:p>
        </w:tc>
        <w:tc>
          <w:tcPr>
            <w:tcW w:w="0" w:type="dxa"/>
            <w:vAlign w:val="bottom"/>
          </w:tcPr>
          <w:p>
            <w:pPr>
              <w:spacing w:after="0"/>
              <w:rPr>
                <w:sz w:val="1"/>
                <w:szCs w:val="1"/>
                <w:color w:val="auto"/>
              </w:rPr>
            </w:pPr>
          </w:p>
        </w:tc>
      </w:tr>
      <w:tr>
        <w:trPr>
          <w:trHeight w:val="270"/>
        </w:trPr>
        <w:tc>
          <w:tcPr>
            <w:tcW w:w="4800" w:type="dxa"/>
            <w:vAlign w:val="bottom"/>
          </w:tcPr>
          <w:p>
            <w:pPr>
              <w:spacing w:after="0"/>
              <w:rPr>
                <w:sz w:val="20"/>
                <w:szCs w:val="20"/>
                <w:color w:val="auto"/>
              </w:rPr>
            </w:pPr>
            <w:r>
              <w:rPr>
                <w:rFonts w:ascii="Arial" w:cs="Arial" w:eastAsia="Arial" w:hAnsi="Arial"/>
                <w:sz w:val="18"/>
                <w:szCs w:val="18"/>
                <w:color w:val="auto"/>
              </w:rPr>
              <w:t>Income tax benefit / (expense)</w:t>
            </w:r>
          </w:p>
        </w:tc>
        <w:tc>
          <w:tcPr>
            <w:tcW w:w="28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4800" w:type="dxa"/>
            <w:vAlign w:val="bottom"/>
          </w:tcPr>
          <w:p>
            <w:pPr>
              <w:ind w:left="980"/>
              <w:spacing w:after="0"/>
              <w:rPr>
                <w:sz w:val="20"/>
                <w:szCs w:val="20"/>
                <w:color w:val="auto"/>
              </w:rPr>
            </w:pPr>
            <w:r>
              <w:rPr>
                <w:rFonts w:ascii="Arial" w:cs="Arial" w:eastAsia="Arial" w:hAnsi="Arial"/>
                <w:sz w:val="18"/>
                <w:szCs w:val="18"/>
                <w:color w:val="auto"/>
              </w:rPr>
              <w:t>Net loss</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(87.8)</w:t>
            </w:r>
          </w:p>
        </w:tc>
        <w:tc>
          <w:tcPr>
            <w:tcW w:w="1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(44.3)</w:t>
            </w: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(172.5)</w:t>
            </w:r>
          </w:p>
        </w:tc>
        <w:tc>
          <w:tcPr>
            <w:tcW w:w="1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(132.3)</w:t>
            </w:r>
          </w:p>
        </w:tc>
        <w:tc>
          <w:tcPr>
            <w:tcW w:w="0" w:type="dxa"/>
            <w:vAlign w:val="bottom"/>
          </w:tcPr>
          <w:p>
            <w:pPr>
              <w:spacing w:after="0"/>
              <w:rPr>
                <w:sz w:val="1"/>
                <w:szCs w:val="1"/>
                <w:color w:val="auto"/>
              </w:rPr>
            </w:pPr>
          </w:p>
        </w:tc>
      </w:tr>
      <w:tr>
        <w:trPr>
          <w:trHeight w:val="20"/>
        </w:trPr>
        <w:tc>
          <w:tcPr>
            <w:tcW w:w="4800" w:type="dxa"/>
            <w:vAlign w:val="bottom"/>
            <w:vMerge w:val="restart"/>
          </w:tcPr>
          <w:p>
            <w:pPr>
              <w:spacing w:after="0"/>
              <w:rPr>
                <w:sz w:val="20"/>
                <w:szCs w:val="20"/>
                <w:color w:val="auto"/>
              </w:rPr>
            </w:pPr>
            <w:r>
              <w:rPr>
                <w:rFonts w:ascii="Arial" w:cs="Arial" w:eastAsia="Arial" w:hAnsi="Arial"/>
                <w:sz w:val="18"/>
                <w:szCs w:val="18"/>
                <w:color w:val="auto"/>
              </w:rPr>
              <w:t>Net loss per share attributable to common stockholders,</w:t>
            </w: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4800" w:type="dxa"/>
            <w:vAlign w:val="bottom"/>
            <w:vMerge w:val="continue"/>
          </w:tcPr>
          <w:p>
            <w:pPr>
              <w:spacing w:after="0"/>
              <w:rPr>
                <w:sz w:val="18"/>
                <w:szCs w:val="18"/>
                <w:color w:val="auto"/>
              </w:rPr>
            </w:pPr>
          </w:p>
        </w:tc>
        <w:tc>
          <w:tcPr>
            <w:tcW w:w="280" w:type="dxa"/>
            <w:vAlign w:val="bottom"/>
            <w:vMerge w:val="restart"/>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(6.72)</w:t>
            </w:r>
          </w:p>
        </w:tc>
        <w:tc>
          <w:tcPr>
            <w:tcW w:w="100" w:type="dxa"/>
            <w:vAlign w:val="bottom"/>
          </w:tcPr>
          <w:p>
            <w:pPr>
              <w:spacing w:after="0"/>
              <w:rPr>
                <w:sz w:val="18"/>
                <w:szCs w:val="18"/>
                <w:color w:val="auto"/>
              </w:rPr>
            </w:pPr>
          </w:p>
        </w:tc>
        <w:tc>
          <w:tcPr>
            <w:tcW w:w="340" w:type="dxa"/>
            <w:vAlign w:val="bottom"/>
            <w:vMerge w:val="restart"/>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(3.98)</w:t>
            </w:r>
          </w:p>
        </w:tc>
        <w:tc>
          <w:tcPr>
            <w:tcW w:w="100" w:type="dxa"/>
            <w:vAlign w:val="bottom"/>
          </w:tcPr>
          <w:p>
            <w:pPr>
              <w:spacing w:after="0"/>
              <w:rPr>
                <w:sz w:val="18"/>
                <w:szCs w:val="18"/>
                <w:color w:val="auto"/>
              </w:rPr>
            </w:pPr>
          </w:p>
        </w:tc>
        <w:tc>
          <w:tcPr>
            <w:tcW w:w="300" w:type="dxa"/>
            <w:vAlign w:val="bottom"/>
            <w:vMerge w:val="restart"/>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(14.35)</w:t>
            </w:r>
          </w:p>
        </w:tc>
        <w:tc>
          <w:tcPr>
            <w:tcW w:w="100" w:type="dxa"/>
            <w:vAlign w:val="bottom"/>
          </w:tcPr>
          <w:p>
            <w:pPr>
              <w:spacing w:after="0"/>
              <w:rPr>
                <w:sz w:val="18"/>
                <w:szCs w:val="18"/>
                <w:color w:val="auto"/>
              </w:rPr>
            </w:pPr>
          </w:p>
        </w:tc>
        <w:tc>
          <w:tcPr>
            <w:tcW w:w="340" w:type="dxa"/>
            <w:vAlign w:val="bottom"/>
            <w:vMerge w:val="restart"/>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(11.89)</w:t>
            </w:r>
          </w:p>
        </w:tc>
        <w:tc>
          <w:tcPr>
            <w:tcW w:w="0" w:type="dxa"/>
            <w:vAlign w:val="bottom"/>
          </w:tcPr>
          <w:p>
            <w:pPr>
              <w:spacing w:after="0"/>
              <w:rPr>
                <w:sz w:val="1"/>
                <w:szCs w:val="1"/>
                <w:color w:val="auto"/>
              </w:rPr>
            </w:pPr>
          </w:p>
        </w:tc>
      </w:tr>
      <w:tr>
        <w:trPr>
          <w:trHeight w:val="222"/>
        </w:trPr>
        <w:tc>
          <w:tcPr>
            <w:tcW w:w="4800" w:type="dxa"/>
            <w:vAlign w:val="bottom"/>
          </w:tcPr>
          <w:p>
            <w:pPr>
              <w:ind w:left="160"/>
              <w:spacing w:after="0"/>
              <w:rPr>
                <w:sz w:val="20"/>
                <w:szCs w:val="20"/>
                <w:color w:val="auto"/>
              </w:rPr>
            </w:pPr>
            <w:r>
              <w:rPr>
                <w:rFonts w:ascii="Arial" w:cs="Arial" w:eastAsia="Arial" w:hAnsi="Arial"/>
                <w:sz w:val="18"/>
                <w:szCs w:val="18"/>
                <w:color w:val="auto"/>
              </w:rPr>
              <w:t>basic and diluted</w:t>
            </w:r>
          </w:p>
        </w:tc>
        <w:tc>
          <w:tcPr>
            <w:tcW w:w="280" w:type="dxa"/>
            <w:vAlign w:val="bottom"/>
            <w:tcBorders>
              <w:bottom w:val="single" w:sz="8" w:color="auto"/>
            </w:tcBorders>
            <w:vMerge w:val="continue"/>
          </w:tcPr>
          <w:p>
            <w:pPr>
              <w:spacing w:after="0"/>
              <w:rPr>
                <w:sz w:val="18"/>
                <w:szCs w:val="18"/>
                <w:color w:val="auto"/>
              </w:rPr>
            </w:pPr>
          </w:p>
        </w:tc>
        <w:tc>
          <w:tcPr>
            <w:tcW w:w="124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bottom w:val="single" w:sz="8" w:color="auto"/>
            </w:tcBorders>
            <w:vMerge w:val="continue"/>
          </w:tcPr>
          <w:p>
            <w:pPr>
              <w:spacing w:after="0"/>
              <w:rPr>
                <w:sz w:val="18"/>
                <w:szCs w:val="18"/>
                <w:color w:val="auto"/>
              </w:rPr>
            </w:pPr>
          </w:p>
        </w:tc>
        <w:tc>
          <w:tcPr>
            <w:tcW w:w="118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bottom w:val="single" w:sz="8" w:color="auto"/>
            </w:tcBorders>
            <w:vMerge w:val="continue"/>
          </w:tcPr>
          <w:p>
            <w:pPr>
              <w:spacing w:after="0"/>
              <w:rPr>
                <w:sz w:val="18"/>
                <w:szCs w:val="18"/>
                <w:color w:val="auto"/>
              </w:rPr>
            </w:pPr>
          </w:p>
        </w:tc>
        <w:tc>
          <w:tcPr>
            <w:tcW w:w="122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bottom w:val="single" w:sz="8" w:color="auto"/>
            </w:tcBorders>
            <w:vMerge w:val="continue"/>
          </w:tcPr>
          <w:p>
            <w:pPr>
              <w:spacing w:after="0"/>
              <w:rPr>
                <w:sz w:val="18"/>
                <w:szCs w:val="18"/>
                <w:color w:val="auto"/>
              </w:rPr>
            </w:pPr>
          </w:p>
        </w:tc>
        <w:tc>
          <w:tcPr>
            <w:tcW w:w="11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00" w:type="dxa"/>
            <w:vAlign w:val="bottom"/>
            <w:vMerge w:val="restart"/>
          </w:tcPr>
          <w:p>
            <w:pPr>
              <w:spacing w:after="0"/>
              <w:rPr>
                <w:sz w:val="20"/>
                <w:szCs w:val="20"/>
                <w:color w:val="auto"/>
              </w:rPr>
            </w:pPr>
            <w:r>
              <w:rPr>
                <w:rFonts w:ascii="Arial" w:cs="Arial" w:eastAsia="Arial" w:hAnsi="Arial"/>
                <w:sz w:val="18"/>
                <w:szCs w:val="18"/>
                <w:color w:val="auto"/>
              </w:rPr>
              <w:t>Weighted-average shares used in computing net loss per</w:t>
            </w: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480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tcPr>
          <w:p>
            <w:pPr>
              <w:ind w:left="160"/>
              <w:spacing w:after="0"/>
              <w:rPr>
                <w:sz w:val="20"/>
                <w:szCs w:val="20"/>
                <w:color w:val="auto"/>
              </w:rPr>
            </w:pPr>
            <w:r>
              <w:rPr>
                <w:rFonts w:ascii="Arial" w:cs="Arial" w:eastAsia="Arial" w:hAnsi="Arial"/>
                <w:sz w:val="18"/>
                <w:szCs w:val="18"/>
                <w:color w:val="auto"/>
              </w:rPr>
              <w:t>share attributable to common stockholders, basic and</w:t>
            </w:r>
          </w:p>
        </w:tc>
        <w:tc>
          <w:tcPr>
            <w:tcW w:w="280" w:type="dxa"/>
            <w:vAlign w:val="bottom"/>
          </w:tcPr>
          <w:p>
            <w:pPr>
              <w:spacing w:after="0"/>
              <w:rPr>
                <w:sz w:val="18"/>
                <w:szCs w:val="18"/>
                <w:color w:val="auto"/>
              </w:rPr>
            </w:pP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13,063,034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11,115,005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12,018,879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11,130,102</w:t>
            </w:r>
          </w:p>
        </w:tc>
        <w:tc>
          <w:tcPr>
            <w:tcW w:w="0" w:type="dxa"/>
            <w:vAlign w:val="bottom"/>
          </w:tcPr>
          <w:p>
            <w:pPr>
              <w:spacing w:after="0"/>
              <w:rPr>
                <w:sz w:val="1"/>
                <w:szCs w:val="1"/>
                <w:color w:val="auto"/>
              </w:rPr>
            </w:pPr>
          </w:p>
        </w:tc>
      </w:tr>
      <w:tr>
        <w:trPr>
          <w:trHeight w:val="217"/>
        </w:trPr>
        <w:tc>
          <w:tcPr>
            <w:tcW w:w="4800" w:type="dxa"/>
            <w:vAlign w:val="bottom"/>
          </w:tcPr>
          <w:p>
            <w:pPr>
              <w:ind w:left="160"/>
              <w:spacing w:after="0"/>
              <w:rPr>
                <w:sz w:val="20"/>
                <w:szCs w:val="20"/>
                <w:color w:val="auto"/>
              </w:rPr>
            </w:pPr>
            <w:r>
              <w:rPr>
                <w:rFonts w:ascii="Arial" w:cs="Arial" w:eastAsia="Arial" w:hAnsi="Arial"/>
                <w:sz w:val="18"/>
                <w:szCs w:val="18"/>
                <w:color w:val="auto"/>
              </w:rPr>
              <w:t>diluted</w:t>
            </w:r>
          </w:p>
        </w:tc>
        <w:tc>
          <w:tcPr>
            <w:tcW w:w="2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ectPr>
          <w:pgSz w:w="11900" w:h="16838" w:orient="portrait"/>
          <w:cols w:equalWidth="0" w:num="1">
            <w:col w:w="11180"/>
          </w:cols>
          <w:pgMar w:left="360" w:top="611" w:right="359" w:bottom="1440" w:gutter="0" w:footer="0" w:header="0"/>
        </w:sectPr>
      </w:pPr>
    </w:p>
    <w:bookmarkStart w:id="10" w:name="page11"/>
    <w:bookmarkEnd w:id="10"/>
    <w:p>
      <w:pPr>
        <w:ind w:left="4560"/>
        <w:spacing w:after="0"/>
        <w:rPr>
          <w:sz w:val="20"/>
          <w:szCs w:val="20"/>
          <w:color w:val="auto"/>
        </w:rPr>
      </w:pPr>
      <w:r>
        <w:rPr>
          <w:rFonts w:ascii="Arial" w:cs="Arial" w:eastAsia="Arial" w:hAnsi="Arial"/>
          <w:sz w:val="20"/>
          <w:szCs w:val="20"/>
          <w:b w:val="1"/>
          <w:bCs w:val="1"/>
          <w:color w:val="auto"/>
        </w:rPr>
        <w:t>Rent the Runway, Inc.</w:t>
      </w:r>
    </w:p>
    <w:p>
      <w:pPr>
        <w:ind w:left="3180"/>
        <w:spacing w:after="0" w:line="233" w:lineRule="auto"/>
        <w:rPr>
          <w:sz w:val="20"/>
          <w:szCs w:val="20"/>
          <w:color w:val="auto"/>
        </w:rPr>
      </w:pPr>
      <w:r>
        <w:rPr>
          <w:rFonts w:ascii="Arial" w:cs="Arial" w:eastAsia="Arial" w:hAnsi="Arial"/>
          <w:sz w:val="19"/>
          <w:szCs w:val="19"/>
          <w:b w:val="1"/>
          <w:bCs w:val="1"/>
          <w:color w:val="auto"/>
        </w:rPr>
        <w:t>Condensed Consolidated Statements of Cash Flow</w:t>
      </w:r>
    </w:p>
    <w:p>
      <w:pPr>
        <w:ind w:left="5020"/>
        <w:spacing w:after="0" w:line="197" w:lineRule="auto"/>
        <w:rPr>
          <w:sz w:val="20"/>
          <w:szCs w:val="20"/>
          <w:color w:val="auto"/>
        </w:rPr>
      </w:pPr>
      <w:r>
        <w:rPr>
          <w:rFonts w:ascii="Arial" w:cs="Arial" w:eastAsia="Arial" w:hAnsi="Arial"/>
          <w:sz w:val="20"/>
          <w:szCs w:val="20"/>
          <w:b w:val="1"/>
          <w:bCs w:val="1"/>
          <w:color w:val="auto"/>
        </w:rPr>
        <w:t>(in millions)</w:t>
      </w:r>
    </w:p>
    <w:p>
      <w:pPr>
        <w:spacing w:after="0" w:line="1" w:lineRule="exact"/>
        <w:rPr>
          <w:sz w:val="20"/>
          <w:szCs w:val="20"/>
          <w:color w:val="auto"/>
        </w:rPr>
      </w:pPr>
    </w:p>
    <w:p>
      <w:pPr>
        <w:ind w:left="5080"/>
        <w:spacing w:after="0"/>
        <w:rPr>
          <w:sz w:val="20"/>
          <w:szCs w:val="20"/>
          <w:color w:val="auto"/>
        </w:rPr>
      </w:pPr>
      <w:r>
        <w:rPr>
          <w:rFonts w:ascii="Arial" w:cs="Arial" w:eastAsia="Arial" w:hAnsi="Arial"/>
          <w:sz w:val="20"/>
          <w:szCs w:val="20"/>
          <w:color w:val="auto"/>
        </w:rPr>
        <w:t>(unaudited)</w:t>
      </w:r>
    </w:p>
    <w:p>
      <w:pPr>
        <w:sectPr>
          <w:pgSz w:w="11900" w:h="16838" w:orient="portrait"/>
          <w:cols w:equalWidth="0" w:num="1">
            <w:col w:w="11180"/>
          </w:cols>
          <w:pgMar w:left="360" w:top="368"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OPERATING ACTIVITIES</w:t>
      </w:r>
    </w:p>
    <w:p>
      <w:pPr>
        <w:spacing w:after="0" w:line="75" w:lineRule="exact"/>
        <w:rPr>
          <w:sz w:val="20"/>
          <w:szCs w:val="20"/>
          <w:color w:val="auto"/>
        </w:rPr>
      </w:pPr>
    </w:p>
    <w:p>
      <w:pPr>
        <w:spacing w:after="0"/>
        <w:rPr>
          <w:sz w:val="20"/>
          <w:szCs w:val="20"/>
          <w:color w:val="auto"/>
        </w:rPr>
      </w:pPr>
      <w:r>
        <w:rPr>
          <w:rFonts w:ascii="Arial" w:cs="Arial" w:eastAsia="Arial" w:hAnsi="Arial"/>
          <w:sz w:val="15"/>
          <w:szCs w:val="15"/>
          <w:color w:val="auto"/>
        </w:rPr>
        <w:t>Net loss</w:t>
      </w:r>
    </w:p>
    <w:p>
      <w:pPr>
        <w:spacing w:after="0" w:line="57" w:lineRule="exact"/>
        <w:rPr>
          <w:sz w:val="20"/>
          <w:szCs w:val="20"/>
          <w:color w:val="auto"/>
        </w:rPr>
      </w:pPr>
    </w:p>
    <w:p>
      <w:pPr>
        <w:spacing w:after="0"/>
        <w:rPr>
          <w:sz w:val="20"/>
          <w:szCs w:val="20"/>
          <w:color w:val="auto"/>
        </w:rPr>
      </w:pPr>
      <w:r>
        <w:rPr>
          <w:rFonts w:ascii="Arial" w:cs="Arial" w:eastAsia="Arial" w:hAnsi="Arial"/>
          <w:sz w:val="15"/>
          <w:szCs w:val="15"/>
          <w:color w:val="auto"/>
        </w:rPr>
        <w:t>Adjustments to reconcile net loss to net cash (used in) provided by operating activities:</w:t>
      </w:r>
    </w:p>
    <w:p>
      <w:pPr>
        <w:spacing w:after="0" w:line="57" w:lineRule="exact"/>
        <w:rPr>
          <w:sz w:val="20"/>
          <w:szCs w:val="20"/>
          <w:color w:val="auto"/>
        </w:rPr>
      </w:pPr>
    </w:p>
    <w:p>
      <w:pPr>
        <w:ind w:left="320"/>
        <w:spacing w:after="0"/>
        <w:rPr>
          <w:sz w:val="20"/>
          <w:szCs w:val="20"/>
          <w:color w:val="auto"/>
        </w:rPr>
      </w:pPr>
      <w:r>
        <w:rPr>
          <w:rFonts w:ascii="Arial" w:cs="Arial" w:eastAsia="Arial" w:hAnsi="Arial"/>
          <w:sz w:val="15"/>
          <w:szCs w:val="15"/>
          <w:color w:val="auto"/>
        </w:rPr>
        <w:t>Rental product depreciation and write-offs</w:t>
      </w:r>
    </w:p>
    <w:p>
      <w:pPr>
        <w:spacing w:after="0" w:line="57" w:lineRule="exact"/>
        <w:rPr>
          <w:sz w:val="20"/>
          <w:szCs w:val="20"/>
          <w:color w:val="auto"/>
        </w:rPr>
      </w:pPr>
    </w:p>
    <w:p>
      <w:pPr>
        <w:ind w:left="320"/>
        <w:spacing w:after="0"/>
        <w:rPr>
          <w:sz w:val="20"/>
          <w:szCs w:val="20"/>
          <w:color w:val="auto"/>
        </w:rPr>
      </w:pPr>
      <w:r>
        <w:rPr>
          <w:rFonts w:ascii="Arial" w:cs="Arial" w:eastAsia="Arial" w:hAnsi="Arial"/>
          <w:sz w:val="15"/>
          <w:szCs w:val="15"/>
          <w:color w:val="auto"/>
        </w:rPr>
        <w:t>Write-off of rental product sold</w:t>
      </w:r>
    </w:p>
    <w:p>
      <w:pPr>
        <w:spacing w:after="0" w:line="57" w:lineRule="exact"/>
        <w:rPr>
          <w:sz w:val="20"/>
          <w:szCs w:val="20"/>
          <w:color w:val="auto"/>
        </w:rPr>
      </w:pPr>
    </w:p>
    <w:p>
      <w:pPr>
        <w:ind w:left="320"/>
        <w:spacing w:after="0"/>
        <w:rPr>
          <w:sz w:val="20"/>
          <w:szCs w:val="20"/>
          <w:color w:val="auto"/>
        </w:rPr>
      </w:pPr>
      <w:r>
        <w:rPr>
          <w:rFonts w:ascii="Arial" w:cs="Arial" w:eastAsia="Arial" w:hAnsi="Arial"/>
          <w:sz w:val="15"/>
          <w:szCs w:val="15"/>
          <w:color w:val="auto"/>
        </w:rPr>
        <w:t>Other depreciation and amortization</w:t>
      </w:r>
    </w:p>
    <w:p>
      <w:pPr>
        <w:spacing w:after="0" w:line="57" w:lineRule="exact"/>
        <w:rPr>
          <w:sz w:val="20"/>
          <w:szCs w:val="20"/>
          <w:color w:val="auto"/>
        </w:rPr>
      </w:pPr>
    </w:p>
    <w:p>
      <w:pPr>
        <w:ind w:left="320"/>
        <w:spacing w:after="0"/>
        <w:rPr>
          <w:sz w:val="20"/>
          <w:szCs w:val="20"/>
          <w:color w:val="auto"/>
        </w:rPr>
      </w:pPr>
      <w:r>
        <w:rPr>
          <w:rFonts w:ascii="Arial" w:cs="Arial" w:eastAsia="Arial" w:hAnsi="Arial"/>
          <w:sz w:val="15"/>
          <w:szCs w:val="15"/>
          <w:color w:val="auto"/>
        </w:rPr>
        <w:t>Proceeds from rental product sold</w:t>
      </w:r>
    </w:p>
    <w:p>
      <w:pPr>
        <w:spacing w:after="0" w:line="57" w:lineRule="exact"/>
        <w:rPr>
          <w:sz w:val="20"/>
          <w:szCs w:val="20"/>
          <w:color w:val="auto"/>
        </w:rPr>
      </w:pPr>
    </w:p>
    <w:p>
      <w:pPr>
        <w:ind w:left="320"/>
        <w:spacing w:after="0"/>
        <w:rPr>
          <w:sz w:val="20"/>
          <w:szCs w:val="20"/>
          <w:color w:val="auto"/>
        </w:rPr>
      </w:pPr>
      <w:r>
        <w:rPr>
          <w:rFonts w:ascii="Arial" w:cs="Arial" w:eastAsia="Arial" w:hAnsi="Arial"/>
          <w:sz w:val="15"/>
          <w:szCs w:val="15"/>
          <w:color w:val="auto"/>
        </w:rPr>
        <w:t>(Gain) / loss from liquidation of rental product</w:t>
      </w:r>
    </w:p>
    <w:p>
      <w:pPr>
        <w:spacing w:after="0" w:line="57" w:lineRule="exact"/>
        <w:rPr>
          <w:sz w:val="20"/>
          <w:szCs w:val="20"/>
          <w:color w:val="auto"/>
        </w:rPr>
      </w:pPr>
    </w:p>
    <w:p>
      <w:pPr>
        <w:ind w:left="320"/>
        <w:spacing w:after="0"/>
        <w:rPr>
          <w:sz w:val="20"/>
          <w:szCs w:val="20"/>
          <w:color w:val="auto"/>
        </w:rPr>
      </w:pPr>
      <w:r>
        <w:rPr>
          <w:rFonts w:ascii="Arial" w:cs="Arial" w:eastAsia="Arial" w:hAnsi="Arial"/>
          <w:sz w:val="15"/>
          <w:szCs w:val="15"/>
          <w:color w:val="auto"/>
        </w:rPr>
        <w:t>Accrual of paid-in-kind interest</w:t>
      </w:r>
    </w:p>
    <w:p>
      <w:pPr>
        <w:spacing w:after="0" w:line="57" w:lineRule="exact"/>
        <w:rPr>
          <w:sz w:val="20"/>
          <w:szCs w:val="20"/>
          <w:color w:val="auto"/>
        </w:rPr>
      </w:pPr>
    </w:p>
    <w:p>
      <w:pPr>
        <w:ind w:left="320"/>
        <w:spacing w:after="0"/>
        <w:rPr>
          <w:sz w:val="20"/>
          <w:szCs w:val="20"/>
          <w:color w:val="auto"/>
        </w:rPr>
      </w:pPr>
      <w:r>
        <w:rPr>
          <w:rFonts w:ascii="Arial" w:cs="Arial" w:eastAsia="Arial" w:hAnsi="Arial"/>
          <w:sz w:val="15"/>
          <w:szCs w:val="15"/>
          <w:color w:val="auto"/>
        </w:rPr>
        <w:t>Settlement of paid-in-kind interest</w:t>
      </w:r>
    </w:p>
    <w:p>
      <w:pPr>
        <w:spacing w:after="0" w:line="57" w:lineRule="exact"/>
        <w:rPr>
          <w:sz w:val="20"/>
          <w:szCs w:val="20"/>
          <w:color w:val="auto"/>
        </w:rPr>
      </w:pPr>
    </w:p>
    <w:p>
      <w:pPr>
        <w:ind w:left="320"/>
        <w:spacing w:after="0"/>
        <w:rPr>
          <w:sz w:val="20"/>
          <w:szCs w:val="20"/>
          <w:color w:val="auto"/>
        </w:rPr>
      </w:pPr>
      <w:r>
        <w:rPr>
          <w:rFonts w:ascii="Arial" w:cs="Arial" w:eastAsia="Arial" w:hAnsi="Arial"/>
          <w:sz w:val="15"/>
          <w:szCs w:val="15"/>
          <w:color w:val="auto"/>
        </w:rPr>
        <w:t>Amortization of debt discount</w:t>
      </w:r>
    </w:p>
    <w:p>
      <w:pPr>
        <w:spacing w:after="0" w:line="57" w:lineRule="exact"/>
        <w:rPr>
          <w:sz w:val="20"/>
          <w:szCs w:val="20"/>
          <w:color w:val="auto"/>
        </w:rPr>
      </w:pPr>
    </w:p>
    <w:p>
      <w:pPr>
        <w:ind w:left="320"/>
        <w:spacing w:after="0"/>
        <w:rPr>
          <w:sz w:val="20"/>
          <w:szCs w:val="20"/>
          <w:color w:val="auto"/>
        </w:rPr>
      </w:pPr>
      <w:r>
        <w:rPr>
          <w:rFonts w:ascii="Arial" w:cs="Arial" w:eastAsia="Arial" w:hAnsi="Arial"/>
          <w:sz w:val="15"/>
          <w:szCs w:val="15"/>
          <w:color w:val="auto"/>
        </w:rPr>
        <w:t>Loss on debt extinguishment</w:t>
      </w:r>
    </w:p>
    <w:p>
      <w:pPr>
        <w:spacing w:after="0" w:line="57" w:lineRule="exact"/>
        <w:rPr>
          <w:sz w:val="20"/>
          <w:szCs w:val="20"/>
          <w:color w:val="auto"/>
        </w:rPr>
      </w:pPr>
    </w:p>
    <w:p>
      <w:pPr>
        <w:ind w:left="320"/>
        <w:spacing w:after="0"/>
        <w:rPr>
          <w:sz w:val="20"/>
          <w:szCs w:val="20"/>
          <w:color w:val="auto"/>
        </w:rPr>
      </w:pPr>
      <w:r>
        <w:rPr>
          <w:rFonts w:ascii="Arial" w:cs="Arial" w:eastAsia="Arial" w:hAnsi="Arial"/>
          <w:sz w:val="15"/>
          <w:szCs w:val="15"/>
          <w:color w:val="auto"/>
        </w:rPr>
        <w:t>Share-based compensation expense</w:t>
      </w:r>
    </w:p>
    <w:p>
      <w:pPr>
        <w:spacing w:after="0" w:line="57" w:lineRule="exact"/>
        <w:rPr>
          <w:sz w:val="20"/>
          <w:szCs w:val="20"/>
          <w:color w:val="auto"/>
        </w:rPr>
      </w:pPr>
    </w:p>
    <w:p>
      <w:pPr>
        <w:ind w:left="320"/>
        <w:spacing w:after="0"/>
        <w:rPr>
          <w:sz w:val="20"/>
          <w:szCs w:val="20"/>
          <w:color w:val="auto"/>
        </w:rPr>
      </w:pPr>
      <w:r>
        <w:rPr>
          <w:rFonts w:ascii="Arial" w:cs="Arial" w:eastAsia="Arial" w:hAnsi="Arial"/>
          <w:sz w:val="15"/>
          <w:szCs w:val="15"/>
          <w:color w:val="auto"/>
        </w:rPr>
        <w:t>Remeasurement of warrant liability</w:t>
      </w:r>
    </w:p>
    <w:p>
      <w:pPr>
        <w:spacing w:after="0" w:line="57" w:lineRule="exact"/>
        <w:rPr>
          <w:sz w:val="20"/>
          <w:szCs w:val="20"/>
          <w:color w:val="auto"/>
        </w:rPr>
      </w:pPr>
    </w:p>
    <w:p>
      <w:pPr>
        <w:ind w:left="320"/>
        <w:spacing w:after="0"/>
        <w:rPr>
          <w:sz w:val="20"/>
          <w:szCs w:val="20"/>
          <w:color w:val="auto"/>
        </w:rPr>
      </w:pPr>
      <w:r>
        <w:rPr>
          <w:rFonts w:ascii="Arial" w:cs="Arial" w:eastAsia="Arial" w:hAnsi="Arial"/>
          <w:sz w:val="15"/>
          <w:szCs w:val="15"/>
          <w:color w:val="auto"/>
        </w:rPr>
        <w:t>Changes in operating assets and liabilities:</w:t>
      </w:r>
    </w:p>
    <w:p>
      <w:pPr>
        <w:spacing w:after="0" w:line="57" w:lineRule="exact"/>
        <w:rPr>
          <w:sz w:val="20"/>
          <w:szCs w:val="20"/>
          <w:color w:val="auto"/>
        </w:rPr>
      </w:pPr>
    </w:p>
    <w:p>
      <w:pPr>
        <w:ind w:left="640"/>
        <w:spacing w:after="0"/>
        <w:rPr>
          <w:sz w:val="20"/>
          <w:szCs w:val="20"/>
          <w:color w:val="auto"/>
        </w:rPr>
      </w:pPr>
      <w:r>
        <w:rPr>
          <w:rFonts w:ascii="Arial" w:cs="Arial" w:eastAsia="Arial" w:hAnsi="Arial"/>
          <w:sz w:val="15"/>
          <w:szCs w:val="15"/>
          <w:color w:val="auto"/>
        </w:rPr>
        <w:t>Prepaid expenses and other current assets</w:t>
      </w:r>
    </w:p>
    <w:p>
      <w:pPr>
        <w:spacing w:after="0" w:line="57" w:lineRule="exact"/>
        <w:rPr>
          <w:sz w:val="20"/>
          <w:szCs w:val="20"/>
          <w:color w:val="auto"/>
        </w:rPr>
      </w:pPr>
    </w:p>
    <w:p>
      <w:pPr>
        <w:ind w:left="640"/>
        <w:spacing w:after="0"/>
        <w:rPr>
          <w:sz w:val="20"/>
          <w:szCs w:val="20"/>
          <w:color w:val="auto"/>
        </w:rPr>
      </w:pPr>
      <w:r>
        <w:rPr>
          <w:rFonts w:ascii="Arial" w:cs="Arial" w:eastAsia="Arial" w:hAnsi="Arial"/>
          <w:sz w:val="15"/>
          <w:szCs w:val="15"/>
          <w:color w:val="auto"/>
        </w:rPr>
        <w:t>Operating lease right-of-use assets</w:t>
      </w:r>
    </w:p>
    <w:p>
      <w:pPr>
        <w:spacing w:after="0" w:line="57" w:lineRule="exact"/>
        <w:rPr>
          <w:sz w:val="20"/>
          <w:szCs w:val="20"/>
          <w:color w:val="auto"/>
        </w:rPr>
      </w:pPr>
    </w:p>
    <w:p>
      <w:pPr>
        <w:ind w:left="640"/>
        <w:spacing w:after="0"/>
        <w:rPr>
          <w:sz w:val="20"/>
          <w:szCs w:val="20"/>
          <w:color w:val="auto"/>
        </w:rPr>
      </w:pPr>
      <w:r>
        <w:rPr>
          <w:rFonts w:ascii="Arial" w:cs="Arial" w:eastAsia="Arial" w:hAnsi="Arial"/>
          <w:sz w:val="15"/>
          <w:szCs w:val="15"/>
          <w:color w:val="auto"/>
        </w:rPr>
        <w:t>Other assets</w:t>
      </w:r>
    </w:p>
    <w:p>
      <w:pPr>
        <w:spacing w:after="0" w:line="57" w:lineRule="exact"/>
        <w:rPr>
          <w:sz w:val="20"/>
          <w:szCs w:val="20"/>
          <w:color w:val="auto"/>
        </w:rPr>
      </w:pPr>
    </w:p>
    <w:p>
      <w:pPr>
        <w:ind w:left="640"/>
        <w:spacing w:after="0"/>
        <w:rPr>
          <w:sz w:val="20"/>
          <w:szCs w:val="20"/>
          <w:color w:val="auto"/>
        </w:rPr>
      </w:pPr>
      <w:r>
        <w:rPr>
          <w:rFonts w:ascii="Arial" w:cs="Arial" w:eastAsia="Arial" w:hAnsi="Arial"/>
          <w:sz w:val="15"/>
          <w:szCs w:val="15"/>
          <w:color w:val="auto"/>
        </w:rPr>
        <w:t>Accounts payable, accrued expenses and other current liabilities</w:t>
      </w:r>
    </w:p>
    <w:p>
      <w:pPr>
        <w:spacing w:after="0" w:line="57" w:lineRule="exact"/>
        <w:rPr>
          <w:sz w:val="20"/>
          <w:szCs w:val="20"/>
          <w:color w:val="auto"/>
        </w:rPr>
      </w:pPr>
    </w:p>
    <w:p>
      <w:pPr>
        <w:ind w:left="640"/>
        <w:spacing w:after="0"/>
        <w:rPr>
          <w:sz w:val="20"/>
          <w:szCs w:val="20"/>
          <w:color w:val="auto"/>
        </w:rPr>
      </w:pPr>
      <w:r>
        <w:rPr>
          <w:rFonts w:ascii="Arial" w:cs="Arial" w:eastAsia="Arial" w:hAnsi="Arial"/>
          <w:sz w:val="15"/>
          <w:szCs w:val="15"/>
          <w:color w:val="auto"/>
        </w:rPr>
        <w:t>Deferred revenue and customer credit liabilities</w:t>
      </w:r>
    </w:p>
    <w:p>
      <w:pPr>
        <w:spacing w:after="0" w:line="57" w:lineRule="exact"/>
        <w:rPr>
          <w:sz w:val="20"/>
          <w:szCs w:val="20"/>
          <w:color w:val="auto"/>
        </w:rPr>
      </w:pPr>
    </w:p>
    <w:p>
      <w:pPr>
        <w:ind w:left="640"/>
        <w:spacing w:after="0"/>
        <w:rPr>
          <w:sz w:val="20"/>
          <w:szCs w:val="20"/>
          <w:color w:val="auto"/>
        </w:rPr>
      </w:pPr>
      <w:r>
        <w:rPr>
          <w:rFonts w:ascii="Arial" w:cs="Arial" w:eastAsia="Arial" w:hAnsi="Arial"/>
          <w:sz w:val="15"/>
          <w:szCs w:val="15"/>
          <w:color w:val="auto"/>
        </w:rPr>
        <w:t>Operating lease liabilities</w:t>
      </w:r>
    </w:p>
    <w:p>
      <w:pPr>
        <w:spacing w:after="0" w:line="57" w:lineRule="exact"/>
        <w:rPr>
          <w:sz w:val="20"/>
          <w:szCs w:val="20"/>
          <w:color w:val="auto"/>
        </w:rPr>
      </w:pPr>
    </w:p>
    <w:p>
      <w:pPr>
        <w:ind w:left="640"/>
        <w:spacing w:after="0"/>
        <w:rPr>
          <w:sz w:val="20"/>
          <w:szCs w:val="20"/>
          <w:color w:val="auto"/>
        </w:rPr>
      </w:pPr>
      <w:r>
        <w:rPr>
          <w:rFonts w:ascii="Arial" w:cs="Arial" w:eastAsia="Arial" w:hAnsi="Arial"/>
          <w:sz w:val="15"/>
          <w:szCs w:val="15"/>
          <w:color w:val="auto"/>
        </w:rPr>
        <w:t>Other liabilities</w:t>
      </w:r>
    </w:p>
    <w:p>
      <w:pPr>
        <w:spacing w:after="0" w:line="98" w:lineRule="exact"/>
        <w:rPr>
          <w:sz w:val="20"/>
          <w:szCs w:val="20"/>
          <w:color w:val="auto"/>
        </w:rPr>
      </w:pPr>
    </w:p>
    <w:p>
      <w:pPr>
        <w:ind w:left="980"/>
        <w:spacing w:after="0"/>
        <w:rPr>
          <w:sz w:val="20"/>
          <w:szCs w:val="20"/>
          <w:color w:val="auto"/>
        </w:rPr>
      </w:pPr>
      <w:r>
        <w:rPr>
          <w:rFonts w:ascii="Arial" w:cs="Arial" w:eastAsia="Arial" w:hAnsi="Arial"/>
          <w:sz w:val="15"/>
          <w:szCs w:val="15"/>
          <w:color w:val="auto"/>
        </w:rPr>
        <w:t>Net cash (used in) provided by operating activities</w:t>
      </w:r>
    </w:p>
    <w:p>
      <w:pPr>
        <w:spacing w:after="0" w:line="3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INVESTING ACTIVITIES</w:t>
      </w:r>
    </w:p>
    <w:p>
      <w:pPr>
        <w:spacing w:after="0" w:line="75" w:lineRule="exact"/>
        <w:rPr>
          <w:sz w:val="20"/>
          <w:szCs w:val="20"/>
          <w:color w:val="auto"/>
        </w:rPr>
      </w:pPr>
    </w:p>
    <w:p>
      <w:pPr>
        <w:spacing w:after="0"/>
        <w:rPr>
          <w:sz w:val="20"/>
          <w:szCs w:val="20"/>
          <w:color w:val="auto"/>
        </w:rPr>
      </w:pPr>
      <w:r>
        <w:rPr>
          <w:rFonts w:ascii="Arial" w:cs="Arial" w:eastAsia="Arial" w:hAnsi="Arial"/>
          <w:sz w:val="15"/>
          <w:szCs w:val="15"/>
          <w:color w:val="auto"/>
        </w:rPr>
        <w:t>Purchases of rental product</w:t>
      </w:r>
    </w:p>
    <w:p>
      <w:pPr>
        <w:spacing w:after="0" w:line="57" w:lineRule="exact"/>
        <w:rPr>
          <w:sz w:val="20"/>
          <w:szCs w:val="20"/>
          <w:color w:val="auto"/>
        </w:rPr>
      </w:pPr>
    </w:p>
    <w:p>
      <w:pPr>
        <w:spacing w:after="0"/>
        <w:rPr>
          <w:sz w:val="20"/>
          <w:szCs w:val="20"/>
          <w:color w:val="auto"/>
        </w:rPr>
      </w:pPr>
      <w:r>
        <w:rPr>
          <w:rFonts w:ascii="Arial" w:cs="Arial" w:eastAsia="Arial" w:hAnsi="Arial"/>
          <w:sz w:val="15"/>
          <w:szCs w:val="15"/>
          <w:color w:val="auto"/>
        </w:rPr>
        <w:t>Proceeds from liquidation of rental product</w:t>
      </w:r>
    </w:p>
    <w:p>
      <w:pPr>
        <w:spacing w:after="0" w:line="57" w:lineRule="exact"/>
        <w:rPr>
          <w:sz w:val="20"/>
          <w:szCs w:val="20"/>
          <w:color w:val="auto"/>
        </w:rPr>
      </w:pPr>
    </w:p>
    <w:p>
      <w:pPr>
        <w:spacing w:after="0"/>
        <w:rPr>
          <w:sz w:val="20"/>
          <w:szCs w:val="20"/>
          <w:color w:val="auto"/>
        </w:rPr>
      </w:pPr>
      <w:r>
        <w:rPr>
          <w:rFonts w:ascii="Arial" w:cs="Arial" w:eastAsia="Arial" w:hAnsi="Arial"/>
          <w:sz w:val="15"/>
          <w:szCs w:val="15"/>
          <w:color w:val="auto"/>
        </w:rPr>
        <w:t>Proceeds from sale of rental product</w:t>
      </w:r>
    </w:p>
    <w:p>
      <w:pPr>
        <w:spacing w:after="0" w:line="57" w:lineRule="exact"/>
        <w:rPr>
          <w:sz w:val="20"/>
          <w:szCs w:val="20"/>
          <w:color w:val="auto"/>
        </w:rPr>
      </w:pPr>
    </w:p>
    <w:p>
      <w:pPr>
        <w:spacing w:after="0"/>
        <w:rPr>
          <w:sz w:val="20"/>
          <w:szCs w:val="20"/>
          <w:color w:val="auto"/>
        </w:rPr>
      </w:pPr>
      <w:r>
        <w:rPr>
          <w:rFonts w:ascii="Arial" w:cs="Arial" w:eastAsia="Arial" w:hAnsi="Arial"/>
          <w:sz w:val="15"/>
          <w:szCs w:val="15"/>
          <w:color w:val="auto"/>
        </w:rPr>
        <w:t>Purchases of fixed and intangible assets</w:t>
      </w:r>
    </w:p>
    <w:p>
      <w:pPr>
        <w:spacing w:after="0" w:line="98" w:lineRule="exact"/>
        <w:rPr>
          <w:sz w:val="20"/>
          <w:szCs w:val="20"/>
          <w:color w:val="auto"/>
        </w:rPr>
      </w:pPr>
    </w:p>
    <w:p>
      <w:pPr>
        <w:ind w:right="2400" w:firstLine="972"/>
        <w:spacing w:after="0" w:line="347" w:lineRule="auto"/>
        <w:rPr>
          <w:sz w:val="20"/>
          <w:szCs w:val="20"/>
          <w:color w:val="auto"/>
        </w:rPr>
      </w:pPr>
      <w:r>
        <w:rPr>
          <w:rFonts w:ascii="Arial" w:cs="Arial" w:eastAsia="Arial" w:hAnsi="Arial"/>
          <w:sz w:val="15"/>
          <w:szCs w:val="15"/>
          <w:color w:val="auto"/>
        </w:rPr>
        <w:t xml:space="preserve">Net cash (used in) provided by investing activities </w:t>
      </w:r>
      <w:r>
        <w:rPr>
          <w:rFonts w:ascii="Arial" w:cs="Arial" w:eastAsia="Arial" w:hAnsi="Arial"/>
          <w:sz w:val="15"/>
          <w:szCs w:val="15"/>
          <w:b w:val="1"/>
          <w:bCs w:val="1"/>
          <w:color w:val="auto"/>
        </w:rPr>
        <w:t>FINANCING ACTIVITIES</w:t>
      </w:r>
    </w:p>
    <w:p>
      <w:pPr>
        <w:spacing w:after="0" w:line="1" w:lineRule="exact"/>
        <w:rPr>
          <w:sz w:val="20"/>
          <w:szCs w:val="20"/>
          <w:color w:val="auto"/>
        </w:rPr>
      </w:pPr>
    </w:p>
    <w:p>
      <w:pPr>
        <w:ind w:right="1520"/>
        <w:spacing w:after="0" w:line="356" w:lineRule="auto"/>
        <w:rPr>
          <w:sz w:val="20"/>
          <w:szCs w:val="20"/>
          <w:color w:val="auto"/>
        </w:rPr>
      </w:pPr>
      <w:r>
        <w:rPr>
          <w:rFonts w:ascii="Arial" w:cs="Arial" w:eastAsia="Arial" w:hAnsi="Arial"/>
          <w:sz w:val="15"/>
          <w:szCs w:val="15"/>
          <w:color w:val="auto"/>
        </w:rPr>
        <w:t>Proceeds from the issuance of common stock upon IPO, net of offering costs Proceeds from issuance of redeemable preferred stock</w:t>
      </w:r>
    </w:p>
    <w:p>
      <w:pPr>
        <w:spacing w:after="0" w:line="1" w:lineRule="exact"/>
        <w:rPr>
          <w:sz w:val="20"/>
          <w:szCs w:val="20"/>
          <w:color w:val="auto"/>
        </w:rPr>
      </w:pPr>
    </w:p>
    <w:p>
      <w:pPr>
        <w:spacing w:after="0"/>
        <w:rPr>
          <w:sz w:val="20"/>
          <w:szCs w:val="20"/>
          <w:color w:val="auto"/>
        </w:rPr>
      </w:pPr>
      <w:r>
        <w:rPr>
          <w:rFonts w:ascii="Arial" w:cs="Arial" w:eastAsia="Arial" w:hAnsi="Arial"/>
          <w:sz w:val="15"/>
          <w:szCs w:val="15"/>
          <w:color w:val="auto"/>
        </w:rPr>
        <w:t>Proceeds from exercise of stock options under stock incentive plan</w:t>
      </w:r>
    </w:p>
    <w:p>
      <w:pPr>
        <w:spacing w:after="0" w:line="84" w:lineRule="exact"/>
        <w:rPr>
          <w:sz w:val="20"/>
          <w:szCs w:val="20"/>
          <w:color w:val="auto"/>
        </w:rPr>
      </w:pPr>
    </w:p>
    <w:p>
      <w:pPr>
        <w:spacing w:after="0"/>
        <w:rPr>
          <w:sz w:val="20"/>
          <w:szCs w:val="20"/>
          <w:color w:val="auto"/>
        </w:rPr>
      </w:pPr>
      <w:r>
        <w:rPr>
          <w:rFonts w:ascii="Arial" w:cs="Arial" w:eastAsia="Arial" w:hAnsi="Arial"/>
          <w:sz w:val="15"/>
          <w:szCs w:val="15"/>
          <w:color w:val="auto"/>
        </w:rPr>
        <w:t>Proceeds from line of credit</w:t>
      </w:r>
    </w:p>
    <w:p>
      <w:pPr>
        <w:spacing w:after="0" w:line="84" w:lineRule="exact"/>
        <w:rPr>
          <w:sz w:val="20"/>
          <w:szCs w:val="20"/>
          <w:color w:val="auto"/>
        </w:rPr>
      </w:pPr>
    </w:p>
    <w:p>
      <w:pPr>
        <w:spacing w:after="0"/>
        <w:rPr>
          <w:sz w:val="20"/>
          <w:szCs w:val="20"/>
          <w:color w:val="auto"/>
        </w:rPr>
      </w:pPr>
      <w:r>
        <w:rPr>
          <w:rFonts w:ascii="Arial" w:cs="Arial" w:eastAsia="Arial" w:hAnsi="Arial"/>
          <w:sz w:val="15"/>
          <w:szCs w:val="15"/>
          <w:color w:val="auto"/>
        </w:rPr>
        <w:t>Principal repayments on line of credit</w:t>
      </w:r>
    </w:p>
    <w:p>
      <w:pPr>
        <w:spacing w:after="0" w:line="84" w:lineRule="exact"/>
        <w:rPr>
          <w:sz w:val="20"/>
          <w:szCs w:val="20"/>
          <w:color w:val="auto"/>
        </w:rPr>
      </w:pPr>
    </w:p>
    <w:p>
      <w:pPr>
        <w:spacing w:after="0"/>
        <w:rPr>
          <w:sz w:val="20"/>
          <w:szCs w:val="20"/>
          <w:color w:val="auto"/>
        </w:rPr>
      </w:pPr>
      <w:r>
        <w:rPr>
          <w:rFonts w:ascii="Arial" w:cs="Arial" w:eastAsia="Arial" w:hAnsi="Arial"/>
          <w:sz w:val="15"/>
          <w:szCs w:val="15"/>
          <w:color w:val="auto"/>
        </w:rPr>
        <w:t>Proceeds from long-term debt</w:t>
      </w:r>
    </w:p>
    <w:p>
      <w:pPr>
        <w:spacing w:after="0" w:line="84" w:lineRule="exact"/>
        <w:rPr>
          <w:sz w:val="20"/>
          <w:szCs w:val="20"/>
          <w:color w:val="auto"/>
        </w:rPr>
      </w:pPr>
    </w:p>
    <w:p>
      <w:pPr>
        <w:spacing w:after="0"/>
        <w:rPr>
          <w:sz w:val="20"/>
          <w:szCs w:val="20"/>
          <w:color w:val="auto"/>
        </w:rPr>
      </w:pPr>
      <w:r>
        <w:rPr>
          <w:rFonts w:ascii="Arial" w:cs="Arial" w:eastAsia="Arial" w:hAnsi="Arial"/>
          <w:sz w:val="15"/>
          <w:szCs w:val="15"/>
          <w:color w:val="auto"/>
        </w:rPr>
        <w:t>Principal repayments on long-term debt</w:t>
      </w:r>
    </w:p>
    <w:p>
      <w:pPr>
        <w:spacing w:after="0" w:line="84" w:lineRule="exact"/>
        <w:rPr>
          <w:sz w:val="20"/>
          <w:szCs w:val="20"/>
          <w:color w:val="auto"/>
        </w:rPr>
      </w:pPr>
    </w:p>
    <w:p>
      <w:pPr>
        <w:spacing w:after="0"/>
        <w:rPr>
          <w:sz w:val="20"/>
          <w:szCs w:val="20"/>
          <w:color w:val="auto"/>
        </w:rPr>
      </w:pPr>
      <w:r>
        <w:rPr>
          <w:rFonts w:ascii="Arial" w:cs="Arial" w:eastAsia="Arial" w:hAnsi="Arial"/>
          <w:sz w:val="15"/>
          <w:szCs w:val="15"/>
          <w:color w:val="auto"/>
        </w:rPr>
        <w:t>Deferred financing costs paid</w:t>
      </w:r>
    </w:p>
    <w:p>
      <w:pPr>
        <w:spacing w:after="0" w:line="84" w:lineRule="exact"/>
        <w:rPr>
          <w:sz w:val="20"/>
          <w:szCs w:val="20"/>
          <w:color w:val="auto"/>
        </w:rPr>
      </w:pPr>
    </w:p>
    <w:p>
      <w:pPr>
        <w:spacing w:after="0"/>
        <w:rPr>
          <w:sz w:val="20"/>
          <w:szCs w:val="20"/>
          <w:color w:val="auto"/>
        </w:rPr>
      </w:pPr>
      <w:r>
        <w:rPr>
          <w:rFonts w:ascii="Arial" w:cs="Arial" w:eastAsia="Arial" w:hAnsi="Arial"/>
          <w:sz w:val="15"/>
          <w:szCs w:val="15"/>
          <w:color w:val="auto"/>
        </w:rPr>
        <w:t>Debt extinguishment costs</w:t>
      </w:r>
    </w:p>
    <w:p>
      <w:pPr>
        <w:spacing w:after="0" w:line="84" w:lineRule="exact"/>
        <w:rPr>
          <w:sz w:val="20"/>
          <w:szCs w:val="20"/>
          <w:color w:val="auto"/>
        </w:rPr>
      </w:pPr>
    </w:p>
    <w:p>
      <w:pPr>
        <w:spacing w:after="0"/>
        <w:rPr>
          <w:sz w:val="20"/>
          <w:szCs w:val="20"/>
          <w:color w:val="auto"/>
        </w:rPr>
      </w:pPr>
      <w:r>
        <w:rPr>
          <w:rFonts w:ascii="Arial" w:cs="Arial" w:eastAsia="Arial" w:hAnsi="Arial"/>
          <w:sz w:val="15"/>
          <w:szCs w:val="15"/>
          <w:color w:val="auto"/>
        </w:rPr>
        <w:t>Principal payments on financing lease obligations</w:t>
      </w:r>
    </w:p>
    <w:p>
      <w:pPr>
        <w:spacing w:after="0" w:line="98" w:lineRule="exact"/>
        <w:rPr>
          <w:sz w:val="20"/>
          <w:szCs w:val="20"/>
          <w:color w:val="auto"/>
        </w:rPr>
      </w:pPr>
    </w:p>
    <w:p>
      <w:pPr>
        <w:ind w:left="980"/>
        <w:spacing w:after="0"/>
        <w:rPr>
          <w:sz w:val="20"/>
          <w:szCs w:val="20"/>
          <w:color w:val="auto"/>
        </w:rPr>
      </w:pPr>
      <w:r>
        <w:rPr>
          <w:rFonts w:ascii="Arial" w:cs="Arial" w:eastAsia="Arial" w:hAnsi="Arial"/>
          <w:sz w:val="15"/>
          <w:szCs w:val="15"/>
          <w:color w:val="auto"/>
        </w:rPr>
        <w:t>Net cash (used in) provided by financing activities</w:t>
      </w:r>
    </w:p>
    <w:p>
      <w:pPr>
        <w:spacing w:after="0" w:line="98" w:lineRule="exact"/>
        <w:rPr>
          <w:sz w:val="20"/>
          <w:szCs w:val="20"/>
          <w:color w:val="auto"/>
        </w:rPr>
      </w:pPr>
    </w:p>
    <w:p>
      <w:pPr>
        <w:spacing w:after="0"/>
        <w:rPr>
          <w:sz w:val="20"/>
          <w:szCs w:val="20"/>
          <w:color w:val="auto"/>
        </w:rPr>
      </w:pPr>
      <w:r>
        <w:rPr>
          <w:rFonts w:ascii="Arial" w:cs="Arial" w:eastAsia="Arial" w:hAnsi="Arial"/>
          <w:sz w:val="15"/>
          <w:szCs w:val="15"/>
          <w:color w:val="auto"/>
        </w:rPr>
        <w:t>Net increase in cash and cash equivalents and restricted cash</w:t>
      </w:r>
    </w:p>
    <w:p>
      <w:pPr>
        <w:spacing w:after="0" w:line="84" w:lineRule="exact"/>
        <w:rPr>
          <w:sz w:val="20"/>
          <w:szCs w:val="20"/>
          <w:color w:val="auto"/>
        </w:rPr>
      </w:pPr>
    </w:p>
    <w:p>
      <w:pPr>
        <w:spacing w:after="0"/>
        <w:rPr>
          <w:sz w:val="20"/>
          <w:szCs w:val="20"/>
          <w:color w:val="auto"/>
        </w:rPr>
      </w:pPr>
      <w:r>
        <w:rPr>
          <w:rFonts w:ascii="Arial" w:cs="Arial" w:eastAsia="Arial" w:hAnsi="Arial"/>
          <w:sz w:val="15"/>
          <w:szCs w:val="15"/>
          <w:color w:val="auto"/>
        </w:rPr>
        <w:t>Cash and cash equivalents and restricted cash at beginning of period</w:t>
      </w:r>
    </w:p>
    <w:p>
      <w:pPr>
        <w:spacing w:after="0" w:line="125" w:lineRule="exact"/>
        <w:rPr>
          <w:sz w:val="20"/>
          <w:szCs w:val="20"/>
          <w:color w:val="auto"/>
        </w:rPr>
      </w:pPr>
    </w:p>
    <w:p>
      <w:pPr>
        <w:spacing w:after="0"/>
        <w:rPr>
          <w:sz w:val="20"/>
          <w:szCs w:val="20"/>
          <w:color w:val="auto"/>
        </w:rPr>
      </w:pPr>
      <w:r>
        <w:rPr>
          <w:rFonts w:ascii="Arial" w:cs="Arial" w:eastAsia="Arial" w:hAnsi="Arial"/>
          <w:sz w:val="15"/>
          <w:szCs w:val="15"/>
          <w:color w:val="auto"/>
        </w:rPr>
        <w:t>Cash and cash equivalents and restricted cash at end of period</w:t>
      </w:r>
    </w:p>
    <w:p>
      <w:pPr>
        <w:spacing w:after="0" w:line="53" w:lineRule="exact"/>
        <w:rPr>
          <w:sz w:val="20"/>
          <w:szCs w:val="20"/>
          <w:color w:val="auto"/>
        </w:rPr>
      </w:pPr>
    </w:p>
    <w:p>
      <w:pPr>
        <w:ind w:left="160" w:right="240" w:hanging="161"/>
        <w:spacing w:after="0" w:line="285" w:lineRule="auto"/>
        <w:rPr>
          <w:sz w:val="20"/>
          <w:szCs w:val="20"/>
          <w:color w:val="auto"/>
        </w:rPr>
      </w:pPr>
      <w:r>
        <w:rPr>
          <w:rFonts w:ascii="Arial" w:cs="Arial" w:eastAsia="Arial" w:hAnsi="Arial"/>
          <w:sz w:val="15"/>
          <w:szCs w:val="15"/>
          <w:b w:val="1"/>
          <w:bCs w:val="1"/>
          <w:color w:val="auto"/>
        </w:rPr>
        <w:t>RECONCILIATION OF CASH AND CASH EQUIVALENTS AND RESTRICTED CASH TO THE CONDENSED CONSOLIDATED BALANCE SHEETS</w:t>
      </w:r>
    </w:p>
    <w:p>
      <w:pPr>
        <w:spacing w:after="0" w:line="13" w:lineRule="exact"/>
        <w:rPr>
          <w:sz w:val="20"/>
          <w:szCs w:val="20"/>
          <w:color w:val="auto"/>
        </w:rPr>
      </w:pPr>
    </w:p>
    <w:p>
      <w:pPr>
        <w:spacing w:after="0"/>
        <w:rPr>
          <w:sz w:val="20"/>
          <w:szCs w:val="20"/>
          <w:color w:val="auto"/>
        </w:rPr>
      </w:pPr>
      <w:r>
        <w:rPr>
          <w:rFonts w:ascii="Arial" w:cs="Arial" w:eastAsia="Arial" w:hAnsi="Arial"/>
          <w:sz w:val="15"/>
          <w:szCs w:val="15"/>
          <w:color w:val="auto"/>
        </w:rPr>
        <w:t>Cash and cash equivalents</w:t>
      </w:r>
    </w:p>
    <w:p>
      <w:pPr>
        <w:spacing w:after="0" w:line="57" w:lineRule="exact"/>
        <w:rPr>
          <w:sz w:val="20"/>
          <w:szCs w:val="20"/>
          <w:color w:val="auto"/>
        </w:rPr>
      </w:pPr>
    </w:p>
    <w:p>
      <w:pPr>
        <w:spacing w:after="0"/>
        <w:rPr>
          <w:sz w:val="20"/>
          <w:szCs w:val="20"/>
          <w:color w:val="auto"/>
        </w:rPr>
      </w:pPr>
      <w:r>
        <w:rPr>
          <w:rFonts w:ascii="Arial" w:cs="Arial" w:eastAsia="Arial" w:hAnsi="Arial"/>
          <w:sz w:val="15"/>
          <w:szCs w:val="15"/>
          <w:color w:val="auto"/>
        </w:rPr>
        <w:t>Restricted cash, current</w:t>
      </w:r>
    </w:p>
    <w:p>
      <w:pPr>
        <w:spacing w:after="0" w:line="71" w:lineRule="exact"/>
        <w:rPr>
          <w:sz w:val="20"/>
          <w:szCs w:val="20"/>
          <w:color w:val="auto"/>
        </w:rPr>
      </w:pPr>
    </w:p>
    <w:p>
      <w:pPr>
        <w:spacing w:after="0"/>
        <w:rPr>
          <w:sz w:val="20"/>
          <w:szCs w:val="20"/>
          <w:color w:val="auto"/>
        </w:rPr>
      </w:pPr>
      <w:r>
        <w:rPr>
          <w:rFonts w:ascii="Arial" w:cs="Arial" w:eastAsia="Arial" w:hAnsi="Arial"/>
          <w:sz w:val="15"/>
          <w:szCs w:val="15"/>
          <w:color w:val="auto"/>
        </w:rPr>
        <w:t>Restricted cash, noncurrent</w:t>
      </w:r>
    </w:p>
    <w:p>
      <w:pPr>
        <w:spacing w:after="0" w:line="138" w:lineRule="exact"/>
        <w:rPr>
          <w:sz w:val="20"/>
          <w:szCs w:val="20"/>
          <w:color w:val="auto"/>
        </w:rPr>
      </w:pPr>
    </w:p>
    <w:p>
      <w:pPr>
        <w:spacing w:after="0"/>
        <w:rPr>
          <w:sz w:val="20"/>
          <w:szCs w:val="20"/>
          <w:color w:val="auto"/>
        </w:rPr>
      </w:pPr>
      <w:r>
        <w:rPr>
          <w:rFonts w:ascii="Arial" w:cs="Arial" w:eastAsia="Arial" w:hAnsi="Arial"/>
          <w:sz w:val="15"/>
          <w:szCs w:val="15"/>
          <w:color w:val="auto"/>
        </w:rPr>
        <w:t>Total cash and cash equivalents and restricted cash</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Arial" w:cs="Arial" w:eastAsia="Arial" w:hAnsi="Arial"/>
          <w:sz w:val="15"/>
          <w:szCs w:val="15"/>
          <w:b w:val="1"/>
          <w:bCs w:val="1"/>
          <w:color w:val="auto"/>
        </w:rPr>
        <w:t>Nine Months Ended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October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20955</wp:posOffset>
            </wp:positionV>
            <wp:extent cx="238315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383155" cy="8890"/>
                    </a:xfrm>
                    <a:prstGeom prst="rect">
                      <a:avLst/>
                    </a:prstGeom>
                    <a:noFill/>
                  </pic:spPr>
                </pic:pic>
              </a:graphicData>
            </a:graphic>
          </wp:anchor>
        </w:drawing>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420" w:type="dxa"/>
            <w:vAlign w:val="bottom"/>
          </w:tcPr>
          <w:p>
            <w:pPr>
              <w:spacing w:after="0"/>
              <w:rPr>
                <w:sz w:val="17"/>
                <w:szCs w:val="17"/>
                <w:color w:val="auto"/>
              </w:rPr>
            </w:pPr>
          </w:p>
        </w:tc>
        <w:tc>
          <w:tcPr>
            <w:tcW w:w="1460" w:type="dxa"/>
            <w:vAlign w:val="bottom"/>
          </w:tcPr>
          <w:p>
            <w:pPr>
              <w:jc w:val="right"/>
              <w:ind w:right="704"/>
              <w:spacing w:after="0"/>
              <w:rPr>
                <w:sz w:val="20"/>
                <w:szCs w:val="20"/>
                <w:color w:val="auto"/>
              </w:rPr>
            </w:pPr>
            <w:r>
              <w:rPr>
                <w:rFonts w:ascii="Arial" w:cs="Arial" w:eastAsia="Arial" w:hAnsi="Arial"/>
                <w:sz w:val="15"/>
                <w:szCs w:val="15"/>
                <w:b w:val="1"/>
                <w:bCs w:val="1"/>
                <w:color w:val="auto"/>
              </w:rPr>
              <w:t>2021</w:t>
            </w:r>
          </w:p>
        </w:tc>
        <w:tc>
          <w:tcPr>
            <w:tcW w:w="420" w:type="dxa"/>
            <w:vAlign w:val="bottom"/>
          </w:tcPr>
          <w:p>
            <w:pPr>
              <w:spacing w:after="0"/>
              <w:rPr>
                <w:sz w:val="17"/>
                <w:szCs w:val="17"/>
                <w:color w:val="auto"/>
              </w:rPr>
            </w:pPr>
          </w:p>
        </w:tc>
        <w:tc>
          <w:tcPr>
            <w:tcW w:w="1440" w:type="dxa"/>
            <w:vAlign w:val="bottom"/>
          </w:tcPr>
          <w:p>
            <w:pPr>
              <w:jc w:val="right"/>
              <w:ind w:right="684"/>
              <w:spacing w:after="0"/>
              <w:rPr>
                <w:sz w:val="20"/>
                <w:szCs w:val="20"/>
                <w:color w:val="auto"/>
              </w:rPr>
            </w:pPr>
            <w:r>
              <w:rPr>
                <w:rFonts w:ascii="Arial" w:cs="Arial" w:eastAsia="Arial" w:hAnsi="Arial"/>
                <w:sz w:val="15"/>
                <w:szCs w:val="15"/>
                <w:b w:val="1"/>
                <w:bCs w:val="1"/>
                <w:color w:val="auto"/>
              </w:rPr>
              <w:t>2020</w:t>
            </w:r>
          </w:p>
        </w:tc>
      </w:tr>
      <w:tr>
        <w:trPr>
          <w:trHeight w:val="22"/>
        </w:trPr>
        <w:tc>
          <w:tcPr>
            <w:tcW w:w="4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r>
        <w:trPr>
          <w:trHeight w:val="418"/>
        </w:trPr>
        <w:tc>
          <w:tcPr>
            <w:tcW w:w="420" w:type="dxa"/>
            <w:vAlign w:val="bottom"/>
          </w:tcPr>
          <w:p>
            <w:pPr>
              <w:jc w:val="right"/>
              <w:ind w:right="244"/>
              <w:spacing w:after="0"/>
              <w:rPr>
                <w:sz w:val="20"/>
                <w:szCs w:val="20"/>
                <w:color w:val="auto"/>
              </w:rPr>
            </w:pPr>
            <w:r>
              <w:rPr>
                <w:rFonts w:ascii="Arial" w:cs="Arial" w:eastAsia="Arial" w:hAnsi="Arial"/>
                <w:sz w:val="15"/>
                <w:szCs w:val="15"/>
                <w:color w:val="auto"/>
                <w:w w:val="95"/>
              </w:rPr>
              <w:t>$</w:t>
            </w:r>
          </w:p>
        </w:tc>
        <w:tc>
          <w:tcPr>
            <w:tcW w:w="1460" w:type="dxa"/>
            <w:vAlign w:val="bottom"/>
          </w:tcPr>
          <w:p>
            <w:pPr>
              <w:jc w:val="right"/>
              <w:spacing w:after="0"/>
              <w:rPr>
                <w:sz w:val="20"/>
                <w:szCs w:val="20"/>
                <w:color w:val="auto"/>
              </w:rPr>
            </w:pPr>
            <w:r>
              <w:rPr>
                <w:rFonts w:ascii="Arial" w:cs="Arial" w:eastAsia="Arial" w:hAnsi="Arial"/>
                <w:sz w:val="15"/>
                <w:szCs w:val="15"/>
                <w:color w:val="auto"/>
              </w:rPr>
              <w:t>(172.5)</w:t>
            </w:r>
          </w:p>
        </w:tc>
        <w:tc>
          <w:tcPr>
            <w:tcW w:w="420" w:type="dxa"/>
            <w:vAlign w:val="bottom"/>
          </w:tcPr>
          <w:p>
            <w:pPr>
              <w:jc w:val="right"/>
              <w:ind w:right="244"/>
              <w:spacing w:after="0"/>
              <w:rPr>
                <w:sz w:val="20"/>
                <w:szCs w:val="20"/>
                <w:color w:val="auto"/>
              </w:rPr>
            </w:pPr>
            <w:r>
              <w:rPr>
                <w:rFonts w:ascii="Arial" w:cs="Arial" w:eastAsia="Arial" w:hAnsi="Arial"/>
                <w:sz w:val="15"/>
                <w:szCs w:val="15"/>
                <w:color w:val="auto"/>
                <w:w w:val="95"/>
              </w:rPr>
              <w:t>$</w:t>
            </w:r>
          </w:p>
        </w:tc>
        <w:tc>
          <w:tcPr>
            <w:tcW w:w="1440" w:type="dxa"/>
            <w:vAlign w:val="bottom"/>
          </w:tcPr>
          <w:p>
            <w:pPr>
              <w:jc w:val="right"/>
              <w:spacing w:after="0"/>
              <w:rPr>
                <w:sz w:val="20"/>
                <w:szCs w:val="20"/>
                <w:color w:val="auto"/>
              </w:rPr>
            </w:pPr>
            <w:r>
              <w:rPr>
                <w:rFonts w:ascii="Arial" w:cs="Arial" w:eastAsia="Arial" w:hAnsi="Arial"/>
                <w:sz w:val="15"/>
                <w:szCs w:val="15"/>
                <w:color w:val="auto"/>
              </w:rPr>
              <w:t>(132.3)</w:t>
            </w:r>
          </w:p>
        </w:tc>
      </w:tr>
      <w:tr>
        <w:trPr>
          <w:trHeight w:val="459"/>
        </w:trPr>
        <w:tc>
          <w:tcPr>
            <w:tcW w:w="420" w:type="dxa"/>
            <w:vAlign w:val="bottom"/>
          </w:tcPr>
          <w:p>
            <w:pPr>
              <w:spacing w:after="0"/>
              <w:rPr>
                <w:sz w:val="24"/>
                <w:szCs w:val="24"/>
                <w:color w:val="auto"/>
              </w:rPr>
            </w:pPr>
          </w:p>
        </w:tc>
        <w:tc>
          <w:tcPr>
            <w:tcW w:w="1460" w:type="dxa"/>
            <w:vAlign w:val="bottom"/>
          </w:tcPr>
          <w:p>
            <w:pPr>
              <w:jc w:val="right"/>
              <w:ind w:right="4"/>
              <w:spacing w:after="0"/>
              <w:rPr>
                <w:sz w:val="20"/>
                <w:szCs w:val="20"/>
                <w:color w:val="auto"/>
              </w:rPr>
            </w:pPr>
            <w:r>
              <w:rPr>
                <w:rFonts w:ascii="Arial" w:cs="Arial" w:eastAsia="Arial" w:hAnsi="Arial"/>
                <w:sz w:val="15"/>
                <w:szCs w:val="15"/>
                <w:color w:val="auto"/>
              </w:rPr>
              <w:t>33.9</w:t>
            </w:r>
          </w:p>
        </w:tc>
        <w:tc>
          <w:tcPr>
            <w:tcW w:w="42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Arial" w:cs="Arial" w:eastAsia="Arial" w:hAnsi="Arial"/>
                <w:sz w:val="15"/>
                <w:szCs w:val="15"/>
                <w:color w:val="auto"/>
              </w:rPr>
              <w:t>43.0</w:t>
            </w:r>
          </w:p>
        </w:tc>
      </w:tr>
      <w:tr>
        <w:trPr>
          <w:trHeight w:val="229"/>
        </w:trPr>
        <w:tc>
          <w:tcPr>
            <w:tcW w:w="420" w:type="dxa"/>
            <w:vAlign w:val="bottom"/>
          </w:tcPr>
          <w:p>
            <w:pPr>
              <w:spacing w:after="0"/>
              <w:rPr>
                <w:sz w:val="19"/>
                <w:szCs w:val="19"/>
                <w:color w:val="auto"/>
              </w:rPr>
            </w:pPr>
          </w:p>
        </w:tc>
        <w:tc>
          <w:tcPr>
            <w:tcW w:w="1460" w:type="dxa"/>
            <w:vAlign w:val="bottom"/>
          </w:tcPr>
          <w:p>
            <w:pPr>
              <w:jc w:val="right"/>
              <w:ind w:right="4"/>
              <w:spacing w:after="0"/>
              <w:rPr>
                <w:sz w:val="20"/>
                <w:szCs w:val="20"/>
                <w:color w:val="auto"/>
              </w:rPr>
            </w:pPr>
            <w:r>
              <w:rPr>
                <w:rFonts w:ascii="Arial" w:cs="Arial" w:eastAsia="Arial" w:hAnsi="Arial"/>
                <w:sz w:val="15"/>
                <w:szCs w:val="15"/>
                <w:color w:val="auto"/>
              </w:rPr>
              <w:t>3.7</w:t>
            </w:r>
          </w:p>
        </w:tc>
        <w:tc>
          <w:tcPr>
            <w:tcW w:w="4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5"/>
                <w:szCs w:val="15"/>
                <w:color w:val="auto"/>
              </w:rPr>
              <w:t>11.8</w:t>
            </w:r>
          </w:p>
        </w:tc>
      </w:tr>
      <w:tr>
        <w:trPr>
          <w:trHeight w:val="229"/>
        </w:trPr>
        <w:tc>
          <w:tcPr>
            <w:tcW w:w="420" w:type="dxa"/>
            <w:vAlign w:val="bottom"/>
          </w:tcPr>
          <w:p>
            <w:pPr>
              <w:spacing w:after="0"/>
              <w:rPr>
                <w:sz w:val="19"/>
                <w:szCs w:val="19"/>
                <w:color w:val="auto"/>
              </w:rPr>
            </w:pPr>
          </w:p>
        </w:tc>
        <w:tc>
          <w:tcPr>
            <w:tcW w:w="1460" w:type="dxa"/>
            <w:vAlign w:val="bottom"/>
          </w:tcPr>
          <w:p>
            <w:pPr>
              <w:jc w:val="right"/>
              <w:ind w:right="4"/>
              <w:spacing w:after="0"/>
              <w:rPr>
                <w:sz w:val="20"/>
                <w:szCs w:val="20"/>
                <w:color w:val="auto"/>
              </w:rPr>
            </w:pPr>
            <w:r>
              <w:rPr>
                <w:rFonts w:ascii="Arial" w:cs="Arial" w:eastAsia="Arial" w:hAnsi="Arial"/>
                <w:sz w:val="15"/>
                <w:szCs w:val="15"/>
                <w:color w:val="auto"/>
              </w:rPr>
              <w:t>14.6</w:t>
            </w:r>
          </w:p>
        </w:tc>
        <w:tc>
          <w:tcPr>
            <w:tcW w:w="4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5"/>
                <w:szCs w:val="15"/>
                <w:color w:val="auto"/>
              </w:rPr>
              <w:t>18.0</w:t>
            </w:r>
          </w:p>
        </w:tc>
      </w:tr>
      <w:tr>
        <w:trPr>
          <w:trHeight w:val="230"/>
        </w:trPr>
        <w:tc>
          <w:tcPr>
            <w:tcW w:w="4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5"/>
                <w:szCs w:val="15"/>
                <w:color w:val="auto"/>
              </w:rPr>
              <w:t>(9.0)</w:t>
            </w:r>
          </w:p>
        </w:tc>
        <w:tc>
          <w:tcPr>
            <w:tcW w:w="4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5"/>
                <w:szCs w:val="15"/>
                <w:color w:val="auto"/>
              </w:rPr>
              <w:t>(14.4)</w:t>
            </w:r>
          </w:p>
        </w:tc>
      </w:tr>
      <w:tr>
        <w:trPr>
          <w:trHeight w:val="229"/>
        </w:trPr>
        <w:tc>
          <w:tcPr>
            <w:tcW w:w="4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5"/>
                <w:szCs w:val="15"/>
                <w:color w:val="auto"/>
              </w:rPr>
              <w:t>(0.8)</w:t>
            </w:r>
          </w:p>
        </w:tc>
        <w:tc>
          <w:tcPr>
            <w:tcW w:w="4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5"/>
                <w:szCs w:val="15"/>
                <w:color w:val="auto"/>
              </w:rPr>
              <w:t>0.6</w:t>
            </w:r>
          </w:p>
        </w:tc>
      </w:tr>
      <w:tr>
        <w:trPr>
          <w:trHeight w:val="229"/>
        </w:trPr>
        <w:tc>
          <w:tcPr>
            <w:tcW w:w="420" w:type="dxa"/>
            <w:vAlign w:val="bottom"/>
          </w:tcPr>
          <w:p>
            <w:pPr>
              <w:spacing w:after="0"/>
              <w:rPr>
                <w:sz w:val="19"/>
                <w:szCs w:val="19"/>
                <w:color w:val="auto"/>
              </w:rPr>
            </w:pPr>
          </w:p>
        </w:tc>
        <w:tc>
          <w:tcPr>
            <w:tcW w:w="1460" w:type="dxa"/>
            <w:vAlign w:val="bottom"/>
          </w:tcPr>
          <w:p>
            <w:pPr>
              <w:jc w:val="right"/>
              <w:ind w:right="4"/>
              <w:spacing w:after="0"/>
              <w:rPr>
                <w:sz w:val="20"/>
                <w:szCs w:val="20"/>
                <w:color w:val="auto"/>
              </w:rPr>
            </w:pPr>
            <w:r>
              <w:rPr>
                <w:rFonts w:ascii="Arial" w:cs="Arial" w:eastAsia="Arial" w:hAnsi="Arial"/>
                <w:sz w:val="15"/>
                <w:szCs w:val="15"/>
                <w:color w:val="auto"/>
              </w:rPr>
              <w:t>35.4</w:t>
            </w:r>
          </w:p>
        </w:tc>
        <w:tc>
          <w:tcPr>
            <w:tcW w:w="4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5"/>
                <w:szCs w:val="15"/>
                <w:color w:val="auto"/>
              </w:rPr>
              <w:t>25.7</w:t>
            </w:r>
          </w:p>
        </w:tc>
      </w:tr>
      <w:tr>
        <w:trPr>
          <w:trHeight w:val="230"/>
        </w:trPr>
        <w:tc>
          <w:tcPr>
            <w:tcW w:w="4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5"/>
                <w:szCs w:val="15"/>
                <w:color w:val="auto"/>
              </w:rPr>
              <w:t>(6.3)</w:t>
            </w:r>
          </w:p>
        </w:tc>
        <w:tc>
          <w:tcPr>
            <w:tcW w:w="4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29"/>
        </w:trPr>
        <w:tc>
          <w:tcPr>
            <w:tcW w:w="420" w:type="dxa"/>
            <w:vAlign w:val="bottom"/>
          </w:tcPr>
          <w:p>
            <w:pPr>
              <w:spacing w:after="0"/>
              <w:rPr>
                <w:sz w:val="19"/>
                <w:szCs w:val="19"/>
                <w:color w:val="auto"/>
              </w:rPr>
            </w:pPr>
          </w:p>
        </w:tc>
        <w:tc>
          <w:tcPr>
            <w:tcW w:w="1460" w:type="dxa"/>
            <w:vAlign w:val="bottom"/>
          </w:tcPr>
          <w:p>
            <w:pPr>
              <w:jc w:val="right"/>
              <w:ind w:right="4"/>
              <w:spacing w:after="0"/>
              <w:rPr>
                <w:sz w:val="20"/>
                <w:szCs w:val="20"/>
                <w:color w:val="auto"/>
              </w:rPr>
            </w:pPr>
            <w:r>
              <w:rPr>
                <w:rFonts w:ascii="Arial" w:cs="Arial" w:eastAsia="Arial" w:hAnsi="Arial"/>
                <w:sz w:val="15"/>
                <w:szCs w:val="15"/>
                <w:color w:val="auto"/>
              </w:rPr>
              <w:t>4.9</w:t>
            </w:r>
          </w:p>
        </w:tc>
        <w:tc>
          <w:tcPr>
            <w:tcW w:w="4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5"/>
                <w:szCs w:val="15"/>
                <w:color w:val="auto"/>
              </w:rPr>
              <w:t>3.0</w:t>
            </w:r>
          </w:p>
        </w:tc>
      </w:tr>
      <w:tr>
        <w:trPr>
          <w:trHeight w:val="230"/>
        </w:trPr>
        <w:tc>
          <w:tcPr>
            <w:tcW w:w="420" w:type="dxa"/>
            <w:vAlign w:val="bottom"/>
          </w:tcPr>
          <w:p>
            <w:pPr>
              <w:spacing w:after="0"/>
              <w:rPr>
                <w:sz w:val="19"/>
                <w:szCs w:val="19"/>
                <w:color w:val="auto"/>
              </w:rPr>
            </w:pPr>
          </w:p>
        </w:tc>
        <w:tc>
          <w:tcPr>
            <w:tcW w:w="1460" w:type="dxa"/>
            <w:vAlign w:val="bottom"/>
          </w:tcPr>
          <w:p>
            <w:pPr>
              <w:jc w:val="right"/>
              <w:ind w:right="4"/>
              <w:spacing w:after="0"/>
              <w:rPr>
                <w:sz w:val="20"/>
                <w:szCs w:val="20"/>
                <w:color w:val="auto"/>
              </w:rPr>
            </w:pPr>
            <w:r>
              <w:rPr>
                <w:rFonts w:ascii="Arial" w:cs="Arial" w:eastAsia="Arial" w:hAnsi="Arial"/>
                <w:sz w:val="15"/>
                <w:szCs w:val="15"/>
                <w:color w:val="auto"/>
              </w:rPr>
              <w:t>12.2</w:t>
            </w:r>
          </w:p>
        </w:tc>
        <w:tc>
          <w:tcPr>
            <w:tcW w:w="4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5"/>
                <w:szCs w:val="15"/>
                <w:color w:val="auto"/>
              </w:rPr>
              <w:t>0.6</w:t>
            </w:r>
          </w:p>
        </w:tc>
      </w:tr>
      <w:tr>
        <w:trPr>
          <w:trHeight w:val="229"/>
        </w:trPr>
        <w:tc>
          <w:tcPr>
            <w:tcW w:w="420" w:type="dxa"/>
            <w:vAlign w:val="bottom"/>
          </w:tcPr>
          <w:p>
            <w:pPr>
              <w:spacing w:after="0"/>
              <w:rPr>
                <w:sz w:val="19"/>
                <w:szCs w:val="19"/>
                <w:color w:val="auto"/>
              </w:rPr>
            </w:pPr>
          </w:p>
        </w:tc>
        <w:tc>
          <w:tcPr>
            <w:tcW w:w="1460" w:type="dxa"/>
            <w:vAlign w:val="bottom"/>
          </w:tcPr>
          <w:p>
            <w:pPr>
              <w:jc w:val="right"/>
              <w:ind w:right="4"/>
              <w:spacing w:after="0"/>
              <w:rPr>
                <w:sz w:val="20"/>
                <w:szCs w:val="20"/>
                <w:color w:val="auto"/>
              </w:rPr>
            </w:pPr>
            <w:r>
              <w:rPr>
                <w:rFonts w:ascii="Arial" w:cs="Arial" w:eastAsia="Arial" w:hAnsi="Arial"/>
                <w:sz w:val="15"/>
                <w:szCs w:val="15"/>
                <w:color w:val="auto"/>
              </w:rPr>
              <w:t>21.4</w:t>
            </w:r>
          </w:p>
        </w:tc>
        <w:tc>
          <w:tcPr>
            <w:tcW w:w="4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5"/>
                <w:szCs w:val="15"/>
                <w:color w:val="auto"/>
              </w:rPr>
              <w:t>6.3</w:t>
            </w:r>
          </w:p>
        </w:tc>
      </w:tr>
      <w:tr>
        <w:trPr>
          <w:trHeight w:val="229"/>
        </w:trPr>
        <w:tc>
          <w:tcPr>
            <w:tcW w:w="420" w:type="dxa"/>
            <w:vAlign w:val="bottom"/>
          </w:tcPr>
          <w:p>
            <w:pPr>
              <w:spacing w:after="0"/>
              <w:rPr>
                <w:sz w:val="19"/>
                <w:szCs w:val="19"/>
                <w:color w:val="auto"/>
              </w:rPr>
            </w:pPr>
          </w:p>
        </w:tc>
        <w:tc>
          <w:tcPr>
            <w:tcW w:w="1460" w:type="dxa"/>
            <w:vAlign w:val="bottom"/>
          </w:tcPr>
          <w:p>
            <w:pPr>
              <w:jc w:val="right"/>
              <w:ind w:right="4"/>
              <w:spacing w:after="0"/>
              <w:rPr>
                <w:sz w:val="20"/>
                <w:szCs w:val="20"/>
                <w:color w:val="auto"/>
              </w:rPr>
            </w:pPr>
            <w:r>
              <w:rPr>
                <w:rFonts w:ascii="Arial" w:cs="Arial" w:eastAsia="Arial" w:hAnsi="Arial"/>
                <w:sz w:val="15"/>
                <w:szCs w:val="15"/>
                <w:color w:val="auto"/>
              </w:rPr>
              <w:t>24.9</w:t>
            </w:r>
          </w:p>
        </w:tc>
        <w:tc>
          <w:tcPr>
            <w:tcW w:w="4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459"/>
        </w:trPr>
        <w:tc>
          <w:tcPr>
            <w:tcW w:w="42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Arial" w:cs="Arial" w:eastAsia="Arial" w:hAnsi="Arial"/>
                <w:sz w:val="15"/>
                <w:szCs w:val="15"/>
                <w:color w:val="auto"/>
              </w:rPr>
              <w:t>(0.7)</w:t>
            </w:r>
          </w:p>
        </w:tc>
        <w:tc>
          <w:tcPr>
            <w:tcW w:w="42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Arial" w:cs="Arial" w:eastAsia="Arial" w:hAnsi="Arial"/>
                <w:sz w:val="15"/>
                <w:szCs w:val="15"/>
                <w:color w:val="auto"/>
              </w:rPr>
              <w:t>(0.8)</w:t>
            </w:r>
          </w:p>
        </w:tc>
      </w:tr>
      <w:tr>
        <w:trPr>
          <w:trHeight w:val="229"/>
        </w:trPr>
        <w:tc>
          <w:tcPr>
            <w:tcW w:w="420" w:type="dxa"/>
            <w:vAlign w:val="bottom"/>
          </w:tcPr>
          <w:p>
            <w:pPr>
              <w:spacing w:after="0"/>
              <w:rPr>
                <w:sz w:val="19"/>
                <w:szCs w:val="19"/>
                <w:color w:val="auto"/>
              </w:rPr>
            </w:pPr>
          </w:p>
        </w:tc>
        <w:tc>
          <w:tcPr>
            <w:tcW w:w="1460" w:type="dxa"/>
            <w:vAlign w:val="bottom"/>
          </w:tcPr>
          <w:p>
            <w:pPr>
              <w:jc w:val="right"/>
              <w:ind w:right="4"/>
              <w:spacing w:after="0"/>
              <w:rPr>
                <w:sz w:val="20"/>
                <w:szCs w:val="20"/>
                <w:color w:val="auto"/>
              </w:rPr>
            </w:pPr>
            <w:r>
              <w:rPr>
                <w:rFonts w:ascii="Arial" w:cs="Arial" w:eastAsia="Arial" w:hAnsi="Arial"/>
                <w:sz w:val="15"/>
                <w:szCs w:val="15"/>
                <w:color w:val="auto"/>
              </w:rPr>
              <w:t>2.5</w:t>
            </w:r>
          </w:p>
        </w:tc>
        <w:tc>
          <w:tcPr>
            <w:tcW w:w="4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5"/>
                <w:szCs w:val="15"/>
                <w:color w:val="auto"/>
              </w:rPr>
              <w:t>(2.1)</w:t>
            </w:r>
          </w:p>
        </w:tc>
      </w:tr>
      <w:tr>
        <w:trPr>
          <w:trHeight w:val="230"/>
        </w:trPr>
        <w:tc>
          <w:tcPr>
            <w:tcW w:w="4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5"/>
                <w:szCs w:val="15"/>
                <w:color w:val="auto"/>
              </w:rPr>
              <w:t>(2.6)</w:t>
            </w:r>
          </w:p>
        </w:tc>
        <w:tc>
          <w:tcPr>
            <w:tcW w:w="4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5"/>
                <w:szCs w:val="15"/>
                <w:color w:val="auto"/>
              </w:rPr>
              <w:t>1.6</w:t>
            </w:r>
          </w:p>
        </w:tc>
      </w:tr>
      <w:tr>
        <w:trPr>
          <w:trHeight w:val="229"/>
        </w:trPr>
        <w:tc>
          <w:tcPr>
            <w:tcW w:w="420" w:type="dxa"/>
            <w:vAlign w:val="bottom"/>
          </w:tcPr>
          <w:p>
            <w:pPr>
              <w:spacing w:after="0"/>
              <w:rPr>
                <w:sz w:val="19"/>
                <w:szCs w:val="19"/>
                <w:color w:val="auto"/>
              </w:rPr>
            </w:pPr>
          </w:p>
        </w:tc>
        <w:tc>
          <w:tcPr>
            <w:tcW w:w="1460" w:type="dxa"/>
            <w:vAlign w:val="bottom"/>
          </w:tcPr>
          <w:p>
            <w:pPr>
              <w:jc w:val="right"/>
              <w:ind w:right="4"/>
              <w:spacing w:after="0"/>
              <w:rPr>
                <w:sz w:val="20"/>
                <w:szCs w:val="20"/>
                <w:color w:val="auto"/>
              </w:rPr>
            </w:pPr>
            <w:r>
              <w:rPr>
                <w:rFonts w:ascii="Arial" w:cs="Arial" w:eastAsia="Arial" w:hAnsi="Arial"/>
                <w:sz w:val="15"/>
                <w:szCs w:val="15"/>
                <w:color w:val="auto"/>
              </w:rPr>
              <w:t>13.9</w:t>
            </w:r>
          </w:p>
        </w:tc>
        <w:tc>
          <w:tcPr>
            <w:tcW w:w="4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5"/>
                <w:szCs w:val="15"/>
                <w:color w:val="auto"/>
              </w:rPr>
              <w:t>0.3</w:t>
            </w:r>
          </w:p>
        </w:tc>
      </w:tr>
      <w:tr>
        <w:trPr>
          <w:trHeight w:val="230"/>
        </w:trPr>
        <w:tc>
          <w:tcPr>
            <w:tcW w:w="420" w:type="dxa"/>
            <w:vAlign w:val="bottom"/>
          </w:tcPr>
          <w:p>
            <w:pPr>
              <w:spacing w:after="0"/>
              <w:rPr>
                <w:sz w:val="19"/>
                <w:szCs w:val="19"/>
                <w:color w:val="auto"/>
              </w:rPr>
            </w:pPr>
          </w:p>
        </w:tc>
        <w:tc>
          <w:tcPr>
            <w:tcW w:w="1460" w:type="dxa"/>
            <w:vAlign w:val="bottom"/>
          </w:tcPr>
          <w:p>
            <w:pPr>
              <w:jc w:val="right"/>
              <w:ind w:right="4"/>
              <w:spacing w:after="0"/>
              <w:rPr>
                <w:sz w:val="20"/>
                <w:szCs w:val="20"/>
                <w:color w:val="auto"/>
              </w:rPr>
            </w:pPr>
            <w:r>
              <w:rPr>
                <w:rFonts w:ascii="Arial" w:cs="Arial" w:eastAsia="Arial" w:hAnsi="Arial"/>
                <w:sz w:val="15"/>
                <w:szCs w:val="15"/>
                <w:color w:val="auto"/>
              </w:rPr>
              <w:t>5.1</w:t>
            </w:r>
          </w:p>
        </w:tc>
        <w:tc>
          <w:tcPr>
            <w:tcW w:w="4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5"/>
                <w:szCs w:val="15"/>
                <w:color w:val="auto"/>
              </w:rPr>
              <w:t>(6.3)</w:t>
            </w:r>
          </w:p>
        </w:tc>
      </w:tr>
      <w:tr>
        <w:trPr>
          <w:trHeight w:val="229"/>
        </w:trPr>
        <w:tc>
          <w:tcPr>
            <w:tcW w:w="4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5"/>
                <w:szCs w:val="15"/>
                <w:color w:val="auto"/>
              </w:rPr>
              <w:t>(4.9)</w:t>
            </w:r>
          </w:p>
        </w:tc>
        <w:tc>
          <w:tcPr>
            <w:tcW w:w="4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5"/>
                <w:szCs w:val="15"/>
                <w:color w:val="auto"/>
              </w:rPr>
              <w:t>11.5</w:t>
            </w:r>
          </w:p>
        </w:tc>
      </w:tr>
      <w:tr>
        <w:trPr>
          <w:trHeight w:val="230"/>
        </w:trPr>
        <w:tc>
          <w:tcPr>
            <w:tcW w:w="420" w:type="dxa"/>
            <w:vAlign w:val="bottom"/>
          </w:tcPr>
          <w:p>
            <w:pPr>
              <w:spacing w:after="0"/>
              <w:rPr>
                <w:sz w:val="19"/>
                <w:szCs w:val="19"/>
                <w:color w:val="auto"/>
              </w:rPr>
            </w:pPr>
          </w:p>
        </w:tc>
        <w:tc>
          <w:tcPr>
            <w:tcW w:w="1460" w:type="dxa"/>
            <w:vAlign w:val="bottom"/>
          </w:tcPr>
          <w:p>
            <w:pPr>
              <w:jc w:val="right"/>
              <w:ind w:right="4"/>
              <w:spacing w:after="0"/>
              <w:rPr>
                <w:sz w:val="20"/>
                <w:szCs w:val="20"/>
                <w:color w:val="auto"/>
              </w:rPr>
            </w:pPr>
            <w:r>
              <w:rPr>
                <w:rFonts w:ascii="Arial" w:cs="Arial" w:eastAsia="Arial" w:hAnsi="Arial"/>
                <w:sz w:val="15"/>
                <w:szCs w:val="15"/>
                <w:color w:val="auto"/>
              </w:rPr>
              <w:t>0.8</w:t>
            </w:r>
          </w:p>
        </w:tc>
        <w:tc>
          <w:tcPr>
            <w:tcW w:w="4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5"/>
                <w:szCs w:val="15"/>
                <w:color w:val="auto"/>
              </w:rPr>
              <w:t>(0.4)</w:t>
            </w:r>
          </w:p>
        </w:tc>
      </w:tr>
      <w:tr>
        <w:trPr>
          <w:trHeight w:val="22"/>
        </w:trPr>
        <w:tc>
          <w:tcPr>
            <w:tcW w:w="4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r>
        <w:trPr>
          <w:trHeight w:val="215"/>
        </w:trPr>
        <w:tc>
          <w:tcPr>
            <w:tcW w:w="4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5"/>
                <w:szCs w:val="15"/>
                <w:color w:val="auto"/>
              </w:rPr>
              <w:t>(23.5)</w:t>
            </w:r>
          </w:p>
        </w:tc>
        <w:tc>
          <w:tcPr>
            <w:tcW w:w="4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5"/>
                <w:szCs w:val="15"/>
                <w:color w:val="auto"/>
              </w:rPr>
              <w:t>(33.9)</w:t>
            </w:r>
          </w:p>
        </w:tc>
      </w:tr>
      <w:tr>
        <w:trPr>
          <w:trHeight w:val="35"/>
        </w:trPr>
        <w:tc>
          <w:tcPr>
            <w:tcW w:w="42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r>
      <w:tr>
        <w:trPr>
          <w:trHeight w:val="417"/>
        </w:trPr>
        <w:tc>
          <w:tcPr>
            <w:tcW w:w="42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Arial" w:cs="Arial" w:eastAsia="Arial" w:hAnsi="Arial"/>
                <w:sz w:val="15"/>
                <w:szCs w:val="15"/>
                <w:color w:val="auto"/>
              </w:rPr>
              <w:t>(17.0)</w:t>
            </w:r>
          </w:p>
        </w:tc>
        <w:tc>
          <w:tcPr>
            <w:tcW w:w="42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Arial" w:cs="Arial" w:eastAsia="Arial" w:hAnsi="Arial"/>
                <w:sz w:val="15"/>
                <w:szCs w:val="15"/>
                <w:color w:val="auto"/>
              </w:rPr>
              <w:t>(48.7)</w:t>
            </w:r>
          </w:p>
        </w:tc>
      </w:tr>
      <w:tr>
        <w:trPr>
          <w:trHeight w:val="230"/>
        </w:trPr>
        <w:tc>
          <w:tcPr>
            <w:tcW w:w="420" w:type="dxa"/>
            <w:vAlign w:val="bottom"/>
          </w:tcPr>
          <w:p>
            <w:pPr>
              <w:spacing w:after="0"/>
              <w:rPr>
                <w:sz w:val="19"/>
                <w:szCs w:val="19"/>
                <w:color w:val="auto"/>
              </w:rPr>
            </w:pPr>
          </w:p>
        </w:tc>
        <w:tc>
          <w:tcPr>
            <w:tcW w:w="1460" w:type="dxa"/>
            <w:vAlign w:val="bottom"/>
          </w:tcPr>
          <w:p>
            <w:pPr>
              <w:jc w:val="right"/>
              <w:ind w:right="4"/>
              <w:spacing w:after="0"/>
              <w:rPr>
                <w:sz w:val="20"/>
                <w:szCs w:val="20"/>
                <w:color w:val="auto"/>
              </w:rPr>
            </w:pPr>
            <w:r>
              <w:rPr>
                <w:rFonts w:ascii="Arial" w:cs="Arial" w:eastAsia="Arial" w:hAnsi="Arial"/>
                <w:sz w:val="15"/>
                <w:szCs w:val="15"/>
                <w:color w:val="auto"/>
              </w:rPr>
              <w:t>4.8</w:t>
            </w:r>
          </w:p>
        </w:tc>
        <w:tc>
          <w:tcPr>
            <w:tcW w:w="4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5"/>
                <w:szCs w:val="15"/>
                <w:color w:val="auto"/>
              </w:rPr>
              <w:t>0.9</w:t>
            </w:r>
          </w:p>
        </w:tc>
      </w:tr>
      <w:tr>
        <w:trPr>
          <w:trHeight w:val="230"/>
        </w:trPr>
        <w:tc>
          <w:tcPr>
            <w:tcW w:w="420" w:type="dxa"/>
            <w:vAlign w:val="bottom"/>
          </w:tcPr>
          <w:p>
            <w:pPr>
              <w:spacing w:after="0"/>
              <w:rPr>
                <w:sz w:val="19"/>
                <w:szCs w:val="19"/>
                <w:color w:val="auto"/>
              </w:rPr>
            </w:pPr>
          </w:p>
        </w:tc>
        <w:tc>
          <w:tcPr>
            <w:tcW w:w="1460" w:type="dxa"/>
            <w:vAlign w:val="bottom"/>
          </w:tcPr>
          <w:p>
            <w:pPr>
              <w:jc w:val="right"/>
              <w:ind w:right="4"/>
              <w:spacing w:after="0"/>
              <w:rPr>
                <w:sz w:val="20"/>
                <w:szCs w:val="20"/>
                <w:color w:val="auto"/>
              </w:rPr>
            </w:pPr>
            <w:r>
              <w:rPr>
                <w:rFonts w:ascii="Arial" w:cs="Arial" w:eastAsia="Arial" w:hAnsi="Arial"/>
                <w:sz w:val="15"/>
                <w:szCs w:val="15"/>
                <w:color w:val="auto"/>
              </w:rPr>
              <w:t>9.0</w:t>
            </w:r>
          </w:p>
        </w:tc>
        <w:tc>
          <w:tcPr>
            <w:tcW w:w="4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5"/>
                <w:szCs w:val="15"/>
                <w:color w:val="auto"/>
              </w:rPr>
              <w:t>14.4</w:t>
            </w:r>
          </w:p>
        </w:tc>
      </w:tr>
      <w:tr>
        <w:trPr>
          <w:trHeight w:val="229"/>
        </w:trPr>
        <w:tc>
          <w:tcPr>
            <w:tcW w:w="4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5"/>
                <w:szCs w:val="15"/>
                <w:color w:val="auto"/>
              </w:rPr>
              <w:t>(6.2)</w:t>
            </w:r>
          </w:p>
        </w:tc>
        <w:tc>
          <w:tcPr>
            <w:tcW w:w="4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5"/>
                <w:szCs w:val="15"/>
                <w:color w:val="auto"/>
              </w:rPr>
              <w:t>(19.9)</w:t>
            </w:r>
          </w:p>
        </w:tc>
      </w:tr>
      <w:tr>
        <w:trPr>
          <w:trHeight w:val="22"/>
        </w:trPr>
        <w:tc>
          <w:tcPr>
            <w:tcW w:w="4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r>
        <w:trPr>
          <w:trHeight w:val="215"/>
        </w:trPr>
        <w:tc>
          <w:tcPr>
            <w:tcW w:w="4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5"/>
                <w:szCs w:val="15"/>
                <w:color w:val="auto"/>
              </w:rPr>
              <w:t>(9.4)</w:t>
            </w:r>
          </w:p>
        </w:tc>
        <w:tc>
          <w:tcPr>
            <w:tcW w:w="4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5"/>
                <w:szCs w:val="15"/>
                <w:color w:val="auto"/>
              </w:rPr>
              <w:t>(53.3)</w:t>
            </w:r>
          </w:p>
        </w:tc>
      </w:tr>
      <w:tr>
        <w:trPr>
          <w:trHeight w:val="35"/>
        </w:trPr>
        <w:tc>
          <w:tcPr>
            <w:tcW w:w="42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r>
      <w:tr>
        <w:trPr>
          <w:trHeight w:val="458"/>
        </w:trPr>
        <w:tc>
          <w:tcPr>
            <w:tcW w:w="42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Arial" w:cs="Arial" w:eastAsia="Arial" w:hAnsi="Arial"/>
                <w:sz w:val="15"/>
                <w:szCs w:val="15"/>
                <w:color w:val="auto"/>
              </w:rPr>
              <w:t>331.5</w:t>
            </w:r>
          </w:p>
        </w:tc>
        <w:tc>
          <w:tcPr>
            <w:tcW w:w="42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57"/>
        </w:trPr>
        <w:tc>
          <w:tcPr>
            <w:tcW w:w="420" w:type="dxa"/>
            <w:vAlign w:val="bottom"/>
          </w:tcPr>
          <w:p>
            <w:pPr>
              <w:spacing w:after="0"/>
              <w:rPr>
                <w:sz w:val="22"/>
                <w:szCs w:val="22"/>
                <w:color w:val="auto"/>
              </w:rPr>
            </w:pPr>
          </w:p>
        </w:tc>
        <w:tc>
          <w:tcPr>
            <w:tcW w:w="1460" w:type="dxa"/>
            <w:vAlign w:val="bottom"/>
          </w:tcPr>
          <w:p>
            <w:pPr>
              <w:jc w:val="right"/>
              <w:ind w:right="4"/>
              <w:spacing w:after="0"/>
              <w:rPr>
                <w:sz w:val="20"/>
                <w:szCs w:val="20"/>
                <w:color w:val="auto"/>
              </w:rPr>
            </w:pPr>
            <w:r>
              <w:rPr>
                <w:rFonts w:ascii="Arial" w:cs="Arial" w:eastAsia="Arial" w:hAnsi="Arial"/>
                <w:sz w:val="15"/>
                <w:szCs w:val="15"/>
                <w:color w:val="auto"/>
              </w:rPr>
              <w:t>21.2</w:t>
            </w:r>
          </w:p>
        </w:tc>
        <w:tc>
          <w:tcPr>
            <w:tcW w:w="42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Arial" w:cs="Arial" w:eastAsia="Arial" w:hAnsi="Arial"/>
                <w:sz w:val="15"/>
                <w:szCs w:val="15"/>
                <w:color w:val="auto"/>
              </w:rPr>
              <w:t>60.4</w:t>
            </w:r>
          </w:p>
        </w:tc>
      </w:tr>
      <w:tr>
        <w:trPr>
          <w:trHeight w:val="256"/>
        </w:trPr>
        <w:tc>
          <w:tcPr>
            <w:tcW w:w="420" w:type="dxa"/>
            <w:vAlign w:val="bottom"/>
          </w:tcPr>
          <w:p>
            <w:pPr>
              <w:spacing w:after="0"/>
              <w:rPr>
                <w:sz w:val="22"/>
                <w:szCs w:val="22"/>
                <w:color w:val="auto"/>
              </w:rPr>
            </w:pPr>
          </w:p>
        </w:tc>
        <w:tc>
          <w:tcPr>
            <w:tcW w:w="1460" w:type="dxa"/>
            <w:vAlign w:val="bottom"/>
          </w:tcPr>
          <w:p>
            <w:pPr>
              <w:jc w:val="right"/>
              <w:ind w:right="4"/>
              <w:spacing w:after="0"/>
              <w:rPr>
                <w:sz w:val="20"/>
                <w:szCs w:val="20"/>
                <w:color w:val="auto"/>
              </w:rPr>
            </w:pPr>
            <w:r>
              <w:rPr>
                <w:rFonts w:ascii="Arial" w:cs="Arial" w:eastAsia="Arial" w:hAnsi="Arial"/>
                <w:sz w:val="15"/>
                <w:szCs w:val="15"/>
                <w:color w:val="auto"/>
              </w:rPr>
              <w:t>3.1</w:t>
            </w:r>
          </w:p>
        </w:tc>
        <w:tc>
          <w:tcPr>
            <w:tcW w:w="42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Arial" w:cs="Arial" w:eastAsia="Arial" w:hAnsi="Arial"/>
                <w:sz w:val="15"/>
                <w:szCs w:val="15"/>
                <w:color w:val="auto"/>
              </w:rPr>
              <w:t>0.4</w:t>
            </w:r>
          </w:p>
        </w:tc>
      </w:tr>
      <w:tr>
        <w:trPr>
          <w:trHeight w:val="257"/>
        </w:trPr>
        <w:tc>
          <w:tcPr>
            <w:tcW w:w="420" w:type="dxa"/>
            <w:vAlign w:val="bottom"/>
          </w:tcPr>
          <w:p>
            <w:pPr>
              <w:spacing w:after="0"/>
              <w:rPr>
                <w:sz w:val="22"/>
                <w:szCs w:val="22"/>
                <w:color w:val="auto"/>
              </w:rPr>
            </w:pPr>
          </w:p>
        </w:tc>
        <w:tc>
          <w:tcPr>
            <w:tcW w:w="1460" w:type="dxa"/>
            <w:vAlign w:val="bottom"/>
          </w:tcPr>
          <w:p>
            <w:pPr>
              <w:jc w:val="right"/>
              <w:ind w:right="4"/>
              <w:spacing w:after="0"/>
              <w:rPr>
                <w:sz w:val="20"/>
                <w:szCs w:val="20"/>
                <w:color w:val="auto"/>
              </w:rPr>
            </w:pPr>
            <w:r>
              <w:rPr>
                <w:rFonts w:ascii="Arial" w:cs="Arial" w:eastAsia="Arial" w:hAnsi="Arial"/>
                <w:sz w:val="15"/>
                <w:szCs w:val="15"/>
                <w:color w:val="auto"/>
              </w:rPr>
              <w:t>—</w:t>
            </w:r>
          </w:p>
        </w:tc>
        <w:tc>
          <w:tcPr>
            <w:tcW w:w="42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Arial" w:cs="Arial" w:eastAsia="Arial" w:hAnsi="Arial"/>
                <w:sz w:val="15"/>
                <w:szCs w:val="15"/>
                <w:color w:val="auto"/>
              </w:rPr>
              <w:t>15.0</w:t>
            </w:r>
          </w:p>
        </w:tc>
      </w:tr>
      <w:tr>
        <w:trPr>
          <w:trHeight w:val="256"/>
        </w:trPr>
        <w:tc>
          <w:tcPr>
            <w:tcW w:w="420" w:type="dxa"/>
            <w:vAlign w:val="bottom"/>
          </w:tcPr>
          <w:p>
            <w:pPr>
              <w:spacing w:after="0"/>
              <w:rPr>
                <w:sz w:val="22"/>
                <w:szCs w:val="22"/>
                <w:color w:val="auto"/>
              </w:rPr>
            </w:pPr>
          </w:p>
        </w:tc>
        <w:tc>
          <w:tcPr>
            <w:tcW w:w="1460" w:type="dxa"/>
            <w:vAlign w:val="bottom"/>
          </w:tcPr>
          <w:p>
            <w:pPr>
              <w:jc w:val="right"/>
              <w:ind w:right="4"/>
              <w:spacing w:after="0"/>
              <w:rPr>
                <w:sz w:val="20"/>
                <w:szCs w:val="20"/>
                <w:color w:val="auto"/>
              </w:rPr>
            </w:pPr>
            <w:r>
              <w:rPr>
                <w:rFonts w:ascii="Arial" w:cs="Arial" w:eastAsia="Arial" w:hAnsi="Arial"/>
                <w:sz w:val="15"/>
                <w:szCs w:val="15"/>
                <w:color w:val="auto"/>
              </w:rPr>
              <w:t>—</w:t>
            </w:r>
          </w:p>
        </w:tc>
        <w:tc>
          <w:tcPr>
            <w:tcW w:w="42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Arial" w:cs="Arial" w:eastAsia="Arial" w:hAnsi="Arial"/>
                <w:sz w:val="15"/>
                <w:szCs w:val="15"/>
                <w:color w:val="auto"/>
              </w:rPr>
              <w:t>(59.0)</w:t>
            </w:r>
          </w:p>
        </w:tc>
      </w:tr>
      <w:tr>
        <w:trPr>
          <w:trHeight w:val="257"/>
        </w:trPr>
        <w:tc>
          <w:tcPr>
            <w:tcW w:w="420" w:type="dxa"/>
            <w:vAlign w:val="bottom"/>
          </w:tcPr>
          <w:p>
            <w:pPr>
              <w:spacing w:after="0"/>
              <w:rPr>
                <w:sz w:val="22"/>
                <w:szCs w:val="22"/>
                <w:color w:val="auto"/>
              </w:rPr>
            </w:pPr>
          </w:p>
        </w:tc>
        <w:tc>
          <w:tcPr>
            <w:tcW w:w="1460" w:type="dxa"/>
            <w:vAlign w:val="bottom"/>
          </w:tcPr>
          <w:p>
            <w:pPr>
              <w:jc w:val="right"/>
              <w:ind w:right="4"/>
              <w:spacing w:after="0"/>
              <w:rPr>
                <w:sz w:val="20"/>
                <w:szCs w:val="20"/>
                <w:color w:val="auto"/>
              </w:rPr>
            </w:pPr>
            <w:r>
              <w:rPr>
                <w:rFonts w:ascii="Arial" w:cs="Arial" w:eastAsia="Arial" w:hAnsi="Arial"/>
                <w:sz w:val="15"/>
                <w:szCs w:val="15"/>
                <w:color w:val="auto"/>
              </w:rPr>
              <w:t>—</w:t>
            </w:r>
          </w:p>
        </w:tc>
        <w:tc>
          <w:tcPr>
            <w:tcW w:w="42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Arial" w:cs="Arial" w:eastAsia="Arial" w:hAnsi="Arial"/>
                <w:sz w:val="15"/>
                <w:szCs w:val="15"/>
                <w:color w:val="auto"/>
              </w:rPr>
              <w:t>155.0</w:t>
            </w:r>
          </w:p>
        </w:tc>
      </w:tr>
      <w:tr>
        <w:trPr>
          <w:trHeight w:val="256"/>
        </w:trPr>
        <w:tc>
          <w:tcPr>
            <w:tcW w:w="420" w:type="dxa"/>
            <w:vAlign w:val="bottom"/>
          </w:tcPr>
          <w:p>
            <w:pPr>
              <w:spacing w:after="0"/>
              <w:rPr>
                <w:sz w:val="22"/>
                <w:szCs w:val="22"/>
                <w:color w:val="auto"/>
              </w:rPr>
            </w:pPr>
          </w:p>
        </w:tc>
        <w:tc>
          <w:tcPr>
            <w:tcW w:w="1460" w:type="dxa"/>
            <w:vAlign w:val="bottom"/>
          </w:tcPr>
          <w:p>
            <w:pPr>
              <w:jc w:val="right"/>
              <w:spacing w:after="0"/>
              <w:rPr>
                <w:sz w:val="20"/>
                <w:szCs w:val="20"/>
                <w:color w:val="auto"/>
              </w:rPr>
            </w:pPr>
            <w:r>
              <w:rPr>
                <w:rFonts w:ascii="Arial" w:cs="Arial" w:eastAsia="Arial" w:hAnsi="Arial"/>
                <w:sz w:val="15"/>
                <w:szCs w:val="15"/>
                <w:color w:val="auto"/>
              </w:rPr>
              <w:t>(135.0)</w:t>
            </w:r>
          </w:p>
        </w:tc>
        <w:tc>
          <w:tcPr>
            <w:tcW w:w="42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57"/>
        </w:trPr>
        <w:tc>
          <w:tcPr>
            <w:tcW w:w="420" w:type="dxa"/>
            <w:vAlign w:val="bottom"/>
          </w:tcPr>
          <w:p>
            <w:pPr>
              <w:spacing w:after="0"/>
              <w:rPr>
                <w:sz w:val="22"/>
                <w:szCs w:val="22"/>
                <w:color w:val="auto"/>
              </w:rPr>
            </w:pPr>
          </w:p>
        </w:tc>
        <w:tc>
          <w:tcPr>
            <w:tcW w:w="1460" w:type="dxa"/>
            <w:vAlign w:val="bottom"/>
          </w:tcPr>
          <w:p>
            <w:pPr>
              <w:jc w:val="right"/>
              <w:spacing w:after="0"/>
              <w:rPr>
                <w:sz w:val="20"/>
                <w:szCs w:val="20"/>
                <w:color w:val="auto"/>
              </w:rPr>
            </w:pPr>
            <w:r>
              <w:rPr>
                <w:rFonts w:ascii="Arial" w:cs="Arial" w:eastAsia="Arial" w:hAnsi="Arial"/>
                <w:sz w:val="15"/>
                <w:szCs w:val="15"/>
                <w:color w:val="auto"/>
              </w:rPr>
              <w:t>(0.2)</w:t>
            </w:r>
          </w:p>
        </w:tc>
        <w:tc>
          <w:tcPr>
            <w:tcW w:w="42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Arial" w:cs="Arial" w:eastAsia="Arial" w:hAnsi="Arial"/>
                <w:sz w:val="15"/>
                <w:szCs w:val="15"/>
                <w:color w:val="auto"/>
              </w:rPr>
              <w:t>(3.4)</w:t>
            </w:r>
          </w:p>
        </w:tc>
      </w:tr>
      <w:tr>
        <w:trPr>
          <w:trHeight w:val="256"/>
        </w:trPr>
        <w:tc>
          <w:tcPr>
            <w:tcW w:w="420" w:type="dxa"/>
            <w:vAlign w:val="bottom"/>
          </w:tcPr>
          <w:p>
            <w:pPr>
              <w:spacing w:after="0"/>
              <w:rPr>
                <w:sz w:val="22"/>
                <w:szCs w:val="22"/>
                <w:color w:val="auto"/>
              </w:rPr>
            </w:pPr>
          </w:p>
        </w:tc>
        <w:tc>
          <w:tcPr>
            <w:tcW w:w="1460" w:type="dxa"/>
            <w:vAlign w:val="bottom"/>
          </w:tcPr>
          <w:p>
            <w:pPr>
              <w:jc w:val="right"/>
              <w:spacing w:after="0"/>
              <w:rPr>
                <w:sz w:val="20"/>
                <w:szCs w:val="20"/>
                <w:color w:val="auto"/>
              </w:rPr>
            </w:pPr>
            <w:r>
              <w:rPr>
                <w:rFonts w:ascii="Arial" w:cs="Arial" w:eastAsia="Arial" w:hAnsi="Arial"/>
                <w:sz w:val="15"/>
                <w:szCs w:val="15"/>
                <w:color w:val="auto"/>
              </w:rPr>
              <w:t>(4.7)</w:t>
            </w:r>
          </w:p>
        </w:tc>
        <w:tc>
          <w:tcPr>
            <w:tcW w:w="42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57"/>
        </w:trPr>
        <w:tc>
          <w:tcPr>
            <w:tcW w:w="420" w:type="dxa"/>
            <w:vAlign w:val="bottom"/>
          </w:tcPr>
          <w:p>
            <w:pPr>
              <w:spacing w:after="0"/>
              <w:rPr>
                <w:sz w:val="22"/>
                <w:szCs w:val="22"/>
                <w:color w:val="auto"/>
              </w:rPr>
            </w:pPr>
          </w:p>
        </w:tc>
        <w:tc>
          <w:tcPr>
            <w:tcW w:w="1460" w:type="dxa"/>
            <w:vAlign w:val="bottom"/>
          </w:tcPr>
          <w:p>
            <w:pPr>
              <w:jc w:val="right"/>
              <w:spacing w:after="0"/>
              <w:rPr>
                <w:sz w:val="20"/>
                <w:szCs w:val="20"/>
                <w:color w:val="auto"/>
              </w:rPr>
            </w:pPr>
            <w:r>
              <w:rPr>
                <w:rFonts w:ascii="Arial" w:cs="Arial" w:eastAsia="Arial" w:hAnsi="Arial"/>
                <w:sz w:val="15"/>
                <w:szCs w:val="15"/>
                <w:color w:val="auto"/>
              </w:rPr>
              <w:t>(0.2)</w:t>
            </w:r>
          </w:p>
        </w:tc>
        <w:tc>
          <w:tcPr>
            <w:tcW w:w="42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Arial" w:cs="Arial" w:eastAsia="Arial" w:hAnsi="Arial"/>
                <w:sz w:val="15"/>
                <w:szCs w:val="15"/>
                <w:color w:val="auto"/>
              </w:rPr>
              <w:t>(0.1)</w:t>
            </w:r>
          </w:p>
        </w:tc>
      </w:tr>
      <w:tr>
        <w:trPr>
          <w:trHeight w:val="35"/>
        </w:trPr>
        <w:tc>
          <w:tcPr>
            <w:tcW w:w="42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r>
      <w:tr>
        <w:trPr>
          <w:trHeight w:val="215"/>
        </w:trPr>
        <w:tc>
          <w:tcPr>
            <w:tcW w:w="420" w:type="dxa"/>
            <w:vAlign w:val="bottom"/>
          </w:tcPr>
          <w:p>
            <w:pPr>
              <w:spacing w:after="0"/>
              <w:rPr>
                <w:sz w:val="18"/>
                <w:szCs w:val="18"/>
                <w:color w:val="auto"/>
              </w:rPr>
            </w:pPr>
          </w:p>
        </w:tc>
        <w:tc>
          <w:tcPr>
            <w:tcW w:w="1460" w:type="dxa"/>
            <w:vAlign w:val="bottom"/>
          </w:tcPr>
          <w:p>
            <w:pPr>
              <w:jc w:val="right"/>
              <w:ind w:right="4"/>
              <w:spacing w:after="0"/>
              <w:rPr>
                <w:sz w:val="20"/>
                <w:szCs w:val="20"/>
                <w:color w:val="auto"/>
              </w:rPr>
            </w:pPr>
            <w:r>
              <w:rPr>
                <w:rFonts w:ascii="Arial" w:cs="Arial" w:eastAsia="Arial" w:hAnsi="Arial"/>
                <w:sz w:val="15"/>
                <w:szCs w:val="15"/>
                <w:color w:val="auto"/>
              </w:rPr>
              <w:t>215.7</w:t>
            </w:r>
          </w:p>
        </w:tc>
        <w:tc>
          <w:tcPr>
            <w:tcW w:w="4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5"/>
                <w:szCs w:val="15"/>
                <w:color w:val="auto"/>
              </w:rPr>
              <w:t>168.3</w:t>
            </w:r>
          </w:p>
        </w:tc>
      </w:tr>
      <w:tr>
        <w:trPr>
          <w:trHeight w:val="35"/>
        </w:trPr>
        <w:tc>
          <w:tcPr>
            <w:tcW w:w="42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r>
      <w:tr>
        <w:trPr>
          <w:trHeight w:val="215"/>
        </w:trPr>
        <w:tc>
          <w:tcPr>
            <w:tcW w:w="420" w:type="dxa"/>
            <w:vAlign w:val="bottom"/>
          </w:tcPr>
          <w:p>
            <w:pPr>
              <w:spacing w:after="0"/>
              <w:rPr>
                <w:sz w:val="18"/>
                <w:szCs w:val="18"/>
                <w:color w:val="auto"/>
              </w:rPr>
            </w:pPr>
          </w:p>
        </w:tc>
        <w:tc>
          <w:tcPr>
            <w:tcW w:w="1460" w:type="dxa"/>
            <w:vAlign w:val="bottom"/>
          </w:tcPr>
          <w:p>
            <w:pPr>
              <w:jc w:val="right"/>
              <w:ind w:right="4"/>
              <w:spacing w:after="0"/>
              <w:rPr>
                <w:sz w:val="20"/>
                <w:szCs w:val="20"/>
                <w:color w:val="auto"/>
              </w:rPr>
            </w:pPr>
            <w:r>
              <w:rPr>
                <w:rFonts w:ascii="Arial" w:cs="Arial" w:eastAsia="Arial" w:hAnsi="Arial"/>
                <w:sz w:val="15"/>
                <w:szCs w:val="15"/>
                <w:color w:val="auto"/>
              </w:rPr>
              <w:t>182.8</w:t>
            </w:r>
          </w:p>
        </w:tc>
        <w:tc>
          <w:tcPr>
            <w:tcW w:w="4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5"/>
                <w:szCs w:val="15"/>
                <w:color w:val="auto"/>
              </w:rPr>
              <w:t>81.1</w:t>
            </w:r>
          </w:p>
        </w:tc>
      </w:tr>
      <w:tr>
        <w:trPr>
          <w:trHeight w:val="256"/>
        </w:trPr>
        <w:tc>
          <w:tcPr>
            <w:tcW w:w="420" w:type="dxa"/>
            <w:vAlign w:val="bottom"/>
          </w:tcPr>
          <w:p>
            <w:pPr>
              <w:spacing w:after="0"/>
              <w:rPr>
                <w:sz w:val="22"/>
                <w:szCs w:val="22"/>
                <w:color w:val="auto"/>
              </w:rPr>
            </w:pPr>
          </w:p>
        </w:tc>
        <w:tc>
          <w:tcPr>
            <w:tcW w:w="1460" w:type="dxa"/>
            <w:vAlign w:val="bottom"/>
          </w:tcPr>
          <w:p>
            <w:pPr>
              <w:jc w:val="right"/>
              <w:ind w:right="4"/>
              <w:spacing w:after="0"/>
              <w:rPr>
                <w:sz w:val="20"/>
                <w:szCs w:val="20"/>
                <w:color w:val="auto"/>
              </w:rPr>
            </w:pPr>
            <w:r>
              <w:rPr>
                <w:rFonts w:ascii="Arial" w:cs="Arial" w:eastAsia="Arial" w:hAnsi="Arial"/>
                <w:sz w:val="15"/>
                <w:szCs w:val="15"/>
                <w:color w:val="auto"/>
              </w:rPr>
              <w:t>109.2</w:t>
            </w:r>
          </w:p>
        </w:tc>
        <w:tc>
          <w:tcPr>
            <w:tcW w:w="42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Arial" w:cs="Arial" w:eastAsia="Arial" w:hAnsi="Arial"/>
                <w:sz w:val="15"/>
                <w:szCs w:val="15"/>
                <w:color w:val="auto"/>
              </w:rPr>
              <w:t>41.9</w:t>
            </w:r>
          </w:p>
        </w:tc>
      </w:tr>
      <w:tr>
        <w:trPr>
          <w:trHeight w:val="35"/>
        </w:trPr>
        <w:tc>
          <w:tcPr>
            <w:tcW w:w="42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r>
      <w:tr>
        <w:trPr>
          <w:trHeight w:val="215"/>
        </w:trPr>
        <w:tc>
          <w:tcPr>
            <w:tcW w:w="420" w:type="dxa"/>
            <w:vAlign w:val="bottom"/>
          </w:tcPr>
          <w:p>
            <w:pPr>
              <w:jc w:val="right"/>
              <w:ind w:right="244"/>
              <w:spacing w:after="0"/>
              <w:rPr>
                <w:sz w:val="20"/>
                <w:szCs w:val="20"/>
                <w:color w:val="auto"/>
              </w:rPr>
            </w:pPr>
            <w:r>
              <w:rPr>
                <w:rFonts w:ascii="Arial" w:cs="Arial" w:eastAsia="Arial" w:hAnsi="Arial"/>
                <w:sz w:val="15"/>
                <w:szCs w:val="15"/>
                <w:color w:val="auto"/>
                <w:w w:val="95"/>
              </w:rPr>
              <w:t>$</w:t>
            </w:r>
          </w:p>
        </w:tc>
        <w:tc>
          <w:tcPr>
            <w:tcW w:w="1460" w:type="dxa"/>
            <w:vAlign w:val="bottom"/>
          </w:tcPr>
          <w:p>
            <w:pPr>
              <w:jc w:val="right"/>
              <w:ind w:right="4"/>
              <w:spacing w:after="0"/>
              <w:rPr>
                <w:sz w:val="20"/>
                <w:szCs w:val="20"/>
                <w:color w:val="auto"/>
              </w:rPr>
            </w:pPr>
            <w:r>
              <w:rPr>
                <w:rFonts w:ascii="Arial" w:cs="Arial" w:eastAsia="Arial" w:hAnsi="Arial"/>
                <w:sz w:val="15"/>
                <w:szCs w:val="15"/>
                <w:color w:val="auto"/>
              </w:rPr>
              <w:t>292.0</w:t>
            </w:r>
          </w:p>
        </w:tc>
        <w:tc>
          <w:tcPr>
            <w:tcW w:w="420" w:type="dxa"/>
            <w:vAlign w:val="bottom"/>
          </w:tcPr>
          <w:p>
            <w:pPr>
              <w:jc w:val="right"/>
              <w:ind w:right="244"/>
              <w:spacing w:after="0"/>
              <w:rPr>
                <w:sz w:val="20"/>
                <w:szCs w:val="20"/>
                <w:color w:val="auto"/>
              </w:rPr>
            </w:pPr>
            <w:r>
              <w:rPr>
                <w:rFonts w:ascii="Arial" w:cs="Arial" w:eastAsia="Arial" w:hAnsi="Arial"/>
                <w:sz w:val="15"/>
                <w:szCs w:val="15"/>
                <w:color w:val="auto"/>
                <w:w w:val="95"/>
              </w:rPr>
              <w:t>$</w:t>
            </w:r>
          </w:p>
        </w:tc>
        <w:tc>
          <w:tcPr>
            <w:tcW w:w="1440" w:type="dxa"/>
            <w:vAlign w:val="bottom"/>
          </w:tcPr>
          <w:p>
            <w:pPr>
              <w:jc w:val="right"/>
              <w:spacing w:after="0"/>
              <w:rPr>
                <w:sz w:val="20"/>
                <w:szCs w:val="20"/>
                <w:color w:val="auto"/>
              </w:rPr>
            </w:pPr>
            <w:r>
              <w:rPr>
                <w:rFonts w:ascii="Arial" w:cs="Arial" w:eastAsia="Arial" w:hAnsi="Arial"/>
                <w:sz w:val="15"/>
                <w:szCs w:val="15"/>
                <w:color w:val="auto"/>
              </w:rPr>
              <w:t>123.0</w:t>
            </w:r>
          </w:p>
        </w:tc>
      </w:tr>
      <w:tr>
        <w:trPr>
          <w:trHeight w:val="35"/>
        </w:trPr>
        <w:tc>
          <w:tcPr>
            <w:tcW w:w="42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r>
      <w:tr>
        <w:trPr>
          <w:trHeight w:val="20"/>
        </w:trPr>
        <w:tc>
          <w:tcPr>
            <w:tcW w:w="4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r>
        <w:trPr>
          <w:trHeight w:val="580"/>
        </w:trPr>
        <w:tc>
          <w:tcPr>
            <w:tcW w:w="420" w:type="dxa"/>
            <w:vAlign w:val="bottom"/>
          </w:tcPr>
          <w:p>
            <w:pPr>
              <w:jc w:val="right"/>
              <w:ind w:right="244"/>
              <w:spacing w:after="0"/>
              <w:rPr>
                <w:sz w:val="20"/>
                <w:szCs w:val="20"/>
                <w:color w:val="auto"/>
              </w:rPr>
            </w:pPr>
            <w:r>
              <w:rPr>
                <w:rFonts w:ascii="Arial" w:cs="Arial" w:eastAsia="Arial" w:hAnsi="Arial"/>
                <w:sz w:val="15"/>
                <w:szCs w:val="15"/>
                <w:color w:val="auto"/>
                <w:w w:val="95"/>
              </w:rPr>
              <w:t>$</w:t>
            </w:r>
          </w:p>
        </w:tc>
        <w:tc>
          <w:tcPr>
            <w:tcW w:w="1460" w:type="dxa"/>
            <w:vAlign w:val="bottom"/>
          </w:tcPr>
          <w:p>
            <w:pPr>
              <w:jc w:val="right"/>
              <w:ind w:right="4"/>
              <w:spacing w:after="0"/>
              <w:rPr>
                <w:sz w:val="20"/>
                <w:szCs w:val="20"/>
                <w:color w:val="auto"/>
              </w:rPr>
            </w:pPr>
            <w:r>
              <w:rPr>
                <w:rFonts w:ascii="Arial" w:cs="Arial" w:eastAsia="Arial" w:hAnsi="Arial"/>
                <w:sz w:val="15"/>
                <w:szCs w:val="15"/>
                <w:color w:val="auto"/>
              </w:rPr>
              <w:t>278.7</w:t>
            </w:r>
          </w:p>
        </w:tc>
        <w:tc>
          <w:tcPr>
            <w:tcW w:w="420" w:type="dxa"/>
            <w:vAlign w:val="bottom"/>
          </w:tcPr>
          <w:p>
            <w:pPr>
              <w:jc w:val="right"/>
              <w:ind w:right="244"/>
              <w:spacing w:after="0"/>
              <w:rPr>
                <w:sz w:val="20"/>
                <w:szCs w:val="20"/>
                <w:color w:val="auto"/>
              </w:rPr>
            </w:pPr>
            <w:r>
              <w:rPr>
                <w:rFonts w:ascii="Arial" w:cs="Arial" w:eastAsia="Arial" w:hAnsi="Arial"/>
                <w:sz w:val="15"/>
                <w:szCs w:val="15"/>
                <w:color w:val="auto"/>
                <w:w w:val="95"/>
              </w:rPr>
              <w:t>$</w:t>
            </w:r>
          </w:p>
        </w:tc>
        <w:tc>
          <w:tcPr>
            <w:tcW w:w="1440" w:type="dxa"/>
            <w:vAlign w:val="bottom"/>
          </w:tcPr>
          <w:p>
            <w:pPr>
              <w:jc w:val="right"/>
              <w:spacing w:after="0"/>
              <w:rPr>
                <w:sz w:val="20"/>
                <w:szCs w:val="20"/>
                <w:color w:val="auto"/>
              </w:rPr>
            </w:pPr>
            <w:r>
              <w:rPr>
                <w:rFonts w:ascii="Arial" w:cs="Arial" w:eastAsia="Arial" w:hAnsi="Arial"/>
                <w:sz w:val="15"/>
                <w:szCs w:val="15"/>
                <w:color w:val="auto"/>
              </w:rPr>
              <w:t>109.0</w:t>
            </w:r>
          </w:p>
        </w:tc>
      </w:tr>
      <w:tr>
        <w:trPr>
          <w:trHeight w:val="229"/>
        </w:trPr>
        <w:tc>
          <w:tcPr>
            <w:tcW w:w="420" w:type="dxa"/>
            <w:vAlign w:val="bottom"/>
          </w:tcPr>
          <w:p>
            <w:pPr>
              <w:spacing w:after="0"/>
              <w:rPr>
                <w:sz w:val="19"/>
                <w:szCs w:val="19"/>
                <w:color w:val="auto"/>
              </w:rPr>
            </w:pPr>
          </w:p>
        </w:tc>
        <w:tc>
          <w:tcPr>
            <w:tcW w:w="1460" w:type="dxa"/>
            <w:vAlign w:val="bottom"/>
          </w:tcPr>
          <w:p>
            <w:pPr>
              <w:jc w:val="right"/>
              <w:ind w:right="4"/>
              <w:spacing w:after="0"/>
              <w:rPr>
                <w:sz w:val="20"/>
                <w:szCs w:val="20"/>
                <w:color w:val="auto"/>
              </w:rPr>
            </w:pPr>
            <w:r>
              <w:rPr>
                <w:rFonts w:ascii="Arial" w:cs="Arial" w:eastAsia="Arial" w:hAnsi="Arial"/>
                <w:sz w:val="15"/>
                <w:szCs w:val="15"/>
                <w:color w:val="auto"/>
              </w:rPr>
              <w:t>5.6</w:t>
            </w:r>
          </w:p>
        </w:tc>
        <w:tc>
          <w:tcPr>
            <w:tcW w:w="4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5"/>
                <w:szCs w:val="15"/>
                <w:color w:val="auto"/>
              </w:rPr>
              <w:t>3.5</w:t>
            </w:r>
          </w:p>
        </w:tc>
      </w:tr>
      <w:tr>
        <w:trPr>
          <w:trHeight w:val="256"/>
        </w:trPr>
        <w:tc>
          <w:tcPr>
            <w:tcW w:w="420" w:type="dxa"/>
            <w:vAlign w:val="bottom"/>
          </w:tcPr>
          <w:p>
            <w:pPr>
              <w:spacing w:after="0"/>
              <w:rPr>
                <w:sz w:val="22"/>
                <w:szCs w:val="22"/>
                <w:color w:val="auto"/>
              </w:rPr>
            </w:pPr>
          </w:p>
        </w:tc>
        <w:tc>
          <w:tcPr>
            <w:tcW w:w="1460" w:type="dxa"/>
            <w:vAlign w:val="bottom"/>
          </w:tcPr>
          <w:p>
            <w:pPr>
              <w:jc w:val="right"/>
              <w:ind w:right="4"/>
              <w:spacing w:after="0"/>
              <w:rPr>
                <w:sz w:val="20"/>
                <w:szCs w:val="20"/>
                <w:color w:val="auto"/>
              </w:rPr>
            </w:pPr>
            <w:r>
              <w:rPr>
                <w:rFonts w:ascii="Arial" w:cs="Arial" w:eastAsia="Arial" w:hAnsi="Arial"/>
                <w:sz w:val="15"/>
                <w:szCs w:val="15"/>
                <w:color w:val="auto"/>
              </w:rPr>
              <w:t>7.7</w:t>
            </w:r>
          </w:p>
        </w:tc>
        <w:tc>
          <w:tcPr>
            <w:tcW w:w="420" w:type="dxa"/>
            <w:vAlign w:val="bottom"/>
          </w:tcPr>
          <w:p>
            <w:pPr>
              <w:jc w:val="right"/>
              <w:ind w:right="244"/>
              <w:spacing w:after="0"/>
              <w:rPr>
                <w:sz w:val="20"/>
                <w:szCs w:val="20"/>
                <w:color w:val="auto"/>
              </w:rPr>
            </w:pPr>
            <w:r>
              <w:rPr>
                <w:rFonts w:ascii="Arial" w:cs="Arial" w:eastAsia="Arial" w:hAnsi="Arial"/>
                <w:sz w:val="15"/>
                <w:szCs w:val="15"/>
                <w:color w:val="auto"/>
                <w:w w:val="95"/>
              </w:rPr>
              <w:t>$</w:t>
            </w:r>
          </w:p>
        </w:tc>
        <w:tc>
          <w:tcPr>
            <w:tcW w:w="1440" w:type="dxa"/>
            <w:vAlign w:val="bottom"/>
          </w:tcPr>
          <w:p>
            <w:pPr>
              <w:jc w:val="right"/>
              <w:spacing w:after="0"/>
              <w:rPr>
                <w:sz w:val="20"/>
                <w:szCs w:val="20"/>
                <w:color w:val="auto"/>
              </w:rPr>
            </w:pPr>
            <w:r>
              <w:rPr>
                <w:rFonts w:ascii="Arial" w:cs="Arial" w:eastAsia="Arial" w:hAnsi="Arial"/>
                <w:sz w:val="15"/>
                <w:szCs w:val="15"/>
                <w:color w:val="auto"/>
              </w:rPr>
              <w:t>10.5</w:t>
            </w:r>
          </w:p>
        </w:tc>
      </w:tr>
      <w:tr>
        <w:trPr>
          <w:trHeight w:val="21"/>
        </w:trPr>
        <w:tc>
          <w:tcPr>
            <w:tcW w:w="4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r>
        <w:trPr>
          <w:trHeight w:val="215"/>
        </w:trPr>
        <w:tc>
          <w:tcPr>
            <w:tcW w:w="420" w:type="dxa"/>
            <w:vAlign w:val="bottom"/>
          </w:tcPr>
          <w:p>
            <w:pPr>
              <w:jc w:val="right"/>
              <w:ind w:right="244"/>
              <w:spacing w:after="0"/>
              <w:rPr>
                <w:sz w:val="20"/>
                <w:szCs w:val="20"/>
                <w:color w:val="auto"/>
              </w:rPr>
            </w:pPr>
            <w:r>
              <w:rPr>
                <w:rFonts w:ascii="Arial" w:cs="Arial" w:eastAsia="Arial" w:hAnsi="Arial"/>
                <w:sz w:val="15"/>
                <w:szCs w:val="15"/>
                <w:color w:val="auto"/>
                <w:w w:val="95"/>
              </w:rPr>
              <w:t>$</w:t>
            </w:r>
          </w:p>
        </w:tc>
        <w:tc>
          <w:tcPr>
            <w:tcW w:w="1460" w:type="dxa"/>
            <w:vAlign w:val="bottom"/>
          </w:tcPr>
          <w:p>
            <w:pPr>
              <w:jc w:val="right"/>
              <w:ind w:right="4"/>
              <w:spacing w:after="0"/>
              <w:rPr>
                <w:sz w:val="20"/>
                <w:szCs w:val="20"/>
                <w:color w:val="auto"/>
              </w:rPr>
            </w:pPr>
            <w:r>
              <w:rPr>
                <w:rFonts w:ascii="Arial" w:cs="Arial" w:eastAsia="Arial" w:hAnsi="Arial"/>
                <w:sz w:val="15"/>
                <w:szCs w:val="15"/>
                <w:color w:val="auto"/>
              </w:rPr>
              <w:t>292.0</w:t>
            </w:r>
          </w:p>
        </w:tc>
        <w:tc>
          <w:tcPr>
            <w:tcW w:w="420" w:type="dxa"/>
            <w:vAlign w:val="bottom"/>
          </w:tcPr>
          <w:p>
            <w:pPr>
              <w:jc w:val="right"/>
              <w:ind w:right="244"/>
              <w:spacing w:after="0"/>
              <w:rPr>
                <w:sz w:val="20"/>
                <w:szCs w:val="20"/>
                <w:color w:val="auto"/>
              </w:rPr>
            </w:pPr>
            <w:r>
              <w:rPr>
                <w:rFonts w:ascii="Arial" w:cs="Arial" w:eastAsia="Arial" w:hAnsi="Arial"/>
                <w:sz w:val="15"/>
                <w:szCs w:val="15"/>
                <w:color w:val="auto"/>
                <w:w w:val="95"/>
              </w:rPr>
              <w:t>$</w:t>
            </w:r>
          </w:p>
        </w:tc>
        <w:tc>
          <w:tcPr>
            <w:tcW w:w="1440" w:type="dxa"/>
            <w:vAlign w:val="bottom"/>
          </w:tcPr>
          <w:p>
            <w:pPr>
              <w:jc w:val="right"/>
              <w:spacing w:after="0"/>
              <w:rPr>
                <w:sz w:val="20"/>
                <w:szCs w:val="20"/>
                <w:color w:val="auto"/>
              </w:rPr>
            </w:pPr>
            <w:r>
              <w:rPr>
                <w:rFonts w:ascii="Arial" w:cs="Arial" w:eastAsia="Arial" w:hAnsi="Arial"/>
                <w:sz w:val="15"/>
                <w:szCs w:val="15"/>
                <w:color w:val="auto"/>
              </w:rPr>
              <w:t>123.0</w:t>
            </w:r>
          </w:p>
        </w:tc>
      </w:tr>
      <w:tr>
        <w:trPr>
          <w:trHeight w:val="35"/>
        </w:trPr>
        <w:tc>
          <w:tcPr>
            <w:tcW w:w="42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r>
      <w:tr>
        <w:trPr>
          <w:trHeight w:val="21"/>
        </w:trPr>
        <w:tc>
          <w:tcPr>
            <w:tcW w:w="4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2">
            <w:col w:w="6720" w:space="720"/>
            <w:col w:w="3740"/>
          </w:cols>
          <w:pgMar w:left="360" w:top="368" w:right="359" w:bottom="1440" w:gutter="0" w:footer="0" w:header="0"/>
          <w:type w:val="continuous"/>
        </w:sectPr>
      </w:pPr>
    </w:p>
    <w:bookmarkStart w:id="11" w:name="page12"/>
    <w:bookmarkEnd w:id="11"/>
    <w:p>
      <w:pPr>
        <w:ind w:left="4540"/>
        <w:spacing w:after="0"/>
        <w:rPr>
          <w:sz w:val="20"/>
          <w:szCs w:val="20"/>
          <w:color w:val="auto"/>
        </w:rPr>
      </w:pPr>
      <w:r>
        <w:rPr>
          <w:rFonts w:ascii="Arial" w:cs="Arial" w:eastAsia="Arial" w:hAnsi="Arial"/>
          <w:sz w:val="20"/>
          <w:szCs w:val="20"/>
          <w:b w:val="1"/>
          <w:bCs w:val="1"/>
          <w:color w:val="auto"/>
        </w:rPr>
        <w:t>Rent the Runway, Inc.</w:t>
      </w:r>
    </w:p>
    <w:p>
      <w:pPr>
        <w:ind w:left="3820"/>
        <w:spacing w:after="0" w:line="233" w:lineRule="auto"/>
        <w:rPr>
          <w:sz w:val="20"/>
          <w:szCs w:val="20"/>
          <w:color w:val="auto"/>
        </w:rPr>
      </w:pPr>
      <w:r>
        <w:rPr>
          <w:rFonts w:ascii="Arial" w:cs="Arial" w:eastAsia="Arial" w:hAnsi="Arial"/>
          <w:sz w:val="19"/>
          <w:szCs w:val="19"/>
          <w:b w:val="1"/>
          <w:bCs w:val="1"/>
          <w:color w:val="auto"/>
        </w:rPr>
        <w:t>Supplemental Cash Flow Information</w:t>
      </w:r>
    </w:p>
    <w:p>
      <w:pPr>
        <w:ind w:left="5000"/>
        <w:spacing w:after="0" w:line="197" w:lineRule="auto"/>
        <w:rPr>
          <w:sz w:val="20"/>
          <w:szCs w:val="20"/>
          <w:color w:val="auto"/>
        </w:rPr>
      </w:pPr>
      <w:r>
        <w:rPr>
          <w:rFonts w:ascii="Arial" w:cs="Arial" w:eastAsia="Arial" w:hAnsi="Arial"/>
          <w:sz w:val="20"/>
          <w:szCs w:val="20"/>
          <w:b w:val="1"/>
          <w:bCs w:val="1"/>
          <w:color w:val="auto"/>
        </w:rPr>
        <w:t>(in millions)</w:t>
      </w:r>
    </w:p>
    <w:p>
      <w:pPr>
        <w:spacing w:after="0" w:line="1" w:lineRule="exact"/>
        <w:rPr>
          <w:sz w:val="20"/>
          <w:szCs w:val="20"/>
          <w:color w:val="auto"/>
        </w:rPr>
      </w:pPr>
    </w:p>
    <w:p>
      <w:pPr>
        <w:ind w:left="5060"/>
        <w:spacing w:after="0"/>
        <w:rPr>
          <w:sz w:val="20"/>
          <w:szCs w:val="20"/>
          <w:color w:val="auto"/>
        </w:rPr>
      </w:pPr>
      <w:r>
        <w:rPr>
          <w:rFonts w:ascii="Arial" w:cs="Arial" w:eastAsia="Arial" w:hAnsi="Arial"/>
          <w:sz w:val="20"/>
          <w:szCs w:val="20"/>
          <w:color w:val="auto"/>
        </w:rPr>
        <w:t>(unaudited)</w:t>
      </w:r>
    </w:p>
    <w:p>
      <w:pPr>
        <w:sectPr>
          <w:pgSz w:w="11900" w:h="16838" w:orient="portrait"/>
          <w:cols w:equalWidth="0" w:num="1">
            <w:col w:w="11160"/>
          </w:cols>
          <w:pgMar w:left="380" w:top="611"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Arial" w:cs="Arial" w:eastAsia="Arial" w:hAnsi="Arial"/>
          <w:sz w:val="16"/>
          <w:szCs w:val="16"/>
          <w:color w:val="auto"/>
        </w:rPr>
        <w:t>Cash payments (receipts) for:</w:t>
      </w:r>
    </w:p>
    <w:p>
      <w:pPr>
        <w:spacing w:after="0" w:line="5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Fixed operating leases payments (reimbursements), net</w:t>
      </w:r>
    </w:p>
    <w:p>
      <w:pPr>
        <w:spacing w:after="0" w:line="73" w:lineRule="exact"/>
        <w:rPr>
          <w:sz w:val="20"/>
          <w:szCs w:val="20"/>
          <w:color w:val="auto"/>
        </w:rPr>
      </w:pPr>
    </w:p>
    <w:p>
      <w:pPr>
        <w:ind w:left="440"/>
        <w:spacing w:after="0"/>
        <w:rPr>
          <w:sz w:val="20"/>
          <w:szCs w:val="20"/>
          <w:color w:val="auto"/>
        </w:rPr>
      </w:pPr>
      <w:r>
        <w:rPr>
          <w:rFonts w:ascii="Arial" w:cs="Arial" w:eastAsia="Arial" w:hAnsi="Arial"/>
          <w:sz w:val="16"/>
          <w:szCs w:val="16"/>
          <w:color w:val="auto"/>
        </w:rPr>
        <w:t>Fixed assets received in the prior period</w:t>
      </w:r>
    </w:p>
    <w:p>
      <w:pPr>
        <w:spacing w:after="0" w:line="73" w:lineRule="exact"/>
        <w:rPr>
          <w:sz w:val="20"/>
          <w:szCs w:val="20"/>
          <w:color w:val="auto"/>
        </w:rPr>
      </w:pPr>
    </w:p>
    <w:p>
      <w:pPr>
        <w:ind w:left="440"/>
        <w:spacing w:after="0"/>
        <w:rPr>
          <w:sz w:val="20"/>
          <w:szCs w:val="20"/>
          <w:color w:val="auto"/>
        </w:rPr>
      </w:pPr>
      <w:r>
        <w:rPr>
          <w:rFonts w:ascii="Arial" w:cs="Arial" w:eastAsia="Arial" w:hAnsi="Arial"/>
          <w:sz w:val="16"/>
          <w:szCs w:val="16"/>
          <w:color w:val="auto"/>
        </w:rPr>
        <w:t>Rental product received in the prior period</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Non-cash financing and investing activities:</w:t>
      </w:r>
    </w:p>
    <w:p>
      <w:pPr>
        <w:spacing w:after="0" w:line="5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Financing leases right-of-use asset amortization</w:t>
      </w:r>
    </w:p>
    <w:p>
      <w:pPr>
        <w:spacing w:after="0" w:line="5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ROU assets obtained in exchange for lease liabilities</w:t>
      </w:r>
    </w:p>
    <w:p>
      <w:pPr>
        <w:spacing w:after="0" w:line="5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Adjustments to ROU assets or lease liabilities due to modification or other reassessment events</w:t>
      </w:r>
    </w:p>
    <w:p>
      <w:pPr>
        <w:spacing w:after="0" w:line="5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Purchases of fixed assets not yet settled</w:t>
      </w:r>
    </w:p>
    <w:p>
      <w:pPr>
        <w:spacing w:after="0" w:line="5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Purchases of rental product not yet settled</w:t>
      </w:r>
    </w:p>
    <w:p>
      <w:pPr>
        <w:spacing w:after="0" w:line="5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IPO offering costs not yet settled</w:t>
      </w:r>
    </w:p>
    <w:p>
      <w:pPr>
        <w:spacing w:after="0" w:line="20" w:lineRule="exact"/>
        <w:rPr>
          <w:sz w:val="20"/>
          <w:szCs w:val="20"/>
          <w:color w:val="auto"/>
        </w:rPr>
      </w:pPr>
      <w:r>
        <w:rPr>
          <w:sz w:val="20"/>
          <w:szCs w:val="20"/>
          <w:color w:val="auto"/>
        </w:rPr>
        <w:br w:type="column"/>
      </w: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Nine Months Ended</w:t>
      </w:r>
    </w:p>
    <w:p>
      <w:pPr>
        <w:spacing w:after="0" w:line="25"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October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19050</wp:posOffset>
            </wp:positionV>
            <wp:extent cx="201485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014855" cy="8255"/>
                    </a:xfrm>
                    <a:prstGeom prst="rect">
                      <a:avLst/>
                    </a:prstGeom>
                    <a:noFill/>
                  </pic:spPr>
                </pic:pic>
              </a:graphicData>
            </a:graphic>
          </wp:anchor>
        </w:drawing>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40" w:type="dxa"/>
            <w:vAlign w:val="bottom"/>
          </w:tcPr>
          <w:p>
            <w:pPr>
              <w:spacing w:after="0"/>
              <w:rPr>
                <w:sz w:val="18"/>
                <w:szCs w:val="18"/>
                <w:color w:val="auto"/>
              </w:rPr>
            </w:pPr>
          </w:p>
        </w:tc>
        <w:tc>
          <w:tcPr>
            <w:tcW w:w="1200" w:type="dxa"/>
            <w:vAlign w:val="bottom"/>
          </w:tcPr>
          <w:p>
            <w:pPr>
              <w:jc w:val="right"/>
              <w:ind w:right="519"/>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ind w:right="519"/>
              <w:spacing w:after="0"/>
              <w:rPr>
                <w:sz w:val="20"/>
                <w:szCs w:val="20"/>
                <w:color w:val="auto"/>
              </w:rPr>
            </w:pPr>
            <w:r>
              <w:rPr>
                <w:rFonts w:ascii="Arial" w:cs="Arial" w:eastAsia="Arial" w:hAnsi="Arial"/>
                <w:sz w:val="16"/>
                <w:szCs w:val="16"/>
                <w:b w:val="1"/>
                <w:bCs w:val="1"/>
                <w:color w:val="auto"/>
              </w:rPr>
              <w:t>2020</w:t>
            </w:r>
          </w:p>
        </w:tc>
      </w:tr>
      <w:tr>
        <w:trPr>
          <w:trHeight w:val="33"/>
        </w:trPr>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460"/>
        </w:trPr>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12.0</w:t>
            </w:r>
          </w:p>
        </w:tc>
        <w:tc>
          <w:tcPr>
            <w:tcW w:w="100" w:type="dxa"/>
            <w:vAlign w:val="bottom"/>
          </w:tcPr>
          <w:p>
            <w:pPr>
              <w:spacing w:after="0"/>
              <w:rPr>
                <w:sz w:val="24"/>
                <w:szCs w:val="24"/>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(0.7)</w:t>
            </w:r>
          </w:p>
        </w:tc>
      </w:tr>
      <w:tr>
        <w:trPr>
          <w:trHeight w:val="257"/>
        </w:trPr>
        <w:tc>
          <w:tcPr>
            <w:tcW w:w="34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0.5</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2.1</w:t>
            </w:r>
          </w:p>
        </w:tc>
      </w:tr>
      <w:tr>
        <w:trPr>
          <w:trHeight w:val="257"/>
        </w:trPr>
        <w:tc>
          <w:tcPr>
            <w:tcW w:w="34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3.6</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3.7</w:t>
            </w:r>
          </w:p>
        </w:tc>
      </w:tr>
      <w:tr>
        <w:trPr>
          <w:trHeight w:val="486"/>
        </w:trPr>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0.2</w:t>
            </w:r>
          </w:p>
        </w:tc>
        <w:tc>
          <w:tcPr>
            <w:tcW w:w="100" w:type="dxa"/>
            <w:vAlign w:val="bottom"/>
          </w:tcPr>
          <w:p>
            <w:pPr>
              <w:spacing w:after="0"/>
              <w:rPr>
                <w:sz w:val="24"/>
                <w:szCs w:val="24"/>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0.1</w:t>
            </w:r>
          </w:p>
        </w:tc>
      </w:tr>
      <w:tr>
        <w:trPr>
          <w:trHeight w:val="243"/>
        </w:trPr>
        <w:tc>
          <w:tcPr>
            <w:tcW w:w="3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0.7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43"/>
        </w:trPr>
        <w:tc>
          <w:tcPr>
            <w:tcW w:w="3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0.1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5.2</w:t>
            </w:r>
          </w:p>
        </w:tc>
      </w:tr>
      <w:tr>
        <w:trPr>
          <w:trHeight w:val="243"/>
        </w:trPr>
        <w:tc>
          <w:tcPr>
            <w:tcW w:w="3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0.7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0.5</w:t>
            </w:r>
          </w:p>
        </w:tc>
      </w:tr>
      <w:tr>
        <w:trPr>
          <w:trHeight w:val="243"/>
        </w:trPr>
        <w:tc>
          <w:tcPr>
            <w:tcW w:w="3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10.4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6.8</w:t>
            </w:r>
          </w:p>
        </w:tc>
      </w:tr>
      <w:tr>
        <w:trPr>
          <w:trHeight w:val="257"/>
        </w:trPr>
        <w:tc>
          <w:tcPr>
            <w:tcW w:w="34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4.4</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r>
    </w:tbl>
    <w:p>
      <w:pPr>
        <w:sectPr>
          <w:pgSz w:w="11900" w:h="16838" w:orient="portrait"/>
          <w:cols w:equalWidth="0" w:num="2">
            <w:col w:w="7280" w:space="700"/>
            <w:col w:w="3180"/>
          </w:cols>
          <w:pgMar w:left="380" w:top="611" w:right="359" w:bottom="1440" w:gutter="0" w:footer="0" w:header="0"/>
          <w:type w:val="continuous"/>
        </w:sectPr>
      </w:pPr>
    </w:p>
    <w:bookmarkStart w:id="12" w:name="page13"/>
    <w:bookmarkEnd w:id="12"/>
    <w:p>
      <w:pPr>
        <w:jc w:val="center"/>
        <w:ind w:right="-92"/>
        <w:spacing w:after="0"/>
        <w:rPr>
          <w:sz w:val="20"/>
          <w:szCs w:val="20"/>
          <w:color w:val="auto"/>
        </w:rPr>
      </w:pPr>
      <w:r>
        <w:rPr>
          <w:rFonts w:ascii="Arial" w:cs="Arial" w:eastAsia="Arial" w:hAnsi="Arial"/>
          <w:sz w:val="20"/>
          <w:szCs w:val="20"/>
          <w:b w:val="1"/>
          <w:bCs w:val="1"/>
          <w:color w:val="auto"/>
        </w:rPr>
        <w:t>Rent the Runway, Inc.</w:t>
      </w:r>
    </w:p>
    <w:p>
      <w:pPr>
        <w:jc w:val="center"/>
        <w:ind w:right="-92"/>
        <w:spacing w:after="0" w:line="221" w:lineRule="auto"/>
        <w:rPr>
          <w:sz w:val="20"/>
          <w:szCs w:val="20"/>
          <w:color w:val="auto"/>
        </w:rPr>
      </w:pPr>
      <w:r>
        <w:rPr>
          <w:rFonts w:ascii="Arial" w:cs="Arial" w:eastAsia="Arial" w:hAnsi="Arial"/>
          <w:sz w:val="20"/>
          <w:szCs w:val="20"/>
          <w:b w:val="1"/>
          <w:bCs w:val="1"/>
          <w:color w:val="auto"/>
        </w:rPr>
        <w:t>Reconciliation of GAAP to Non-GAAP Financial Measures</w:t>
      </w:r>
    </w:p>
    <w:p>
      <w:pPr>
        <w:ind w:left="5133"/>
        <w:spacing w:after="0" w:line="198" w:lineRule="auto"/>
        <w:rPr>
          <w:sz w:val="20"/>
          <w:szCs w:val="20"/>
          <w:color w:val="auto"/>
        </w:rPr>
      </w:pPr>
      <w:r>
        <w:rPr>
          <w:rFonts w:ascii="Arial" w:cs="Arial" w:eastAsia="Arial" w:hAnsi="Arial"/>
          <w:sz w:val="20"/>
          <w:szCs w:val="20"/>
          <w:b w:val="1"/>
          <w:bCs w:val="1"/>
          <w:color w:val="auto"/>
        </w:rPr>
        <w:t>(in millions)</w:t>
      </w:r>
    </w:p>
    <w:p>
      <w:pPr>
        <w:ind w:left="5193"/>
        <w:spacing w:after="0"/>
        <w:rPr>
          <w:sz w:val="20"/>
          <w:szCs w:val="20"/>
          <w:color w:val="auto"/>
        </w:rPr>
      </w:pPr>
      <w:r>
        <w:rPr>
          <w:rFonts w:ascii="Arial" w:cs="Arial" w:eastAsia="Arial" w:hAnsi="Arial"/>
          <w:sz w:val="20"/>
          <w:szCs w:val="20"/>
          <w:color w:val="auto"/>
        </w:rPr>
        <w:t>(unaudited)</w:t>
      </w:r>
    </w:p>
    <w:p>
      <w:pPr>
        <w:spacing w:after="0" w:line="202" w:lineRule="exact"/>
        <w:rPr>
          <w:sz w:val="20"/>
          <w:szCs w:val="20"/>
          <w:color w:val="auto"/>
        </w:rPr>
      </w:pPr>
    </w:p>
    <w:p>
      <w:pPr>
        <w:ind w:left="73" w:right="100"/>
        <w:spacing w:after="0" w:line="222" w:lineRule="auto"/>
        <w:rPr>
          <w:sz w:val="20"/>
          <w:szCs w:val="20"/>
          <w:color w:val="auto"/>
        </w:rPr>
      </w:pPr>
      <w:r>
        <w:rPr>
          <w:rFonts w:ascii="Arial" w:cs="Arial" w:eastAsia="Arial" w:hAnsi="Arial"/>
          <w:sz w:val="20"/>
          <w:szCs w:val="20"/>
          <w:color w:val="auto"/>
        </w:rPr>
        <w:t>The following table presents a reconciliation of net loss, the most comparable GAAP financial measure, to Adjusted EBITDA for the periods presented:</w:t>
      </w:r>
    </w:p>
    <w:p>
      <w:pPr>
        <w:spacing w:after="0" w:line="24" w:lineRule="exact"/>
        <w:rPr>
          <w:sz w:val="20"/>
          <w:szCs w:val="20"/>
          <w:color w:val="auto"/>
        </w:rPr>
      </w:pPr>
    </w:p>
    <w:tbl>
      <w:tblPr>
        <w:tblLayout w:type="fixed"/>
        <w:tblInd w:w="4553" w:type="dxa"/>
        <w:tblCellMar>
          <w:top w:w="0" w:type="dxa"/>
          <w:left w:w="0" w:type="dxa"/>
          <w:bottom w:w="0" w:type="dxa"/>
          <w:right w:w="0" w:type="dxa"/>
        </w:tblCellMar>
      </w:tblPr>
      <w:tr>
        <w:trPr>
          <w:trHeight w:val="210"/>
        </w:trPr>
        <w:tc>
          <w:tcPr>
            <w:tcW w:w="2880" w:type="dxa"/>
            <w:vAlign w:val="bottom"/>
            <w:tcBorders>
              <w:bottom w:val="single" w:sz="8" w:color="auto"/>
            </w:tcBorders>
            <w:gridSpan w:val="2"/>
          </w:tcPr>
          <w:p>
            <w:pPr>
              <w:jc w:val="right"/>
              <w:ind w:right="28"/>
              <w:spacing w:after="0"/>
              <w:rPr>
                <w:sz w:val="20"/>
                <w:szCs w:val="20"/>
                <w:color w:val="auto"/>
              </w:rPr>
            </w:pPr>
            <w:r>
              <w:rPr>
                <w:rFonts w:ascii="Arial" w:cs="Arial" w:eastAsia="Arial" w:hAnsi="Arial"/>
                <w:sz w:val="14"/>
                <w:szCs w:val="14"/>
                <w:b w:val="1"/>
                <w:bCs w:val="1"/>
                <w:color w:val="auto"/>
              </w:rPr>
              <w:t>Three Months Ended October 31,</w:t>
            </w:r>
          </w:p>
        </w:tc>
        <w:tc>
          <w:tcPr>
            <w:tcW w:w="4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340" w:type="dxa"/>
            <w:vAlign w:val="bottom"/>
            <w:tcBorders>
              <w:bottom w:val="single" w:sz="8" w:color="auto"/>
            </w:tcBorders>
            <w:gridSpan w:val="2"/>
          </w:tcPr>
          <w:p>
            <w:pPr>
              <w:jc w:val="right"/>
              <w:ind w:right="508"/>
              <w:spacing w:after="0"/>
              <w:rPr>
                <w:sz w:val="20"/>
                <w:szCs w:val="20"/>
                <w:color w:val="auto"/>
              </w:rPr>
            </w:pPr>
            <w:r>
              <w:rPr>
                <w:rFonts w:ascii="Arial" w:cs="Arial" w:eastAsia="Arial" w:hAnsi="Arial"/>
                <w:sz w:val="14"/>
                <w:szCs w:val="14"/>
                <w:b w:val="1"/>
                <w:bCs w:val="1"/>
                <w:color w:val="auto"/>
              </w:rPr>
              <w:t>Nine Months Ended October 31,</w:t>
            </w:r>
          </w:p>
        </w:tc>
      </w:tr>
      <w:tr>
        <w:trPr>
          <w:trHeight w:val="217"/>
        </w:trPr>
        <w:tc>
          <w:tcPr>
            <w:tcW w:w="1660" w:type="dxa"/>
            <w:vAlign w:val="bottom"/>
          </w:tcPr>
          <w:p>
            <w:pPr>
              <w:jc w:val="right"/>
              <w:ind w:right="628"/>
              <w:spacing w:after="0"/>
              <w:rPr>
                <w:sz w:val="20"/>
                <w:szCs w:val="20"/>
                <w:color w:val="auto"/>
              </w:rPr>
            </w:pPr>
            <w:r>
              <w:rPr>
                <w:rFonts w:ascii="Arial" w:cs="Arial" w:eastAsia="Arial" w:hAnsi="Arial"/>
                <w:sz w:val="14"/>
                <w:szCs w:val="14"/>
                <w:b w:val="1"/>
                <w:bCs w:val="1"/>
                <w:color w:val="auto"/>
              </w:rPr>
              <w:t>2021</w:t>
            </w:r>
          </w:p>
        </w:tc>
        <w:tc>
          <w:tcPr>
            <w:tcW w:w="1220" w:type="dxa"/>
            <w:vAlign w:val="bottom"/>
          </w:tcPr>
          <w:p>
            <w:pPr>
              <w:jc w:val="right"/>
              <w:ind w:right="148"/>
              <w:spacing w:after="0"/>
              <w:rPr>
                <w:sz w:val="20"/>
                <w:szCs w:val="20"/>
                <w:color w:val="auto"/>
              </w:rPr>
            </w:pPr>
            <w:r>
              <w:rPr>
                <w:rFonts w:ascii="Arial" w:cs="Arial" w:eastAsia="Arial" w:hAnsi="Arial"/>
                <w:sz w:val="14"/>
                <w:szCs w:val="14"/>
                <w:b w:val="1"/>
                <w:bCs w:val="1"/>
                <w:color w:val="auto"/>
              </w:rPr>
              <w:t>2020</w:t>
            </w:r>
          </w:p>
        </w:tc>
        <w:tc>
          <w:tcPr>
            <w:tcW w:w="2180" w:type="dxa"/>
            <w:vAlign w:val="bottom"/>
            <w:gridSpan w:val="3"/>
          </w:tcPr>
          <w:p>
            <w:pPr>
              <w:jc w:val="right"/>
              <w:ind w:right="628"/>
              <w:spacing w:after="0"/>
              <w:rPr>
                <w:sz w:val="20"/>
                <w:szCs w:val="20"/>
                <w:color w:val="auto"/>
              </w:rPr>
            </w:pPr>
            <w:r>
              <w:rPr>
                <w:rFonts w:ascii="Arial" w:cs="Arial" w:eastAsia="Arial" w:hAnsi="Arial"/>
                <w:sz w:val="14"/>
                <w:szCs w:val="14"/>
                <w:b w:val="1"/>
                <w:bCs w:val="1"/>
                <w:color w:val="auto"/>
              </w:rPr>
              <w:t>2021</w:t>
            </w:r>
          </w:p>
        </w:tc>
        <w:tc>
          <w:tcPr>
            <w:tcW w:w="1680" w:type="dxa"/>
            <w:vAlign w:val="bottom"/>
          </w:tcPr>
          <w:p>
            <w:pPr>
              <w:jc w:val="right"/>
              <w:ind w:right="588"/>
              <w:spacing w:after="0"/>
              <w:rPr>
                <w:sz w:val="20"/>
                <w:szCs w:val="20"/>
                <w:color w:val="auto"/>
              </w:rPr>
            </w:pPr>
            <w:r>
              <w:rPr>
                <w:rFonts w:ascii="Arial" w:cs="Arial" w:eastAsia="Arial" w:hAnsi="Arial"/>
                <w:sz w:val="14"/>
                <w:szCs w:val="14"/>
                <w:b w:val="1"/>
                <w:bCs w:val="1"/>
                <w:color w:val="auto"/>
              </w:rPr>
              <w:t>2020</w:t>
            </w:r>
          </w:p>
        </w:tc>
      </w:tr>
      <w:tr>
        <w:trPr>
          <w:trHeight w:val="26"/>
        </w:trPr>
        <w:tc>
          <w:tcPr>
            <w:tcW w:w="16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11"/>
        </w:trPr>
        <w:tc>
          <w:tcPr>
            <w:tcW w:w="16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180" w:type="dxa"/>
            <w:vAlign w:val="bottom"/>
            <w:gridSpan w:val="3"/>
          </w:tcPr>
          <w:p>
            <w:pPr>
              <w:jc w:val="right"/>
              <w:ind w:right="1208"/>
              <w:spacing w:after="0"/>
              <w:rPr>
                <w:sz w:val="20"/>
                <w:szCs w:val="20"/>
                <w:color w:val="auto"/>
              </w:rPr>
            </w:pPr>
            <w:r>
              <w:rPr>
                <w:rFonts w:ascii="Arial" w:cs="Arial" w:eastAsia="Arial" w:hAnsi="Arial"/>
                <w:sz w:val="14"/>
                <w:szCs w:val="14"/>
                <w:b w:val="1"/>
                <w:bCs w:val="1"/>
                <w:color w:val="auto"/>
              </w:rPr>
              <w:t>(in millions)</w:t>
            </w:r>
          </w:p>
        </w:tc>
        <w:tc>
          <w:tcPr>
            <w:tcW w:w="1680" w:type="dxa"/>
            <w:vAlign w:val="bottom"/>
          </w:tcPr>
          <w:p>
            <w:pPr>
              <w:spacing w:after="0"/>
              <w:rPr>
                <w:sz w:val="18"/>
                <w:szCs w:val="18"/>
                <w:color w:val="auto"/>
              </w:rPr>
            </w:pPr>
          </w:p>
        </w:tc>
      </w:tr>
    </w:tbl>
    <w:p>
      <w:pPr>
        <w:spacing w:after="0" w:line="65" w:lineRule="exact"/>
        <w:rPr>
          <w:sz w:val="20"/>
          <w:szCs w:val="20"/>
          <w:color w:val="auto"/>
        </w:rPr>
      </w:pPr>
    </w:p>
    <w:p>
      <w:pPr>
        <w:sectPr>
          <w:pgSz w:w="11900" w:h="16838" w:orient="portrait"/>
          <w:cols w:equalWidth="0" w:num="1">
            <w:col w:w="11293"/>
          </w:cols>
          <w:pgMar w:left="247" w:top="611" w:right="359" w:bottom="1440" w:gutter="0" w:footer="0" w:header="0"/>
        </w:sectPr>
      </w:pPr>
    </w:p>
    <w:p>
      <w:pPr>
        <w:ind w:left="93"/>
        <w:spacing w:after="0"/>
        <w:rPr>
          <w:sz w:val="20"/>
          <w:szCs w:val="20"/>
          <w:color w:val="auto"/>
        </w:rPr>
      </w:pPr>
      <w:r>
        <w:rPr>
          <w:rFonts w:ascii="Arial" w:cs="Arial" w:eastAsia="Arial" w:hAnsi="Arial"/>
          <w:sz w:val="18"/>
          <w:szCs w:val="18"/>
          <w:color w:val="auto"/>
        </w:rPr>
        <w:t>Net loss</w:t>
      </w:r>
    </w:p>
    <w:p>
      <w:pPr>
        <w:spacing w:after="0" w:line="66" w:lineRule="exact"/>
        <w:rPr>
          <w:sz w:val="20"/>
          <w:szCs w:val="20"/>
          <w:color w:val="auto"/>
        </w:rPr>
      </w:pPr>
    </w:p>
    <w:p>
      <w:pPr>
        <w:ind w:left="93"/>
        <w:spacing w:after="0"/>
        <w:rPr>
          <w:sz w:val="20"/>
          <w:szCs w:val="20"/>
          <w:color w:val="auto"/>
        </w:rPr>
      </w:pPr>
      <w:r>
        <w:rPr>
          <w:rFonts w:ascii="Arial" w:cs="Arial" w:eastAsia="Arial" w:hAnsi="Arial"/>
          <w:sz w:val="18"/>
          <w:szCs w:val="18"/>
          <w:color w:val="auto"/>
        </w:rPr>
        <w:t xml:space="preserve">Interest (income) / expense, net </w:t>
      </w:r>
      <w:r>
        <w:rPr>
          <w:rFonts w:ascii="Arial" w:cs="Arial" w:eastAsia="Arial" w:hAnsi="Arial"/>
          <w:sz w:val="23"/>
          <w:szCs w:val="23"/>
          <w:color w:val="auto"/>
          <w:vertAlign w:val="superscript"/>
        </w:rPr>
        <w:t>(1)</w:t>
      </w:r>
    </w:p>
    <w:p>
      <w:pPr>
        <w:spacing w:after="0" w:line="29" w:lineRule="exact"/>
        <w:rPr>
          <w:sz w:val="20"/>
          <w:szCs w:val="20"/>
          <w:color w:val="auto"/>
        </w:rPr>
      </w:pPr>
    </w:p>
    <w:p>
      <w:pPr>
        <w:ind w:left="93"/>
        <w:spacing w:after="0"/>
        <w:rPr>
          <w:sz w:val="20"/>
          <w:szCs w:val="20"/>
          <w:color w:val="auto"/>
        </w:rPr>
      </w:pPr>
      <w:r>
        <w:rPr>
          <w:rFonts w:ascii="Arial" w:cs="Arial" w:eastAsia="Arial" w:hAnsi="Arial"/>
          <w:sz w:val="18"/>
          <w:szCs w:val="18"/>
          <w:color w:val="auto"/>
        </w:rPr>
        <w:t>Rental product depreciation</w:t>
      </w:r>
    </w:p>
    <w:p>
      <w:pPr>
        <w:spacing w:after="0" w:line="66" w:lineRule="exact"/>
        <w:rPr>
          <w:sz w:val="20"/>
          <w:szCs w:val="20"/>
          <w:color w:val="auto"/>
        </w:rPr>
      </w:pPr>
    </w:p>
    <w:p>
      <w:pPr>
        <w:ind w:left="93"/>
        <w:spacing w:after="0"/>
        <w:rPr>
          <w:sz w:val="20"/>
          <w:szCs w:val="20"/>
          <w:color w:val="auto"/>
        </w:rPr>
      </w:pPr>
      <w:r>
        <w:rPr>
          <w:rFonts w:ascii="Arial" w:cs="Arial" w:eastAsia="Arial" w:hAnsi="Arial"/>
          <w:sz w:val="18"/>
          <w:szCs w:val="18"/>
          <w:color w:val="auto"/>
        </w:rPr>
        <w:t xml:space="preserve">Other depreciation and amortization </w:t>
      </w:r>
      <w:r>
        <w:rPr>
          <w:rFonts w:ascii="Arial" w:cs="Arial" w:eastAsia="Arial" w:hAnsi="Arial"/>
          <w:sz w:val="23"/>
          <w:szCs w:val="23"/>
          <w:color w:val="auto"/>
          <w:vertAlign w:val="superscript"/>
        </w:rPr>
        <w:t>(2)</w:t>
      </w:r>
    </w:p>
    <w:p>
      <w:pPr>
        <w:spacing w:after="0" w:line="29" w:lineRule="exact"/>
        <w:rPr>
          <w:sz w:val="20"/>
          <w:szCs w:val="20"/>
          <w:color w:val="auto"/>
        </w:rPr>
      </w:pPr>
    </w:p>
    <w:p>
      <w:pPr>
        <w:ind w:left="93"/>
        <w:spacing w:after="0"/>
        <w:rPr>
          <w:sz w:val="20"/>
          <w:szCs w:val="20"/>
          <w:color w:val="auto"/>
        </w:rPr>
      </w:pPr>
      <w:r>
        <w:rPr>
          <w:rFonts w:ascii="Arial" w:cs="Arial" w:eastAsia="Arial" w:hAnsi="Arial"/>
          <w:sz w:val="18"/>
          <w:szCs w:val="18"/>
          <w:color w:val="auto"/>
        </w:rPr>
        <w:t xml:space="preserve">Stock compensation </w:t>
      </w:r>
      <w:r>
        <w:rPr>
          <w:rFonts w:ascii="Arial" w:cs="Arial" w:eastAsia="Arial" w:hAnsi="Arial"/>
          <w:sz w:val="23"/>
          <w:szCs w:val="23"/>
          <w:color w:val="auto"/>
          <w:vertAlign w:val="superscript"/>
        </w:rPr>
        <w:t>(3)</w:t>
      </w:r>
    </w:p>
    <w:p>
      <w:pPr>
        <w:spacing w:after="0" w:line="9" w:lineRule="exact"/>
        <w:rPr>
          <w:sz w:val="20"/>
          <w:szCs w:val="20"/>
          <w:color w:val="auto"/>
        </w:rPr>
      </w:pPr>
    </w:p>
    <w:p>
      <w:pPr>
        <w:ind w:left="93"/>
        <w:spacing w:after="0"/>
        <w:rPr>
          <w:sz w:val="20"/>
          <w:szCs w:val="20"/>
          <w:color w:val="auto"/>
        </w:rPr>
      </w:pPr>
      <w:r>
        <w:rPr>
          <w:rFonts w:ascii="Arial" w:cs="Arial" w:eastAsia="Arial" w:hAnsi="Arial"/>
          <w:sz w:val="18"/>
          <w:szCs w:val="18"/>
          <w:color w:val="auto"/>
        </w:rPr>
        <w:t xml:space="preserve">Write-off of liquidated assets </w:t>
      </w:r>
      <w:r>
        <w:rPr>
          <w:rFonts w:ascii="Arial" w:cs="Arial" w:eastAsia="Arial" w:hAnsi="Arial"/>
          <w:sz w:val="23"/>
          <w:szCs w:val="23"/>
          <w:color w:val="auto"/>
          <w:vertAlign w:val="superscript"/>
        </w:rPr>
        <w:t>(4)</w:t>
      </w:r>
    </w:p>
    <w:p>
      <w:pPr>
        <w:spacing w:after="0" w:line="29" w:lineRule="exact"/>
        <w:rPr>
          <w:sz w:val="20"/>
          <w:szCs w:val="20"/>
          <w:color w:val="auto"/>
        </w:rPr>
      </w:pPr>
    </w:p>
    <w:p>
      <w:pPr>
        <w:ind w:left="93"/>
        <w:spacing w:after="0"/>
        <w:rPr>
          <w:sz w:val="20"/>
          <w:szCs w:val="20"/>
          <w:color w:val="auto"/>
        </w:rPr>
      </w:pPr>
      <w:r>
        <w:rPr>
          <w:rFonts w:ascii="Arial" w:cs="Arial" w:eastAsia="Arial" w:hAnsi="Arial"/>
          <w:sz w:val="18"/>
          <w:szCs w:val="18"/>
          <w:color w:val="auto"/>
        </w:rPr>
        <w:t xml:space="preserve">Non-recurring adjustments </w:t>
      </w:r>
      <w:r>
        <w:rPr>
          <w:rFonts w:ascii="Arial" w:cs="Arial" w:eastAsia="Arial" w:hAnsi="Arial"/>
          <w:sz w:val="23"/>
          <w:szCs w:val="23"/>
          <w:color w:val="auto"/>
          <w:vertAlign w:val="superscript"/>
        </w:rPr>
        <w:t>(5)</w:t>
      </w:r>
    </w:p>
    <w:p>
      <w:pPr>
        <w:spacing w:after="0" w:line="19" w:lineRule="exact"/>
        <w:rPr>
          <w:sz w:val="20"/>
          <w:szCs w:val="20"/>
          <w:color w:val="auto"/>
        </w:rPr>
      </w:pPr>
    </w:p>
    <w:p>
      <w:pPr>
        <w:ind w:left="93"/>
        <w:spacing w:after="0"/>
        <w:rPr>
          <w:sz w:val="20"/>
          <w:szCs w:val="20"/>
          <w:color w:val="auto"/>
        </w:rPr>
      </w:pPr>
      <w:r>
        <w:rPr>
          <w:rFonts w:ascii="Arial" w:cs="Arial" w:eastAsia="Arial" w:hAnsi="Arial"/>
          <w:sz w:val="18"/>
          <w:szCs w:val="18"/>
          <w:color w:val="auto"/>
        </w:rPr>
        <w:t>Benefit from income taxes</w:t>
      </w:r>
    </w:p>
    <w:p>
      <w:pPr>
        <w:spacing w:after="0" w:line="66" w:lineRule="exact"/>
        <w:rPr>
          <w:sz w:val="20"/>
          <w:szCs w:val="20"/>
          <w:color w:val="auto"/>
        </w:rPr>
      </w:pPr>
    </w:p>
    <w:p>
      <w:pPr>
        <w:ind w:left="93"/>
        <w:spacing w:after="0"/>
        <w:rPr>
          <w:sz w:val="20"/>
          <w:szCs w:val="20"/>
          <w:color w:val="auto"/>
        </w:rPr>
      </w:pPr>
      <w:r>
        <w:rPr>
          <w:rFonts w:ascii="Arial" w:cs="Arial" w:eastAsia="Arial" w:hAnsi="Arial"/>
          <w:sz w:val="17"/>
          <w:szCs w:val="17"/>
          <w:color w:val="auto"/>
        </w:rPr>
        <w:t xml:space="preserve">(Gain) / loss on warrant liability revaluation, net </w:t>
      </w:r>
      <w:r>
        <w:rPr>
          <w:rFonts w:ascii="Arial" w:cs="Arial" w:eastAsia="Arial" w:hAnsi="Arial"/>
          <w:sz w:val="22"/>
          <w:szCs w:val="22"/>
          <w:color w:val="auto"/>
          <w:vertAlign w:val="superscript"/>
        </w:rPr>
        <w:t>(6)</w:t>
      </w:r>
    </w:p>
    <w:p>
      <w:pPr>
        <w:spacing w:after="0" w:line="31" w:lineRule="exact"/>
        <w:rPr>
          <w:sz w:val="20"/>
          <w:szCs w:val="20"/>
          <w:color w:val="auto"/>
        </w:rPr>
      </w:pPr>
    </w:p>
    <w:p>
      <w:pPr>
        <w:ind w:left="93"/>
        <w:spacing w:after="0"/>
        <w:rPr>
          <w:sz w:val="20"/>
          <w:szCs w:val="20"/>
          <w:color w:val="auto"/>
        </w:rPr>
      </w:pPr>
      <w:r>
        <w:rPr>
          <w:rFonts w:ascii="Arial" w:cs="Arial" w:eastAsia="Arial" w:hAnsi="Arial"/>
          <w:sz w:val="18"/>
          <w:szCs w:val="18"/>
          <w:color w:val="auto"/>
        </w:rPr>
        <w:t xml:space="preserve">(Gain) / loss on debt extinguishment, net </w:t>
      </w:r>
      <w:r>
        <w:rPr>
          <w:rFonts w:ascii="Arial" w:cs="Arial" w:eastAsia="Arial" w:hAnsi="Arial"/>
          <w:sz w:val="23"/>
          <w:szCs w:val="23"/>
          <w:color w:val="auto"/>
          <w:vertAlign w:val="superscript"/>
        </w:rPr>
        <w:t>(7)</w:t>
      </w:r>
    </w:p>
    <w:p>
      <w:pPr>
        <w:spacing w:after="0" w:line="29" w:lineRule="exact"/>
        <w:rPr>
          <w:sz w:val="20"/>
          <w:szCs w:val="20"/>
          <w:color w:val="auto"/>
        </w:rPr>
      </w:pPr>
    </w:p>
    <w:p>
      <w:pPr>
        <w:ind w:left="93"/>
        <w:spacing w:after="0"/>
        <w:rPr>
          <w:sz w:val="20"/>
          <w:szCs w:val="20"/>
          <w:color w:val="auto"/>
        </w:rPr>
      </w:pPr>
      <w:r>
        <w:rPr>
          <w:rFonts w:ascii="Arial" w:cs="Arial" w:eastAsia="Arial" w:hAnsi="Arial"/>
          <w:sz w:val="18"/>
          <w:szCs w:val="18"/>
          <w:color w:val="auto"/>
        </w:rPr>
        <w:t xml:space="preserve">Other (income) / expense, net </w:t>
      </w:r>
      <w:r>
        <w:rPr>
          <w:rFonts w:ascii="Arial" w:cs="Arial" w:eastAsia="Arial" w:hAnsi="Arial"/>
          <w:sz w:val="23"/>
          <w:szCs w:val="23"/>
          <w:color w:val="auto"/>
          <w:vertAlign w:val="superscript"/>
        </w:rPr>
        <w:t>(8)</w:t>
      </w:r>
    </w:p>
    <w:p>
      <w:pPr>
        <w:spacing w:after="0" w:line="9" w:lineRule="exact"/>
        <w:rPr>
          <w:sz w:val="20"/>
          <w:szCs w:val="20"/>
          <w:color w:val="auto"/>
        </w:rPr>
      </w:pPr>
    </w:p>
    <w:p>
      <w:pPr>
        <w:ind w:left="93"/>
        <w:spacing w:after="0"/>
        <w:rPr>
          <w:sz w:val="20"/>
          <w:szCs w:val="20"/>
          <w:color w:val="auto"/>
        </w:rPr>
      </w:pPr>
      <w:r>
        <w:rPr>
          <w:rFonts w:ascii="Arial" w:cs="Arial" w:eastAsia="Arial" w:hAnsi="Arial"/>
          <w:sz w:val="18"/>
          <w:szCs w:val="18"/>
          <w:color w:val="auto"/>
        </w:rPr>
        <w:t xml:space="preserve">Other (gains) / losses </w:t>
      </w:r>
      <w:r>
        <w:rPr>
          <w:rFonts w:ascii="Arial" w:cs="Arial" w:eastAsia="Arial" w:hAnsi="Arial"/>
          <w:sz w:val="23"/>
          <w:szCs w:val="23"/>
          <w:color w:val="auto"/>
          <w:vertAlign w:val="superscript"/>
        </w:rPr>
        <w:t>(9)</w:t>
      </w:r>
    </w:p>
    <w:p>
      <w:pPr>
        <w:spacing w:after="0" w:line="70" w:lineRule="exact"/>
        <w:rPr>
          <w:sz w:val="20"/>
          <w:szCs w:val="20"/>
          <w:color w:val="auto"/>
        </w:rPr>
      </w:pPr>
    </w:p>
    <w:p>
      <w:pPr>
        <w:ind w:left="93"/>
        <w:spacing w:after="0"/>
        <w:rPr>
          <w:sz w:val="20"/>
          <w:szCs w:val="20"/>
          <w:color w:val="auto"/>
        </w:rPr>
      </w:pPr>
      <w:r>
        <w:rPr>
          <w:rFonts w:ascii="Arial" w:cs="Arial" w:eastAsia="Arial" w:hAnsi="Arial"/>
          <w:sz w:val="18"/>
          <w:szCs w:val="18"/>
          <w:color w:val="auto"/>
        </w:rPr>
        <w:t>Adjusted EBITDA</w:t>
      </w:r>
    </w:p>
    <w:p>
      <w:pPr>
        <w:spacing w:after="0" w:line="104" w:lineRule="exact"/>
        <w:rPr>
          <w:sz w:val="20"/>
          <w:szCs w:val="20"/>
          <w:color w:val="auto"/>
        </w:rPr>
      </w:pPr>
    </w:p>
    <w:p>
      <w:pPr>
        <w:ind w:left="93"/>
        <w:spacing w:after="0"/>
        <w:rPr>
          <w:sz w:val="20"/>
          <w:szCs w:val="20"/>
          <w:color w:val="auto"/>
        </w:rPr>
      </w:pPr>
      <w:r>
        <w:rPr>
          <w:rFonts w:ascii="Arial" w:cs="Arial" w:eastAsia="Arial" w:hAnsi="Arial"/>
          <w:sz w:val="18"/>
          <w:szCs w:val="18"/>
          <w:color w:val="auto"/>
        </w:rPr>
        <w:t xml:space="preserve">Adjusted EBITDA Margin </w:t>
      </w:r>
      <w:r>
        <w:rPr>
          <w:rFonts w:ascii="Arial" w:cs="Arial" w:eastAsia="Arial" w:hAnsi="Arial"/>
          <w:sz w:val="23"/>
          <w:szCs w:val="23"/>
          <w:color w:val="auto"/>
          <w:vertAlign w:val="superscript"/>
        </w:rPr>
        <w:t>(10)</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7"/>
        </w:trPr>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90"/>
              <w:spacing w:after="0"/>
              <w:rPr>
                <w:sz w:val="20"/>
                <w:szCs w:val="20"/>
                <w:color w:val="auto"/>
              </w:rPr>
            </w:pPr>
            <w:r>
              <w:rPr>
                <w:rFonts w:ascii="Arial" w:cs="Arial" w:eastAsia="Arial" w:hAnsi="Arial"/>
                <w:sz w:val="18"/>
                <w:szCs w:val="18"/>
                <w:color w:val="auto"/>
              </w:rPr>
              <w:t>(87.8)</w:t>
            </w:r>
          </w:p>
        </w:tc>
        <w:tc>
          <w:tcPr>
            <w:tcW w:w="100" w:type="dxa"/>
            <w:vAlign w:val="bottom"/>
          </w:tcPr>
          <w:p>
            <w:pPr>
              <w:spacing w:after="0"/>
              <w:rPr>
                <w:sz w:val="18"/>
                <w:szCs w:val="18"/>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90"/>
              <w:spacing w:after="0"/>
              <w:rPr>
                <w:sz w:val="20"/>
                <w:szCs w:val="20"/>
                <w:color w:val="auto"/>
              </w:rPr>
            </w:pPr>
            <w:r>
              <w:rPr>
                <w:rFonts w:ascii="Arial" w:cs="Arial" w:eastAsia="Arial" w:hAnsi="Arial"/>
                <w:sz w:val="18"/>
                <w:szCs w:val="18"/>
                <w:color w:val="auto"/>
              </w:rPr>
              <w:t>(44.3)</w:t>
            </w:r>
          </w:p>
        </w:tc>
        <w:tc>
          <w:tcPr>
            <w:tcW w:w="100" w:type="dxa"/>
            <w:vAlign w:val="bottom"/>
          </w:tcPr>
          <w:p>
            <w:pPr>
              <w:spacing w:after="0"/>
              <w:rPr>
                <w:sz w:val="18"/>
                <w:szCs w:val="18"/>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10"/>
              <w:spacing w:after="0"/>
              <w:rPr>
                <w:sz w:val="20"/>
                <w:szCs w:val="20"/>
                <w:color w:val="auto"/>
              </w:rPr>
            </w:pPr>
            <w:r>
              <w:rPr>
                <w:rFonts w:ascii="Arial" w:cs="Arial" w:eastAsia="Arial" w:hAnsi="Arial"/>
                <w:sz w:val="18"/>
                <w:szCs w:val="18"/>
                <w:color w:val="auto"/>
              </w:rPr>
              <w:t>(172.5)</w:t>
            </w:r>
          </w:p>
        </w:tc>
        <w:tc>
          <w:tcPr>
            <w:tcW w:w="100" w:type="dxa"/>
            <w:vAlign w:val="bottom"/>
          </w:tcPr>
          <w:p>
            <w:pPr>
              <w:spacing w:after="0"/>
              <w:rPr>
                <w:sz w:val="18"/>
                <w:szCs w:val="18"/>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10"/>
              <w:spacing w:after="0"/>
              <w:rPr>
                <w:sz w:val="20"/>
                <w:szCs w:val="20"/>
                <w:color w:val="auto"/>
              </w:rPr>
            </w:pPr>
            <w:r>
              <w:rPr>
                <w:rFonts w:ascii="Arial" w:cs="Arial" w:eastAsia="Arial" w:hAnsi="Arial"/>
                <w:sz w:val="18"/>
                <w:szCs w:val="18"/>
                <w:color w:val="auto"/>
              </w:rPr>
              <w:t>(132.3)</w:t>
            </w:r>
          </w:p>
        </w:tc>
      </w:tr>
      <w:tr>
        <w:trPr>
          <w:trHeight w:val="284"/>
        </w:trPr>
        <w:tc>
          <w:tcPr>
            <w:tcW w:w="540" w:type="dxa"/>
            <w:vAlign w:val="bottom"/>
          </w:tcPr>
          <w:p>
            <w:pPr>
              <w:spacing w:after="0"/>
              <w:rPr>
                <w:sz w:val="24"/>
                <w:szCs w:val="24"/>
                <w:color w:val="auto"/>
              </w:rPr>
            </w:pPr>
          </w:p>
        </w:tc>
        <w:tc>
          <w:tcPr>
            <w:tcW w:w="1060" w:type="dxa"/>
            <w:vAlign w:val="bottom"/>
          </w:tcPr>
          <w:p>
            <w:pPr>
              <w:jc w:val="right"/>
              <w:ind w:right="150"/>
              <w:spacing w:after="0"/>
              <w:rPr>
                <w:sz w:val="20"/>
                <w:szCs w:val="20"/>
                <w:color w:val="auto"/>
              </w:rPr>
            </w:pPr>
            <w:r>
              <w:rPr>
                <w:rFonts w:ascii="Arial" w:cs="Arial" w:eastAsia="Arial" w:hAnsi="Arial"/>
                <w:sz w:val="18"/>
                <w:szCs w:val="18"/>
                <w:color w:val="auto"/>
              </w:rPr>
              <w:t>14.3</w:t>
            </w: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60" w:type="dxa"/>
            <w:vAlign w:val="bottom"/>
          </w:tcPr>
          <w:p>
            <w:pPr>
              <w:jc w:val="right"/>
              <w:ind w:right="150"/>
              <w:spacing w:after="0"/>
              <w:rPr>
                <w:sz w:val="20"/>
                <w:szCs w:val="20"/>
                <w:color w:val="auto"/>
              </w:rPr>
            </w:pPr>
            <w:r>
              <w:rPr>
                <w:rFonts w:ascii="Arial" w:cs="Arial" w:eastAsia="Arial" w:hAnsi="Arial"/>
                <w:sz w:val="18"/>
                <w:szCs w:val="18"/>
                <w:color w:val="auto"/>
              </w:rPr>
              <w:t>11.8</w:t>
            </w: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40" w:type="dxa"/>
            <w:vAlign w:val="bottom"/>
          </w:tcPr>
          <w:p>
            <w:pPr>
              <w:jc w:val="right"/>
              <w:ind w:right="150"/>
              <w:spacing w:after="0"/>
              <w:rPr>
                <w:sz w:val="20"/>
                <w:szCs w:val="20"/>
                <w:color w:val="auto"/>
              </w:rPr>
            </w:pPr>
            <w:r>
              <w:rPr>
                <w:rFonts w:ascii="Arial" w:cs="Arial" w:eastAsia="Arial" w:hAnsi="Arial"/>
                <w:sz w:val="18"/>
                <w:szCs w:val="18"/>
                <w:color w:val="auto"/>
              </w:rPr>
              <w:t>43.7</w:t>
            </w: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40" w:type="dxa"/>
            <w:vAlign w:val="bottom"/>
          </w:tcPr>
          <w:p>
            <w:pPr>
              <w:jc w:val="right"/>
              <w:ind w:right="150"/>
              <w:spacing w:after="0"/>
              <w:rPr>
                <w:sz w:val="20"/>
                <w:szCs w:val="20"/>
                <w:color w:val="auto"/>
              </w:rPr>
            </w:pPr>
            <w:r>
              <w:rPr>
                <w:rFonts w:ascii="Arial" w:cs="Arial" w:eastAsia="Arial" w:hAnsi="Arial"/>
                <w:sz w:val="18"/>
                <w:szCs w:val="18"/>
                <w:color w:val="auto"/>
              </w:rPr>
              <w:t>32.2</w:t>
            </w:r>
          </w:p>
        </w:tc>
      </w:tr>
      <w:tr>
        <w:trPr>
          <w:trHeight w:val="283"/>
        </w:trPr>
        <w:tc>
          <w:tcPr>
            <w:tcW w:w="540" w:type="dxa"/>
            <w:vAlign w:val="bottom"/>
          </w:tcPr>
          <w:p>
            <w:pPr>
              <w:spacing w:after="0"/>
              <w:rPr>
                <w:sz w:val="24"/>
                <w:szCs w:val="24"/>
                <w:color w:val="auto"/>
              </w:rPr>
            </w:pPr>
          </w:p>
        </w:tc>
        <w:tc>
          <w:tcPr>
            <w:tcW w:w="1060" w:type="dxa"/>
            <w:vAlign w:val="bottom"/>
          </w:tcPr>
          <w:p>
            <w:pPr>
              <w:jc w:val="right"/>
              <w:ind w:right="150"/>
              <w:spacing w:after="0"/>
              <w:rPr>
                <w:sz w:val="20"/>
                <w:szCs w:val="20"/>
                <w:color w:val="auto"/>
              </w:rPr>
            </w:pPr>
            <w:r>
              <w:rPr>
                <w:rFonts w:ascii="Arial" w:cs="Arial" w:eastAsia="Arial" w:hAnsi="Arial"/>
                <w:sz w:val="18"/>
                <w:szCs w:val="18"/>
                <w:color w:val="auto"/>
              </w:rPr>
              <w:t>13.7</w:t>
            </w: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60" w:type="dxa"/>
            <w:vAlign w:val="bottom"/>
          </w:tcPr>
          <w:p>
            <w:pPr>
              <w:jc w:val="right"/>
              <w:ind w:right="150"/>
              <w:spacing w:after="0"/>
              <w:rPr>
                <w:sz w:val="20"/>
                <w:szCs w:val="20"/>
                <w:color w:val="auto"/>
              </w:rPr>
            </w:pPr>
            <w:r>
              <w:rPr>
                <w:rFonts w:ascii="Arial" w:cs="Arial" w:eastAsia="Arial" w:hAnsi="Arial"/>
                <w:sz w:val="18"/>
                <w:szCs w:val="18"/>
                <w:color w:val="auto"/>
              </w:rPr>
              <w:t>16.8</w:t>
            </w: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40" w:type="dxa"/>
            <w:vAlign w:val="bottom"/>
          </w:tcPr>
          <w:p>
            <w:pPr>
              <w:jc w:val="right"/>
              <w:ind w:right="150"/>
              <w:spacing w:after="0"/>
              <w:rPr>
                <w:sz w:val="20"/>
                <w:szCs w:val="20"/>
                <w:color w:val="auto"/>
              </w:rPr>
            </w:pPr>
            <w:r>
              <w:rPr>
                <w:rFonts w:ascii="Arial" w:cs="Arial" w:eastAsia="Arial" w:hAnsi="Arial"/>
                <w:sz w:val="18"/>
                <w:szCs w:val="18"/>
                <w:color w:val="auto"/>
              </w:rPr>
              <w:t>37.6</w:t>
            </w: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40" w:type="dxa"/>
            <w:vAlign w:val="bottom"/>
          </w:tcPr>
          <w:p>
            <w:pPr>
              <w:jc w:val="right"/>
              <w:ind w:right="150"/>
              <w:spacing w:after="0"/>
              <w:rPr>
                <w:sz w:val="20"/>
                <w:szCs w:val="20"/>
                <w:color w:val="auto"/>
              </w:rPr>
            </w:pPr>
            <w:r>
              <w:rPr>
                <w:rFonts w:ascii="Arial" w:cs="Arial" w:eastAsia="Arial" w:hAnsi="Arial"/>
                <w:sz w:val="18"/>
                <w:szCs w:val="18"/>
                <w:color w:val="auto"/>
              </w:rPr>
              <w:t>54.8</w:t>
            </w:r>
          </w:p>
        </w:tc>
      </w:tr>
      <w:tr>
        <w:trPr>
          <w:trHeight w:val="283"/>
        </w:trPr>
        <w:tc>
          <w:tcPr>
            <w:tcW w:w="540" w:type="dxa"/>
            <w:vAlign w:val="bottom"/>
          </w:tcPr>
          <w:p>
            <w:pPr>
              <w:spacing w:after="0"/>
              <w:rPr>
                <w:sz w:val="24"/>
                <w:szCs w:val="24"/>
                <w:color w:val="auto"/>
              </w:rPr>
            </w:pPr>
          </w:p>
        </w:tc>
        <w:tc>
          <w:tcPr>
            <w:tcW w:w="1060" w:type="dxa"/>
            <w:vAlign w:val="bottom"/>
          </w:tcPr>
          <w:p>
            <w:pPr>
              <w:jc w:val="right"/>
              <w:ind w:right="150"/>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60" w:type="dxa"/>
            <w:vAlign w:val="bottom"/>
          </w:tcPr>
          <w:p>
            <w:pPr>
              <w:jc w:val="right"/>
              <w:ind w:right="150"/>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40" w:type="dxa"/>
            <w:vAlign w:val="bottom"/>
          </w:tcPr>
          <w:p>
            <w:pPr>
              <w:jc w:val="right"/>
              <w:ind w:right="150"/>
              <w:spacing w:after="0"/>
              <w:rPr>
                <w:sz w:val="20"/>
                <w:szCs w:val="20"/>
                <w:color w:val="auto"/>
              </w:rPr>
            </w:pPr>
            <w:r>
              <w:rPr>
                <w:rFonts w:ascii="Arial" w:cs="Arial" w:eastAsia="Arial" w:hAnsi="Arial"/>
                <w:sz w:val="18"/>
                <w:szCs w:val="18"/>
                <w:color w:val="auto"/>
              </w:rPr>
              <w:t>14.6</w:t>
            </w: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40" w:type="dxa"/>
            <w:vAlign w:val="bottom"/>
          </w:tcPr>
          <w:p>
            <w:pPr>
              <w:jc w:val="right"/>
              <w:ind w:right="150"/>
              <w:spacing w:after="0"/>
              <w:rPr>
                <w:sz w:val="20"/>
                <w:szCs w:val="20"/>
                <w:color w:val="auto"/>
              </w:rPr>
            </w:pPr>
            <w:r>
              <w:rPr>
                <w:rFonts w:ascii="Arial" w:cs="Arial" w:eastAsia="Arial" w:hAnsi="Arial"/>
                <w:sz w:val="18"/>
                <w:szCs w:val="18"/>
                <w:color w:val="auto"/>
              </w:rPr>
              <w:t>17.4</w:t>
            </w:r>
          </w:p>
        </w:tc>
      </w:tr>
      <w:tr>
        <w:trPr>
          <w:trHeight w:val="283"/>
        </w:trPr>
        <w:tc>
          <w:tcPr>
            <w:tcW w:w="540" w:type="dxa"/>
            <w:vAlign w:val="bottom"/>
          </w:tcPr>
          <w:p>
            <w:pPr>
              <w:spacing w:after="0"/>
              <w:rPr>
                <w:sz w:val="24"/>
                <w:szCs w:val="24"/>
                <w:color w:val="auto"/>
              </w:rPr>
            </w:pPr>
          </w:p>
        </w:tc>
        <w:tc>
          <w:tcPr>
            <w:tcW w:w="1060" w:type="dxa"/>
            <w:vAlign w:val="bottom"/>
          </w:tcPr>
          <w:p>
            <w:pPr>
              <w:jc w:val="right"/>
              <w:ind w:right="150"/>
              <w:spacing w:after="0"/>
              <w:rPr>
                <w:sz w:val="20"/>
                <w:szCs w:val="20"/>
                <w:color w:val="auto"/>
              </w:rPr>
            </w:pPr>
            <w:r>
              <w:rPr>
                <w:rFonts w:ascii="Arial" w:cs="Arial" w:eastAsia="Arial" w:hAnsi="Arial"/>
                <w:sz w:val="18"/>
                <w:szCs w:val="18"/>
                <w:color w:val="auto"/>
              </w:rPr>
              <w:t>17.1</w:t>
            </w: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60" w:type="dxa"/>
            <w:vAlign w:val="bottom"/>
          </w:tcPr>
          <w:p>
            <w:pPr>
              <w:jc w:val="right"/>
              <w:ind w:right="150"/>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40" w:type="dxa"/>
            <w:vAlign w:val="bottom"/>
          </w:tcPr>
          <w:p>
            <w:pPr>
              <w:jc w:val="right"/>
              <w:ind w:right="150"/>
              <w:spacing w:after="0"/>
              <w:rPr>
                <w:sz w:val="20"/>
                <w:szCs w:val="20"/>
                <w:color w:val="auto"/>
              </w:rPr>
            </w:pPr>
            <w:r>
              <w:rPr>
                <w:rFonts w:ascii="Arial" w:cs="Arial" w:eastAsia="Arial" w:hAnsi="Arial"/>
                <w:sz w:val="18"/>
                <w:szCs w:val="18"/>
                <w:color w:val="auto"/>
              </w:rPr>
              <w:t>21.4</w:t>
            </w: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40" w:type="dxa"/>
            <w:vAlign w:val="bottom"/>
          </w:tcPr>
          <w:p>
            <w:pPr>
              <w:jc w:val="right"/>
              <w:ind w:right="150"/>
              <w:spacing w:after="0"/>
              <w:rPr>
                <w:sz w:val="20"/>
                <w:szCs w:val="20"/>
                <w:color w:val="auto"/>
              </w:rPr>
            </w:pPr>
            <w:r>
              <w:rPr>
                <w:rFonts w:ascii="Arial" w:cs="Arial" w:eastAsia="Arial" w:hAnsi="Arial"/>
                <w:sz w:val="18"/>
                <w:szCs w:val="18"/>
                <w:color w:val="auto"/>
              </w:rPr>
              <w:t>6.3</w:t>
            </w:r>
          </w:p>
        </w:tc>
      </w:tr>
      <w:tr>
        <w:trPr>
          <w:trHeight w:val="283"/>
        </w:trPr>
        <w:tc>
          <w:tcPr>
            <w:tcW w:w="540" w:type="dxa"/>
            <w:vAlign w:val="bottom"/>
          </w:tcPr>
          <w:p>
            <w:pPr>
              <w:spacing w:after="0"/>
              <w:rPr>
                <w:sz w:val="24"/>
                <w:szCs w:val="24"/>
                <w:color w:val="auto"/>
              </w:rPr>
            </w:pPr>
          </w:p>
        </w:tc>
        <w:tc>
          <w:tcPr>
            <w:tcW w:w="1060" w:type="dxa"/>
            <w:vAlign w:val="bottom"/>
          </w:tcPr>
          <w:p>
            <w:pPr>
              <w:jc w:val="right"/>
              <w:ind w:right="15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60" w:type="dxa"/>
            <w:vAlign w:val="bottom"/>
          </w:tcPr>
          <w:p>
            <w:pPr>
              <w:jc w:val="right"/>
              <w:ind w:right="150"/>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40" w:type="dxa"/>
            <w:vAlign w:val="bottom"/>
          </w:tcPr>
          <w:p>
            <w:pPr>
              <w:jc w:val="right"/>
              <w:ind w:right="150"/>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40" w:type="dxa"/>
            <w:vAlign w:val="bottom"/>
          </w:tcPr>
          <w:p>
            <w:pPr>
              <w:jc w:val="right"/>
              <w:ind w:right="150"/>
              <w:spacing w:after="0"/>
              <w:rPr>
                <w:sz w:val="20"/>
                <w:szCs w:val="20"/>
                <w:color w:val="auto"/>
              </w:rPr>
            </w:pPr>
            <w:r>
              <w:rPr>
                <w:rFonts w:ascii="Arial" w:cs="Arial" w:eastAsia="Arial" w:hAnsi="Arial"/>
                <w:sz w:val="18"/>
                <w:szCs w:val="18"/>
                <w:color w:val="auto"/>
              </w:rPr>
              <w:t>1.6</w:t>
            </w:r>
          </w:p>
        </w:tc>
      </w:tr>
      <w:tr>
        <w:trPr>
          <w:trHeight w:val="283"/>
        </w:trPr>
        <w:tc>
          <w:tcPr>
            <w:tcW w:w="540" w:type="dxa"/>
            <w:vAlign w:val="bottom"/>
          </w:tcPr>
          <w:p>
            <w:pPr>
              <w:spacing w:after="0"/>
              <w:rPr>
                <w:sz w:val="24"/>
                <w:szCs w:val="24"/>
                <w:color w:val="auto"/>
              </w:rPr>
            </w:pPr>
          </w:p>
        </w:tc>
        <w:tc>
          <w:tcPr>
            <w:tcW w:w="1060" w:type="dxa"/>
            <w:vAlign w:val="bottom"/>
          </w:tcPr>
          <w:p>
            <w:pPr>
              <w:jc w:val="right"/>
              <w:ind w:right="150"/>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60" w:type="dxa"/>
            <w:vAlign w:val="bottom"/>
          </w:tcPr>
          <w:p>
            <w:pPr>
              <w:jc w:val="right"/>
              <w:ind w:right="150"/>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40" w:type="dxa"/>
            <w:vAlign w:val="bottom"/>
          </w:tcPr>
          <w:p>
            <w:pPr>
              <w:jc w:val="right"/>
              <w:ind w:right="150"/>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40" w:type="dxa"/>
            <w:vAlign w:val="bottom"/>
          </w:tcPr>
          <w:p>
            <w:pPr>
              <w:jc w:val="right"/>
              <w:ind w:right="150"/>
              <w:spacing w:after="0"/>
              <w:rPr>
                <w:sz w:val="20"/>
                <w:szCs w:val="20"/>
                <w:color w:val="auto"/>
              </w:rPr>
            </w:pPr>
            <w:r>
              <w:rPr>
                <w:rFonts w:ascii="Arial" w:cs="Arial" w:eastAsia="Arial" w:hAnsi="Arial"/>
                <w:sz w:val="18"/>
                <w:szCs w:val="18"/>
                <w:color w:val="auto"/>
              </w:rPr>
              <w:t>3.9</w:t>
            </w:r>
          </w:p>
        </w:tc>
      </w:tr>
      <w:tr>
        <w:trPr>
          <w:trHeight w:val="284"/>
        </w:trPr>
        <w:tc>
          <w:tcPr>
            <w:tcW w:w="540" w:type="dxa"/>
            <w:vAlign w:val="bottom"/>
          </w:tcPr>
          <w:p>
            <w:pPr>
              <w:spacing w:after="0"/>
              <w:rPr>
                <w:sz w:val="24"/>
                <w:szCs w:val="24"/>
                <w:color w:val="auto"/>
              </w:rPr>
            </w:pPr>
          </w:p>
        </w:tc>
        <w:tc>
          <w:tcPr>
            <w:tcW w:w="1060" w:type="dxa"/>
            <w:vAlign w:val="bottom"/>
          </w:tcPr>
          <w:p>
            <w:pPr>
              <w:jc w:val="right"/>
              <w:ind w:right="90"/>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4"/>
                <w:szCs w:val="24"/>
                <w:color w:val="auto"/>
              </w:rPr>
            </w:pPr>
          </w:p>
        </w:tc>
        <w:tc>
          <w:tcPr>
            <w:tcW w:w="1140" w:type="dxa"/>
            <w:vAlign w:val="bottom"/>
          </w:tcPr>
          <w:p>
            <w:pPr>
              <w:jc w:val="right"/>
              <w:ind w:right="110"/>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40" w:type="dxa"/>
            <w:vAlign w:val="bottom"/>
          </w:tcPr>
          <w:p>
            <w:pPr>
              <w:jc w:val="right"/>
              <w:ind w:right="150"/>
              <w:spacing w:after="0"/>
              <w:rPr>
                <w:sz w:val="20"/>
                <w:szCs w:val="20"/>
                <w:color w:val="auto"/>
              </w:rPr>
            </w:pPr>
            <w:r>
              <w:rPr>
                <w:rFonts w:ascii="Arial" w:cs="Arial" w:eastAsia="Arial" w:hAnsi="Arial"/>
                <w:sz w:val="18"/>
                <w:szCs w:val="18"/>
                <w:color w:val="auto"/>
              </w:rPr>
              <w:t>—</w:t>
            </w:r>
          </w:p>
        </w:tc>
      </w:tr>
      <w:tr>
        <w:trPr>
          <w:trHeight w:val="283"/>
        </w:trPr>
        <w:tc>
          <w:tcPr>
            <w:tcW w:w="540" w:type="dxa"/>
            <w:vAlign w:val="bottom"/>
          </w:tcPr>
          <w:p>
            <w:pPr>
              <w:spacing w:after="0"/>
              <w:rPr>
                <w:sz w:val="24"/>
                <w:szCs w:val="24"/>
                <w:color w:val="auto"/>
              </w:rPr>
            </w:pPr>
          </w:p>
        </w:tc>
        <w:tc>
          <w:tcPr>
            <w:tcW w:w="1060" w:type="dxa"/>
            <w:vAlign w:val="bottom"/>
          </w:tcPr>
          <w:p>
            <w:pPr>
              <w:jc w:val="right"/>
              <w:ind w:right="150"/>
              <w:spacing w:after="0"/>
              <w:rPr>
                <w:sz w:val="20"/>
                <w:szCs w:val="20"/>
                <w:color w:val="auto"/>
              </w:rPr>
            </w:pPr>
            <w:r>
              <w:rPr>
                <w:rFonts w:ascii="Arial" w:cs="Arial" w:eastAsia="Arial" w:hAnsi="Arial"/>
                <w:sz w:val="18"/>
                <w:szCs w:val="18"/>
                <w:color w:val="auto"/>
              </w:rPr>
              <w:t>17.4</w:t>
            </w: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4"/>
                <w:szCs w:val="24"/>
                <w:color w:val="auto"/>
              </w:rPr>
            </w:pPr>
          </w:p>
        </w:tc>
        <w:tc>
          <w:tcPr>
            <w:tcW w:w="1140" w:type="dxa"/>
            <w:vAlign w:val="bottom"/>
          </w:tcPr>
          <w:p>
            <w:pPr>
              <w:jc w:val="right"/>
              <w:ind w:right="150"/>
              <w:spacing w:after="0"/>
              <w:rPr>
                <w:sz w:val="20"/>
                <w:szCs w:val="20"/>
                <w:color w:val="auto"/>
              </w:rPr>
            </w:pPr>
            <w:r>
              <w:rPr>
                <w:rFonts w:ascii="Arial" w:cs="Arial" w:eastAsia="Arial" w:hAnsi="Arial"/>
                <w:sz w:val="18"/>
                <w:szCs w:val="18"/>
                <w:color w:val="auto"/>
              </w:rPr>
              <w:t>24.9</w:t>
            </w: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40" w:type="dxa"/>
            <w:vAlign w:val="bottom"/>
          </w:tcPr>
          <w:p>
            <w:pPr>
              <w:jc w:val="right"/>
              <w:ind w:right="150"/>
              <w:spacing w:after="0"/>
              <w:rPr>
                <w:sz w:val="20"/>
                <w:szCs w:val="20"/>
                <w:color w:val="auto"/>
              </w:rPr>
            </w:pPr>
            <w:r>
              <w:rPr>
                <w:rFonts w:ascii="Arial" w:cs="Arial" w:eastAsia="Arial" w:hAnsi="Arial"/>
                <w:sz w:val="18"/>
                <w:szCs w:val="18"/>
                <w:color w:val="auto"/>
              </w:rPr>
              <w:t>—</w:t>
            </w:r>
          </w:p>
        </w:tc>
      </w:tr>
      <w:tr>
        <w:trPr>
          <w:trHeight w:val="283"/>
        </w:trPr>
        <w:tc>
          <w:tcPr>
            <w:tcW w:w="540" w:type="dxa"/>
            <w:vAlign w:val="bottom"/>
          </w:tcPr>
          <w:p>
            <w:pPr>
              <w:spacing w:after="0"/>
              <w:rPr>
                <w:sz w:val="24"/>
                <w:szCs w:val="24"/>
                <w:color w:val="auto"/>
              </w:rPr>
            </w:pPr>
          </w:p>
        </w:tc>
        <w:tc>
          <w:tcPr>
            <w:tcW w:w="1060" w:type="dxa"/>
            <w:vAlign w:val="bottom"/>
          </w:tcPr>
          <w:p>
            <w:pPr>
              <w:jc w:val="right"/>
              <w:ind w:right="150"/>
              <w:spacing w:after="0"/>
              <w:rPr>
                <w:sz w:val="20"/>
                <w:szCs w:val="20"/>
                <w:color w:val="auto"/>
              </w:rPr>
            </w:pPr>
            <w:r>
              <w:rPr>
                <w:rFonts w:ascii="Arial" w:cs="Arial" w:eastAsia="Arial" w:hAnsi="Arial"/>
                <w:sz w:val="18"/>
                <w:szCs w:val="18"/>
                <w:color w:val="auto"/>
              </w:rPr>
              <w:t>12.2</w:t>
            </w: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60" w:type="dxa"/>
            <w:vAlign w:val="bottom"/>
          </w:tcPr>
          <w:p>
            <w:pPr>
              <w:jc w:val="right"/>
              <w:ind w:right="150"/>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40" w:type="dxa"/>
            <w:vAlign w:val="bottom"/>
          </w:tcPr>
          <w:p>
            <w:pPr>
              <w:jc w:val="right"/>
              <w:ind w:right="150"/>
              <w:spacing w:after="0"/>
              <w:rPr>
                <w:sz w:val="20"/>
                <w:szCs w:val="20"/>
                <w:color w:val="auto"/>
              </w:rPr>
            </w:pPr>
            <w:r>
              <w:rPr>
                <w:rFonts w:ascii="Arial" w:cs="Arial" w:eastAsia="Arial" w:hAnsi="Arial"/>
                <w:sz w:val="18"/>
                <w:szCs w:val="18"/>
                <w:color w:val="auto"/>
              </w:rPr>
              <w:t>12.2</w:t>
            </w: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40" w:type="dxa"/>
            <w:vAlign w:val="bottom"/>
          </w:tcPr>
          <w:p>
            <w:pPr>
              <w:jc w:val="right"/>
              <w:ind w:right="150"/>
              <w:spacing w:after="0"/>
              <w:rPr>
                <w:sz w:val="20"/>
                <w:szCs w:val="20"/>
                <w:color w:val="auto"/>
              </w:rPr>
            </w:pPr>
            <w:r>
              <w:rPr>
                <w:rFonts w:ascii="Arial" w:cs="Arial" w:eastAsia="Arial" w:hAnsi="Arial"/>
                <w:sz w:val="18"/>
                <w:szCs w:val="18"/>
                <w:color w:val="auto"/>
              </w:rPr>
              <w:t>0.6</w:t>
            </w:r>
          </w:p>
        </w:tc>
      </w:tr>
      <w:tr>
        <w:trPr>
          <w:trHeight w:val="283"/>
        </w:trPr>
        <w:tc>
          <w:tcPr>
            <w:tcW w:w="540" w:type="dxa"/>
            <w:vAlign w:val="bottom"/>
          </w:tcPr>
          <w:p>
            <w:pPr>
              <w:spacing w:after="0"/>
              <w:rPr>
                <w:sz w:val="24"/>
                <w:szCs w:val="24"/>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4"/>
                <w:szCs w:val="24"/>
                <w:color w:val="auto"/>
              </w:rPr>
            </w:pPr>
          </w:p>
        </w:tc>
        <w:tc>
          <w:tcPr>
            <w:tcW w:w="1060" w:type="dxa"/>
            <w:vAlign w:val="bottom"/>
          </w:tcPr>
          <w:p>
            <w:pPr>
              <w:jc w:val="right"/>
              <w:ind w:right="90"/>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40" w:type="dxa"/>
            <w:vAlign w:val="bottom"/>
          </w:tcPr>
          <w:p>
            <w:pPr>
              <w:jc w:val="right"/>
              <w:ind w:right="110"/>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40" w:type="dxa"/>
            <w:vAlign w:val="bottom"/>
          </w:tcPr>
          <w:p>
            <w:pPr>
              <w:jc w:val="right"/>
              <w:ind w:right="110"/>
              <w:spacing w:after="0"/>
              <w:rPr>
                <w:sz w:val="20"/>
                <w:szCs w:val="20"/>
                <w:color w:val="auto"/>
              </w:rPr>
            </w:pPr>
            <w:r>
              <w:rPr>
                <w:rFonts w:ascii="Arial" w:cs="Arial" w:eastAsia="Arial" w:hAnsi="Arial"/>
                <w:sz w:val="18"/>
                <w:szCs w:val="18"/>
                <w:color w:val="auto"/>
              </w:rPr>
              <w:t>(1.2)</w:t>
            </w:r>
          </w:p>
        </w:tc>
      </w:tr>
      <w:tr>
        <w:trPr>
          <w:trHeight w:val="283"/>
        </w:trPr>
        <w:tc>
          <w:tcPr>
            <w:tcW w:w="540" w:type="dxa"/>
            <w:vAlign w:val="bottom"/>
          </w:tcPr>
          <w:p>
            <w:pPr>
              <w:spacing w:after="0"/>
              <w:rPr>
                <w:sz w:val="24"/>
                <w:szCs w:val="24"/>
                <w:color w:val="auto"/>
              </w:rPr>
            </w:pPr>
          </w:p>
        </w:tc>
        <w:tc>
          <w:tcPr>
            <w:tcW w:w="1060" w:type="dxa"/>
            <w:vAlign w:val="bottom"/>
          </w:tcPr>
          <w:p>
            <w:pPr>
              <w:jc w:val="right"/>
              <w:ind w:right="150"/>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60" w:type="dxa"/>
            <w:vAlign w:val="bottom"/>
          </w:tcPr>
          <w:p>
            <w:pPr>
              <w:jc w:val="right"/>
              <w:ind w:right="150"/>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40" w:type="dxa"/>
            <w:vAlign w:val="bottom"/>
          </w:tcPr>
          <w:p>
            <w:pPr>
              <w:jc w:val="right"/>
              <w:ind w:right="150"/>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40" w:type="dxa"/>
            <w:vAlign w:val="bottom"/>
          </w:tcPr>
          <w:p>
            <w:pPr>
              <w:jc w:val="right"/>
              <w:ind w:right="150"/>
              <w:spacing w:after="0"/>
              <w:rPr>
                <w:sz w:val="20"/>
                <w:szCs w:val="20"/>
                <w:color w:val="auto"/>
              </w:rPr>
            </w:pPr>
            <w:r>
              <w:rPr>
                <w:rFonts w:ascii="Arial" w:cs="Arial" w:eastAsia="Arial" w:hAnsi="Arial"/>
                <w:sz w:val="18"/>
                <w:szCs w:val="18"/>
                <w:color w:val="auto"/>
              </w:rPr>
              <w:t>0.7</w:t>
            </w:r>
          </w:p>
        </w:tc>
      </w:tr>
      <w:tr>
        <w:trPr>
          <w:trHeight w:val="27"/>
        </w:trPr>
        <w:tc>
          <w:tcPr>
            <w:tcW w:w="5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0"/>
        </w:trPr>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90"/>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21"/>
                <w:szCs w:val="21"/>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90"/>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21"/>
                <w:szCs w:val="21"/>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10"/>
              <w:spacing w:after="0"/>
              <w:rPr>
                <w:sz w:val="20"/>
                <w:szCs w:val="20"/>
                <w:color w:val="auto"/>
              </w:rPr>
            </w:pPr>
            <w:r>
              <w:rPr>
                <w:rFonts w:ascii="Arial" w:cs="Arial" w:eastAsia="Arial" w:hAnsi="Arial"/>
                <w:sz w:val="18"/>
                <w:szCs w:val="18"/>
                <w:color w:val="auto"/>
              </w:rPr>
              <w:t>(13.7)</w:t>
            </w:r>
          </w:p>
        </w:tc>
        <w:tc>
          <w:tcPr>
            <w:tcW w:w="100" w:type="dxa"/>
            <w:vAlign w:val="bottom"/>
          </w:tcPr>
          <w:p>
            <w:pPr>
              <w:spacing w:after="0"/>
              <w:rPr>
                <w:sz w:val="21"/>
                <w:szCs w:val="21"/>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10"/>
              <w:spacing w:after="0"/>
              <w:rPr>
                <w:sz w:val="20"/>
                <w:szCs w:val="20"/>
                <w:color w:val="auto"/>
              </w:rPr>
            </w:pPr>
            <w:r>
              <w:rPr>
                <w:rFonts w:ascii="Arial" w:cs="Arial" w:eastAsia="Arial" w:hAnsi="Arial"/>
                <w:sz w:val="18"/>
                <w:szCs w:val="18"/>
                <w:color w:val="auto"/>
              </w:rPr>
              <w:t>(16.0)</w:t>
            </w:r>
          </w:p>
        </w:tc>
      </w:tr>
      <w:tr>
        <w:trPr>
          <w:trHeight w:val="27"/>
        </w:trPr>
        <w:tc>
          <w:tcPr>
            <w:tcW w:w="5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
        </w:trPr>
        <w:tc>
          <w:tcPr>
            <w:tcW w:w="5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50"/>
        </w:trPr>
        <w:tc>
          <w:tcPr>
            <w:tcW w:w="5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(9.5)%</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(15.2)%</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(9.8)%</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(12.9)%</w:t>
            </w:r>
          </w:p>
        </w:tc>
      </w:tr>
    </w:tbl>
    <w:p>
      <w:pPr>
        <w:spacing w:after="0" w:line="247" w:lineRule="exact"/>
        <w:rPr>
          <w:sz w:val="20"/>
          <w:szCs w:val="20"/>
          <w:color w:val="auto"/>
        </w:rPr>
      </w:pPr>
    </w:p>
    <w:p>
      <w:pPr>
        <w:sectPr>
          <w:pgSz w:w="11900" w:h="16838" w:orient="portrait"/>
          <w:cols w:equalWidth="0" w:num="2">
            <w:col w:w="4013" w:space="540"/>
            <w:col w:w="6740"/>
          </w:cols>
          <w:pgMar w:left="247" w:top="611" w:right="359" w:bottom="1440" w:gutter="0" w:footer="0" w:header="0"/>
          <w:type w:val="continuous"/>
        </w:sectPr>
      </w:pPr>
    </w:p>
    <w:p>
      <w:pPr>
        <w:spacing w:after="0" w:line="365" w:lineRule="exact"/>
        <w:rPr>
          <w:sz w:val="20"/>
          <w:szCs w:val="20"/>
          <w:color w:val="auto"/>
        </w:rPr>
      </w:pPr>
    </w:p>
    <w:p>
      <w:pPr>
        <w:ind w:left="333" w:right="420" w:hanging="333"/>
        <w:spacing w:after="0" w:line="211" w:lineRule="auto"/>
        <w:tabs>
          <w:tab w:leader="none" w:pos="326" w:val="left"/>
        </w:tabs>
        <w:numPr>
          <w:ilvl w:val="0"/>
          <w:numId w:val="7"/>
        </w:numPr>
        <w:rPr>
          <w:rFonts w:ascii="Arial" w:cs="Arial" w:eastAsia="Arial" w:hAnsi="Arial"/>
          <w:sz w:val="19"/>
          <w:szCs w:val="19"/>
          <w:color w:val="auto"/>
          <w:vertAlign w:val="superscript"/>
        </w:rPr>
      </w:pPr>
      <w:r>
        <w:rPr>
          <w:rFonts w:ascii="Arial" w:cs="Arial" w:eastAsia="Arial" w:hAnsi="Arial"/>
          <w:sz w:val="14"/>
          <w:szCs w:val="14"/>
          <w:color w:val="auto"/>
        </w:rPr>
        <w:t>Includes debt discount amortization of $1.0 million in the three months ended October 31, 2021 and $1.0 million in the three months ended October 31, 2020 and $4.9 million in the nine months ended October 31, 2021 and $3.0 million in the nine months ended October 31, 2020.</w:t>
      </w:r>
    </w:p>
    <w:p>
      <w:pPr>
        <w:spacing w:after="0" w:line="65" w:lineRule="exact"/>
        <w:rPr>
          <w:rFonts w:ascii="Arial" w:cs="Arial" w:eastAsia="Arial" w:hAnsi="Arial"/>
          <w:sz w:val="19"/>
          <w:szCs w:val="19"/>
          <w:color w:val="auto"/>
          <w:vertAlign w:val="superscript"/>
        </w:rPr>
      </w:pPr>
    </w:p>
    <w:p>
      <w:pPr>
        <w:ind w:left="313" w:hanging="313"/>
        <w:spacing w:after="0"/>
        <w:tabs>
          <w:tab w:leader="none" w:pos="313" w:val="left"/>
        </w:tabs>
        <w:numPr>
          <w:ilvl w:val="0"/>
          <w:numId w:val="7"/>
        </w:numPr>
        <w:rPr>
          <w:rFonts w:ascii="Arial" w:cs="Arial" w:eastAsia="Arial" w:hAnsi="Arial"/>
          <w:sz w:val="19"/>
          <w:szCs w:val="19"/>
          <w:color w:val="auto"/>
          <w:vertAlign w:val="superscript"/>
        </w:rPr>
      </w:pPr>
      <w:r>
        <w:rPr>
          <w:rFonts w:ascii="Arial" w:cs="Arial" w:eastAsia="Arial" w:hAnsi="Arial"/>
          <w:sz w:val="14"/>
          <w:szCs w:val="14"/>
          <w:color w:val="auto"/>
        </w:rPr>
        <w:t>Includes non-rental product depreciation and capitalized software amortization.</w:t>
      </w:r>
    </w:p>
    <w:p>
      <w:pPr>
        <w:spacing w:after="0" w:line="111" w:lineRule="exact"/>
        <w:rPr>
          <w:rFonts w:ascii="Arial" w:cs="Arial" w:eastAsia="Arial" w:hAnsi="Arial"/>
          <w:sz w:val="19"/>
          <w:szCs w:val="19"/>
          <w:color w:val="auto"/>
          <w:vertAlign w:val="superscript"/>
        </w:rPr>
      </w:pPr>
    </w:p>
    <w:p>
      <w:pPr>
        <w:ind w:left="333" w:hanging="333"/>
        <w:spacing w:after="0" w:line="211" w:lineRule="auto"/>
        <w:tabs>
          <w:tab w:leader="none" w:pos="326" w:val="left"/>
        </w:tabs>
        <w:numPr>
          <w:ilvl w:val="0"/>
          <w:numId w:val="7"/>
        </w:numPr>
        <w:rPr>
          <w:rFonts w:ascii="Arial" w:cs="Arial" w:eastAsia="Arial" w:hAnsi="Arial"/>
          <w:sz w:val="19"/>
          <w:szCs w:val="19"/>
          <w:color w:val="auto"/>
          <w:vertAlign w:val="superscript"/>
        </w:rPr>
      </w:pPr>
      <w:r>
        <w:rPr>
          <w:rFonts w:ascii="Arial" w:cs="Arial" w:eastAsia="Arial" w:hAnsi="Arial"/>
          <w:sz w:val="14"/>
          <w:szCs w:val="14"/>
          <w:color w:val="auto"/>
        </w:rPr>
        <w:t>Reflects the non-cash expense for stock-based compensation. The three and nine months ended October 31, 2021 includes $14.4 million related to the one-time satisfaction of the liquidity based vesting conditions for certain RSUs previously outstanding and certain RSUs which were granted upon the effectiveness of our IPO in October 2021.</w:t>
      </w:r>
    </w:p>
    <w:p>
      <w:pPr>
        <w:spacing w:after="0" w:line="65" w:lineRule="exact"/>
        <w:rPr>
          <w:rFonts w:ascii="Arial" w:cs="Arial" w:eastAsia="Arial" w:hAnsi="Arial"/>
          <w:sz w:val="19"/>
          <w:szCs w:val="19"/>
          <w:color w:val="auto"/>
          <w:vertAlign w:val="superscript"/>
        </w:rPr>
      </w:pPr>
    </w:p>
    <w:p>
      <w:pPr>
        <w:ind w:left="313" w:hanging="313"/>
        <w:spacing w:after="0"/>
        <w:tabs>
          <w:tab w:leader="none" w:pos="313" w:val="left"/>
        </w:tabs>
        <w:numPr>
          <w:ilvl w:val="0"/>
          <w:numId w:val="7"/>
        </w:numPr>
        <w:rPr>
          <w:rFonts w:ascii="Arial" w:cs="Arial" w:eastAsia="Arial" w:hAnsi="Arial"/>
          <w:sz w:val="19"/>
          <w:szCs w:val="19"/>
          <w:color w:val="auto"/>
          <w:vertAlign w:val="superscript"/>
        </w:rPr>
      </w:pPr>
      <w:r>
        <w:rPr>
          <w:rFonts w:ascii="Arial" w:cs="Arial" w:eastAsia="Arial" w:hAnsi="Arial"/>
          <w:sz w:val="14"/>
          <w:szCs w:val="14"/>
          <w:color w:val="auto"/>
        </w:rPr>
        <w:t>Reflects the write-off of the remaining book value of liquidated products that had previously been held for sale.</w:t>
      </w:r>
    </w:p>
    <w:p>
      <w:pPr>
        <w:spacing w:after="0" w:line="124" w:lineRule="exact"/>
        <w:rPr>
          <w:rFonts w:ascii="Arial" w:cs="Arial" w:eastAsia="Arial" w:hAnsi="Arial"/>
          <w:sz w:val="19"/>
          <w:szCs w:val="19"/>
          <w:color w:val="auto"/>
          <w:vertAlign w:val="superscript"/>
        </w:rPr>
      </w:pPr>
    </w:p>
    <w:p>
      <w:pPr>
        <w:ind w:left="333" w:right="20" w:hanging="333"/>
        <w:spacing w:after="0" w:line="256" w:lineRule="auto"/>
        <w:tabs>
          <w:tab w:leader="none" w:pos="326" w:val="left"/>
        </w:tabs>
        <w:numPr>
          <w:ilvl w:val="0"/>
          <w:numId w:val="7"/>
        </w:numPr>
        <w:rPr>
          <w:rFonts w:ascii="Arial" w:cs="Arial" w:eastAsia="Arial" w:hAnsi="Arial"/>
          <w:sz w:val="19"/>
          <w:szCs w:val="19"/>
          <w:color w:val="auto"/>
          <w:vertAlign w:val="superscript"/>
        </w:rPr>
      </w:pPr>
      <w:r>
        <w:rPr>
          <w:rFonts w:ascii="Arial" w:cs="Arial" w:eastAsia="Arial" w:hAnsi="Arial"/>
          <w:sz w:val="14"/>
          <w:szCs w:val="14"/>
          <w:color w:val="auto"/>
        </w:rPr>
        <w:t>Non-recurring adjustments for the three months ended October 31, 2021 includes $1.8 million of costs related to public readiness preparation costs and for the three months ended October 31, 2020 includes $0.5 million of shipping carrier transition costs and $0.2 million of COVID related matters. Non-recurring adjustments for the nine months ended October 31, 2021 includes $4.5 million of public readiness preparation costs and for the nine months ended October 31, 2020 includes $3.2 million of costs related to COVID-19 related matters including severance, furlough benefits, one-time bonuses, and related legal fees and $0.5 million of shipping carrier transition costs.</w:t>
      </w:r>
    </w:p>
    <w:p>
      <w:pPr>
        <w:spacing w:after="0" w:line="102" w:lineRule="exact"/>
        <w:rPr>
          <w:rFonts w:ascii="Arial" w:cs="Arial" w:eastAsia="Arial" w:hAnsi="Arial"/>
          <w:sz w:val="19"/>
          <w:szCs w:val="19"/>
          <w:color w:val="auto"/>
          <w:vertAlign w:val="superscript"/>
        </w:rPr>
      </w:pPr>
    </w:p>
    <w:p>
      <w:pPr>
        <w:ind w:left="333" w:right="280" w:hanging="333"/>
        <w:spacing w:after="0" w:line="211" w:lineRule="auto"/>
        <w:tabs>
          <w:tab w:leader="none" w:pos="326" w:val="left"/>
        </w:tabs>
        <w:numPr>
          <w:ilvl w:val="0"/>
          <w:numId w:val="7"/>
        </w:numPr>
        <w:rPr>
          <w:rFonts w:ascii="Arial" w:cs="Arial" w:eastAsia="Arial" w:hAnsi="Arial"/>
          <w:sz w:val="19"/>
          <w:szCs w:val="19"/>
          <w:color w:val="auto"/>
          <w:vertAlign w:val="superscript"/>
        </w:rPr>
      </w:pPr>
      <w:r>
        <w:rPr>
          <w:rFonts w:ascii="Arial" w:cs="Arial" w:eastAsia="Arial" w:hAnsi="Arial"/>
          <w:sz w:val="14"/>
          <w:szCs w:val="14"/>
          <w:color w:val="auto"/>
        </w:rPr>
        <w:t>Includes the expense associated with revaluing liability classified prior lender warrants to the respective fair value at period end, or prior to conversion. As of October 31, 2021 all outstanding warrants are equity classified and therefore do not require remeasurement going forward.</w:t>
      </w:r>
    </w:p>
    <w:p>
      <w:pPr>
        <w:spacing w:after="0" w:line="65" w:lineRule="exact"/>
        <w:rPr>
          <w:rFonts w:ascii="Arial" w:cs="Arial" w:eastAsia="Arial" w:hAnsi="Arial"/>
          <w:sz w:val="19"/>
          <w:szCs w:val="19"/>
          <w:color w:val="auto"/>
          <w:vertAlign w:val="superscript"/>
        </w:rPr>
      </w:pPr>
    </w:p>
    <w:p>
      <w:pPr>
        <w:ind w:left="313" w:hanging="313"/>
        <w:spacing w:after="0"/>
        <w:tabs>
          <w:tab w:leader="none" w:pos="313" w:val="left"/>
        </w:tabs>
        <w:numPr>
          <w:ilvl w:val="0"/>
          <w:numId w:val="7"/>
        </w:numPr>
        <w:rPr>
          <w:rFonts w:ascii="Arial" w:cs="Arial" w:eastAsia="Arial" w:hAnsi="Arial"/>
          <w:sz w:val="19"/>
          <w:szCs w:val="19"/>
          <w:color w:val="auto"/>
          <w:vertAlign w:val="superscript"/>
        </w:rPr>
      </w:pPr>
      <w:r>
        <w:rPr>
          <w:rFonts w:ascii="Arial" w:cs="Arial" w:eastAsia="Arial" w:hAnsi="Arial"/>
          <w:sz w:val="14"/>
          <w:szCs w:val="14"/>
          <w:color w:val="auto"/>
        </w:rPr>
        <w:t>Includes debt extinguishment costs related to debt paydown in the periods presented.</w:t>
      </w:r>
    </w:p>
    <w:p>
      <w:pPr>
        <w:spacing w:after="0" w:line="111" w:lineRule="exact"/>
        <w:rPr>
          <w:rFonts w:ascii="Arial" w:cs="Arial" w:eastAsia="Arial" w:hAnsi="Arial"/>
          <w:sz w:val="19"/>
          <w:szCs w:val="19"/>
          <w:color w:val="auto"/>
          <w:vertAlign w:val="superscript"/>
        </w:rPr>
      </w:pPr>
    </w:p>
    <w:p>
      <w:pPr>
        <w:ind w:left="333" w:right="80" w:hanging="333"/>
        <w:spacing w:after="0" w:line="211" w:lineRule="auto"/>
        <w:tabs>
          <w:tab w:leader="none" w:pos="326" w:val="left"/>
        </w:tabs>
        <w:numPr>
          <w:ilvl w:val="0"/>
          <w:numId w:val="7"/>
        </w:numPr>
        <w:rPr>
          <w:rFonts w:ascii="Arial" w:cs="Arial" w:eastAsia="Arial" w:hAnsi="Arial"/>
          <w:sz w:val="19"/>
          <w:szCs w:val="19"/>
          <w:color w:val="auto"/>
          <w:vertAlign w:val="superscript"/>
        </w:rPr>
      </w:pPr>
      <w:r>
        <w:rPr>
          <w:rFonts w:ascii="Arial" w:cs="Arial" w:eastAsia="Arial" w:hAnsi="Arial"/>
          <w:sz w:val="14"/>
          <w:szCs w:val="14"/>
          <w:color w:val="auto"/>
        </w:rPr>
        <w:t>Primarily $4.0 million of insurance claim proceeds for the nine months ended October 31, 2021 and $1.3 million of proceeds from monetizing tax credits for the nine months ended October 31, 2020.</w:t>
      </w:r>
    </w:p>
    <w:p>
      <w:pPr>
        <w:spacing w:after="0" w:line="65" w:lineRule="exact"/>
        <w:rPr>
          <w:rFonts w:ascii="Arial" w:cs="Arial" w:eastAsia="Arial" w:hAnsi="Arial"/>
          <w:sz w:val="19"/>
          <w:szCs w:val="19"/>
          <w:color w:val="auto"/>
          <w:vertAlign w:val="superscript"/>
        </w:rPr>
      </w:pPr>
    </w:p>
    <w:p>
      <w:pPr>
        <w:ind w:left="313" w:hanging="313"/>
        <w:spacing w:after="0"/>
        <w:tabs>
          <w:tab w:leader="none" w:pos="313" w:val="left"/>
        </w:tabs>
        <w:numPr>
          <w:ilvl w:val="0"/>
          <w:numId w:val="7"/>
        </w:numPr>
        <w:rPr>
          <w:rFonts w:ascii="Arial" w:cs="Arial" w:eastAsia="Arial" w:hAnsi="Arial"/>
          <w:sz w:val="19"/>
          <w:szCs w:val="19"/>
          <w:color w:val="auto"/>
          <w:vertAlign w:val="superscript"/>
        </w:rPr>
      </w:pPr>
      <w:r>
        <w:rPr>
          <w:rFonts w:ascii="Arial" w:cs="Arial" w:eastAsia="Arial" w:hAnsi="Arial"/>
          <w:sz w:val="14"/>
          <w:szCs w:val="14"/>
          <w:color w:val="auto"/>
        </w:rPr>
        <w:t>Includes costs associated with the write-off of asset disposals, operating lease termination and foreign exchange.</w:t>
      </w:r>
    </w:p>
    <w:p>
      <w:pPr>
        <w:spacing w:after="0" w:line="124" w:lineRule="exact"/>
        <w:rPr>
          <w:rFonts w:ascii="Arial" w:cs="Arial" w:eastAsia="Arial" w:hAnsi="Arial"/>
          <w:sz w:val="19"/>
          <w:szCs w:val="19"/>
          <w:color w:val="auto"/>
          <w:vertAlign w:val="superscript"/>
        </w:rPr>
      </w:pPr>
    </w:p>
    <w:p>
      <w:pPr>
        <w:ind w:left="313" w:hanging="313"/>
        <w:spacing w:after="0"/>
        <w:tabs>
          <w:tab w:leader="none" w:pos="313" w:val="left"/>
        </w:tabs>
        <w:numPr>
          <w:ilvl w:val="0"/>
          <w:numId w:val="7"/>
        </w:numPr>
        <w:rPr>
          <w:rFonts w:ascii="Arial" w:cs="Arial" w:eastAsia="Arial" w:hAnsi="Arial"/>
          <w:sz w:val="9"/>
          <w:szCs w:val="9"/>
          <w:color w:val="auto"/>
        </w:rPr>
      </w:pPr>
      <w:r>
        <w:rPr>
          <w:rFonts w:ascii="Arial" w:cs="Arial" w:eastAsia="Arial" w:hAnsi="Arial"/>
          <w:sz w:val="14"/>
          <w:szCs w:val="14"/>
          <w:color w:val="auto"/>
        </w:rPr>
        <w:t>Adjusted EBITDA Margin calculated as Adjusted EBITDA as a percentage of revenue.</w:t>
      </w:r>
    </w:p>
    <w:sectPr>
      <w:pgSz w:w="11900" w:h="16838" w:orient="portrait"/>
      <w:cols w:equalWidth="0" w:num="1">
        <w:col w:w="11293"/>
      </w:cols>
      <w:pgMar w:left="247" w:top="611"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
      <w:numFmt w:val="bullet"/>
      <w:start w:val="1"/>
    </w:lvl>
  </w:abstractNum>
  <w:abstractNum w:abstractNumId="6">
    <w:nsid w:val="41B71E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2021-12-08T15:10:56Z</dcterms:created>
  <dcterms:modified xsi:type="dcterms:W3CDTF">2021-12-08T15:10:56Z</dcterms:modified>
</cp:coreProperties>
</file>