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tabs>
          <w:tab w:leader="none" w:pos="2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6, 2024, Rent the Runway, Inc. (the “Company”) issued a press release announcing its financial results for the quarter ended April 30, 2024.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June 6, 2024</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First Quarter 2024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Exceeded Revenue and Adjusted EBITDA Guidance for Q1 2024. Improved Business Momentum in Q1 2024.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Record Low Quarterly Cash Consumption in Q1 2024.</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Reiterates Expectation for Revenue Growth and Free Cash Flow Breakeven in FY 2024.</w:t>
      </w:r>
    </w:p>
    <w:p>
      <w:pPr>
        <w:spacing w:after="0" w:line="268" w:lineRule="exact"/>
        <w:rPr>
          <w:sz w:val="20"/>
          <w:szCs w:val="20"/>
          <w:color w:val="auto"/>
        </w:rPr>
      </w:pPr>
    </w:p>
    <w:p>
      <w:pPr>
        <w:spacing w:after="0" w:line="316" w:lineRule="auto"/>
        <w:rPr>
          <w:sz w:val="20"/>
          <w:szCs w:val="20"/>
          <w:color w:val="auto"/>
        </w:rPr>
      </w:pPr>
      <w:r>
        <w:rPr>
          <w:rFonts w:ascii="Arial" w:cs="Arial" w:eastAsia="Arial" w:hAnsi="Arial"/>
          <w:sz w:val="20"/>
          <w:szCs w:val="20"/>
          <w:b w:val="1"/>
          <w:bCs w:val="1"/>
          <w:color w:val="auto"/>
        </w:rPr>
        <w:t xml:space="preserve">New York (June 6, 2024) </w:t>
      </w:r>
      <w:r>
        <w:rPr>
          <w:rFonts w:ascii="Arial" w:cs="Arial" w:eastAsia="Arial" w:hAnsi="Arial"/>
          <w:sz w:val="20"/>
          <w:szCs w:val="20"/>
          <w:color w:val="auto"/>
        </w:rPr>
        <w:t>- Rent the Runway, Inc. (“Rent the Runway” or "RTR") (NASDAQ: RENT), the world’s first and largest</w:t>
      </w:r>
      <w:r>
        <w:rPr>
          <w:rFonts w:ascii="Arial" w:cs="Arial" w:eastAsia="Arial" w:hAnsi="Arial"/>
          <w:sz w:val="20"/>
          <w:szCs w:val="20"/>
          <w:b w:val="1"/>
          <w:bCs w:val="1"/>
          <w:color w:val="auto"/>
        </w:rPr>
        <w:t xml:space="preserve"> </w:t>
      </w:r>
      <w:r>
        <w:rPr>
          <w:rFonts w:ascii="Arial" w:cs="Arial" w:eastAsia="Arial" w:hAnsi="Arial"/>
          <w:sz w:val="20"/>
          <w:szCs w:val="20"/>
          <w:color w:val="auto"/>
        </w:rPr>
        <w:t>shared designer closet platform, today reported financial results for the fiscal quarter ended April 30, 2024.</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First Quarter and Recent Business Highlights</w:t>
      </w:r>
    </w:p>
    <w:p>
      <w:pPr>
        <w:spacing w:after="0" w:line="270" w:lineRule="exact"/>
        <w:rPr>
          <w:sz w:val="20"/>
          <w:szCs w:val="20"/>
          <w:color w:val="auto"/>
        </w:rPr>
      </w:pPr>
    </w:p>
    <w:p>
      <w:pPr>
        <w:ind w:left="500" w:right="460" w:hanging="492"/>
        <w:spacing w:after="0" w:line="274" w:lineRule="auto"/>
        <w:tabs>
          <w:tab w:leader="none" w:pos="48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Record low quarterly free cash flow consumption of less than $2M</w:t>
      </w:r>
      <w:r>
        <w:rPr>
          <w:rFonts w:ascii="Arial" w:cs="Arial" w:eastAsia="Arial" w:hAnsi="Arial"/>
          <w:sz w:val="20"/>
          <w:szCs w:val="20"/>
          <w:color w:val="auto"/>
        </w:rPr>
        <w:t>, which is $11M lower than Q1 2023 and $27M</w:t>
      </w:r>
      <w:r>
        <w:rPr>
          <w:rFonts w:ascii="Arial" w:cs="Arial" w:eastAsia="Arial" w:hAnsi="Arial"/>
          <w:sz w:val="20"/>
          <w:szCs w:val="20"/>
          <w:b w:val="1"/>
          <w:bCs w:val="1"/>
          <w:color w:val="auto"/>
        </w:rPr>
        <w:t xml:space="preserve"> </w:t>
      </w:r>
      <w:r>
        <w:rPr>
          <w:rFonts w:ascii="Arial" w:cs="Arial" w:eastAsia="Arial" w:hAnsi="Arial"/>
          <w:sz w:val="20"/>
          <w:szCs w:val="20"/>
          <w:color w:val="auto"/>
        </w:rPr>
        <w:t>lower than Q1 2022. We are reiterating our guidance to be free cash flow breakeven this year.</w:t>
      </w:r>
    </w:p>
    <w:p>
      <w:pPr>
        <w:spacing w:after="0" w:line="1" w:lineRule="exact"/>
        <w:rPr>
          <w:rFonts w:ascii="Arial" w:cs="Arial" w:eastAsia="Arial" w:hAnsi="Arial"/>
          <w:sz w:val="20"/>
          <w:szCs w:val="20"/>
          <w:b w:val="1"/>
          <w:bCs w:val="1"/>
          <w:i w:val="1"/>
          <w:iCs w:val="1"/>
          <w:color w:val="auto"/>
        </w:rPr>
      </w:pPr>
    </w:p>
    <w:p>
      <w:pPr>
        <w:jc w:val="both"/>
        <w:ind w:left="500" w:right="2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Strong retention rates </w:t>
      </w:r>
      <w:r>
        <w:rPr>
          <w:rFonts w:ascii="Arial" w:cs="Arial" w:eastAsia="Arial" w:hAnsi="Arial"/>
          <w:sz w:val="20"/>
          <w:szCs w:val="20"/>
          <w:color w:val="auto"/>
        </w:rPr>
        <w:t>fueled by enhanced inventory and product experiences and new lifecycle marketing strategies. We</w:t>
      </w:r>
      <w:r>
        <w:rPr>
          <w:rFonts w:ascii="Arial" w:cs="Arial" w:eastAsia="Arial" w:hAnsi="Arial"/>
          <w:sz w:val="20"/>
          <w:szCs w:val="20"/>
          <w:b w:val="1"/>
          <w:bCs w:val="1"/>
          <w:color w:val="auto"/>
        </w:rPr>
        <w:t xml:space="preserve"> </w:t>
      </w:r>
      <w:r>
        <w:rPr>
          <w:rFonts w:ascii="Arial" w:cs="Arial" w:eastAsia="Arial" w:hAnsi="Arial"/>
          <w:sz w:val="20"/>
          <w:szCs w:val="20"/>
          <w:color w:val="auto"/>
        </w:rPr>
        <w:t>believe that strong, sustained in-stock rates, combined with improved merchandising through use-case hubs, have made it easier for her to get dressed for every occasion.</w:t>
      </w:r>
    </w:p>
    <w:p>
      <w:pPr>
        <w:spacing w:after="0" w:line="1" w:lineRule="exact"/>
        <w:rPr>
          <w:rFonts w:ascii="Arial" w:cs="Arial" w:eastAsia="Arial" w:hAnsi="Arial"/>
          <w:sz w:val="20"/>
          <w:szCs w:val="20"/>
          <w:b w:val="1"/>
          <w:bCs w:val="1"/>
          <w:color w:val="auto"/>
        </w:rPr>
      </w:pPr>
    </w:p>
    <w:p>
      <w:pPr>
        <w:ind w:left="500" w:right="1020" w:hanging="492"/>
        <w:spacing w:after="0" w:line="27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Strong rejoin rates </w:t>
      </w:r>
      <w:r>
        <w:rPr>
          <w:rFonts w:ascii="Arial" w:cs="Arial" w:eastAsia="Arial" w:hAnsi="Arial"/>
          <w:sz w:val="20"/>
          <w:szCs w:val="20"/>
          <w:color w:val="auto"/>
        </w:rPr>
        <w:t>of pausers and former customers driven by multi-channel lifecycle marketing and customer</w:t>
      </w:r>
      <w:r>
        <w:rPr>
          <w:rFonts w:ascii="Arial" w:cs="Arial" w:eastAsia="Arial" w:hAnsi="Arial"/>
          <w:sz w:val="20"/>
          <w:szCs w:val="20"/>
          <w:b w:val="1"/>
          <w:bCs w:val="1"/>
          <w:color w:val="auto"/>
        </w:rPr>
        <w:t xml:space="preserve"> </w:t>
      </w:r>
      <w:r>
        <w:rPr>
          <w:rFonts w:ascii="Arial" w:cs="Arial" w:eastAsia="Arial" w:hAnsi="Arial"/>
          <w:sz w:val="20"/>
          <w:szCs w:val="20"/>
          <w:color w:val="auto"/>
        </w:rPr>
        <w:t>segmentation initiatives.</w:t>
      </w:r>
    </w:p>
    <w:p>
      <w:pPr>
        <w:spacing w:after="0" w:line="1" w:lineRule="exact"/>
        <w:rPr>
          <w:rFonts w:ascii="Arial" w:cs="Arial" w:eastAsia="Arial" w:hAnsi="Arial"/>
          <w:sz w:val="20"/>
          <w:szCs w:val="20"/>
          <w:color w:val="auto"/>
        </w:rPr>
      </w:pPr>
    </w:p>
    <w:p>
      <w:pPr>
        <w:ind w:left="500" w:right="34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to in-real-life events and customer interactions </w:t>
      </w:r>
      <w:r>
        <w:rPr>
          <w:rFonts w:ascii="Arial" w:cs="Arial" w:eastAsia="Arial" w:hAnsi="Arial"/>
          <w:sz w:val="20"/>
          <w:szCs w:val="20"/>
          <w:color w:val="auto"/>
        </w:rPr>
        <w:t>kicked off in our Flagship NYC store and in Atlanta, GA.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 of these events have informed our plans to return to retail and officially re-open our Flagship NYC store this summer.</w:t>
      </w:r>
    </w:p>
    <w:p>
      <w:pPr>
        <w:spacing w:after="0" w:line="2" w:lineRule="exact"/>
        <w:rPr>
          <w:rFonts w:ascii="Arial" w:cs="Arial" w:eastAsia="Arial" w:hAnsi="Arial"/>
          <w:sz w:val="20"/>
          <w:szCs w:val="20"/>
          <w:b w:val="1"/>
          <w:bCs w:val="1"/>
          <w:color w:val="auto"/>
        </w:rPr>
      </w:pPr>
    </w:p>
    <w:p>
      <w:pPr>
        <w:ind w:left="500" w:hanging="492"/>
        <w:spacing w:after="0" w:line="292"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Transformed marketing strategy and team </w:t>
      </w:r>
      <w:r>
        <w:rPr>
          <w:rFonts w:ascii="Arial" w:cs="Arial" w:eastAsia="Arial" w:hAnsi="Arial"/>
          <w:sz w:val="20"/>
          <w:szCs w:val="20"/>
          <w:color w:val="auto"/>
        </w:rPr>
        <w:t>to significantly increase our in-house expertise in brand marketing, creative,</w:t>
      </w:r>
      <w:r>
        <w:rPr>
          <w:rFonts w:ascii="Arial" w:cs="Arial" w:eastAsia="Arial" w:hAnsi="Arial"/>
          <w:sz w:val="20"/>
          <w:szCs w:val="20"/>
          <w:b w:val="1"/>
          <w:bCs w:val="1"/>
          <w:color w:val="auto"/>
        </w:rPr>
        <w:t xml:space="preserve"> </w:t>
      </w:r>
      <w:r>
        <w:rPr>
          <w:rFonts w:ascii="Arial" w:cs="Arial" w:eastAsia="Arial" w:hAnsi="Arial"/>
          <w:sz w:val="20"/>
          <w:szCs w:val="20"/>
          <w:color w:val="auto"/>
        </w:rPr>
        <w:t>content and lifecycle. The new talent is bringing fresh innovative solutions to RTR and an enhanced, more aspirational look and feel as we plan to reignite growth across all of our products and services.</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"Rent the Runway had a strong start to fiscal 2024,” said Jennifer Hyman, Co-Founder, President, and CEO, Rent the Runway. “I am excited about our progress in reigniting our growth engine. Our renewed focus on marketing and digital product innovation puts our customer at the center of everything we do. We are committed to delivering her a luxury rental experience that is magical. Our initiatives across expanding selection and styling are only the beginning as we expect to roll out significant improvements in merchandising and life cycle marketing in the quarters to come. Equally exciting is our renewed emphasis on the Rent the Runway brand, powerful and engaging content, and in-person customer interactions through our stores and events. I'm confident that the combination of our improved financial position and customer focused orientation will lead Rent the Runway to realize the significant opportunities ahead.”</w:t>
      </w:r>
    </w:p>
    <w:p>
      <w:pPr>
        <w:sectPr>
          <w:pgSz w:w="11900" w:h="16838" w:orient="portrait"/>
          <w:cols w:equalWidth="0" w:num="1">
            <w:col w:w="11240"/>
          </w:cols>
          <w:pgMar w:left="320" w:top="1101" w:right="339" w:bottom="1440" w:gutter="0" w:footer="0" w:header="0"/>
        </w:sectPr>
      </w:pPr>
    </w:p>
    <w:bookmarkStart w:id="4" w:name="page5"/>
    <w:bookmarkEnd w:id="4"/>
    <w:p>
      <w:pPr>
        <w:spacing w:after="0" w:line="282" w:lineRule="auto"/>
        <w:rPr>
          <w:sz w:val="20"/>
          <w:szCs w:val="20"/>
          <w:color w:val="auto"/>
        </w:rPr>
      </w:pPr>
      <w:r>
        <w:rPr>
          <w:rFonts w:ascii="Arial" w:cs="Arial" w:eastAsia="Arial" w:hAnsi="Arial"/>
          <w:sz w:val="20"/>
          <w:szCs w:val="20"/>
          <w:color w:val="auto"/>
        </w:rPr>
        <w:t>“Our business exhibited improved momentum in Q1 2024,” said Sid Thacker, Chief Financial Officer, Rent the Runway. “Ending active subscribers grew year over year during the quarter and we added almost 20,000 subscribers since Q4 2023. Our Reserve business has shown improved year over year trends this quarter relative to the past three quarters. Resale continued to be strong in the quarter. We also made noticeable progress on profitability with record low free cash flow consumption during Q1 2024. We are reiterating our Revenue growth expectations and our commitment to achieving free cash flow breakeven for FY24.”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Revenue was $75.0 million, a 1.1% increase year-over-year from $74.2 million in the first quarter of fiscal year 2023.</w:t>
      </w:r>
    </w:p>
    <w:p>
      <w:pPr>
        <w:spacing w:after="0" w:line="41" w:lineRule="exact"/>
        <w:rPr>
          <w:rFonts w:ascii="Arial" w:cs="Arial" w:eastAsia="Arial" w:hAnsi="Arial"/>
          <w:sz w:val="20"/>
          <w:szCs w:val="20"/>
          <w:b w:val="1"/>
          <w:bCs w:val="1"/>
          <w:color w:val="auto"/>
        </w:rPr>
      </w:pPr>
    </w:p>
    <w:p>
      <w:pPr>
        <w:ind w:left="500" w:right="440" w:hanging="330"/>
        <w:spacing w:after="0" w:line="26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145,837 ending Active Subscribers, up slightly year-over-year from 145,220 at the end of the first quarter of fiscal year 2023.</w:t>
      </w:r>
    </w:p>
    <w:p>
      <w:pPr>
        <w:ind w:left="500" w:right="80" w:hanging="249"/>
        <w:spacing w:after="0" w:line="274" w:lineRule="auto"/>
        <w:tabs>
          <w:tab w:leader="none" w:pos="488" w:val="left"/>
        </w:tabs>
        <w:numPr>
          <w:ilvl w:val="1"/>
          <w:numId w:val="3"/>
        </w:numPr>
        <w:rPr>
          <w:rFonts w:ascii="Arial" w:cs="Arial" w:eastAsia="Arial" w:hAnsi="Arial"/>
          <w:sz w:val="20"/>
          <w:szCs w:val="20"/>
          <w:color w:val="auto"/>
        </w:rPr>
      </w:pPr>
      <w:r>
        <w:rPr>
          <w:rFonts w:ascii="Arial" w:cs="Arial" w:eastAsia="Arial" w:hAnsi="Arial"/>
          <w:sz w:val="20"/>
          <w:szCs w:val="20"/>
          <w:color w:val="auto"/>
        </w:rPr>
        <w:t>135,896 Average Active Subscribers, relatively flat year-over-year from 135,966 at the end of the first quarter of fiscal year 2023.</w:t>
      </w:r>
    </w:p>
    <w:p>
      <w:pPr>
        <w:spacing w:after="0" w:line="1" w:lineRule="exact"/>
        <w:rPr>
          <w:rFonts w:ascii="Arial" w:cs="Arial" w:eastAsia="Arial" w:hAnsi="Arial"/>
          <w:sz w:val="20"/>
          <w:szCs w:val="20"/>
          <w:color w:val="auto"/>
        </w:rPr>
      </w:pPr>
    </w:p>
    <w:p>
      <w:pPr>
        <w:ind w:left="500" w:right="34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185,346 ending Total Subscribers, relatively flat year-over-year from 185,720 at the end of the first quarter of fiscal year 2023.</w:t>
      </w:r>
    </w:p>
    <w:p>
      <w:pPr>
        <w:spacing w:after="0" w:line="1" w:lineRule="exact"/>
        <w:rPr>
          <w:rFonts w:ascii="Arial" w:cs="Arial" w:eastAsia="Arial" w:hAnsi="Arial"/>
          <w:sz w:val="20"/>
          <w:szCs w:val="20"/>
          <w:b w:val="1"/>
          <w:bCs w:val="1"/>
          <w:color w:val="auto"/>
        </w:rPr>
      </w:pPr>
    </w:p>
    <w:p>
      <w:pPr>
        <w:ind w:left="500" w:right="28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$28.4 million, representing a change of (9.6)% from $31.4 million in the first quarter of fiscal year 2023. Gross Margin was 37.9%, as compared to 42.3% in the first quarter of fiscal year 2023.</w:t>
      </w:r>
    </w:p>
    <w:p>
      <w:pPr>
        <w:spacing w:after="0" w:line="1" w:lineRule="exact"/>
        <w:rPr>
          <w:rFonts w:ascii="Arial" w:cs="Arial" w:eastAsia="Arial" w:hAnsi="Arial"/>
          <w:sz w:val="20"/>
          <w:szCs w:val="20"/>
          <w:b w:val="1"/>
          <w:bCs w:val="1"/>
          <w:color w:val="auto"/>
        </w:rPr>
      </w:pPr>
    </w:p>
    <w:p>
      <w:pPr>
        <w:ind w:left="500" w:right="92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$(22.0) million, as compared to $(30.1) million in the first quarter of fiscal year 2023. Net Loss as a percentage of revenue was (29.3)%, as compared to (40.6)% in the first quarter of fiscal year 2023.</w:t>
      </w:r>
    </w:p>
    <w:p>
      <w:pPr>
        <w:spacing w:after="0" w:line="1" w:lineRule="exact"/>
        <w:rPr>
          <w:rFonts w:ascii="Arial" w:cs="Arial" w:eastAsia="Arial" w:hAnsi="Arial"/>
          <w:sz w:val="20"/>
          <w:szCs w:val="20"/>
          <w:b w:val="1"/>
          <w:bCs w:val="1"/>
          <w:color w:val="auto"/>
        </w:rPr>
      </w:pPr>
    </w:p>
    <w:p>
      <w:pPr>
        <w:ind w:left="500" w:right="320" w:hanging="330"/>
        <w:spacing w:after="0" w:line="30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$6.5 million, as compared to $4.5 million in the first quarter of fiscal year 2023. Adjusted EBITDA margin was 8.7%, as compared to 6.1% in the first quarter of fiscal year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second quarter of 2024, Rent the Runway expects:</w:t>
      </w:r>
    </w:p>
    <w:p>
      <w:pPr>
        <w:spacing w:after="0" w:line="31"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between $76 million and $78 million</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Margin of 14% to 15%</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2024, Rent the Runway continues to expect:</w:t>
      </w:r>
    </w:p>
    <w:p>
      <w:pPr>
        <w:spacing w:after="0" w:line="40"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growth of between 1% to 6% versus fiscal year 2023</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15% to 16%</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Free Cash Flow Breakeven on a full year basis</w:t>
      </w:r>
    </w:p>
    <w:p>
      <w:pPr>
        <w:spacing w:after="0" w:line="270" w:lineRule="exact"/>
        <w:rPr>
          <w:sz w:val="20"/>
          <w:szCs w:val="20"/>
          <w:color w:val="auto"/>
        </w:rPr>
      </w:pPr>
    </w:p>
    <w:p>
      <w:pPr>
        <w:ind w:right="680"/>
        <w:spacing w:after="0" w:line="314" w:lineRule="auto"/>
        <w:rPr>
          <w:sz w:val="20"/>
          <w:szCs w:val="20"/>
          <w:color w:val="auto"/>
        </w:rPr>
      </w:pPr>
      <w:r>
        <w:rPr>
          <w:rFonts w:ascii="Arial" w:cs="Arial" w:eastAsia="Arial" w:hAnsi="Arial"/>
          <w:sz w:val="20"/>
          <w:szCs w:val="20"/>
          <w:color w:val="auto"/>
        </w:rPr>
        <w:t>Please see our first quarter 2024 earnings presentation at https://investors.renttherunway.com/ under the “Presentations” section for supplemental guidance.</w:t>
      </w:r>
    </w:p>
    <w:p>
      <w:pPr>
        <w:sectPr>
          <w:pgSz w:w="11900" w:h="16838" w:orient="portrait"/>
          <w:cols w:equalWidth="0" w:num="1">
            <w:col w:w="11240"/>
          </w:cols>
          <w:pgMar w:left="320" w:top="110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first quarter 2024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820"/>
        <w:spacing w:after="0" w:line="300" w:lineRule="auto"/>
        <w:rPr>
          <w:sz w:val="20"/>
          <w:szCs w:val="20"/>
          <w:color w:val="auto"/>
        </w:rPr>
      </w:pPr>
      <w:r>
        <w:rPr>
          <w:rFonts w:ascii="Arial" w:cs="Arial" w:eastAsia="Arial" w:hAnsi="Arial"/>
          <w:sz w:val="20"/>
          <w:szCs w:val="20"/>
          <w:color w:val="auto"/>
        </w:rPr>
        <w:t>Rent the Runway will host a conference call and webcast to discuss its first quarter 2024 financial results and provide a business update today, June 6, 2024, at 4:30 pm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92" w:lineRule="exact"/>
        <w:rPr>
          <w:sz w:val="20"/>
          <w:szCs w:val="20"/>
          <w:color w:val="auto"/>
        </w:rPr>
      </w:pPr>
    </w:p>
    <w:p>
      <w:pPr>
        <w:jc w:val="both"/>
        <w:ind w:right="120"/>
        <w:spacing w:after="0" w:line="343"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13746504.</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revenue and free cash flow, business objectives and strategic initiatives, including our plans to reduce fixed costs and reignite growth, marketing and digital product innovation plans, and expectations regarding subscriber trends, customer retention and satisfaction.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our ability to cost-effectively grow our customer base; any failure to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Annual Report on Form 10-K for the year ended January 31, 2024, as will be updated in our Quarterly Report on Form 10-Q for the quarter ended April 30, 2024.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68"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 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2"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rental product assets, restructuring charges, income tax (benefit) expense, other income and expense, and other gains / losses. Adjusted EBITDA margin is defined as Adjusted EBITDA calculated as a percentage of total revenue, net for a period.</w:t>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We define free cash flow as net cash used in operating activities and net cash used in investing activities on a combined basis.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expectations for Q2 2024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080"/>
          </w:cols>
          <w:pgMar w:left="320" w:top="1346" w:right="499" w:bottom="1440" w:gutter="0" w:footer="0" w:header="0"/>
        </w:sectPr>
      </w:pPr>
    </w:p>
    <w:bookmarkStart w:id="9" w:name="page10"/>
    <w:bookmarkEnd w:id="9"/>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40"/>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930.8</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(1,053.1)</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4"/>
        </w:trPr>
        <w:tc>
          <w:tcPr>
            <w:tcW w:w="726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97"/>
        </w:trPr>
        <w:tc>
          <w:tcPr>
            <w:tcW w:w="726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3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6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
        </w:trPr>
        <w:tc>
          <w:tcPr>
            <w:tcW w:w="726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726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7260" w:type="dxa"/>
            <w:vAlign w:val="bottom"/>
          </w:tcPr>
          <w:p>
            <w:pPr>
              <w:ind w:left="32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6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6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260" w:type="dxa"/>
            <w:vAlign w:val="bottom"/>
          </w:tcPr>
          <w:p>
            <w:pPr>
              <w:ind w:left="860"/>
              <w:spacing w:after="0"/>
              <w:rPr>
                <w:sz w:val="20"/>
                <w:szCs w:val="20"/>
                <w:color w:val="auto"/>
              </w:rPr>
            </w:pPr>
            <w:r>
              <w:rPr>
                <w:rFonts w:ascii="Arial" w:cs="Arial" w:eastAsia="Arial" w:hAnsi="Arial"/>
                <w:sz w:val="18"/>
                <w:szCs w:val="18"/>
                <w:color w:val="auto"/>
              </w:rPr>
              <w:t>Net loss before income tax benefit / (expense)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260" w:type="dxa"/>
            <w:vAlign w:val="bottom"/>
          </w:tcPr>
          <w:p>
            <w:pPr>
              <w:ind w:left="9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2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3,646,202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3,293,295</w:t>
            </w:r>
          </w:p>
        </w:tc>
        <w:tc>
          <w:tcPr>
            <w:tcW w:w="0" w:type="dxa"/>
            <w:vAlign w:val="bottom"/>
          </w:tcPr>
          <w:p>
            <w:pPr>
              <w:spacing w:after="0"/>
              <w:rPr>
                <w:sz w:val="1"/>
                <w:szCs w:val="1"/>
                <w:color w:val="auto"/>
              </w:rPr>
            </w:pPr>
          </w:p>
        </w:tc>
      </w:tr>
      <w:tr>
        <w:trPr>
          <w:trHeight w:val="235"/>
        </w:trPr>
        <w:tc>
          <w:tcPr>
            <w:tcW w:w="726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101" w:right="699" w:bottom="1440" w:gutter="0" w:footer="0" w:header="0"/>
        </w:sectPr>
      </w:pPr>
    </w:p>
    <w:bookmarkStart w:id="11" w:name="page12"/>
    <w:bookmarkEnd w:id="11"/>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Rent the Runway, Inc.</w:t>
      </w:r>
    </w:p>
    <w:p>
      <w:pPr>
        <w:ind w:left="316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pacing w:after="0" w:line="304"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62" w:lineRule="exact"/>
        <w:rPr>
          <w:sz w:val="20"/>
          <w:szCs w:val="20"/>
          <w:color w:val="auto"/>
        </w:rPr>
      </w:pPr>
    </w:p>
    <w:p>
      <w:pPr>
        <w:ind w:left="8480"/>
        <w:spacing w:after="0"/>
        <w:tabs>
          <w:tab w:leader="none" w:pos="10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ectPr>
          <w:pgSz w:w="11900" w:h="16838" w:orient="portrait"/>
          <w:cols w:equalWidth="0" w:num="1">
            <w:col w:w="11080"/>
          </w:cols>
          <w:pgMar w:left="380" w:top="1440" w:right="439" w:bottom="1440" w:gutter="0" w:footer="0" w:header="0"/>
        </w:sectPr>
      </w:pP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17"/>
                <w:szCs w:val="17"/>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(30.1)</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43"/>
        </w:trPr>
        <w:tc>
          <w:tcPr>
            <w:tcW w:w="6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43"/>
        </w:trPr>
        <w:tc>
          <w:tcPr>
            <w:tcW w:w="6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60"/>
        </w:trPr>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2"/>
        </w:trPr>
        <w:tc>
          <w:tcPr>
            <w:tcW w:w="6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28"/>
        </w:trPr>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43"/>
        </w:trPr>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450"/>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5"/>
        </w:trPr>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3"/>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70"/>
        </w:trPr>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163.6</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18"/>
                <w:szCs w:val="18"/>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151.4</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40" w:space="720"/>
            <w:col w:w="3220"/>
          </w:cols>
          <w:pgMar w:left="380" w:top="1440" w:right="439" w:bottom="1440" w:gutter="0" w:footer="0" w:header="0"/>
          <w:type w:val="continuous"/>
        </w:sectPr>
      </w:pPr>
    </w:p>
    <w:bookmarkStart w:id="12" w:name="page13"/>
    <w:bookmarkEnd w:id="12"/>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73"/>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w:t>
            </w:r>
          </w:p>
        </w:tc>
      </w:tr>
    </w:tbl>
    <w:p>
      <w:pPr>
        <w:sectPr>
          <w:pgSz w:w="11900" w:h="16838" w:orient="portrait"/>
          <w:cols w:equalWidth="0" w:num="2">
            <w:col w:w="7060" w:space="560"/>
            <w:col w:w="3000"/>
          </w:cols>
          <w:pgMar w:left="640" w:top="1101" w:right="639" w:bottom="1440" w:gutter="0" w:footer="0" w:header="0"/>
          <w:type w:val="continuous"/>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pacing w:after="0" w:line="276" w:lineRule="exact"/>
        <w:rPr>
          <w:sz w:val="20"/>
          <w:szCs w:val="20"/>
          <w:color w:val="auto"/>
        </w:rPr>
      </w:pPr>
    </w:p>
    <w:tbl>
      <w:tblPr>
        <w:tblLayout w:type="fixed"/>
        <w:tblInd w:w="93"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w w:val="97"/>
              </w:rPr>
              <w:t>(22.0)</w:t>
            </w:r>
          </w:p>
        </w:tc>
        <w:tc>
          <w:tcPr>
            <w:tcW w:w="160" w:type="dxa"/>
            <w:vAlign w:val="bottom"/>
          </w:tcPr>
          <w:p>
            <w:pPr>
              <w:spacing w:after="0"/>
              <w:rPr>
                <w:sz w:val="24"/>
                <w:szCs w:val="24"/>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355"/>
        </w:trPr>
        <w:tc>
          <w:tcPr>
            <w:tcW w:w="7460" w:type="dxa"/>
            <w:vAlign w:val="bottom"/>
          </w:tcPr>
          <w:p>
            <w:pPr>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tc>
        <w:tc>
          <w:tcPr>
            <w:tcW w:w="104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9"/>
        </w:trPr>
        <w:tc>
          <w:tcPr>
            <w:tcW w:w="7460" w:type="dxa"/>
            <w:vAlign w:val="bottom"/>
          </w:tcPr>
          <w:p>
            <w:pPr>
              <w:spacing w:after="0"/>
              <w:rPr>
                <w:sz w:val="20"/>
                <w:szCs w:val="20"/>
                <w:color w:val="auto"/>
              </w:rPr>
            </w:pPr>
            <w:r>
              <w:rPr>
                <w:rFonts w:ascii="Arial" w:cs="Arial" w:eastAsia="Arial" w:hAnsi="Arial"/>
                <w:sz w:val="18"/>
                <w:szCs w:val="18"/>
                <w:color w:val="auto"/>
              </w:rPr>
              <w:t>Rental product depreciation</w:t>
            </w:r>
          </w:p>
        </w:tc>
        <w:tc>
          <w:tcPr>
            <w:tcW w:w="104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53"/>
        </w:trPr>
        <w:tc>
          <w:tcPr>
            <w:tcW w:w="7460" w:type="dxa"/>
            <w:vAlign w:val="bottom"/>
          </w:tcPr>
          <w:p>
            <w:pPr>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tc>
        <w:tc>
          <w:tcPr>
            <w:tcW w:w="104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tc>
        <w:tc>
          <w:tcPr>
            <w:tcW w:w="104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tc>
        <w:tc>
          <w:tcPr>
            <w:tcW w:w="104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(5)</w:t>
            </w:r>
          </w:p>
        </w:tc>
        <w:tc>
          <w:tcPr>
            <w:tcW w:w="104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(6)</w:t>
            </w:r>
          </w:p>
        </w:tc>
        <w:tc>
          <w:tcPr>
            <w:tcW w:w="104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7460" w:type="dxa"/>
            <w:vAlign w:val="bottom"/>
          </w:tcPr>
          <w:p>
            <w:pPr>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(7)</w:t>
            </w:r>
          </w:p>
        </w:tc>
        <w:tc>
          <w:tcPr>
            <w:tcW w:w="104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7460" w:type="dxa"/>
            <w:vAlign w:val="bottom"/>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46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(8)</w:t>
            </w: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74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8.7 %</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debt discount amortization of $6.4 million in the three months ended April 30, 2024 and $1.6 million in the three months ended April 30, 2023.</w:t>
      </w:r>
    </w:p>
    <w:p>
      <w:pPr>
        <w:spacing w:after="0" w:line="107"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Reflects the non-cash expense for share-based compensation.</w:t>
      </w:r>
    </w:p>
    <w:p>
      <w:pPr>
        <w:spacing w:after="0" w:line="136"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21"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color w:val="auto"/>
          <w:vertAlign w:val="superscript"/>
        </w:rPr>
      </w:pPr>
    </w:p>
    <w:p>
      <w:pPr>
        <w:ind w:left="333" w:right="160" w:hanging="333"/>
        <w:spacing w:after="0" w:line="239" w:lineRule="auto"/>
        <w:tabs>
          <w:tab w:leader="none" w:pos="32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10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193"/>
          </w:cols>
          <w:pgMar w:left="247" w:top="1101" w:right="459" w:bottom="1440" w:gutter="0" w:footer="0" w:header="0"/>
        </w:sectPr>
      </w:pPr>
    </w:p>
    <w:bookmarkStart w:id="14" w:name="page15"/>
    <w:bookmarkEnd w:id="14"/>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80" w:type="dxa"/>
            <w:vAlign w:val="bottom"/>
            <w:tcBorders>
              <w:bottom w:val="single" w:sz="8" w:color="auto"/>
            </w:tcBorders>
          </w:tcPr>
          <w:p>
            <w:pPr>
              <w:spacing w:after="0"/>
              <w:rPr>
                <w:sz w:val="17"/>
                <w:szCs w:val="17"/>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3"/>
              </w:rPr>
              <w:t>(13.1)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(14.6)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(0.9)</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86"/>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(12.1)</w:t>
            </w:r>
          </w:p>
        </w:tc>
      </w:tr>
      <w:tr>
        <w:trPr>
          <w:trHeight w:val="25"/>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r>
    </w:tbl>
    <w:p>
      <w:pPr>
        <w:sectPr>
          <w:pgSz w:w="11900" w:h="16838" w:orient="portrait"/>
          <w:cols w:equalWidth="0" w:num="1">
            <w:col w:w="11060"/>
          </w:cols>
          <w:pgMar w:left="320" w:top="1209" w:right="519" w:bottom="1440" w:gutter="0" w:footer="0" w:header="0"/>
        </w:sectPr>
      </w:pPr>
    </w:p>
    <w:bookmarkStart w:id="15" w:name="page16"/>
    <w:bookmarkEnd w:id="15"/>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197" w:lineRule="auto"/>
        <w:rPr>
          <w:sz w:val="20"/>
          <w:szCs w:val="20"/>
          <w:color w:val="auto"/>
        </w:rPr>
      </w:pPr>
      <w:r>
        <w:rPr>
          <w:rFonts w:ascii="Arial" w:cs="Arial" w:eastAsia="Arial" w:hAnsi="Arial"/>
          <w:sz w:val="20"/>
          <w:szCs w:val="20"/>
          <w:b w:val="1"/>
          <w:bCs w:val="1"/>
          <w:color w:val="auto"/>
        </w:rPr>
        <w:t>Reconciliation of GAAP to Non-GAAP Financial Measures</w:t>
      </w:r>
    </w:p>
    <w:p>
      <w:pPr>
        <w:jc w:val="center"/>
        <w:ind w:right="-15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reconciliation of net loss, the most comparable GAAP financial measure, to Free Cash Flow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for the periods presented:</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80" w:type="dxa"/>
            <w:vAlign w:val="bottom"/>
            <w:tcBorders>
              <w:bottom w:val="single" w:sz="8" w:color="auto"/>
            </w:tcBorders>
          </w:tcPr>
          <w:p>
            <w:pPr>
              <w:spacing w:after="0"/>
              <w:rPr>
                <w:sz w:val="17"/>
                <w:szCs w:val="17"/>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(22.0)</w:t>
            </w:r>
          </w:p>
        </w:tc>
        <w:tc>
          <w:tcPr>
            <w:tcW w:w="100" w:type="dxa"/>
            <w:vAlign w:val="bottom"/>
          </w:tcPr>
          <w:p>
            <w:pPr>
              <w:spacing w:after="0"/>
              <w:rPr>
                <w:sz w:val="24"/>
                <w:szCs w:val="24"/>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(30.1)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Interest (income) / expense, net</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Rental product depreciation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12.1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depreciation and amortization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Write-off of liquidated assets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(income) / expense, net</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(gains) / losses</w:t>
            </w:r>
          </w:p>
        </w:tc>
        <w:tc>
          <w:tcPr>
            <w:tcW w:w="10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36"/>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4.5</w:t>
            </w:r>
          </w:p>
        </w:tc>
      </w:tr>
      <w:tr>
        <w:trPr>
          <w:trHeight w:val="36"/>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(13.1)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(14.6)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(0.9)</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earned</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adjustments (1)</w:t>
            </w:r>
          </w:p>
        </w:tc>
        <w:tc>
          <w:tcPr>
            <w:tcW w:w="10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(12.1)</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adjustments primarily includes cash tax adjustments and other cash gains (losses).</w:t>
      </w:r>
    </w:p>
    <w:sectPr>
      <w:pgSz w:w="11900" w:h="16838" w:orient="portrait"/>
      <w:cols w:equalWidth="0" w:num="1">
        <w:col w:w="11080"/>
      </w:cols>
      <w:pgMar w:left="320" w:top="11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2024-06-06T15:23:00Z</dcterms:created>
  <dcterms:modified xsi:type="dcterms:W3CDTF">2024-06-06T15:23:00Z</dcterms:modified>
</cp:coreProperties>
</file>