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68" w:before="0" w:after="0"/>
        <w:rPr>
          <w:rFonts w:ascii="Arial;sans-serif" w:hAnsi="Arial;sans-serif"/>
          <w:b/>
          <w:color w:val="000000"/>
          <w:sz w:val="20"/>
        </w:rPr>
      </w:pPr>
      <w:r>
        <w:rPr>
          <w:rFonts w:ascii="Arial;sans-serif" w:hAnsi="Arial;sans-serif"/>
          <w:b/>
          <w:color w:val="000000"/>
          <w:sz w:val="20"/>
        </w:rPr>
        <w:t>As filed with the Securities and Exchange Commission on April 13, 2023</w:t>
      </w:r>
    </w:p>
    <w:p>
      <w:pPr>
        <w:pStyle w:val="TextBody"/>
        <w:spacing w:before="0" w:after="0"/>
        <w:rPr/>
      </w:pPr>
      <w:r>
        <w:rPr/>
      </w:r>
    </w:p>
    <w:p>
      <w:pPr>
        <w:pStyle w:val="TextBody"/>
        <w:spacing w:lineRule="auto" w:line="268" w:before="0" w:after="0"/>
        <w:jc w:val="right"/>
        <w:rPr/>
      </w:pPr>
      <w:r>
        <w:rPr>
          <w:rFonts w:ascii="Arial;sans-serif" w:hAnsi="Arial;sans-serif"/>
          <w:b/>
          <w:color w:val="000000"/>
          <w:sz w:val="20"/>
        </w:rPr>
        <w:t xml:space="preserve">Registration </w:t>
      </w:r>
      <w:r>
        <w:rPr>
          <w:rFonts w:ascii="Times New Roman;sans-serif" w:hAnsi="Times New Roman;sans-serif"/>
          <w:b/>
          <w:color w:val="000000"/>
          <w:sz w:val="24"/>
        </w:rPr>
        <w:t xml:space="preserve">No. 333-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68" w:before="0" w:after="0"/>
        <w:jc w:val="center"/>
        <w:rPr>
          <w:rFonts w:ascii="Arial;sans-serif" w:hAnsi="Arial;sans-serif"/>
          <w:b/>
          <w:color w:val="000000"/>
          <w:sz w:val="36"/>
        </w:rPr>
      </w:pPr>
      <w:r>
        <w:rPr>
          <w:rFonts w:ascii="Arial;sans-serif" w:hAnsi="Arial;sans-serif"/>
          <w:b/>
          <w:color w:val="000000"/>
          <w:sz w:val="36"/>
        </w:rPr>
        <w:t>UNITED STATES</w:t>
      </w:r>
    </w:p>
    <w:p>
      <w:pPr>
        <w:pStyle w:val="TextBody"/>
        <w:spacing w:lineRule="auto" w:line="26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spacing w:lineRule="auto" w:line="26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spacing w:before="0" w:after="0"/>
        <w:rPr/>
      </w:pPr>
      <w:r>
        <w:rPr/>
      </w:r>
    </w:p>
    <w:p>
      <w:pPr>
        <w:pStyle w:val="TextBody"/>
        <w:spacing w:before="0" w:after="0"/>
        <w:rPr/>
      </w:pPr>
      <w:r>
        <w:rPr/>
      </w:r>
    </w:p>
    <w:p>
      <w:pPr>
        <w:pStyle w:val="TextBody"/>
        <w:spacing w:lineRule="auto" w:line="268" w:before="0" w:after="0"/>
        <w:jc w:val="center"/>
        <w:rPr>
          <w:rFonts w:ascii="Arial;sans-serif" w:hAnsi="Arial;sans-serif"/>
          <w:b/>
          <w:color w:val="000000"/>
          <w:sz w:val="36"/>
        </w:rPr>
      </w:pPr>
      <w:r>
        <w:rPr>
          <w:rFonts w:ascii="Arial;sans-serif" w:hAnsi="Arial;sans-serif"/>
          <w:b/>
          <w:color w:val="000000"/>
          <w:sz w:val="36"/>
        </w:rPr>
        <w:t>FORM S-8</w:t>
      </w:r>
    </w:p>
    <w:p>
      <w:pPr>
        <w:pStyle w:val="TextBody"/>
        <w:spacing w:lineRule="auto" w:line="268" w:before="0" w:after="0"/>
        <w:jc w:val="center"/>
        <w:rPr>
          <w:rFonts w:ascii="Arial;sans-serif" w:hAnsi="Arial;sans-serif"/>
          <w:b/>
          <w:color w:val="000000"/>
          <w:sz w:val="36"/>
        </w:rPr>
      </w:pPr>
      <w:r>
        <w:rPr>
          <w:rFonts w:ascii="Arial;sans-serif" w:hAnsi="Arial;sans-serif"/>
          <w:b/>
          <w:color w:val="000000"/>
          <w:sz w:val="36"/>
        </w:rPr>
        <w:t>REGISTRATION STATEMENT</w:t>
      </w:r>
    </w:p>
    <w:p>
      <w:pPr>
        <w:pStyle w:val="TextBody"/>
        <w:spacing w:lineRule="auto" w:line="268" w:before="0" w:after="0"/>
        <w:jc w:val="center"/>
        <w:rPr>
          <w:rFonts w:ascii="Arial;sans-serif" w:hAnsi="Arial;sans-serif"/>
          <w:b/>
          <w:i/>
          <w:color w:val="000000"/>
          <w:sz w:val="24"/>
        </w:rPr>
      </w:pPr>
      <w:r>
        <w:rPr>
          <w:rFonts w:ascii="Arial;sans-serif" w:hAnsi="Arial;sans-serif"/>
          <w:b/>
          <w:i/>
          <w:color w:val="000000"/>
          <w:sz w:val="24"/>
        </w:rPr>
        <w:t>UNDER</w:t>
      </w:r>
    </w:p>
    <w:p>
      <w:pPr>
        <w:pStyle w:val="TextBody"/>
        <w:spacing w:lineRule="auto" w:line="268" w:before="0" w:after="0"/>
        <w:jc w:val="center"/>
        <w:rPr>
          <w:rFonts w:ascii="Arial;sans-serif" w:hAnsi="Arial;sans-serif"/>
          <w:b/>
          <w:i/>
          <w:color w:val="000000"/>
          <w:sz w:val="24"/>
        </w:rPr>
      </w:pPr>
      <w:r>
        <w:rPr>
          <w:rFonts w:ascii="Arial;sans-serif" w:hAnsi="Arial;sans-serif"/>
          <w:b/>
          <w:i/>
          <w:color w:val="000000"/>
          <w:sz w:val="24"/>
        </w:rPr>
        <w:t>THE SECURITIES ACT OF 1933</w:t>
      </w:r>
    </w:p>
    <w:p>
      <w:pPr>
        <w:pStyle w:val="TextBody"/>
        <w:spacing w:before="0" w:after="0"/>
        <w:jc w:val="center"/>
        <w:rPr/>
      </w:pPr>
      <w:r>
        <w:rPr/>
      </w:r>
    </w:p>
    <w:p>
      <w:pPr>
        <w:pStyle w:val="TextBody"/>
        <w:spacing w:before="0" w:after="0"/>
        <w:rPr/>
      </w:pPr>
      <w:r>
        <w:rPr/>
      </w:r>
    </w:p>
    <w:p>
      <w:pPr>
        <w:pStyle w:val="TextBody"/>
        <w:spacing w:lineRule="auto" w:line="268" w:before="0" w:after="0"/>
        <w:jc w:val="center"/>
        <w:rPr>
          <w:rFonts w:ascii="Arial;sans-serif" w:hAnsi="Arial;sans-serif"/>
          <w:b/>
          <w:color w:val="000000"/>
          <w:sz w:val="48"/>
        </w:rPr>
      </w:pPr>
      <w:r>
        <w:rPr>
          <w:rFonts w:ascii="Arial;sans-serif" w:hAnsi="Arial;sans-serif"/>
          <w:b/>
          <w:color w:val="000000"/>
          <w:sz w:val="48"/>
        </w:rPr>
        <w:t>Rent the Runway, Inc.</w:t>
      </w:r>
    </w:p>
    <w:p>
      <w:pPr>
        <w:pStyle w:val="TextBody"/>
        <w:spacing w:lineRule="auto" w:line="268" w:before="0" w:after="0"/>
        <w:jc w:val="center"/>
        <w:rPr>
          <w:rFonts w:ascii="Arial;sans-serif" w:hAnsi="Arial;sans-serif"/>
          <w:b/>
          <w:color w:val="000000"/>
          <w:sz w:val="24"/>
        </w:rPr>
      </w:pPr>
      <w:r>
        <w:rPr>
          <w:rFonts w:ascii="Arial;sans-serif" w:hAnsi="Arial;sans-serif"/>
          <w:b/>
          <w:color w:val="000000"/>
          <w:sz w:val="24"/>
        </w:rPr>
        <w:t>(Exact name of Registrant as specified in its charter)</w:t>
      </w:r>
    </w:p>
    <w:p>
      <w:pPr>
        <w:pStyle w:val="TextBody"/>
        <w:spacing w:before="0" w:after="0"/>
        <w:rPr/>
      </w:pPr>
      <w:r>
        <w:rPr/>
      </w:r>
    </w:p>
    <w:tbl>
      <w:tblPr>
        <w:tblW w:w="4421" w:type="dxa"/>
        <w:jc w:val="left"/>
        <w:tblInd w:w="0" w:type="dxa"/>
        <w:tblCellMar>
          <w:top w:w="28" w:type="dxa"/>
          <w:left w:w="28" w:type="dxa"/>
          <w:bottom w:w="28" w:type="dxa"/>
          <w:right w:w="28" w:type="dxa"/>
        </w:tblCellMar>
      </w:tblPr>
      <w:tblGrid>
        <w:gridCol w:w="911"/>
        <w:gridCol w:w="801"/>
        <w:gridCol w:w="808"/>
        <w:gridCol w:w="109"/>
        <w:gridCol w:w="109"/>
        <w:gridCol w:w="109"/>
        <w:gridCol w:w="461"/>
        <w:gridCol w:w="461"/>
        <w:gridCol w:w="652"/>
      </w:tblGrid>
      <w:tr>
        <w:trPr/>
        <w:tc>
          <w:tcPr>
            <w:tcW w:w="911"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color w:val="000000"/>
                <w:sz w:val="24"/>
              </w:rPr>
            </w:pPr>
            <w:r>
              <w:rPr>
                <w:rFonts w:ascii="Arial;sans-serif" w:hAnsi="Arial;sans-serif"/>
                <w:b/>
                <w:color w:val="000000"/>
                <w:sz w:val="24"/>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color w:val="000000"/>
                <w:sz w:val="24"/>
              </w:rPr>
            </w:pPr>
            <w:r>
              <w:rPr>
                <w:rFonts w:ascii="Arial;sans-serif" w:hAnsi="Arial;sans-serif"/>
                <w:b/>
                <w:color w:val="000000"/>
                <w:sz w:val="24"/>
              </w:rPr>
              <w:t>80-0376379</w:t>
            </w:r>
          </w:p>
        </w:tc>
      </w:tr>
      <w:tr>
        <w:trPr/>
        <w:tc>
          <w:tcPr>
            <w:tcW w:w="2520"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color w:val="000000"/>
                <w:sz w:val="16"/>
              </w:rPr>
            </w:pPr>
            <w:r>
              <w:rPr>
                <w:rFonts w:ascii="Arial;sans-serif" w:hAnsi="Arial;sans-serif"/>
                <w:b/>
                <w:color w:val="000000"/>
                <w:sz w:val="16"/>
              </w:rPr>
              <w:t>(State or other jurisdiction of</w:t>
              <w:b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color w:val="000000"/>
                <w:sz w:val="16"/>
              </w:rPr>
            </w:pPr>
            <w:r>
              <w:rPr>
                <w:rFonts w:ascii="Arial;sans-serif" w:hAnsi="Arial;sans-serif"/>
                <w:b/>
                <w:color w:val="000000"/>
                <w:sz w:val="16"/>
              </w:rPr>
              <w:t>(I.R.S. Employer</w:t>
              <w:br/>
              <w:t>Identification No.)</w:t>
            </w:r>
          </w:p>
        </w:tc>
      </w:tr>
    </w:tbl>
    <w:p>
      <w:pPr>
        <w:pStyle w:val="TextBody"/>
        <w:spacing w:lineRule="auto" w:line="268" w:before="0" w:after="0"/>
        <w:jc w:val="center"/>
        <w:rPr>
          <w:rFonts w:ascii="Arial;sans-serif" w:hAnsi="Arial;sans-serif"/>
          <w:b/>
          <w:color w:val="000000"/>
          <w:sz w:val="20"/>
        </w:rPr>
      </w:pPr>
      <w:r>
        <w:rPr>
          <w:rFonts w:ascii="Arial;sans-serif" w:hAnsi="Arial;sans-serif"/>
          <w:b/>
          <w:color w:val="000000"/>
          <w:sz w:val="20"/>
        </w:rPr>
        <w:t>10 Jay Street</w:t>
      </w:r>
    </w:p>
    <w:p>
      <w:pPr>
        <w:pStyle w:val="TextBody"/>
        <w:spacing w:lineRule="auto" w:line="268" w:before="0" w:after="0"/>
        <w:jc w:val="center"/>
        <w:rPr>
          <w:rFonts w:ascii="Arial;sans-serif" w:hAnsi="Arial;sans-serif"/>
          <w:b/>
          <w:color w:val="000000"/>
          <w:sz w:val="20"/>
        </w:rPr>
      </w:pPr>
      <w:r>
        <w:rPr>
          <w:rFonts w:ascii="Arial;sans-serif" w:hAnsi="Arial;sans-serif"/>
          <w:b/>
          <w:color w:val="000000"/>
          <w:sz w:val="20"/>
        </w:rPr>
        <w:t>Brooklyn, New York 11201</w:t>
      </w:r>
    </w:p>
    <w:p>
      <w:pPr>
        <w:pStyle w:val="TextBody"/>
        <w:spacing w:lineRule="auto" w:line="268" w:before="0" w:after="0"/>
        <w:jc w:val="center"/>
        <w:rPr>
          <w:rFonts w:ascii="Arial;sans-serif" w:hAnsi="Arial;sans-serif"/>
          <w:b/>
          <w:color w:val="000000"/>
          <w:sz w:val="20"/>
        </w:rPr>
      </w:pPr>
      <w:r>
        <w:rPr>
          <w:rFonts w:ascii="Arial;sans-serif" w:hAnsi="Arial;sans-serif"/>
          <w:b/>
          <w:color w:val="000000"/>
          <w:sz w:val="20"/>
        </w:rPr>
        <w:t xml:space="preserve">Telephone: (212) 524-6860 </w:t>
      </w:r>
    </w:p>
    <w:p>
      <w:pPr>
        <w:pStyle w:val="TextBody"/>
        <w:spacing w:lineRule="auto" w:line="268" w:before="0" w:after="0"/>
        <w:jc w:val="center"/>
        <w:rPr>
          <w:rFonts w:ascii="Arial;sans-serif" w:hAnsi="Arial;sans-serif"/>
          <w:b/>
          <w:color w:val="000000"/>
          <w:sz w:val="16"/>
        </w:rPr>
      </w:pPr>
      <w:r>
        <w:rPr>
          <w:rFonts w:ascii="Arial;sans-serif" w:hAnsi="Arial;sans-serif"/>
          <w:b/>
          <w:color w:val="000000"/>
          <w:sz w:val="16"/>
        </w:rPr>
        <w:t>(Address of principal executive offices) (Zip code)</w:t>
      </w:r>
    </w:p>
    <w:p>
      <w:pPr>
        <w:pStyle w:val="TextBody"/>
        <w:spacing w:before="0" w:after="0"/>
        <w:rPr/>
      </w:pPr>
      <w:r>
        <w:rPr/>
      </w:r>
    </w:p>
    <w:p>
      <w:pPr>
        <w:pStyle w:val="TextBody"/>
        <w:spacing w:lineRule="auto" w:line="268" w:before="0" w:after="0"/>
        <w:jc w:val="center"/>
        <w:rPr>
          <w:rFonts w:ascii="Arial;sans-serif" w:hAnsi="Arial;sans-serif"/>
          <w:b/>
          <w:color w:val="000000"/>
          <w:sz w:val="20"/>
        </w:rPr>
      </w:pPr>
      <w:r>
        <w:rPr>
          <w:rFonts w:ascii="Arial;sans-serif" w:hAnsi="Arial;sans-serif"/>
          <w:b/>
          <w:color w:val="000000"/>
          <w:sz w:val="20"/>
        </w:rPr>
        <w:t>Rent the Runway, Inc. Amended and Restated 2021 Incentive Award Plan</w:t>
      </w:r>
    </w:p>
    <w:p>
      <w:pPr>
        <w:pStyle w:val="TextBody"/>
        <w:spacing w:lineRule="auto" w:line="268" w:before="0" w:after="0"/>
        <w:jc w:val="center"/>
        <w:rPr>
          <w:rFonts w:ascii="Arial;sans-serif" w:hAnsi="Arial;sans-serif"/>
          <w:b/>
          <w:color w:val="000000"/>
          <w:sz w:val="16"/>
        </w:rPr>
      </w:pPr>
      <w:r>
        <w:rPr>
          <w:rFonts w:ascii="Arial;sans-serif" w:hAnsi="Arial;sans-serif"/>
          <w:b/>
          <w:color w:val="000000"/>
          <w:sz w:val="16"/>
        </w:rPr>
        <w:t>(Full title of the plans)</w:t>
      </w:r>
    </w:p>
    <w:p>
      <w:pPr>
        <w:pStyle w:val="TextBody"/>
        <w:spacing w:before="0" w:after="0"/>
        <w:rPr/>
      </w:pPr>
      <w:r>
        <w:rPr/>
      </w:r>
    </w:p>
    <w:p>
      <w:pPr>
        <w:pStyle w:val="TextBody"/>
        <w:spacing w:lineRule="auto" w:line="268" w:before="0" w:after="0"/>
        <w:jc w:val="center"/>
        <w:rPr>
          <w:rFonts w:ascii="Arial;sans-serif" w:hAnsi="Arial;sans-serif"/>
          <w:b/>
          <w:color w:val="000000"/>
          <w:sz w:val="20"/>
        </w:rPr>
      </w:pPr>
      <w:r>
        <w:rPr>
          <w:rFonts w:ascii="Arial;sans-serif" w:hAnsi="Arial;sans-serif"/>
          <w:b/>
          <w:color w:val="000000"/>
          <w:sz w:val="20"/>
        </w:rPr>
        <w:t>Jennifer Y. Hyman, Co-Founder, Chief Executive Officer and Chair</w:t>
      </w:r>
    </w:p>
    <w:p>
      <w:pPr>
        <w:pStyle w:val="TextBody"/>
        <w:spacing w:lineRule="auto" w:line="268" w:before="0" w:after="0"/>
        <w:jc w:val="center"/>
        <w:rPr>
          <w:rFonts w:ascii="Arial;sans-serif" w:hAnsi="Arial;sans-serif"/>
          <w:b/>
          <w:color w:val="000000"/>
          <w:sz w:val="20"/>
        </w:rPr>
      </w:pPr>
      <w:r>
        <w:rPr>
          <w:rFonts w:ascii="Arial;sans-serif" w:hAnsi="Arial;sans-serif"/>
          <w:b/>
          <w:color w:val="000000"/>
          <w:sz w:val="20"/>
        </w:rPr>
        <w:t>Rent the Runway, Inc.</w:t>
      </w:r>
    </w:p>
    <w:p>
      <w:pPr>
        <w:pStyle w:val="TextBody"/>
        <w:spacing w:lineRule="auto" w:line="268" w:before="0" w:after="0"/>
        <w:jc w:val="center"/>
        <w:rPr>
          <w:rFonts w:ascii="Arial;sans-serif" w:hAnsi="Arial;sans-serif"/>
          <w:b/>
          <w:color w:val="000000"/>
          <w:sz w:val="20"/>
        </w:rPr>
      </w:pPr>
      <w:r>
        <w:rPr>
          <w:rFonts w:ascii="Arial;sans-serif" w:hAnsi="Arial;sans-serif"/>
          <w:b/>
          <w:color w:val="000000"/>
          <w:sz w:val="20"/>
        </w:rPr>
        <w:t>10 Jay Street</w:t>
      </w:r>
    </w:p>
    <w:p>
      <w:pPr>
        <w:pStyle w:val="TextBody"/>
        <w:spacing w:lineRule="auto" w:line="268" w:before="0" w:after="0"/>
        <w:jc w:val="center"/>
        <w:rPr>
          <w:rFonts w:ascii="Arial;sans-serif" w:hAnsi="Arial;sans-serif"/>
          <w:b/>
          <w:color w:val="000000"/>
          <w:sz w:val="20"/>
        </w:rPr>
      </w:pPr>
      <w:r>
        <w:rPr>
          <w:rFonts w:ascii="Arial;sans-serif" w:hAnsi="Arial;sans-serif"/>
          <w:b/>
          <w:color w:val="000000"/>
          <w:sz w:val="20"/>
        </w:rPr>
        <w:t>Brooklyn, New York 11201</w:t>
      </w:r>
    </w:p>
    <w:p>
      <w:pPr>
        <w:pStyle w:val="TextBody"/>
        <w:spacing w:lineRule="auto" w:line="268" w:before="0" w:after="0"/>
        <w:jc w:val="center"/>
        <w:rPr>
          <w:rFonts w:ascii="Arial;sans-serif" w:hAnsi="Arial;sans-serif"/>
          <w:b/>
          <w:color w:val="000000"/>
          <w:sz w:val="20"/>
        </w:rPr>
      </w:pPr>
      <w:r>
        <w:rPr>
          <w:rFonts w:ascii="Arial;sans-serif" w:hAnsi="Arial;sans-serif"/>
          <w:b/>
          <w:color w:val="000000"/>
          <w:sz w:val="20"/>
        </w:rPr>
        <w:t>Telephone: (212) 524-6860</w:t>
      </w:r>
    </w:p>
    <w:p>
      <w:pPr>
        <w:pStyle w:val="TextBody"/>
        <w:spacing w:lineRule="auto" w:line="268" w:before="0" w:after="0"/>
        <w:jc w:val="center"/>
        <w:rPr>
          <w:rFonts w:ascii="Arial;sans-serif" w:hAnsi="Arial;sans-serif"/>
          <w:b/>
          <w:color w:val="000000"/>
          <w:sz w:val="16"/>
        </w:rPr>
      </w:pPr>
      <w:r>
        <w:rPr>
          <w:rFonts w:ascii="Arial;sans-serif" w:hAnsi="Arial;sans-serif"/>
          <w:b/>
          <w:color w:val="000000"/>
          <w:sz w:val="16"/>
        </w:rPr>
        <w:t>(Name and address of agent for service) (Telephone number, including area code, of agent for service)</w:t>
      </w:r>
    </w:p>
    <w:p>
      <w:pPr>
        <w:pStyle w:val="TextBody"/>
        <w:spacing w:before="0" w:after="0"/>
        <w:jc w:val="center"/>
        <w:rPr/>
      </w:pPr>
      <w:r>
        <w:rPr/>
      </w:r>
    </w:p>
    <w:p>
      <w:pPr>
        <w:pStyle w:val="TextBody"/>
        <w:spacing w:lineRule="auto" w:line="268" w:before="0" w:after="0"/>
        <w:jc w:val="center"/>
        <w:rPr>
          <w:rFonts w:ascii="Arial;sans-serif" w:hAnsi="Arial;sans-serif"/>
          <w:b/>
          <w:i/>
          <w:color w:val="000000"/>
          <w:sz w:val="20"/>
        </w:rPr>
      </w:pPr>
      <w:r>
        <w:rPr>
          <w:rFonts w:ascii="Arial;sans-serif" w:hAnsi="Arial;sans-serif"/>
          <w:b/>
          <w:i/>
          <w:color w:val="000000"/>
          <w:sz w:val="20"/>
        </w:rPr>
        <w:t>With copies to:</w:t>
      </w:r>
    </w:p>
    <w:tbl>
      <w:tblPr>
        <w:tblW w:w="5711" w:type="dxa"/>
        <w:jc w:val="center"/>
        <w:tblInd w:w="0" w:type="dxa"/>
        <w:tblCellMar>
          <w:top w:w="28" w:type="dxa"/>
          <w:left w:w="28" w:type="dxa"/>
          <w:bottom w:w="28" w:type="dxa"/>
          <w:right w:w="28" w:type="dxa"/>
        </w:tblCellMar>
      </w:tblPr>
      <w:tblGrid>
        <w:gridCol w:w="1017"/>
        <w:gridCol w:w="891"/>
        <w:gridCol w:w="897"/>
        <w:gridCol w:w="109"/>
        <w:gridCol w:w="109"/>
        <w:gridCol w:w="109"/>
        <w:gridCol w:w="753"/>
        <w:gridCol w:w="753"/>
        <w:gridCol w:w="1073"/>
      </w:tblGrid>
      <w:tr>
        <w:trPr/>
        <w:tc>
          <w:tcPr>
            <w:tcW w:w="1017"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073" w:type="dxa"/>
            <w:tcBorders/>
            <w:shd w:fill="auto" w:val="clear"/>
            <w:vAlign w:val="center"/>
          </w:tcPr>
          <w:p>
            <w:pPr>
              <w:pStyle w:val="TableContents"/>
              <w:spacing w:before="0" w:after="283"/>
              <w:rPr>
                <w:sz w:val="4"/>
                <w:szCs w:val="4"/>
              </w:rPr>
            </w:pPr>
            <w:r>
              <w:rPr>
                <w:sz w:val="4"/>
                <w:szCs w:val="4"/>
              </w:rPr>
            </w:r>
          </w:p>
        </w:tc>
      </w:tr>
      <w:tr>
        <w:trPr/>
        <w:tc>
          <w:tcPr>
            <w:tcW w:w="280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color w:val="000000"/>
                <w:sz w:val="20"/>
              </w:rPr>
            </w:pPr>
            <w:r>
              <w:rPr>
                <w:rFonts w:ascii="Arial;sans-serif" w:hAnsi="Arial;sans-serif"/>
                <w:b/>
                <w:color w:val="000000"/>
                <w:sz w:val="20"/>
              </w:rPr>
              <w:t>Marc D. Jaffe</w:t>
              <w:br/>
              <w:t>Jenna Cooper</w:t>
              <w:br/>
              <w:t>Latham &amp; Watkins LLP</w:t>
              <w:br/>
              <w:t>1271 Avenue of the Americas</w:t>
              <w:br/>
              <w:t>New York, New York 10020</w:t>
              <w:br/>
              <w:t>(212) 906-1200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9"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color w:val="000000"/>
                <w:sz w:val="20"/>
              </w:rPr>
            </w:pPr>
            <w:r>
              <w:rPr>
                <w:rFonts w:ascii="Arial;sans-serif" w:hAnsi="Arial;sans-serif"/>
                <w:b/>
                <w:color w:val="000000"/>
                <w:sz w:val="20"/>
              </w:rPr>
              <w:t>Cara Schembri</w:t>
              <w:br/>
              <w:t>Rent the Runway, Inc.</w:t>
              <w:br/>
              <w:t>10 Jay Street</w:t>
              <w:br/>
              <w:t>Brooklyn, New York 11201</w:t>
              <w:br/>
              <w:t>(212) 524-6860</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jc w:val="center"/>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center"/>
        <w:rPr/>
      </w:pPr>
      <w:r>
        <w:rPr/>
      </w:r>
    </w:p>
    <w:p>
      <w:pPr>
        <w:pStyle w:val="TextBody"/>
        <w:spacing w:before="0" w:after="0"/>
        <w:rPr/>
      </w:pPr>
      <w:r>
        <w:rPr/>
      </w:r>
    </w:p>
    <w:p>
      <w:pPr>
        <w:pStyle w:val="TextBody"/>
        <w:spacing w:lineRule="auto" w:line="268" w:before="0" w:after="0"/>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rPr/>
      </w:pPr>
      <w:r>
        <w:rPr/>
      </w:r>
    </w:p>
    <w:tbl>
      <w:tblPr>
        <w:tblW w:w="4995" w:type="dxa"/>
        <w:jc w:val="left"/>
        <w:tblInd w:w="0" w:type="dxa"/>
        <w:tblCellMar>
          <w:top w:w="28" w:type="dxa"/>
          <w:left w:w="28" w:type="dxa"/>
          <w:bottom w:w="28" w:type="dxa"/>
          <w:right w:w="28" w:type="dxa"/>
        </w:tblCellMar>
      </w:tblPr>
      <w:tblGrid>
        <w:gridCol w:w="826"/>
        <w:gridCol w:w="725"/>
        <w:gridCol w:w="729"/>
        <w:gridCol w:w="794"/>
        <w:gridCol w:w="794"/>
        <w:gridCol w:w="1127"/>
      </w:tblGrid>
      <w:tr>
        <w:trPr/>
        <w:tc>
          <w:tcPr>
            <w:tcW w:w="826"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r>
      <w:tr>
        <w:trPr/>
        <w:tc>
          <w:tcPr>
            <w:tcW w:w="2280"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20"/>
              </w:rPr>
            </w:pPr>
            <w:r>
              <w:rPr>
                <w:rFonts w:ascii="Arial;sans-serif" w:hAnsi="Arial;sans-serif"/>
                <w:b w:val="false"/>
                <w:color w:val="000000"/>
                <w:sz w:val="20"/>
              </w:rPr>
              <w:t>Large accelerated filer ☐</w:t>
            </w:r>
          </w:p>
        </w:tc>
        <w:tc>
          <w:tcPr>
            <w:tcW w:w="2715"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20"/>
              </w:rPr>
            </w:pPr>
            <w:r>
              <w:rPr>
                <w:rFonts w:ascii="Arial;sans-serif" w:hAnsi="Arial;sans-serif"/>
                <w:b w:val="false"/>
                <w:color w:val="000000"/>
                <w:sz w:val="20"/>
              </w:rPr>
              <w:t>Accelerated filer ☒</w:t>
            </w:r>
          </w:p>
        </w:tc>
      </w:tr>
      <w:tr>
        <w:trPr/>
        <w:tc>
          <w:tcPr>
            <w:tcW w:w="2280"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20"/>
              </w:rPr>
            </w:pPr>
            <w:r>
              <w:rPr>
                <w:rFonts w:ascii="Arial;sans-serif" w:hAnsi="Arial;sans-serif"/>
                <w:b w:val="false"/>
                <w:color w:val="000000"/>
                <w:sz w:val="20"/>
              </w:rPr>
              <w:t>Non-accelerated filer ☐</w:t>
            </w:r>
          </w:p>
        </w:tc>
        <w:tc>
          <w:tcPr>
            <w:tcW w:w="2715"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Smaller reporting company ☐</w:t>
            </w:r>
          </w:p>
        </w:tc>
      </w:tr>
      <w:tr>
        <w:trPr/>
        <w:tc>
          <w:tcPr>
            <w:tcW w:w="2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5"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20"/>
              </w:rPr>
            </w:pPr>
            <w:r>
              <w:rPr>
                <w:rFonts w:ascii="Arial;sans-serif" w:hAnsi="Arial;sans-serif"/>
                <w:b w:val="false"/>
                <w:color w:val="000000"/>
                <w:sz w:val="20"/>
              </w:rPr>
              <w:t>Emerging growth company ☒</w:t>
            </w:r>
          </w:p>
        </w:tc>
      </w:tr>
    </w:tbl>
    <w:p>
      <w:pPr>
        <w:pStyle w:val="TextBody"/>
        <w:spacing w:before="0" w:after="0"/>
        <w:rPr/>
      </w:pPr>
      <w:r>
        <w:rPr/>
      </w:r>
    </w:p>
    <w:p>
      <w:pPr>
        <w:pStyle w:val="TextBody"/>
        <w:spacing w:lineRule="auto" w:line="268" w:before="0" w:after="0"/>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 with any new or revised financial accounting standards provided pursuant to Section 7(a)(2)(B) of Securities Act. ☐</w:t>
      </w:r>
    </w:p>
    <w:p>
      <w:pPr>
        <w:pStyle w:val="TextBody"/>
        <w:rPr/>
      </w:pPr>
      <w:r>
        <w:rPr/>
      </w:r>
      <w:r>
        <w:br w:type="page"/>
      </w:r>
    </w:p>
    <w:p>
      <w:pPr>
        <w:pStyle w:val="TextBody"/>
        <w:spacing w:before="0" w:after="0"/>
        <w:jc w:val="center"/>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center"/>
        <w:rPr/>
      </w:pPr>
      <w:r>
        <w:rPr/>
      </w:r>
    </w:p>
    <w:p>
      <w:pPr>
        <w:pStyle w:val="TextBody"/>
        <w:spacing w:lineRule="auto" w:line="268" w:before="0" w:after="0"/>
        <w:jc w:val="center"/>
        <w:rPr>
          <w:rFonts w:ascii="Arial;sans-serif" w:hAnsi="Arial;sans-serif"/>
          <w:b/>
          <w:color w:val="000000"/>
          <w:sz w:val="20"/>
        </w:rPr>
      </w:pPr>
      <w:r>
        <w:rPr>
          <w:rFonts w:ascii="Arial;sans-serif" w:hAnsi="Arial;sans-serif"/>
          <w:b/>
          <w:color w:val="000000"/>
          <w:sz w:val="20"/>
        </w:rPr>
        <w:t>EXPLANATORY NOTE</w:t>
      </w:r>
    </w:p>
    <w:p>
      <w:pPr>
        <w:pStyle w:val="TextBody"/>
        <w:spacing w:before="0" w:after="0"/>
        <w:jc w:val="center"/>
        <w:rPr/>
      </w:pPr>
      <w:r>
        <w:rPr/>
      </w:r>
    </w:p>
    <w:p>
      <w:pPr>
        <w:pStyle w:val="TextBody"/>
        <w:spacing w:lineRule="auto" w:line="268" w:before="0" w:after="0"/>
        <w:rPr/>
      </w:pPr>
      <w:r>
        <w:rPr>
          <w:rFonts w:ascii="Arial;sans-serif" w:hAnsi="Arial;sans-serif"/>
          <w:b w:val="false"/>
          <w:color w:val="000000"/>
          <w:sz w:val="20"/>
        </w:rPr>
        <w:t>This Registration Statement on Form S-8 is being filed for the purpose of registering an additional 18,172,231</w:t>
      </w:r>
      <w:r>
        <w:rPr>
          <w:color w:val="000000"/>
        </w:rPr>
        <w:t xml:space="preserve"> </w:t>
      </w:r>
      <w:r>
        <w:rPr>
          <w:rFonts w:ascii="Arial;sans-serif" w:hAnsi="Arial;sans-serif"/>
          <w:b w:val="false"/>
          <w:color w:val="000000"/>
          <w:sz w:val="20"/>
        </w:rPr>
        <w:t>shares of the Registrant’s Class A common stock that may become issuable pursuant to the Rent the Runway, Inc. Amended and Restated 2021 Incentive Award Plan (“2021 Plan”) and for which a Registration Statement of the Registrant on Form S-8 relating to the same employee benefit plans is effective.</w:t>
      </w:r>
    </w:p>
    <w:p>
      <w:pPr>
        <w:pStyle w:val="TextBody"/>
        <w:spacing w:before="0" w:after="0"/>
        <w:rPr/>
      </w:pPr>
      <w:r>
        <w:rPr/>
      </w:r>
    </w:p>
    <w:p>
      <w:pPr>
        <w:pStyle w:val="TextBody"/>
        <w:spacing w:before="0" w:after="0"/>
        <w:rPr/>
      </w:pPr>
      <w:r>
        <w:rPr/>
      </w:r>
    </w:p>
    <w:p>
      <w:pPr>
        <w:pStyle w:val="TextBody"/>
        <w:spacing w:lineRule="auto" w:line="268" w:before="0" w:after="0"/>
        <w:jc w:val="center"/>
        <w:rPr>
          <w:rFonts w:ascii="Arial;sans-serif" w:hAnsi="Arial;sans-serif"/>
          <w:b/>
          <w:color w:val="000000"/>
          <w:sz w:val="20"/>
        </w:rPr>
      </w:pPr>
      <w:r>
        <w:rPr>
          <w:rFonts w:ascii="Arial;sans-serif" w:hAnsi="Arial;sans-serif"/>
          <w:b/>
          <w:color w:val="000000"/>
          <w:sz w:val="20"/>
        </w:rPr>
        <w:t xml:space="preserve">INCORPORATION BY REFERENCE OF CONTENTS OF REGISTRATION STATEMENT ON FORM S-8 </w:t>
      </w:r>
    </w:p>
    <w:p>
      <w:pPr>
        <w:pStyle w:val="TextBody"/>
        <w:spacing w:before="0" w:after="0"/>
        <w:jc w:val="center"/>
        <w:rPr/>
      </w:pPr>
      <w:r>
        <w:rPr/>
      </w:r>
    </w:p>
    <w:p>
      <w:pPr>
        <w:pStyle w:val="TextBody"/>
        <w:spacing w:lineRule="auto" w:line="268" w:before="0" w:after="0"/>
        <w:rPr/>
      </w:pPr>
      <w:r>
        <w:rPr>
          <w:rFonts w:ascii="Arial;sans-serif" w:hAnsi="Arial;sans-serif"/>
          <w:b w:val="false"/>
          <w:color w:val="000000"/>
          <w:sz w:val="20"/>
        </w:rPr>
        <w:t xml:space="preserve">The contents of the Registration Statement on </w:t>
      </w:r>
      <w:hyperlink r:id="rId2">
        <w:r>
          <w:rPr>
            <w:rStyle w:val="InternetLink"/>
          </w:rPr>
          <w:t>Form S-8 (File No</w:t>
        </w:r>
      </w:hyperlink>
      <w:hyperlink r:id="rId3">
        <w:r>
          <w:rPr>
            <w:rStyle w:val="InternetLink"/>
          </w:rPr>
          <w:t>s</w:t>
        </w:r>
      </w:hyperlink>
      <w:hyperlink r:id="rId4">
        <w:r>
          <w:rPr>
            <w:rStyle w:val="InternetLink"/>
          </w:rPr>
          <w:t>. 333-260564</w:t>
        </w:r>
      </w:hyperlink>
      <w:hyperlink r:id="rId5">
        <w:r>
          <w:rPr>
            <w:rStyle w:val="InternetLink"/>
          </w:rPr>
          <w:t xml:space="preserve"> </w:t>
        </w:r>
      </w:hyperlink>
      <w:r>
        <w:rPr>
          <w:rFonts w:ascii="Arial;sans-serif" w:hAnsi="Arial;sans-serif"/>
          <w:b w:val="false"/>
          <w:color w:val="000000"/>
          <w:sz w:val="20"/>
        </w:rPr>
        <w:t xml:space="preserve">and </w:t>
      </w:r>
      <w:hyperlink r:id="rId6">
        <w:r>
          <w:rPr>
            <w:rStyle w:val="InternetLink"/>
          </w:rPr>
          <w:t>333-264295</w:t>
        </w:r>
      </w:hyperlink>
      <w:hyperlink r:id="rId7">
        <w:r>
          <w:rPr>
            <w:rStyle w:val="InternetLink"/>
          </w:rPr>
          <w:t>)</w:t>
        </w:r>
      </w:hyperlink>
      <w:r>
        <w:rPr>
          <w:rFonts w:ascii="Arial;sans-serif" w:hAnsi="Arial;sans-serif"/>
          <w:b w:val="false"/>
          <w:color w:val="000000"/>
          <w:sz w:val="20"/>
        </w:rPr>
        <w:t xml:space="preserve">, filed with the Securities and Exchange Commission, relating to the 2021 Plan, are incorporated herein by reference. </w:t>
      </w:r>
    </w:p>
    <w:tbl>
      <w:tblPr>
        <w:tblW w:w="10205" w:type="dxa"/>
        <w:jc w:val="left"/>
        <w:tblInd w:w="0" w:type="dxa"/>
        <w:tblCellMar>
          <w:top w:w="28" w:type="dxa"/>
          <w:left w:w="28" w:type="dxa"/>
          <w:bottom w:w="28" w:type="dxa"/>
          <w:right w:w="28" w:type="dxa"/>
        </w:tblCellMar>
      </w:tblPr>
      <w:tblGrid>
        <w:gridCol w:w="404"/>
        <w:gridCol w:w="355"/>
        <w:gridCol w:w="357"/>
        <w:gridCol w:w="109"/>
        <w:gridCol w:w="109"/>
        <w:gridCol w:w="109"/>
        <w:gridCol w:w="3025"/>
        <w:gridCol w:w="2368"/>
        <w:gridCol w:w="3369"/>
      </w:tblGrid>
      <w:tr>
        <w:trPr/>
        <w:tc>
          <w:tcPr>
            <w:tcW w:w="404"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25" w:type="dxa"/>
            <w:tcBorders/>
            <w:shd w:fill="auto" w:val="clear"/>
            <w:vAlign w:val="center"/>
          </w:tcPr>
          <w:p>
            <w:pPr>
              <w:pStyle w:val="TableContents"/>
              <w:spacing w:before="0" w:after="283"/>
              <w:rPr>
                <w:sz w:val="4"/>
                <w:szCs w:val="4"/>
              </w:rPr>
            </w:pPr>
            <w:r>
              <w:rPr>
                <w:sz w:val="4"/>
                <w:szCs w:val="4"/>
              </w:rPr>
            </w:r>
          </w:p>
        </w:tc>
        <w:tc>
          <w:tcPr>
            <w:tcW w:w="2368" w:type="dxa"/>
            <w:tcBorders/>
            <w:shd w:fill="auto" w:val="clear"/>
            <w:vAlign w:val="center"/>
          </w:tcPr>
          <w:p>
            <w:pPr>
              <w:pStyle w:val="TableContents"/>
              <w:spacing w:before="0" w:after="283"/>
              <w:rPr>
                <w:sz w:val="4"/>
                <w:szCs w:val="4"/>
              </w:rPr>
            </w:pPr>
            <w:r>
              <w:rPr>
                <w:sz w:val="4"/>
                <w:szCs w:val="4"/>
              </w:rPr>
            </w:r>
          </w:p>
        </w:tc>
        <w:tc>
          <w:tcPr>
            <w:tcW w:w="3369" w:type="dxa"/>
            <w:tcBorders/>
            <w:shd w:fill="auto" w:val="clear"/>
            <w:vAlign w:val="center"/>
          </w:tcPr>
          <w:p>
            <w:pPr>
              <w:pStyle w:val="TableContents"/>
              <w:spacing w:before="0" w:after="283"/>
              <w:rPr>
                <w:sz w:val="4"/>
                <w:szCs w:val="4"/>
              </w:rPr>
            </w:pPr>
            <w:r>
              <w:rPr>
                <w:sz w:val="4"/>
                <w:szCs w:val="4"/>
              </w:rPr>
            </w:r>
          </w:p>
        </w:tc>
      </w:tr>
      <w:tr>
        <w:trPr/>
        <w:tc>
          <w:tcPr>
            <w:tcW w:w="11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Exhibit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Description</w:t>
            </w:r>
          </w:p>
        </w:tc>
      </w:tr>
      <w:tr>
        <w:trPr/>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left"/>
              <w:rPr/>
            </w:pPr>
            <w:hyperlink r:id="rId8">
              <w:r>
                <w:rPr>
                  <w:rStyle w:val="InternetLink"/>
                  <w:rFonts w:ascii="Arial;sans-serif" w:hAnsi="Arial;sans-serif"/>
                  <w:b w:val="false"/>
                  <w:color w:val="0000FF"/>
                  <w:sz w:val="20"/>
                  <w:u w:val="single"/>
                </w:rPr>
                <w:t>Amended and Restated Certificate of Incorporation of the Registrant, dated October 29, 2021 (incorporated by reference to Exhibit 3.1 to the Registrant’s Current Report on Form 8-K (File No. 001-40958) filed on October 29, 2021)</w:t>
              </w:r>
            </w:hyperlink>
          </w:p>
        </w:tc>
      </w:tr>
      <w:tr>
        <w:trPr/>
        <w:tc>
          <w:tcPr>
            <w:tcW w:w="1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2"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r:id="rId9">
              <w:r>
                <w:rPr>
                  <w:rStyle w:val="InternetLink"/>
                  <w:rFonts w:ascii="Arial;sans-serif" w:hAnsi="Arial;sans-serif"/>
                  <w:b w:val="false"/>
                  <w:color w:val="0000FF"/>
                  <w:sz w:val="20"/>
                  <w:u w:val="single"/>
                </w:rPr>
                <w:t>Amended and Restated Bylaws of the Registrant, dated October 29, 2021 (incorporated by reference to Exhibit 3.2 to the Registrant’s Current Report on Form 8-K (File No. 001-40958) filed on October 29, 2021)</w:t>
              </w:r>
            </w:hyperlink>
          </w:p>
        </w:tc>
      </w:tr>
      <w:tr>
        <w:trPr/>
        <w:tc>
          <w:tcPr>
            <w:tcW w:w="1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2"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exhibit51232opinionconsent.htm">
              <w:r>
                <w:rPr>
                  <w:rStyle w:val="InternetLink"/>
                  <w:rFonts w:ascii="Arial;sans-serif" w:hAnsi="Arial;sans-serif"/>
                  <w:b w:val="false"/>
                  <w:color w:val="0000FF"/>
                  <w:sz w:val="20"/>
                  <w:u w:val="single"/>
                </w:rPr>
                <w:t>Opinion of Latham &amp; Watkins LLP</w:t>
              </w:r>
            </w:hyperlink>
          </w:p>
        </w:tc>
      </w:tr>
      <w:tr>
        <w:trPr/>
        <w:tc>
          <w:tcPr>
            <w:tcW w:w="1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2"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exhibit231-pwcsx8consent41.htm">
              <w:r>
                <w:rPr>
                  <w:rStyle w:val="InternetLink"/>
                  <w:rFonts w:ascii="Arial;sans-serif" w:hAnsi="Arial;sans-serif"/>
                  <w:b w:val="false"/>
                  <w:color w:val="0000FF"/>
                  <w:sz w:val="20"/>
                  <w:u w:val="single"/>
                </w:rPr>
                <w:t>Consent of PricewaterhouseCoopers LLP, Independent Registered Public Accounting Firm</w:t>
              </w:r>
            </w:hyperlink>
          </w:p>
        </w:tc>
      </w:tr>
      <w:tr>
        <w:trPr/>
        <w:tc>
          <w:tcPr>
            <w:tcW w:w="1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2"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exhibit51232opinionconsent.htm">
              <w:r>
                <w:rPr>
                  <w:rStyle w:val="InternetLink"/>
                  <w:rFonts w:ascii="Arial;sans-serif" w:hAnsi="Arial;sans-serif"/>
                  <w:b w:val="false"/>
                  <w:color w:val="0000FF"/>
                  <w:sz w:val="20"/>
                  <w:u w:val="single"/>
                </w:rPr>
                <w:t>Consent of Latham &amp; Watkins LLP (included in Exhibit 5.1)</w:t>
              </w:r>
            </w:hyperlink>
          </w:p>
        </w:tc>
      </w:tr>
      <w:tr>
        <w:trPr/>
        <w:tc>
          <w:tcPr>
            <w:tcW w:w="1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2"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82d6360ebbe94f15b9453dcf960ce485_4">
              <w:r>
                <w:rPr>
                  <w:rStyle w:val="InternetLink"/>
                  <w:rFonts w:ascii="Arial;sans-serif" w:hAnsi="Arial;sans-serif"/>
                  <w:b w:val="false"/>
                  <w:color w:val="0000FF"/>
                  <w:sz w:val="20"/>
                  <w:u w:val="single"/>
                </w:rPr>
                <w:t>Power of Attorney (included on signature page)</w:t>
              </w:r>
            </w:hyperlink>
          </w:p>
        </w:tc>
      </w:tr>
      <w:tr>
        <w:trPr/>
        <w:tc>
          <w:tcPr>
            <w:tcW w:w="1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2"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r:id="rId10">
              <w:r>
                <w:rPr>
                  <w:rStyle w:val="InternetLink"/>
                  <w:rFonts w:ascii="Arial;sans-serif" w:hAnsi="Arial;sans-serif"/>
                  <w:b w:val="false"/>
                  <w:color w:val="0000FF"/>
                  <w:sz w:val="20"/>
                  <w:u w:val="single"/>
                </w:rPr>
                <w:t>Amended and Restated 2021 Incentive Award Plan (incorporated by reference to Exhibit 10.9 to the Registrant’s Registration Statement on Form S-1/A (File No. 333-260027), filed on October 18, 2021 with the Commission)</w:t>
              </w:r>
            </w:hyperlink>
          </w:p>
        </w:tc>
      </w:tr>
      <w:tr>
        <w:trPr/>
        <w:tc>
          <w:tcPr>
            <w:tcW w:w="11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107.1*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107-filedfeetable41.htm">
              <w:r>
                <w:rPr>
                  <w:rStyle w:val="InternetLink"/>
                  <w:rFonts w:ascii="Arial;sans-serif" w:hAnsi="Arial;sans-serif"/>
                  <w:b w:val="false"/>
                  <w:color w:val="0000FF"/>
                  <w:sz w:val="20"/>
                  <w:u w:val="single"/>
                </w:rPr>
                <w:t>Filing Fee Table</w:t>
              </w:r>
            </w:hyperlink>
          </w:p>
        </w:tc>
      </w:tr>
      <w:tr>
        <w:trPr/>
        <w:tc>
          <w:tcPr>
            <w:tcW w:w="1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76"/>
        <w:rPr>
          <w:rFonts w:ascii="Arial;sans-serif" w:hAnsi="Arial;sans-serif"/>
          <w:b w:val="false"/>
          <w:color w:val="000000"/>
          <w:sz w:val="20"/>
        </w:rPr>
      </w:pPr>
      <w:r>
        <w:rPr>
          <w:rFonts w:ascii="Arial;sans-serif" w:hAnsi="Arial;sans-serif"/>
          <w:b w:val="false"/>
          <w:color w:val="000000"/>
          <w:sz w:val="20"/>
        </w:rPr>
        <w:t>*Filed herewith.</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center"/>
        <w:rPr/>
      </w:pPr>
      <w:r>
        <w:rPr/>
      </w:r>
    </w:p>
    <w:p>
      <w:pPr>
        <w:pStyle w:val="TextBody"/>
        <w:spacing w:lineRule="auto" w:line="268" w:before="0" w:after="0"/>
        <w:jc w:val="center"/>
        <w:rPr>
          <w:rFonts w:ascii="Arial;sans-serif" w:hAnsi="Arial;sans-serif"/>
          <w:b/>
          <w:color w:val="000000"/>
          <w:sz w:val="20"/>
        </w:rPr>
      </w:pPr>
      <w:r>
        <w:rPr>
          <w:rFonts w:ascii="Arial;sans-serif" w:hAnsi="Arial;sans-serif"/>
          <w:b/>
          <w:color w:val="000000"/>
          <w:sz w:val="20"/>
        </w:rPr>
        <w:t>SIGNATURES</w:t>
      </w:r>
    </w:p>
    <w:p>
      <w:pPr>
        <w:pStyle w:val="TextBody"/>
        <w:spacing w:before="0" w:after="0"/>
        <w:jc w:val="center"/>
        <w:rPr/>
      </w:pPr>
      <w:r>
        <w:rPr/>
      </w:r>
    </w:p>
    <w:p>
      <w:pPr>
        <w:pStyle w:val="TextBody"/>
        <w:spacing w:lineRule="auto" w:line="268" w:before="0" w:after="0"/>
        <w:rPr>
          <w:rFonts w:ascii="Arial;sans-serif" w:hAnsi="Arial;sans-serif"/>
          <w:b w:val="false"/>
          <w:color w:val="000000"/>
          <w:sz w:val="20"/>
        </w:rPr>
      </w:pPr>
      <w:r>
        <w:rPr>
          <w:rFonts w:ascii="Arial;sans-serif" w:hAnsi="Arial;sans-serif"/>
          <w:b w:val="false"/>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April 13, 2023.</w:t>
      </w:r>
    </w:p>
    <w:p>
      <w:pPr>
        <w:pStyle w:val="TextBody"/>
        <w:spacing w:before="0" w:after="0"/>
        <w:rPr/>
      </w:pPr>
      <w:r>
        <w:rPr/>
      </w:r>
    </w:p>
    <w:tbl>
      <w:tblPr>
        <w:tblW w:w="5210" w:type="dxa"/>
        <w:jc w:val="left"/>
        <w:tblInd w:w="0" w:type="dxa"/>
        <w:tblCellMar>
          <w:top w:w="28" w:type="dxa"/>
          <w:left w:w="28" w:type="dxa"/>
          <w:bottom w:w="28" w:type="dxa"/>
          <w:right w:w="28" w:type="dxa"/>
        </w:tblCellMar>
      </w:tblPr>
      <w:tblGrid>
        <w:gridCol w:w="667"/>
        <w:gridCol w:w="585"/>
        <w:gridCol w:w="592"/>
        <w:gridCol w:w="397"/>
        <w:gridCol w:w="397"/>
        <w:gridCol w:w="397"/>
        <w:gridCol w:w="636"/>
        <w:gridCol w:w="636"/>
        <w:gridCol w:w="903"/>
      </w:tblGrid>
      <w:tr>
        <w:trPr/>
        <w:tc>
          <w:tcPr>
            <w:tcW w:w="667"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6" w:type="dxa"/>
            <w:gridSpan w:val="6"/>
            <w:tcBorders/>
            <w:shd w:fill="auto" w:val="clear"/>
            <w:tcMar>
              <w:top w:w="0" w:type="dxa"/>
              <w:left w:w="0" w:type="dxa"/>
              <w:bottom w:w="0" w:type="dxa"/>
              <w:right w:w="0" w:type="dxa"/>
            </w:tcMar>
            <w:vAlign w:val="center"/>
          </w:tcPr>
          <w:p>
            <w:pPr>
              <w:pStyle w:val="TableContents"/>
              <w:spacing w:lineRule="auto" w:line="268" w:before="0" w:after="0"/>
              <w:jc w:val="left"/>
              <w:rPr>
                <w:rFonts w:ascii="Arial;sans-serif" w:hAnsi="Arial;sans-serif"/>
                <w:b/>
                <w:color w:val="000000"/>
                <w:sz w:val="20"/>
              </w:rPr>
            </w:pPr>
            <w:r>
              <w:rPr>
                <w:rFonts w:ascii="Arial;sans-serif" w:hAnsi="Arial;sans-serif"/>
                <w:b/>
                <w:color w:val="000000"/>
                <w:sz w:val="20"/>
              </w:rPr>
              <w:t>RENT THE RUNWAY, INC.</w:t>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4"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Arial;sans-serif" w:hAnsi="Arial;sans-serif"/>
                <w:b w:val="false"/>
                <w:color w:val="000000"/>
                <w:sz w:val="20"/>
              </w:rPr>
            </w:pPr>
            <w:r>
              <w:rPr>
                <w:rFonts w:ascii="Arial;sans-serif" w:hAnsi="Arial;sans-serif"/>
                <w:b w:val="false"/>
                <w:color w:val="000000"/>
                <w:sz w:val="20"/>
              </w:rPr>
              <w:t>Date: April 13, 2023</w:t>
            </w:r>
          </w:p>
        </w:tc>
        <w:tc>
          <w:tcPr>
            <w:tcW w:w="1191"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Arial;sans-serif" w:hAnsi="Arial;sans-serif"/>
                <w:b w:val="false"/>
                <w:color w:val="000000"/>
                <w:sz w:val="20"/>
              </w:rPr>
            </w:pPr>
            <w:r>
              <w:rPr>
                <w:rFonts w:ascii="Arial;sans-serif" w:hAnsi="Arial;sans-serif"/>
                <w:b w:val="false"/>
                <w:color w:val="000000"/>
                <w:sz w:val="20"/>
              </w:rPr>
              <w:t>By:</w:t>
            </w:r>
          </w:p>
        </w:tc>
        <w:tc>
          <w:tcPr>
            <w:tcW w:w="217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Arial;sans-serif" w:hAnsi="Arial;sans-serif"/>
                <w:b w:val="false"/>
                <w:color w:val="000000"/>
                <w:sz w:val="20"/>
              </w:rPr>
            </w:pPr>
            <w:r>
              <w:rPr>
                <w:rFonts w:ascii="Arial;sans-serif" w:hAnsi="Arial;sans-serif"/>
                <w:b w:val="false"/>
                <w:color w:val="000000"/>
                <w:sz w:val="20"/>
              </w:rPr>
              <w:t>/s/ Jennifer Y. Hyman</w:t>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left"/>
              <w:rPr>
                <w:rFonts w:ascii="Arial;sans-serif" w:hAnsi="Arial;sans-serif"/>
                <w:b w:val="false"/>
                <w:color w:val="000000"/>
                <w:sz w:val="20"/>
              </w:rPr>
            </w:pPr>
            <w:r>
              <w:rPr>
                <w:rFonts w:ascii="Arial;sans-serif" w:hAnsi="Arial;sans-serif"/>
                <w:b w:val="false"/>
                <w:color w:val="000000"/>
                <w:sz w:val="20"/>
              </w:rPr>
              <w:t>Jennifer Y. Hyman</w:t>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5"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bl>
    <w:p>
      <w:pPr>
        <w:pStyle w:val="TextBody"/>
        <w:spacing w:before="0" w:after="0"/>
        <w:rPr/>
      </w:pPr>
      <w:r>
        <w:rPr/>
      </w:r>
    </w:p>
    <w:p>
      <w:pPr>
        <w:pStyle w:val="TextBody"/>
        <w:rPr/>
      </w:pPr>
      <w:r>
        <w:rPr/>
      </w:r>
      <w:r>
        <w:br w:type="page"/>
      </w:r>
    </w:p>
    <w:p>
      <w:pPr>
        <w:pStyle w:val="TextBody"/>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center"/>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68" w:before="0" w:after="0"/>
        <w:jc w:val="center"/>
        <w:rPr>
          <w:rFonts w:ascii="Arial;sans-serif" w:hAnsi="Arial;sans-serif"/>
          <w:b/>
          <w:color w:val="000000"/>
          <w:sz w:val="20"/>
        </w:rPr>
      </w:pPr>
      <w:r>
        <w:rPr>
          <w:rFonts w:ascii="Arial;sans-serif" w:hAnsi="Arial;sans-serif"/>
          <w:b/>
          <w:color w:val="000000"/>
          <w:sz w:val="20"/>
        </w:rPr>
        <w:t>POWER OF ATTORNEY</w:t>
      </w:r>
    </w:p>
    <w:p>
      <w:pPr>
        <w:pStyle w:val="TextBody"/>
        <w:spacing w:before="0" w:after="0"/>
        <w:jc w:val="center"/>
        <w:rPr/>
      </w:pPr>
      <w:r>
        <w:rPr/>
      </w:r>
    </w:p>
    <w:p>
      <w:pPr>
        <w:pStyle w:val="TextBody"/>
        <w:spacing w:lineRule="auto" w:line="268" w:before="0" w:after="0"/>
        <w:rPr>
          <w:rFonts w:ascii="Arial;sans-serif" w:hAnsi="Arial;sans-serif"/>
          <w:b w:val="false"/>
          <w:color w:val="000000"/>
          <w:sz w:val="20"/>
        </w:rPr>
      </w:pPr>
      <w:r>
        <w:rPr>
          <w:rFonts w:ascii="Arial;sans-serif" w:hAnsi="Arial;sans-serif"/>
          <w:b w:val="false"/>
          <w:color w:val="000000"/>
          <w:sz w:val="20"/>
        </w:rPr>
        <w:t>Each person whose signature appears below hereby constitutes and appoints Jennifer Y. Hyman and Scarlett O’Sullivan, or each of them singly, with full power to act without the other, such person’s true and lawful attorneys-in-fact and agents, with full power of substitution and re-substitution, for him or her and in his or her name, place and stead, in any and all capacities, to sign this registration statement and any and all amendments, including post-effective amendments to this registration statement, and to file the same, with exhibits and schedules thereto, and other documents in connection therewith, with the Securities and Exchange Commission, granting unto said attorneys-in-fact and agents, and each of them, full power and authority to do and perform each and every act and thing requisite and necessary or desirable to be done in connection therewith as fully to all intents and purposes as he might or could do in person, hereby ratifying and confirming all that said attorneys-in-fact and agents, or any of them, or their or his or her substitute or substitutes may lawfully do or cause to be done by virtue hereof.</w:t>
      </w:r>
    </w:p>
    <w:p>
      <w:pPr>
        <w:pStyle w:val="TextBody"/>
        <w:spacing w:before="0" w:after="0"/>
        <w:ind w:left="0" w:right="0" w:firstLine="450"/>
        <w:rPr/>
      </w:pPr>
      <w:r>
        <w:rPr/>
      </w:r>
    </w:p>
    <w:p>
      <w:pPr>
        <w:pStyle w:val="TextBody"/>
        <w:spacing w:lineRule="auto" w:line="268" w:before="0" w:after="0"/>
        <w:rPr>
          <w:rFonts w:ascii="Arial;sans-serif" w:hAnsi="Arial;sans-serif"/>
          <w:b w:val="false"/>
          <w:color w:val="000000"/>
          <w:sz w:val="20"/>
        </w:rPr>
      </w:pPr>
      <w:r>
        <w:rPr>
          <w:rFonts w:ascii="Arial;sans-serif" w:hAnsi="Arial;sans-serif"/>
          <w:b w:val="false"/>
          <w:color w:val="000000"/>
          <w:sz w:val="20"/>
        </w:rPr>
        <w:t xml:space="preserve">Pursuant to the requirements of the Securities Act of 1933, this registration statement has been signed by the following persons in the capacities and on the dates indicated. </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679"/>
        <w:gridCol w:w="596"/>
        <w:gridCol w:w="598"/>
        <w:gridCol w:w="109"/>
        <w:gridCol w:w="109"/>
        <w:gridCol w:w="109"/>
        <w:gridCol w:w="2143"/>
        <w:gridCol w:w="2114"/>
        <w:gridCol w:w="2140"/>
        <w:gridCol w:w="109"/>
        <w:gridCol w:w="109"/>
        <w:gridCol w:w="109"/>
        <w:gridCol w:w="371"/>
        <w:gridCol w:w="371"/>
        <w:gridCol w:w="539"/>
      </w:tblGrid>
      <w:tr>
        <w:trPr/>
        <w:tc>
          <w:tcPr>
            <w:tcW w:w="679"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3" w:type="dxa"/>
            <w:tcBorders/>
            <w:shd w:fill="auto" w:val="clear"/>
            <w:vAlign w:val="center"/>
          </w:tcPr>
          <w:p>
            <w:pPr>
              <w:pStyle w:val="TableContents"/>
              <w:spacing w:before="0" w:after="283"/>
              <w:rPr>
                <w:sz w:val="4"/>
                <w:szCs w:val="4"/>
              </w:rPr>
            </w:pPr>
            <w:r>
              <w:rPr>
                <w:sz w:val="4"/>
                <w:szCs w:val="4"/>
              </w:rPr>
            </w:r>
          </w:p>
        </w:tc>
        <w:tc>
          <w:tcPr>
            <w:tcW w:w="2114" w:type="dxa"/>
            <w:tcBorders/>
            <w:shd w:fill="auto" w:val="clear"/>
            <w:vAlign w:val="center"/>
          </w:tcPr>
          <w:p>
            <w:pPr>
              <w:pStyle w:val="TableContents"/>
              <w:spacing w:before="0" w:after="283"/>
              <w:rPr>
                <w:sz w:val="4"/>
                <w:szCs w:val="4"/>
              </w:rPr>
            </w:pPr>
            <w:r>
              <w:rPr>
                <w:sz w:val="4"/>
                <w:szCs w:val="4"/>
              </w:rPr>
            </w:r>
          </w:p>
        </w:tc>
        <w:tc>
          <w:tcPr>
            <w:tcW w:w="2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r>
      <w:tr>
        <w:trPr/>
        <w:tc>
          <w:tcPr>
            <w:tcW w:w="18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Signature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Title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Date</w:t>
            </w:r>
          </w:p>
        </w:tc>
      </w:tr>
      <w:tr>
        <w:trPr/>
        <w:tc>
          <w:tcPr>
            <w:tcW w:w="1873"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/s/ Jennifer Y. Hyman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7"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Chief Executive Officer and Director </w:t>
            </w:r>
            <w:r>
              <w:rPr>
                <w:rFonts w:ascii="Arial;sans-serif" w:hAnsi="Arial;sans-serif"/>
                <w:b w:val="false"/>
                <w:i/>
                <w:color w:val="000000"/>
                <w:sz w:val="20"/>
              </w:rPr>
              <w:t>(Principal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April 13, 2023</w:t>
            </w:r>
          </w:p>
        </w:tc>
      </w:tr>
      <w:tr>
        <w:trPr/>
        <w:tc>
          <w:tcPr>
            <w:tcW w:w="18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Jennifer Y. Hyman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7"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8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3"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/s/ Scarlett O’Sullivan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Chief Financial Officer </w:t>
            </w:r>
            <w:r>
              <w:rPr>
                <w:rFonts w:ascii="Arial;sans-serif" w:hAnsi="Arial;sans-serif"/>
                <w:b w:val="false"/>
                <w:i/>
                <w:color w:val="000000"/>
                <w:sz w:val="20"/>
              </w:rPr>
              <w:t>(Principal Financial Officer and Principal Accounting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April 13, 2023</w:t>
            </w:r>
          </w:p>
        </w:tc>
      </w:tr>
      <w:tr>
        <w:trPr/>
        <w:tc>
          <w:tcPr>
            <w:tcW w:w="18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Scarlett O’Sullivan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8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3"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/s/ Scott Friend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Lead Independent 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April 13, 2023</w:t>
            </w:r>
          </w:p>
        </w:tc>
      </w:tr>
      <w:tr>
        <w:trPr/>
        <w:tc>
          <w:tcPr>
            <w:tcW w:w="18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Scott Friend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8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3"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/s/ Jennifer Fleiss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April 13, 2023</w:t>
            </w:r>
          </w:p>
        </w:tc>
      </w:tr>
      <w:tr>
        <w:trPr/>
        <w:tc>
          <w:tcPr>
            <w:tcW w:w="18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Jennifer Fleiss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8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3"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/s/ Tim Bixby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April 13, 2023</w:t>
            </w:r>
          </w:p>
        </w:tc>
      </w:tr>
      <w:tr>
        <w:trPr/>
        <w:tc>
          <w:tcPr>
            <w:tcW w:w="18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Tim Bixby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8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3"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/s/ Melanie Harris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April 13, 2023</w:t>
            </w:r>
          </w:p>
        </w:tc>
      </w:tr>
      <w:tr>
        <w:trPr/>
        <w:tc>
          <w:tcPr>
            <w:tcW w:w="18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Melanie Harris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8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3"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/s/ Beth Kaplan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April 13, 2023</w:t>
            </w:r>
          </w:p>
        </w:tc>
      </w:tr>
      <w:tr>
        <w:trPr/>
        <w:tc>
          <w:tcPr>
            <w:tcW w:w="18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Beth Kaplan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8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3"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/s/ Dan Nova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April 13, 2023</w:t>
            </w:r>
          </w:p>
        </w:tc>
      </w:tr>
      <w:tr>
        <w:trPr/>
        <w:tc>
          <w:tcPr>
            <w:tcW w:w="18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Dan Nova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8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3"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/s/ Gwyneth Paltrow</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April 13, 2023</w:t>
            </w:r>
          </w:p>
        </w:tc>
      </w:tr>
      <w:tr>
        <w:trPr/>
        <w:tc>
          <w:tcPr>
            <w:tcW w:w="18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Gwyneth Paltrow</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8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3"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/s/ Carley Roney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April 13, 2023</w:t>
            </w:r>
          </w:p>
        </w:tc>
      </w:tr>
      <w:tr>
        <w:trPr/>
        <w:tc>
          <w:tcPr>
            <w:tcW w:w="18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Carley Roney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8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3"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/s/ Mike Roth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0"/>
              </w:rPr>
            </w:pPr>
            <w:r>
              <w:rPr>
                <w:rFonts w:ascii="Arial;sans-serif" w:hAnsi="Arial;sans-serif"/>
                <w:b w:val="false"/>
                <w:color w:val="000000"/>
                <w:sz w:val="20"/>
              </w:rPr>
              <w:t>April 13, 2023</w:t>
            </w:r>
          </w:p>
        </w:tc>
      </w:tr>
      <w:tr>
        <w:trPr/>
        <w:tc>
          <w:tcPr>
            <w:tcW w:w="18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Mike Roth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vMerge w:val="continue"/>
            <w:tcBorders/>
            <w:shd w:fill="auto" w:val="clear"/>
            <w:tcMar>
              <w:top w:w="0" w:type="dxa"/>
              <w:left w:w="0" w:type="dxa"/>
              <w:bottom w:w="0" w:type="dxa"/>
              <w:right w:w="0" w:type="dxa"/>
            </w:tcMar>
            <w:vAlign w:val="center"/>
          </w:tcPr>
          <w:p>
            <w:pPr>
              <w:pStyle w:val="Normal"/>
              <w:rPr/>
            </w:pPr>
            <w:r>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right"/>
        <w:rPr>
          <w:rFonts w:ascii="Arial;sans-serif" w:hAnsi="Arial;sans-serif"/>
          <w:b/>
          <w:color w:val="000000"/>
          <w:sz w:val="20"/>
        </w:rPr>
      </w:pPr>
      <w:r>
        <w:rPr>
          <w:rFonts w:ascii="Arial;sans-serif" w:hAnsi="Arial;sans-serif"/>
          <w:b/>
          <w:color w:val="000000"/>
          <w:sz w:val="20"/>
        </w:rPr>
        <w:t>Exhibit 107.1</w:t>
      </w:r>
    </w:p>
    <w:p>
      <w:pPr>
        <w:pStyle w:val="TextBody"/>
        <w:spacing w:before="0" w:after="0"/>
        <w:jc w:val="right"/>
        <w:rPr/>
      </w:pPr>
      <w:r>
        <w:rPr/>
      </w:r>
    </w:p>
    <w:p>
      <w:pPr>
        <w:pStyle w:val="TextBody"/>
        <w:spacing w:lineRule="auto" w:line="268" w:before="0" w:after="0"/>
        <w:jc w:val="center"/>
        <w:rPr>
          <w:rFonts w:ascii="Arial;sans-serif" w:hAnsi="Arial;sans-serif"/>
          <w:b/>
          <w:color w:val="000000"/>
          <w:sz w:val="20"/>
        </w:rPr>
      </w:pPr>
      <w:r>
        <w:rPr>
          <w:rFonts w:ascii="Arial;sans-serif" w:hAnsi="Arial;sans-serif"/>
          <w:b/>
          <w:color w:val="000000"/>
          <w:sz w:val="20"/>
        </w:rPr>
        <w:t>Calculation of Filing Fee Tables</w:t>
      </w:r>
    </w:p>
    <w:p>
      <w:pPr>
        <w:pStyle w:val="TextBody"/>
        <w:spacing w:lineRule="auto" w:line="268" w:before="0" w:after="0"/>
        <w:jc w:val="center"/>
        <w:rPr>
          <w:rFonts w:ascii="Arial;sans-serif" w:hAnsi="Arial;sans-serif"/>
          <w:b/>
          <w:color w:val="000000"/>
          <w:sz w:val="20"/>
        </w:rPr>
      </w:pPr>
      <w:r>
        <w:rPr>
          <w:rFonts w:ascii="Arial;sans-serif" w:hAnsi="Arial;sans-serif"/>
          <w:b/>
          <w:color w:val="000000"/>
          <w:sz w:val="20"/>
        </w:rPr>
        <w:t>Form S-8</w:t>
      </w:r>
    </w:p>
    <w:p>
      <w:pPr>
        <w:pStyle w:val="TextBody"/>
        <w:spacing w:lineRule="auto" w:line="268" w:before="0" w:after="0"/>
        <w:jc w:val="center"/>
        <w:rPr>
          <w:rFonts w:ascii="Arial;sans-serif" w:hAnsi="Arial;sans-serif"/>
          <w:b w:val="false"/>
          <w:color w:val="000000"/>
          <w:sz w:val="20"/>
        </w:rPr>
      </w:pPr>
      <w:r>
        <w:rPr>
          <w:rFonts w:ascii="Arial;sans-serif" w:hAnsi="Arial;sans-serif"/>
          <w:b w:val="false"/>
          <w:color w:val="000000"/>
          <w:sz w:val="20"/>
        </w:rPr>
        <w:t>(Form Type)</w:t>
      </w:r>
    </w:p>
    <w:p>
      <w:pPr>
        <w:pStyle w:val="TextBody"/>
        <w:spacing w:lineRule="auto" w:line="268" w:before="0" w:after="0"/>
        <w:jc w:val="center"/>
        <w:rPr>
          <w:rFonts w:ascii="Arial;sans-serif" w:hAnsi="Arial;sans-serif"/>
          <w:b/>
          <w:color w:val="000000"/>
          <w:sz w:val="20"/>
        </w:rPr>
      </w:pPr>
      <w:r>
        <w:rPr>
          <w:rFonts w:ascii="Arial;sans-serif" w:hAnsi="Arial;sans-serif"/>
          <w:b/>
          <w:color w:val="000000"/>
          <w:sz w:val="20"/>
        </w:rPr>
        <w:t>Rent the Runway, Inc.</w:t>
      </w:r>
    </w:p>
    <w:p>
      <w:pPr>
        <w:pStyle w:val="TextBody"/>
        <w:spacing w:lineRule="auto" w:line="26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p>
      <w:pPr>
        <w:pStyle w:val="TextBody"/>
        <w:spacing w:lineRule="auto" w:line="268" w:before="0" w:after="0"/>
        <w:jc w:val="center"/>
        <w:rPr>
          <w:rFonts w:ascii="Arial;sans-serif" w:hAnsi="Arial;sans-serif"/>
          <w:b/>
          <w:color w:val="000000"/>
          <w:sz w:val="20"/>
        </w:rPr>
      </w:pPr>
      <w:r>
        <w:rPr>
          <w:rFonts w:ascii="Arial;sans-serif" w:hAnsi="Arial;sans-serif"/>
          <w:b/>
          <w:color w:val="000000"/>
          <w:sz w:val="20"/>
        </w:rPr>
        <w:t>Table 1—Newly Registered Securities</w:t>
      </w:r>
    </w:p>
    <w:tbl>
      <w:tblPr>
        <w:tblW w:w="10205" w:type="dxa"/>
        <w:jc w:val="left"/>
        <w:tblInd w:w="0" w:type="dxa"/>
        <w:tblCellMar>
          <w:top w:w="28" w:type="dxa"/>
          <w:left w:w="28" w:type="dxa"/>
          <w:bottom w:w="28" w:type="dxa"/>
          <w:right w:w="28" w:type="dxa"/>
        </w:tblCellMar>
      </w:tblPr>
      <w:tblGrid>
        <w:gridCol w:w="350"/>
        <w:gridCol w:w="307"/>
        <w:gridCol w:w="308"/>
        <w:gridCol w:w="523"/>
        <w:gridCol w:w="489"/>
        <w:gridCol w:w="491"/>
        <w:gridCol w:w="460"/>
        <w:gridCol w:w="460"/>
        <w:gridCol w:w="461"/>
        <w:gridCol w:w="398"/>
        <w:gridCol w:w="398"/>
        <w:gridCol w:w="400"/>
        <w:gridCol w:w="377"/>
        <w:gridCol w:w="377"/>
        <w:gridCol w:w="379"/>
        <w:gridCol w:w="497"/>
        <w:gridCol w:w="497"/>
        <w:gridCol w:w="502"/>
        <w:gridCol w:w="375"/>
        <w:gridCol w:w="375"/>
        <w:gridCol w:w="380"/>
        <w:gridCol w:w="407"/>
        <w:gridCol w:w="407"/>
        <w:gridCol w:w="587"/>
      </w:tblGrid>
      <w:tr>
        <w:trPr/>
        <w:tc>
          <w:tcPr>
            <w:tcW w:w="350"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r>
      <w:tr>
        <w:trPr/>
        <w:tc>
          <w:tcPr>
            <w:tcW w:w="96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300" w:before="0" w:after="2"/>
              <w:jc w:val="center"/>
              <w:rPr>
                <w:rFonts w:ascii="Arial;sans-serif" w:hAnsi="Arial;sans-serif"/>
                <w:b/>
                <w:color w:val="000000"/>
                <w:sz w:val="20"/>
              </w:rPr>
            </w:pPr>
            <w:r>
              <w:rPr>
                <w:rFonts w:ascii="Arial;sans-serif" w:hAnsi="Arial;sans-serif"/>
                <w:b/>
                <w:color w:val="000000"/>
                <w:sz w:val="20"/>
              </w:rPr>
              <w:t>Security Type</w:t>
            </w:r>
          </w:p>
        </w:tc>
        <w:tc>
          <w:tcPr>
            <w:tcW w:w="150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300" w:before="0" w:after="2"/>
              <w:jc w:val="center"/>
              <w:rPr>
                <w:rFonts w:ascii="Arial;sans-serif" w:hAnsi="Arial;sans-serif"/>
                <w:b/>
                <w:color w:val="000000"/>
                <w:sz w:val="20"/>
              </w:rPr>
            </w:pPr>
            <w:r>
              <w:rPr>
                <w:rFonts w:ascii="Arial;sans-serif" w:hAnsi="Arial;sans-serif"/>
                <w:b/>
                <w:color w:val="000000"/>
                <w:sz w:val="20"/>
              </w:rPr>
              <w:t>Security Class Title</w:t>
            </w:r>
          </w:p>
        </w:tc>
        <w:tc>
          <w:tcPr>
            <w:tcW w:w="138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300" w:before="0" w:after="2"/>
              <w:jc w:val="center"/>
              <w:rPr>
                <w:rFonts w:ascii="Arial;sans-serif" w:hAnsi="Arial;sans-serif"/>
                <w:b/>
                <w:color w:val="000000"/>
                <w:sz w:val="20"/>
              </w:rPr>
            </w:pPr>
            <w:r>
              <w:rPr>
                <w:rFonts w:ascii="Arial;sans-serif" w:hAnsi="Arial;sans-serif"/>
                <w:b/>
                <w:color w:val="000000"/>
                <w:sz w:val="20"/>
              </w:rPr>
              <w:t>Fee Calculation Rule</w:t>
            </w:r>
          </w:p>
        </w:tc>
        <w:tc>
          <w:tcPr>
            <w:tcW w:w="119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ind w:left="0" w:right="0" w:firstLine="55"/>
              <w:jc w:val="center"/>
              <w:rPr>
                <w:rFonts w:ascii="Arial;sans-serif" w:hAnsi="Arial;sans-serif"/>
                <w:b/>
                <w:color w:val="000000"/>
                <w:sz w:val="20"/>
              </w:rPr>
            </w:pPr>
            <w:r>
              <w:rPr>
                <w:rFonts w:ascii="Arial;sans-serif" w:hAnsi="Arial;sans-serif"/>
                <w:b/>
                <w:color w:val="000000"/>
                <w:sz w:val="20"/>
              </w:rPr>
              <w:t>Amount</w:t>
            </w:r>
          </w:p>
          <w:p>
            <w:pPr>
              <w:pStyle w:val="TableContents"/>
              <w:spacing w:lineRule="auto" w:line="268" w:before="0" w:after="2"/>
              <w:ind w:left="0" w:right="0" w:firstLine="55"/>
              <w:jc w:val="center"/>
              <w:rPr>
                <w:rFonts w:ascii="Arial;sans-serif" w:hAnsi="Arial;sans-serif"/>
                <w:b/>
                <w:color w:val="000000"/>
                <w:sz w:val="20"/>
              </w:rPr>
            </w:pPr>
            <w:r>
              <w:rPr>
                <w:rFonts w:ascii="Arial;sans-serif" w:hAnsi="Arial;sans-serif"/>
                <w:b/>
                <w:color w:val="000000"/>
                <w:sz w:val="20"/>
              </w:rPr>
              <w:t>to be</w:t>
            </w:r>
          </w:p>
          <w:p>
            <w:pPr>
              <w:pStyle w:val="TableContents"/>
              <w:spacing w:lineRule="auto" w:line="268" w:before="0" w:after="2"/>
              <w:ind w:left="0" w:right="0" w:firstLine="55"/>
              <w:jc w:val="center"/>
              <w:rPr>
                <w:rFonts w:ascii="Arial;sans-serif" w:hAnsi="Arial;sans-serif"/>
                <w:b/>
                <w:color w:val="000000"/>
                <w:sz w:val="20"/>
              </w:rPr>
            </w:pPr>
            <w:r>
              <w:rPr>
                <w:rFonts w:ascii="Arial;sans-serif" w:hAnsi="Arial;sans-serif"/>
                <w:b/>
                <w:color w:val="000000"/>
                <w:sz w:val="20"/>
              </w:rPr>
              <w:t>Registered (1)</w:t>
            </w:r>
          </w:p>
        </w:tc>
        <w:tc>
          <w:tcPr>
            <w:tcW w:w="113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ind w:left="0" w:right="0" w:firstLine="55"/>
              <w:jc w:val="center"/>
              <w:rPr>
                <w:rFonts w:ascii="Arial;sans-serif" w:hAnsi="Arial;sans-serif"/>
                <w:b/>
                <w:color w:val="000000"/>
                <w:sz w:val="20"/>
              </w:rPr>
            </w:pPr>
            <w:r>
              <w:rPr>
                <w:rFonts w:ascii="Arial;sans-serif" w:hAnsi="Arial;sans-serif"/>
                <w:b/>
                <w:color w:val="000000"/>
                <w:sz w:val="20"/>
              </w:rPr>
              <w:t>Proposed</w:t>
            </w:r>
          </w:p>
          <w:p>
            <w:pPr>
              <w:pStyle w:val="TableContents"/>
              <w:spacing w:lineRule="auto" w:line="268" w:before="0" w:after="2"/>
              <w:ind w:left="0" w:right="0" w:firstLine="55"/>
              <w:jc w:val="center"/>
              <w:rPr>
                <w:rFonts w:ascii="Arial;sans-serif" w:hAnsi="Arial;sans-serif"/>
                <w:b/>
                <w:color w:val="000000"/>
                <w:sz w:val="20"/>
              </w:rPr>
            </w:pPr>
            <w:r>
              <w:rPr>
                <w:rFonts w:ascii="Arial;sans-serif" w:hAnsi="Arial;sans-serif"/>
                <w:b/>
                <w:color w:val="000000"/>
                <w:sz w:val="20"/>
              </w:rPr>
              <w:t>Maximum</w:t>
            </w:r>
          </w:p>
          <w:p>
            <w:pPr>
              <w:pStyle w:val="TableContents"/>
              <w:spacing w:lineRule="auto" w:line="268" w:before="0" w:after="2"/>
              <w:ind w:left="0" w:right="0" w:firstLine="55"/>
              <w:jc w:val="center"/>
              <w:rPr>
                <w:rFonts w:ascii="Arial;sans-serif" w:hAnsi="Arial;sans-serif"/>
                <w:b/>
                <w:color w:val="000000"/>
                <w:sz w:val="20"/>
              </w:rPr>
            </w:pPr>
            <w:r>
              <w:rPr>
                <w:rFonts w:ascii="Arial;sans-serif" w:hAnsi="Arial;sans-serif"/>
                <w:b/>
                <w:color w:val="000000"/>
                <w:sz w:val="20"/>
              </w:rPr>
              <w:t>Offering Price</w:t>
            </w:r>
          </w:p>
          <w:p>
            <w:pPr>
              <w:pStyle w:val="TableContents"/>
              <w:spacing w:lineRule="auto" w:line="268" w:before="0" w:after="2"/>
              <w:ind w:left="0" w:right="0" w:firstLine="55"/>
              <w:jc w:val="center"/>
              <w:rPr>
                <w:rFonts w:ascii="Arial;sans-serif" w:hAnsi="Arial;sans-serif"/>
                <w:b/>
                <w:color w:val="000000"/>
                <w:sz w:val="20"/>
              </w:rPr>
            </w:pPr>
            <w:r>
              <w:rPr>
                <w:rFonts w:ascii="Arial;sans-serif" w:hAnsi="Arial;sans-serif"/>
                <w:b/>
                <w:color w:val="000000"/>
                <w:sz w:val="20"/>
              </w:rPr>
              <w:t>Per Unit</w:t>
            </w:r>
          </w:p>
        </w:tc>
        <w:tc>
          <w:tcPr>
            <w:tcW w:w="149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ind w:left="0" w:right="0" w:firstLine="55"/>
              <w:jc w:val="center"/>
              <w:rPr>
                <w:rFonts w:ascii="Arial;sans-serif" w:hAnsi="Arial;sans-serif"/>
                <w:b/>
                <w:color w:val="000000"/>
                <w:sz w:val="20"/>
              </w:rPr>
            </w:pPr>
            <w:r>
              <w:rPr>
                <w:rFonts w:ascii="Arial;sans-serif" w:hAnsi="Arial;sans-serif"/>
                <w:b/>
                <w:color w:val="000000"/>
                <w:sz w:val="20"/>
              </w:rPr>
              <w:t>Maximum</w:t>
            </w:r>
          </w:p>
          <w:p>
            <w:pPr>
              <w:pStyle w:val="TableContents"/>
              <w:spacing w:lineRule="auto" w:line="268" w:before="0" w:after="2"/>
              <w:ind w:left="0" w:right="0" w:firstLine="55"/>
              <w:jc w:val="center"/>
              <w:rPr>
                <w:rFonts w:ascii="Arial;sans-serif" w:hAnsi="Arial;sans-serif"/>
                <w:b/>
                <w:color w:val="000000"/>
                <w:sz w:val="20"/>
              </w:rPr>
            </w:pPr>
            <w:r>
              <w:rPr>
                <w:rFonts w:ascii="Arial;sans-serif" w:hAnsi="Arial;sans-serif"/>
                <w:b/>
                <w:color w:val="000000"/>
                <w:sz w:val="20"/>
              </w:rPr>
              <w:t>Aggregate</w:t>
            </w:r>
          </w:p>
          <w:p>
            <w:pPr>
              <w:pStyle w:val="TableContents"/>
              <w:spacing w:lineRule="auto" w:line="268" w:before="0" w:after="2"/>
              <w:ind w:left="0" w:right="0" w:firstLine="55"/>
              <w:jc w:val="center"/>
              <w:rPr>
                <w:rFonts w:ascii="Arial;sans-serif" w:hAnsi="Arial;sans-serif"/>
                <w:b/>
                <w:color w:val="000000"/>
                <w:sz w:val="20"/>
              </w:rPr>
            </w:pPr>
            <w:r>
              <w:rPr>
                <w:rFonts w:ascii="Arial;sans-serif" w:hAnsi="Arial;sans-serif"/>
                <w:b/>
                <w:color w:val="000000"/>
                <w:sz w:val="20"/>
              </w:rPr>
              <w:t>Offering Price</w:t>
            </w:r>
          </w:p>
        </w:tc>
        <w:tc>
          <w:tcPr>
            <w:tcW w:w="113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300" w:before="0" w:after="2"/>
              <w:ind w:left="0" w:right="0" w:firstLine="55"/>
              <w:jc w:val="left"/>
              <w:rPr>
                <w:rFonts w:ascii="Arial;sans-serif" w:hAnsi="Arial;sans-serif"/>
                <w:b/>
                <w:color w:val="000000"/>
                <w:sz w:val="20"/>
              </w:rPr>
            </w:pPr>
            <w:r>
              <w:rPr>
                <w:rFonts w:ascii="Arial;sans-serif" w:hAnsi="Arial;sans-serif"/>
                <w:b/>
                <w:color w:val="000000"/>
                <w:sz w:val="20"/>
              </w:rPr>
              <w:t>Fee Rate</w:t>
            </w:r>
          </w:p>
        </w:tc>
        <w:tc>
          <w:tcPr>
            <w:tcW w:w="140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
              <w:ind w:left="0" w:right="0" w:firstLine="55"/>
              <w:jc w:val="center"/>
              <w:rPr>
                <w:rFonts w:ascii="Arial;sans-serif" w:hAnsi="Arial;sans-serif"/>
                <w:b/>
                <w:color w:val="000000"/>
                <w:sz w:val="20"/>
              </w:rPr>
            </w:pPr>
            <w:r>
              <w:rPr>
                <w:rFonts w:ascii="Arial;sans-serif" w:hAnsi="Arial;sans-serif"/>
                <w:b/>
                <w:color w:val="000000"/>
                <w:sz w:val="20"/>
              </w:rPr>
              <w:t>Amount of</w:t>
            </w:r>
          </w:p>
          <w:p>
            <w:pPr>
              <w:pStyle w:val="TableContents"/>
              <w:spacing w:lineRule="auto" w:line="268" w:before="0" w:after="2"/>
              <w:ind w:left="0" w:right="0" w:firstLine="55"/>
              <w:jc w:val="center"/>
              <w:rPr>
                <w:rFonts w:ascii="Arial;sans-serif" w:hAnsi="Arial;sans-serif"/>
                <w:b/>
                <w:color w:val="000000"/>
                <w:sz w:val="20"/>
              </w:rPr>
            </w:pPr>
            <w:r>
              <w:rPr>
                <w:rFonts w:ascii="Arial;sans-serif" w:hAnsi="Arial;sans-serif"/>
                <w:b/>
                <w:color w:val="000000"/>
                <w:sz w:val="20"/>
              </w:rPr>
              <w:t>Registration Fee</w:t>
            </w:r>
          </w:p>
        </w:tc>
      </w:tr>
      <w:tr>
        <w:trPr/>
        <w:tc>
          <w:tcPr>
            <w:tcW w:w="96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ind w:left="0" w:right="0" w:firstLine="55"/>
              <w:jc w:val="left"/>
              <w:rPr>
                <w:rFonts w:ascii="Arial;sans-serif" w:hAnsi="Arial;sans-serif"/>
                <w:b w:val="false"/>
                <w:color w:val="000000"/>
                <w:sz w:val="20"/>
              </w:rPr>
            </w:pPr>
            <w:r>
              <w:rPr>
                <w:rFonts w:ascii="Arial;sans-serif" w:hAnsi="Arial;sans-serif"/>
                <w:b w:val="false"/>
                <w:color w:val="000000"/>
                <w:sz w:val="20"/>
              </w:rPr>
              <w:t>Equity</w:t>
            </w:r>
          </w:p>
        </w:tc>
        <w:tc>
          <w:tcPr>
            <w:tcW w:w="1503"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300" w:before="0" w:after="2"/>
              <w:ind w:left="0" w:right="0" w:firstLine="55"/>
              <w:jc w:val="left"/>
              <w:rPr>
                <w:rFonts w:ascii="Arial;sans-serif" w:hAnsi="Arial;sans-serif"/>
                <w:b w:val="false"/>
                <w:color w:val="000000"/>
                <w:sz w:val="20"/>
              </w:rPr>
            </w:pPr>
            <w:r>
              <w:rPr>
                <w:rFonts w:ascii="Arial;sans-serif" w:hAnsi="Arial;sans-serif"/>
                <w:b w:val="false"/>
                <w:color w:val="000000"/>
                <w:sz w:val="20"/>
              </w:rPr>
              <w:t>Class A common stock, $0.001 par value per share</w:t>
            </w:r>
          </w:p>
        </w:tc>
        <w:tc>
          <w:tcPr>
            <w:tcW w:w="138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300" w:before="0" w:after="2"/>
              <w:ind w:left="0" w:right="0" w:firstLine="55"/>
              <w:jc w:val="left"/>
              <w:rPr>
                <w:rFonts w:ascii="Arial;sans-serif" w:hAnsi="Arial;sans-serif"/>
                <w:b w:val="false"/>
                <w:color w:val="000000"/>
                <w:sz w:val="20"/>
              </w:rPr>
            </w:pPr>
            <w:r>
              <w:rPr>
                <w:rFonts w:ascii="Arial;sans-serif" w:hAnsi="Arial;sans-serif"/>
                <w:b w:val="false"/>
                <w:color w:val="000000"/>
                <w:sz w:val="20"/>
              </w:rPr>
              <w:t>Rule 457(c) and Rule 457(h)</w:t>
            </w:r>
          </w:p>
        </w:tc>
        <w:tc>
          <w:tcPr>
            <w:tcW w:w="119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68" w:before="0" w:after="2"/>
              <w:ind w:left="0" w:right="0" w:firstLine="55"/>
              <w:jc w:val="left"/>
              <w:rPr>
                <w:rFonts w:ascii="Arial;sans-serif" w:hAnsi="Arial;sans-serif"/>
                <w:b w:val="false"/>
                <w:color w:val="000000"/>
                <w:sz w:val="20"/>
              </w:rPr>
            </w:pPr>
            <w:r>
              <w:rPr>
                <w:rFonts w:ascii="Arial;sans-serif" w:hAnsi="Arial;sans-serif"/>
                <w:b w:val="false"/>
                <w:color w:val="000000"/>
                <w:sz w:val="20"/>
              </w:rPr>
              <w:t>18,172,231 (2)</w:t>
            </w:r>
          </w:p>
        </w:tc>
        <w:tc>
          <w:tcPr>
            <w:tcW w:w="113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300" w:before="0" w:after="2"/>
              <w:ind w:left="0" w:right="0" w:firstLine="55"/>
              <w:jc w:val="left"/>
              <w:rPr>
                <w:rFonts w:ascii="Arial;sans-serif" w:hAnsi="Arial;sans-serif"/>
                <w:b w:val="false"/>
                <w:color w:val="000000"/>
                <w:sz w:val="20"/>
              </w:rPr>
            </w:pPr>
            <w:r>
              <w:rPr>
                <w:rFonts w:ascii="Arial;sans-serif" w:hAnsi="Arial;sans-serif"/>
                <w:b w:val="false"/>
                <w:color w:val="000000"/>
                <w:sz w:val="20"/>
              </w:rPr>
              <w:t>$2.75 (3)</w:t>
            </w:r>
          </w:p>
        </w:tc>
        <w:tc>
          <w:tcPr>
            <w:tcW w:w="149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ind w:left="0" w:right="0" w:firstLine="55"/>
              <w:jc w:val="left"/>
              <w:rPr>
                <w:rFonts w:ascii="Arial;sans-serif" w:hAnsi="Arial;sans-serif"/>
                <w:b w:val="false"/>
                <w:color w:val="000000"/>
                <w:sz w:val="19"/>
              </w:rPr>
            </w:pPr>
            <w:r>
              <w:rPr>
                <w:rFonts w:ascii="Arial;sans-serif" w:hAnsi="Arial;sans-serif"/>
                <w:b w:val="false"/>
                <w:color w:val="000000"/>
                <w:sz w:val="19"/>
              </w:rPr>
              <w:t>$49,973,635.25</w:t>
            </w:r>
          </w:p>
        </w:tc>
        <w:tc>
          <w:tcPr>
            <w:tcW w:w="113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300" w:before="0" w:after="2"/>
              <w:ind w:left="0" w:right="0" w:firstLine="55"/>
              <w:jc w:val="left"/>
              <w:rPr>
                <w:rFonts w:ascii="Arial;sans-serif" w:hAnsi="Arial;sans-serif"/>
                <w:b w:val="false"/>
                <w:color w:val="000000"/>
                <w:sz w:val="20"/>
              </w:rPr>
            </w:pPr>
            <w:r>
              <w:rPr>
                <w:rFonts w:ascii="Arial;sans-serif" w:hAnsi="Arial;sans-serif"/>
                <w:b w:val="false"/>
                <w:color w:val="000000"/>
                <w:sz w:val="20"/>
              </w:rPr>
              <w:t>$110.20 per</w:t>
            </w:r>
          </w:p>
          <w:p>
            <w:pPr>
              <w:pStyle w:val="TableContents"/>
              <w:spacing w:lineRule="auto" w:line="300" w:before="0" w:after="2"/>
              <w:ind w:left="0" w:right="0" w:firstLine="55"/>
              <w:jc w:val="left"/>
              <w:rPr>
                <w:rFonts w:ascii="Arial;sans-serif" w:hAnsi="Arial;sans-serif"/>
                <w:b w:val="false"/>
                <w:color w:val="000000"/>
                <w:sz w:val="20"/>
              </w:rPr>
            </w:pPr>
            <w:r>
              <w:rPr>
                <w:rFonts w:ascii="Arial;sans-serif" w:hAnsi="Arial;sans-serif"/>
                <w:b w:val="false"/>
                <w:color w:val="000000"/>
                <w:sz w:val="20"/>
              </w:rPr>
              <w:t>$1,000,000</w:t>
            </w:r>
          </w:p>
        </w:tc>
        <w:tc>
          <w:tcPr>
            <w:tcW w:w="140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
              <w:ind w:left="0" w:right="0" w:firstLine="55"/>
              <w:jc w:val="left"/>
              <w:rPr>
                <w:rFonts w:ascii="Arial;sans-serif" w:hAnsi="Arial;sans-serif"/>
                <w:b w:val="false"/>
                <w:color w:val="000000"/>
                <w:sz w:val="20"/>
              </w:rPr>
            </w:pPr>
            <w:r>
              <w:rPr>
                <w:rFonts w:ascii="Arial;sans-serif" w:hAnsi="Arial;sans-serif"/>
                <w:b w:val="false"/>
                <w:color w:val="000000"/>
                <w:sz w:val="20"/>
              </w:rPr>
              <w:t>$5,507.09</w:t>
            </w:r>
          </w:p>
        </w:tc>
      </w:tr>
      <w:tr>
        <w:trPr/>
        <w:tc>
          <w:tcPr>
            <w:tcW w:w="5045" w:type="dxa"/>
            <w:gridSpan w:val="12"/>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300" w:before="0" w:after="2"/>
              <w:ind w:left="0" w:right="0" w:firstLine="55"/>
              <w:jc w:val="left"/>
              <w:rPr>
                <w:rFonts w:ascii="Arial;sans-serif" w:hAnsi="Arial;sans-serif"/>
                <w:b/>
                <w:color w:val="000000"/>
                <w:sz w:val="20"/>
              </w:rPr>
            </w:pPr>
            <w:r>
              <w:rPr>
                <w:rFonts w:ascii="Arial;sans-serif" w:hAnsi="Arial;sans-serif"/>
                <w:b/>
                <w:color w:val="000000"/>
                <w:sz w:val="20"/>
              </w:rPr>
              <w:t>Total Offering Amounts</w:t>
            </w:r>
          </w:p>
        </w:tc>
        <w:tc>
          <w:tcPr>
            <w:tcW w:w="1133"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49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68" w:before="0" w:after="2"/>
              <w:ind w:left="0" w:right="0" w:firstLine="55"/>
              <w:jc w:val="left"/>
              <w:rPr>
                <w:rFonts w:ascii="Arial;sans-serif" w:hAnsi="Arial;sans-serif"/>
                <w:b w:val="false"/>
                <w:color w:val="000000"/>
                <w:sz w:val="19"/>
              </w:rPr>
            </w:pPr>
            <w:r>
              <w:rPr>
                <w:rFonts w:ascii="Arial;sans-serif" w:hAnsi="Arial;sans-serif"/>
                <w:b w:val="false"/>
                <w:color w:val="000000"/>
                <w:sz w:val="19"/>
              </w:rPr>
              <w:t>$49,973,635.25</w:t>
            </w:r>
          </w:p>
        </w:tc>
        <w:tc>
          <w:tcPr>
            <w:tcW w:w="1130"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68" w:before="0" w:after="2"/>
              <w:ind w:left="0" w:right="0" w:firstLine="55"/>
              <w:jc w:val="left"/>
              <w:rPr>
                <w:rFonts w:ascii="Arial;sans-serif" w:hAnsi="Arial;sans-serif"/>
                <w:b w:val="false"/>
                <w:color w:val="000000"/>
                <w:sz w:val="20"/>
              </w:rPr>
            </w:pPr>
            <w:r>
              <w:rPr>
                <w:rFonts w:ascii="Arial;sans-serif" w:hAnsi="Arial;sans-serif"/>
                <w:b w:val="false"/>
                <w:color w:val="000000"/>
                <w:sz w:val="20"/>
              </w:rPr>
              <w:t>$5,507.09</w:t>
            </w:r>
          </w:p>
        </w:tc>
      </w:tr>
      <w:tr>
        <w:trPr/>
        <w:tc>
          <w:tcPr>
            <w:tcW w:w="5045" w:type="dxa"/>
            <w:gridSpan w:val="12"/>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300" w:before="0" w:after="2"/>
              <w:ind w:left="0" w:right="0" w:firstLine="55"/>
              <w:jc w:val="left"/>
              <w:rPr>
                <w:rFonts w:ascii="Arial;sans-serif" w:hAnsi="Arial;sans-serif"/>
                <w:b/>
                <w:color w:val="000000"/>
                <w:sz w:val="20"/>
              </w:rPr>
            </w:pPr>
            <w:r>
              <w:rPr>
                <w:rFonts w:ascii="Arial;sans-serif" w:hAnsi="Arial;sans-serif"/>
                <w:b/>
                <w:color w:val="000000"/>
                <w:sz w:val="20"/>
              </w:rPr>
              <w:t>Total Fee Offsets (4)</w:t>
            </w:r>
          </w:p>
        </w:tc>
        <w:tc>
          <w:tcPr>
            <w:tcW w:w="1133"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496"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130"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300" w:before="0" w:after="2"/>
              <w:ind w:left="0" w:right="0" w:firstLine="55"/>
              <w:jc w:val="left"/>
              <w:rPr>
                <w:color w:val="000000"/>
              </w:rPr>
            </w:pPr>
            <w:r>
              <w:rPr>
                <w:color w:val="000000"/>
              </w:rPr>
              <w:t>—</w:t>
            </w:r>
          </w:p>
        </w:tc>
      </w:tr>
      <w:tr>
        <w:trPr/>
        <w:tc>
          <w:tcPr>
            <w:tcW w:w="5045" w:type="dxa"/>
            <w:gridSpan w:val="12"/>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300" w:before="0" w:after="2"/>
              <w:ind w:left="0" w:right="0" w:firstLine="55"/>
              <w:jc w:val="left"/>
              <w:rPr>
                <w:rFonts w:ascii="Arial;sans-serif" w:hAnsi="Arial;sans-serif"/>
                <w:b/>
                <w:color w:val="000000"/>
                <w:sz w:val="20"/>
              </w:rPr>
            </w:pPr>
            <w:r>
              <w:rPr>
                <w:rFonts w:ascii="Arial;sans-serif" w:hAnsi="Arial;sans-serif"/>
                <w:b/>
                <w:color w:val="000000"/>
                <w:sz w:val="20"/>
              </w:rPr>
              <w:t>Net Fee Due</w:t>
            </w:r>
          </w:p>
        </w:tc>
        <w:tc>
          <w:tcPr>
            <w:tcW w:w="1133"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1496"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1130"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68" w:before="0" w:after="2"/>
              <w:ind w:left="0" w:right="0" w:firstLine="55"/>
              <w:jc w:val="left"/>
              <w:rPr>
                <w:rFonts w:ascii="Arial;sans-serif" w:hAnsi="Arial;sans-serif"/>
                <w:b w:val="false"/>
                <w:color w:val="000000"/>
                <w:sz w:val="20"/>
              </w:rPr>
            </w:pPr>
            <w:r>
              <w:rPr>
                <w:rFonts w:ascii="Arial;sans-serif" w:hAnsi="Arial;sans-serif"/>
                <w:b w:val="false"/>
                <w:color w:val="000000"/>
                <w:sz w:val="20"/>
              </w:rPr>
              <w:t>$5,507.09</w:t>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29"/>
        <w:gridCol w:w="113"/>
        <w:gridCol w:w="113"/>
        <w:gridCol w:w="109"/>
        <w:gridCol w:w="109"/>
        <w:gridCol w:w="109"/>
        <w:gridCol w:w="2783"/>
        <w:gridCol w:w="2783"/>
        <w:gridCol w:w="3957"/>
      </w:tblGrid>
      <w:tr>
        <w:trPr/>
        <w:tc>
          <w:tcPr>
            <w:tcW w:w="12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3" w:type="dxa"/>
            <w:tcBorders/>
            <w:shd w:fill="auto" w:val="clear"/>
            <w:vAlign w:val="center"/>
          </w:tcPr>
          <w:p>
            <w:pPr>
              <w:pStyle w:val="TableContents"/>
              <w:spacing w:before="0" w:after="283"/>
              <w:rPr>
                <w:sz w:val="4"/>
                <w:szCs w:val="4"/>
              </w:rPr>
            </w:pPr>
            <w:r>
              <w:rPr>
                <w:sz w:val="4"/>
                <w:szCs w:val="4"/>
              </w:rPr>
            </w:r>
          </w:p>
        </w:tc>
        <w:tc>
          <w:tcPr>
            <w:tcW w:w="2783" w:type="dxa"/>
            <w:tcBorders/>
            <w:shd w:fill="auto" w:val="clear"/>
            <w:vAlign w:val="center"/>
          </w:tcPr>
          <w:p>
            <w:pPr>
              <w:pStyle w:val="TableContents"/>
              <w:spacing w:before="0" w:after="283"/>
              <w:rPr>
                <w:sz w:val="4"/>
                <w:szCs w:val="4"/>
              </w:rPr>
            </w:pPr>
            <w:r>
              <w:rPr>
                <w:sz w:val="4"/>
                <w:szCs w:val="4"/>
              </w:rPr>
            </w:r>
          </w:p>
        </w:tc>
        <w:tc>
          <w:tcPr>
            <w:tcW w:w="3957" w:type="dxa"/>
            <w:tcBorders/>
            <w:shd w:fill="auto" w:val="clear"/>
            <w:vAlign w:val="center"/>
          </w:tcPr>
          <w:p>
            <w:pPr>
              <w:pStyle w:val="TableContents"/>
              <w:spacing w:before="0" w:after="283"/>
              <w:rPr>
                <w:sz w:val="4"/>
                <w:szCs w:val="4"/>
              </w:rPr>
            </w:pPr>
            <w:r>
              <w:rPr>
                <w:sz w:val="4"/>
                <w:szCs w:val="4"/>
              </w:rPr>
            </w:r>
          </w:p>
        </w:tc>
      </w:tr>
      <w:tr>
        <w:trPr/>
        <w:tc>
          <w:tcPr>
            <w:tcW w:w="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rFonts w:ascii="Times New Roman;sans-serif" w:hAnsi="Times New Roman;sans-serif"/>
                <w:b w:val="false"/>
                <w:color w:val="000000"/>
                <w:sz w:val="22"/>
              </w:rPr>
            </w:pPr>
            <w:r>
              <w:rPr>
                <w:rFonts w:ascii="Times New Roman;sans-serif" w:hAnsi="Times New Roman;sans-serif"/>
                <w:b w:val="false"/>
                <w:color w:val="000000"/>
                <w:sz w:val="2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3" w:type="dxa"/>
            <w:gridSpan w:val="3"/>
            <w:tcBorders/>
            <w:shd w:fill="auto" w:val="clear"/>
            <w:tcMar>
              <w:top w:w="0" w:type="dxa"/>
              <w:left w:w="0" w:type="dxa"/>
              <w:bottom w:w="0" w:type="dxa"/>
              <w:right w:w="0" w:type="dxa"/>
            </w:tcMar>
            <w:vAlign w:val="center"/>
          </w:tcPr>
          <w:p>
            <w:pPr>
              <w:pStyle w:val="TableContents"/>
              <w:spacing w:lineRule="auto" w:line="268" w:before="0" w:after="2"/>
              <w:jc w:val="left"/>
              <w:rPr>
                <w:rFonts w:ascii="Arial;sans-serif" w:hAnsi="Arial;sans-serif"/>
                <w:b w:val="false"/>
                <w:color w:val="000000"/>
                <w:sz w:val="20"/>
              </w:rPr>
            </w:pPr>
            <w:r>
              <w:rPr>
                <w:rFonts w:ascii="Arial;sans-serif" w:hAnsi="Arial;sans-serif"/>
                <w:b w:val="false"/>
                <w:color w:val="000000"/>
                <w:sz w:val="20"/>
              </w:rPr>
              <w:t>In accordance with Rule 416 under the Securities Act of 1933, as amended, this registration statement shall be deemed to cover any additional securities that may from time to time be offered or issued to prevent dilution resulting from stock splits, stock dividends or similar transactions.</w:t>
            </w:r>
          </w:p>
        </w:tc>
      </w:tr>
      <w:tr>
        <w:trPr/>
        <w:tc>
          <w:tcPr>
            <w:tcW w:w="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rFonts w:ascii="Times New Roman;sans-serif" w:hAnsi="Times New Roman;sans-serif"/>
                <w:b w:val="false"/>
                <w:color w:val="000000"/>
                <w:sz w:val="22"/>
              </w:rPr>
            </w:pPr>
            <w:r>
              <w:rPr>
                <w:rFonts w:ascii="Times New Roman;sans-serif" w:hAnsi="Times New Roman;sans-serif"/>
                <w:b w:val="false"/>
                <w:color w:val="000000"/>
                <w:sz w:val="22"/>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3"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rFonts w:ascii="Arial;sans-serif" w:hAnsi="Arial;sans-serif"/>
                <w:b w:val="false"/>
                <w:color w:val="000000"/>
                <w:sz w:val="20"/>
              </w:rPr>
            </w:pPr>
            <w:r>
              <w:rPr>
                <w:rFonts w:ascii="Arial;sans-serif" w:hAnsi="Arial;sans-serif"/>
                <w:b w:val="false"/>
                <w:color w:val="000000"/>
                <w:sz w:val="20"/>
              </w:rPr>
              <w:t>Consists of an additional 18,172,231 shares of Class A common stock that may become issuable under the Rent the Runway, Inc. 2021 Incentive Award Plan (the “2021 Plan”) pursuant to the terms of the 2021 Plan.</w:t>
            </w:r>
          </w:p>
        </w:tc>
      </w:tr>
      <w:tr>
        <w:trPr/>
        <w:tc>
          <w:tcPr>
            <w:tcW w:w="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rFonts w:ascii="Times New Roman;sans-serif" w:hAnsi="Times New Roman;sans-serif"/>
                <w:b w:val="false"/>
                <w:color w:val="000000"/>
                <w:sz w:val="22"/>
              </w:rPr>
            </w:pPr>
            <w:r>
              <w:rPr>
                <w:rFonts w:ascii="Times New Roman;sans-serif" w:hAnsi="Times New Roman;sans-serif"/>
                <w:b w:val="false"/>
                <w:color w:val="000000"/>
                <w:sz w:val="22"/>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3"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rFonts w:ascii="Arial;sans-serif" w:hAnsi="Arial;sans-serif"/>
                <w:b w:val="false"/>
                <w:color w:val="000000"/>
                <w:sz w:val="20"/>
              </w:rPr>
            </w:pPr>
            <w:r>
              <w:rPr>
                <w:rFonts w:ascii="Arial;sans-serif" w:hAnsi="Arial;sans-serif"/>
                <w:b w:val="false"/>
                <w:color w:val="000000"/>
                <w:sz w:val="20"/>
              </w:rPr>
              <w:t>Estimated solely for the purpose of calculating the registration fee pursuant to Rules 457(c) and 457(h) of the Securities Act of 1933, as amended, and based upon the average of the high and low prices of Rent the Runway, Inc.’s (the “Registrant”) Class A common stock as reported on The Nasdaq Stock Market LLC on April 7, 2023.</w:t>
            </w:r>
          </w:p>
        </w:tc>
      </w:tr>
      <w:tr>
        <w:trPr/>
        <w:tc>
          <w:tcPr>
            <w:tcW w:w="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5" w:type="dxa"/>
            <w:gridSpan w:val="3"/>
            <w:tcBorders/>
            <w:shd w:fill="auto" w:val="clear"/>
            <w:tcMar>
              <w:top w:w="0" w:type="dxa"/>
              <w:left w:w="0" w:type="dxa"/>
              <w:bottom w:w="0" w:type="dxa"/>
              <w:right w:w="0" w:type="dxa"/>
            </w:tcMar>
            <w:vAlign w:val="center"/>
          </w:tcPr>
          <w:p>
            <w:pPr>
              <w:pStyle w:val="TableContents"/>
              <w:spacing w:lineRule="auto" w:line="300" w:before="0" w:after="2"/>
              <w:jc w:val="right"/>
              <w:rPr>
                <w:rFonts w:ascii="Times New Roman;sans-serif" w:hAnsi="Times New Roman;sans-serif"/>
                <w:b w:val="false"/>
                <w:color w:val="000000"/>
                <w:sz w:val="22"/>
              </w:rPr>
            </w:pPr>
            <w:r>
              <w:rPr>
                <w:rFonts w:ascii="Times New Roman;sans-serif" w:hAnsi="Times New Roman;sans-serif"/>
                <w:b w:val="false"/>
                <w:color w:val="000000"/>
                <w:sz w:val="22"/>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3" w:type="dxa"/>
            <w:gridSpan w:val="3"/>
            <w:tcBorders/>
            <w:shd w:fill="auto" w:val="clear"/>
            <w:tcMar>
              <w:top w:w="0" w:type="dxa"/>
              <w:left w:w="0" w:type="dxa"/>
              <w:bottom w:w="0" w:type="dxa"/>
              <w:right w:w="0" w:type="dxa"/>
            </w:tcMar>
            <w:vAlign w:val="center"/>
          </w:tcPr>
          <w:p>
            <w:pPr>
              <w:pStyle w:val="TableContents"/>
              <w:spacing w:lineRule="auto" w:line="268" w:before="0" w:after="2"/>
              <w:jc w:val="left"/>
              <w:rPr>
                <w:rFonts w:ascii="Arial;sans-serif" w:hAnsi="Arial;sans-serif"/>
                <w:b w:val="false"/>
                <w:color w:val="000000"/>
                <w:sz w:val="20"/>
              </w:rPr>
            </w:pPr>
            <w:r>
              <w:rPr>
                <w:rFonts w:ascii="Arial;sans-serif" w:hAnsi="Arial;sans-serif"/>
                <w:b w:val="false"/>
                <w:color w:val="000000"/>
                <w:sz w:val="20"/>
              </w:rPr>
              <w:t>The Registrant does not have any fee offsets.</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Arial;sans-serif" w:hAnsi="Arial;sans-serif"/>
          <w:b w:val="false"/>
          <w:color w:val="000000"/>
          <w:sz w:val="14"/>
        </w:rPr>
      </w:pPr>
      <w:r>
        <w:rPr>
          <w:rFonts w:ascii="Arial;sans-serif" w:hAnsi="Arial;sans-serif"/>
          <w:b w:val="false"/>
          <w:color w:val="000000"/>
          <w:sz w:val="14"/>
        </w:rPr>
        <w:t>1</w:t>
      </w:r>
      <w:r>
        <w:rPr>
          <w:rFonts w:ascii="Arial;sans-serif" w:hAnsi="Arial;sans-serif"/>
          <w:b w:val="false"/>
          <w:color w:val="000000"/>
          <w:sz w:val="14"/>
        </w:rPr>
        <w:t>271 Avenue of the Americas</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90.2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right"/>
        <w:rPr>
          <w:rFonts w:ascii="Arial;sans-serif" w:hAnsi="Arial;sans-serif"/>
          <w:b w:val="false"/>
          <w:color w:val="000000"/>
          <w:sz w:val="14"/>
        </w:rPr>
      </w:pPr>
      <w:r>
        <w:rPr>
          <w:rFonts w:ascii="Arial;sans-serif" w:hAnsi="Arial;sans-serif"/>
          <w:b w:val="false"/>
          <w:color w:val="000000"/>
          <w:sz w:val="14"/>
        </w:rPr>
        <w:t>New York, New York 10020-1401</w:t>
      </w:r>
    </w:p>
    <w:p>
      <w:pPr>
        <w:pStyle w:val="TextBody"/>
        <w:spacing w:lineRule="auto" w:line="240" w:before="0" w:after="0"/>
        <w:jc w:val="right"/>
        <w:rPr>
          <w:rFonts w:ascii="Arial;sans-serif" w:hAnsi="Arial;sans-serif"/>
          <w:b w:val="false"/>
          <w:color w:val="000000"/>
          <w:sz w:val="14"/>
        </w:rPr>
      </w:pPr>
      <w:r>
        <w:rPr>
          <w:rFonts w:ascii="Arial;sans-serif" w:hAnsi="Arial;sans-serif"/>
          <w:b w:val="false"/>
          <w:color w:val="000000"/>
          <w:sz w:val="14"/>
        </w:rPr>
        <w:t>Tel: +1.212.906.1200 Fax: +1.212.751.4864</w:t>
      </w:r>
    </w:p>
    <w:p>
      <w:pPr>
        <w:pStyle w:val="TextBody"/>
        <w:spacing w:lineRule="auto" w:line="240" w:before="0" w:after="0"/>
        <w:jc w:val="right"/>
        <w:rPr>
          <w:rFonts w:ascii="Arial;sans-serif" w:hAnsi="Arial;sans-serif"/>
          <w:b w:val="false"/>
          <w:color w:val="000000"/>
          <w:sz w:val="14"/>
        </w:rPr>
      </w:pPr>
      <w:r>
        <w:rPr>
          <w:rFonts w:ascii="Arial;sans-serif" w:hAnsi="Arial;sans-serif"/>
          <w:b w:val="false"/>
          <w:color w:val="000000"/>
          <w:sz w:val="14"/>
        </w:rPr>
        <w:t>www.lw.com</w:t>
      </w:r>
    </w:p>
    <w:p>
      <w:pPr>
        <w:pStyle w:val="TextBody"/>
        <w:spacing w:before="0" w:after="0"/>
        <w:rPr/>
      </w:pPr>
      <w:r>
        <w:rPr/>
        <w:drawing>
          <wp:inline distT="0" distB="63500" distL="0" distR="0">
            <wp:extent cx="4143375" cy="381000"/>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11"/>
                    <a:stretch>
                      <a:fillRect/>
                    </a:stretch>
                  </pic:blipFill>
                  <pic:spPr bwMode="auto">
                    <a:xfrm>
                      <a:off x="0" y="0"/>
                      <a:ext cx="4143375" cy="381000"/>
                    </a:xfrm>
                    <a:prstGeom prst="rect">
                      <a:avLst/>
                    </a:prstGeom>
                  </pic:spPr>
                </pic:pic>
              </a:graphicData>
            </a:graphic>
          </wp:inline>
        </w:drawing>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April 13, 2023</w:t>
      </w:r>
    </w:p>
    <w:tbl>
      <w:tblPr>
        <w:tblW w:w="2023" w:type="dxa"/>
        <w:jc w:val="right"/>
        <w:tblInd w:w="0" w:type="dxa"/>
        <w:tblCellMar>
          <w:top w:w="28" w:type="dxa"/>
          <w:left w:w="28" w:type="dxa"/>
          <w:bottom w:w="28" w:type="dxa"/>
          <w:right w:w="28" w:type="dxa"/>
        </w:tblCellMar>
      </w:tblPr>
      <w:tblGrid>
        <w:gridCol w:w="315"/>
        <w:gridCol w:w="277"/>
        <w:gridCol w:w="277"/>
        <w:gridCol w:w="338"/>
        <w:gridCol w:w="338"/>
        <w:gridCol w:w="478"/>
      </w:tblGrid>
      <w:tr>
        <w:trPr/>
        <w:tc>
          <w:tcPr>
            <w:tcW w:w="315"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r>
      <w:tr>
        <w:trPr/>
        <w:tc>
          <w:tcPr>
            <w:tcW w:w="2023"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Firm/Affiliate Offices</w:t>
            </w:r>
          </w:p>
        </w:tc>
      </w:tr>
      <w:tr>
        <w:trPr/>
        <w:tc>
          <w:tcPr>
            <w:tcW w:w="8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Austin</w:t>
            </w:r>
          </w:p>
        </w:tc>
        <w:tc>
          <w:tcPr>
            <w:tcW w:w="1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Milan</w:t>
            </w:r>
          </w:p>
        </w:tc>
      </w:tr>
      <w:tr>
        <w:trPr/>
        <w:tc>
          <w:tcPr>
            <w:tcW w:w="8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Beijing</w:t>
            </w:r>
          </w:p>
        </w:tc>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Munich</w:t>
            </w:r>
          </w:p>
        </w:tc>
      </w:tr>
      <w:tr>
        <w:trPr/>
        <w:tc>
          <w:tcPr>
            <w:tcW w:w="8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Boston</w:t>
            </w:r>
          </w:p>
        </w:tc>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New York</w:t>
            </w:r>
          </w:p>
        </w:tc>
      </w:tr>
      <w:tr>
        <w:trPr/>
        <w:tc>
          <w:tcPr>
            <w:tcW w:w="8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Brussels</w:t>
            </w:r>
          </w:p>
        </w:tc>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Orange County</w:t>
            </w:r>
          </w:p>
        </w:tc>
      </w:tr>
      <w:tr>
        <w:trPr/>
        <w:tc>
          <w:tcPr>
            <w:tcW w:w="8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Century City</w:t>
            </w:r>
          </w:p>
        </w:tc>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Paris</w:t>
            </w:r>
          </w:p>
        </w:tc>
      </w:tr>
      <w:tr>
        <w:trPr/>
        <w:tc>
          <w:tcPr>
            <w:tcW w:w="8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 xml:space="preserve">Chicago </w:t>
            </w:r>
          </w:p>
        </w:tc>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Riyadh</w:t>
            </w:r>
          </w:p>
        </w:tc>
      </w:tr>
      <w:tr>
        <w:trPr/>
        <w:tc>
          <w:tcPr>
            <w:tcW w:w="8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Dubai</w:t>
            </w:r>
          </w:p>
        </w:tc>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 xml:space="preserve">San Diego </w:t>
            </w:r>
          </w:p>
        </w:tc>
      </w:tr>
      <w:tr>
        <w:trPr/>
        <w:tc>
          <w:tcPr>
            <w:tcW w:w="8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Düsseldorf</w:t>
            </w:r>
          </w:p>
        </w:tc>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 xml:space="preserve">San Francisco </w:t>
            </w:r>
          </w:p>
        </w:tc>
      </w:tr>
      <w:tr>
        <w:trPr/>
        <w:tc>
          <w:tcPr>
            <w:tcW w:w="8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Frankfurt</w:t>
            </w:r>
          </w:p>
        </w:tc>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Seoul</w:t>
            </w:r>
          </w:p>
        </w:tc>
      </w:tr>
      <w:tr>
        <w:trPr/>
        <w:tc>
          <w:tcPr>
            <w:tcW w:w="8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Hamburg</w:t>
            </w:r>
          </w:p>
        </w:tc>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Shanghai</w:t>
            </w:r>
          </w:p>
        </w:tc>
      </w:tr>
      <w:tr>
        <w:trPr/>
        <w:tc>
          <w:tcPr>
            <w:tcW w:w="8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Hong Kong</w:t>
            </w:r>
          </w:p>
        </w:tc>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Silicon Valley</w:t>
            </w:r>
          </w:p>
        </w:tc>
      </w:tr>
      <w:tr>
        <w:trPr/>
        <w:tc>
          <w:tcPr>
            <w:tcW w:w="8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Houston</w:t>
            </w:r>
          </w:p>
        </w:tc>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Singapore</w:t>
            </w:r>
          </w:p>
        </w:tc>
      </w:tr>
      <w:tr>
        <w:trPr/>
        <w:tc>
          <w:tcPr>
            <w:tcW w:w="8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London</w:t>
            </w:r>
          </w:p>
        </w:tc>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Tel Aviv</w:t>
            </w:r>
          </w:p>
        </w:tc>
      </w:tr>
      <w:tr>
        <w:trPr/>
        <w:tc>
          <w:tcPr>
            <w:tcW w:w="8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Los Angeles</w:t>
            </w:r>
          </w:p>
        </w:tc>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Tokyo</w:t>
            </w:r>
          </w:p>
        </w:tc>
      </w:tr>
      <w:tr>
        <w:trPr/>
        <w:tc>
          <w:tcPr>
            <w:tcW w:w="8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Madrid</w:t>
            </w:r>
          </w:p>
        </w:tc>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Washington, D.C.</w:t>
            </w:r>
          </w:p>
        </w:tc>
      </w:tr>
    </w:tbl>
    <w:p>
      <w:pPr>
        <w:pStyle w:val="TextBody"/>
        <w:spacing w:before="0" w:after="0"/>
        <w:jc w:val="both"/>
        <w:rPr/>
      </w:pPr>
      <w:r>
        <w:rPr/>
      </w:r>
    </w:p>
    <w:p>
      <w:pPr>
        <w:pStyle w:val="TextBody"/>
        <w:spacing w:lineRule="auto" w:line="240" w:before="0" w:after="0"/>
        <w:rPr>
          <w:rFonts w:ascii="Arial;sans-serif" w:hAnsi="Arial;sans-serif"/>
          <w:b w:val="false"/>
          <w:color w:val="000000"/>
          <w:sz w:val="19"/>
        </w:rPr>
      </w:pPr>
      <w:r>
        <w:rPr>
          <w:rFonts w:ascii="Arial;sans-serif" w:hAnsi="Arial;sans-serif"/>
          <w:b w:val="false"/>
          <w:color w:val="000000"/>
          <w:sz w:val="19"/>
        </w:rPr>
        <w:t>Rent the Runway, Inc.</w:t>
      </w:r>
    </w:p>
    <w:p>
      <w:pPr>
        <w:pStyle w:val="TextBody"/>
        <w:spacing w:lineRule="auto" w:line="240" w:before="0" w:after="0"/>
        <w:rPr>
          <w:rFonts w:ascii="Arial;sans-serif" w:hAnsi="Arial;sans-serif"/>
          <w:b w:val="false"/>
          <w:color w:val="000000"/>
          <w:sz w:val="19"/>
        </w:rPr>
      </w:pPr>
      <w:r>
        <w:rPr>
          <w:rFonts w:ascii="Arial;sans-serif" w:hAnsi="Arial;sans-serif"/>
          <w:b w:val="false"/>
          <w:color w:val="000000"/>
          <w:sz w:val="19"/>
        </w:rPr>
        <w:t>10 Jay Street</w:t>
        <w:br/>
        <w:t>Brooklyn, New York 11201</w:t>
      </w:r>
    </w:p>
    <w:p>
      <w:pPr>
        <w:pStyle w:val="TextBody"/>
        <w:spacing w:before="0" w:after="0"/>
        <w:rPr/>
      </w:pPr>
      <w:r>
        <w:rPr/>
      </w:r>
    </w:p>
    <w:p>
      <w:pPr>
        <w:pStyle w:val="TextBody"/>
        <w:spacing w:lineRule="auto" w:line="240" w:before="0" w:after="240"/>
        <w:ind w:left="0" w:right="0" w:hanging="450"/>
        <w:rPr/>
      </w:pPr>
      <w:r>
        <w:rPr>
          <w:rFonts w:ascii="Arial;sans-serif" w:hAnsi="Arial;sans-serif"/>
          <w:b w:val="false"/>
          <w:color w:val="000000"/>
          <w:sz w:val="19"/>
        </w:rPr>
        <w:t>Re:    </w:t>
      </w:r>
      <w:r>
        <w:rPr>
          <w:rFonts w:ascii="Arial;sans-serif" w:hAnsi="Arial;sans-serif"/>
          <w:b w:val="false"/>
          <w:color w:val="000000"/>
          <w:sz w:val="19"/>
          <w:u w:val="single"/>
        </w:rPr>
        <w:t>Registration Statement on Form S-8; 18,172,231 shares of Class A Common Stock, par value $0.001 per share, of Rent the Runway, Inc.</w:t>
      </w:r>
    </w:p>
    <w:p>
      <w:pPr>
        <w:pStyle w:val="TextBody"/>
        <w:spacing w:lineRule="auto" w:line="240" w:before="0" w:after="240"/>
        <w:rPr>
          <w:rFonts w:ascii="Arial;sans-serif" w:hAnsi="Arial;sans-serif"/>
          <w:b w:val="false"/>
          <w:color w:val="000000"/>
          <w:sz w:val="19"/>
        </w:rPr>
      </w:pPr>
      <w:r>
        <w:rPr>
          <w:rFonts w:ascii="Arial;sans-serif" w:hAnsi="Arial;sans-serif"/>
          <w:b w:val="false"/>
          <w:color w:val="000000"/>
          <w:sz w:val="19"/>
        </w:rPr>
        <w:t>To the addressee set forth above:</w:t>
      </w:r>
    </w:p>
    <w:p>
      <w:pPr>
        <w:pStyle w:val="TextBody"/>
        <w:spacing w:lineRule="auto" w:line="240" w:before="0" w:after="240"/>
        <w:ind w:left="0" w:right="0" w:firstLine="7"/>
        <w:rPr/>
      </w:pPr>
      <w:r>
        <w:rPr>
          <w:rFonts w:ascii="Arial;sans-serif" w:hAnsi="Arial;sans-serif"/>
          <w:b w:val="false"/>
          <w:color w:val="000000"/>
          <w:sz w:val="19"/>
        </w:rPr>
        <w:t>We have acted as special counsel to Rent the Runway, Inc., a Delaware corporation (the “</w:t>
      </w:r>
      <w:r>
        <w:rPr>
          <w:rFonts w:ascii="Arial;sans-serif" w:hAnsi="Arial;sans-serif"/>
          <w:b w:val="false"/>
          <w:color w:val="000000"/>
          <w:sz w:val="19"/>
          <w:u w:val="single"/>
        </w:rPr>
        <w:t>Company</w:t>
      </w:r>
      <w:r>
        <w:rPr>
          <w:color w:val="000000"/>
        </w:rPr>
        <w:t>”</w:t>
      </w:r>
      <w:r>
        <w:rPr>
          <w:rFonts w:ascii="Arial;sans-serif" w:hAnsi="Arial;sans-serif"/>
          <w:b w:val="false"/>
          <w:color w:val="000000"/>
          <w:sz w:val="19"/>
        </w:rPr>
        <w:t>), in connection with the preparation and filing by the Company with the Securities and Exchange Commission of a registration statement on Form S–8 (the “</w:t>
      </w:r>
      <w:r>
        <w:rPr>
          <w:rFonts w:ascii="Arial;sans-serif" w:hAnsi="Arial;sans-serif"/>
          <w:b w:val="false"/>
          <w:color w:val="000000"/>
          <w:sz w:val="19"/>
          <w:u w:val="single"/>
        </w:rPr>
        <w:t>Registration Statement</w:t>
      </w:r>
      <w:r>
        <w:rPr>
          <w:color w:val="000000"/>
        </w:rPr>
        <w:t>”</w:t>
      </w:r>
      <w:r>
        <w:rPr>
          <w:rFonts w:ascii="Arial;sans-serif" w:hAnsi="Arial;sans-serif"/>
          <w:b w:val="false"/>
          <w:color w:val="000000"/>
          <w:sz w:val="19"/>
        </w:rPr>
        <w:t>) under the Securities Act of 1933, as amended (the “</w:t>
      </w:r>
      <w:r>
        <w:rPr>
          <w:rFonts w:ascii="Arial;sans-serif" w:hAnsi="Arial;sans-serif"/>
          <w:b w:val="false"/>
          <w:color w:val="000000"/>
          <w:sz w:val="19"/>
          <w:u w:val="single"/>
        </w:rPr>
        <w:t>Securities Act</w:t>
      </w:r>
      <w:r>
        <w:rPr>
          <w:color w:val="000000"/>
        </w:rPr>
        <w:t>”</w:t>
      </w:r>
      <w:r>
        <w:rPr>
          <w:rFonts w:ascii="Arial;sans-serif" w:hAnsi="Arial;sans-serif"/>
          <w:b w:val="false"/>
          <w:color w:val="000000"/>
          <w:sz w:val="19"/>
        </w:rPr>
        <w:t>), relating to the issuance of up to 18,172,231 shares of the Company’s Class A common stock, par value $0.001 per share (the “</w:t>
      </w:r>
      <w:r>
        <w:rPr>
          <w:rFonts w:ascii="Arial;sans-serif" w:hAnsi="Arial;sans-serif"/>
          <w:b w:val="false"/>
          <w:color w:val="000000"/>
          <w:sz w:val="19"/>
          <w:u w:val="single"/>
        </w:rPr>
        <w:t>Shares</w:t>
      </w:r>
      <w:r>
        <w:rPr>
          <w:color w:val="000000"/>
        </w:rPr>
        <w:t>”</w:t>
      </w:r>
      <w:r>
        <w:rPr>
          <w:rFonts w:ascii="Arial;sans-serif" w:hAnsi="Arial;sans-serif"/>
          <w:b w:val="false"/>
          <w:color w:val="000000"/>
          <w:sz w:val="19"/>
        </w:rPr>
        <w:t>), which may be issued pursuant to the Company’s Amended and Restated 2021 Incentive Award Plan (the “</w:t>
      </w:r>
      <w:r>
        <w:rPr>
          <w:rFonts w:ascii="Arial;sans-serif" w:hAnsi="Arial;sans-serif"/>
          <w:b w:val="false"/>
          <w:color w:val="000000"/>
          <w:sz w:val="19"/>
          <w:u w:val="single"/>
        </w:rPr>
        <w:t>2021 Plan</w:t>
      </w:r>
      <w:r>
        <w:rPr>
          <w:color w:val="000000"/>
        </w:rPr>
        <w:t>”</w:t>
      </w:r>
      <w:r>
        <w:rPr>
          <w:rFonts w:ascii="Arial;sans-serif" w:hAnsi="Arial;sans-serif"/>
          <w:b w:val="false"/>
          <w:color w:val="000000"/>
          <w:sz w:val="19"/>
        </w:rPr>
        <w:t>). This opinion is being furnished in connection with the requirements of Item 601(b)(5) of Regulation S-K under the Securities Act, and no opinion is expressed herein as to any matter pertaining to the contents of the Registration Statement or the prospectus forming a part thereof, other than as expressly stated herein with respect to the issuance of the Shares.</w:t>
      </w:r>
    </w:p>
    <w:p>
      <w:pPr>
        <w:pStyle w:val="TextBody"/>
        <w:spacing w:lineRule="auto" w:line="240" w:before="0" w:after="240"/>
        <w:ind w:left="0" w:right="0" w:firstLine="7"/>
        <w:rPr/>
      </w:pPr>
      <w:r>
        <w:rPr>
          <w:rFonts w:ascii="Arial;sans-serif" w:hAnsi="Arial;sans-serif"/>
          <w:b w:val="false"/>
          <w:color w:val="000000"/>
          <w:sz w:val="19"/>
        </w:rPr>
        <w:t>As such counsel, we have examined such matters of fact and questions of law as we have considered appropriate for purposes of this letter. With your consent, we have relied upon the foregoing and upon certificates and other assurances of officers of the Company and others as to factual matters without having independently verified such factual matters. We are opining herein only as to the General Corporation Law of the State of Delaware, as amended (the “</w:t>
      </w:r>
      <w:r>
        <w:rPr>
          <w:rFonts w:ascii="Arial;sans-serif" w:hAnsi="Arial;sans-serif"/>
          <w:b w:val="false"/>
          <w:color w:val="000000"/>
          <w:sz w:val="19"/>
          <w:u w:val="single"/>
        </w:rPr>
        <w:t>DCGL</w:t>
      </w:r>
      <w:r>
        <w:rPr>
          <w:color w:val="000000"/>
        </w:rPr>
        <w:t>”</w:t>
      </w:r>
      <w:r>
        <w:rPr>
          <w:rFonts w:ascii="Arial;sans-serif" w:hAnsi="Arial;sans-serif"/>
          <w:b w:val="false"/>
          <w:color w:val="000000"/>
          <w:sz w:val="19"/>
        </w:rPr>
        <w:t>), and we express no opinion with respect to any other laws.</w:t>
      </w:r>
    </w:p>
    <w:p>
      <w:pPr>
        <w:pStyle w:val="TextBody"/>
        <w:spacing w:lineRule="auto" w:line="240" w:before="0" w:after="240"/>
        <w:ind w:left="0" w:right="0" w:firstLine="7"/>
        <w:rPr>
          <w:rFonts w:ascii="Arial;sans-serif" w:hAnsi="Arial;sans-serif"/>
          <w:b w:val="false"/>
          <w:color w:val="000000"/>
          <w:sz w:val="19"/>
        </w:rPr>
      </w:pPr>
      <w:r>
        <w:rPr>
          <w:rFonts w:ascii="Arial;sans-serif" w:hAnsi="Arial;sans-serif"/>
          <w:b w:val="false"/>
          <w:color w:val="000000"/>
          <w:sz w:val="19"/>
        </w:rPr>
        <w:t>Subject to the foregoing and the other matters set forth herein, it is our opinion that, as of the date hereof, when the Shares shall have been duly registered on the books of the transfer agent and registrar therefor in the name or on behalf of the recipients thereof, and have been issued by the Company for legal consideration in excess of par value in the circumstances contemplated by the 2021 Plan assuming that the individual grants or awards under the 2021 Plan are duly authorized by all necessary corporate action and duly granted or awarded and exercised in accordance with the requirements of law and the 2021 Plan (and the agreements and awards duly adopted thereunder and in accordance therewith)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DGCL.</w:t>
      </w:r>
    </w:p>
    <w:p>
      <w:pPr>
        <w:pStyle w:val="TextBody"/>
        <w:spacing w:lineRule="auto" w:line="240" w:before="0" w:after="240"/>
        <w:ind w:left="0" w:right="0" w:firstLine="7"/>
        <w:rPr>
          <w:rFonts w:ascii="Arial;sans-serif" w:hAnsi="Arial;sans-serif"/>
          <w:b w:val="false"/>
          <w:color w:val="000000"/>
          <w:sz w:val="19"/>
        </w:rPr>
      </w:pPr>
      <w:r>
        <w:rPr>
          <w:rFonts w:ascii="Arial;sans-serif" w:hAnsi="Arial;sans-serif"/>
          <w:b w:val="false"/>
          <w:color w:val="000000"/>
          <w:sz w:val="19"/>
        </w:rPr>
        <w:t xml:space="preserve">This opinion is for your benefit in connection with the Registration Statement and may be relied upon by you and by persons entitled to rely upon it pursuant to the applicable provisions of the Securities Act. We consent to your filing this opinion as an exhibit to the Registration Statement. In giving such consent, we do not thereby admit that we are in the category of persons whose consent is required under Section 7 of the Securities Act or the rules and regulations of the Securities and Exchange Commission thereunder. </w:t>
      </w:r>
    </w:p>
    <w:p>
      <w:pPr>
        <w:pStyle w:val="TextBody"/>
        <w:spacing w:lineRule="auto" w:line="240" w:before="0" w:after="0"/>
        <w:rPr>
          <w:rFonts w:ascii="Arial;sans-serif" w:hAnsi="Arial;sans-serif"/>
          <w:b w:val="false"/>
          <w:color w:val="000000"/>
          <w:sz w:val="19"/>
        </w:rPr>
      </w:pPr>
      <w:r>
        <w:rPr>
          <w:rFonts w:ascii="Arial;sans-serif" w:hAnsi="Arial;sans-serif"/>
          <w:b w:val="false"/>
          <w:color w:val="000000"/>
          <w:sz w:val="19"/>
        </w:rPr>
        <w:t>Sincerely,</w:t>
      </w:r>
    </w:p>
    <w:p>
      <w:pPr>
        <w:pStyle w:val="TextBody"/>
        <w:spacing w:before="0" w:after="0"/>
        <w:rPr/>
      </w:pPr>
      <w:r>
        <w:rPr/>
      </w:r>
    </w:p>
    <w:p>
      <w:pPr>
        <w:pStyle w:val="TextBody"/>
        <w:spacing w:before="0" w:after="0"/>
        <w:rPr/>
      </w:pPr>
      <w:r>
        <w:rPr/>
      </w:r>
    </w:p>
    <w:p>
      <w:pPr>
        <w:pStyle w:val="TextBody"/>
        <w:spacing w:lineRule="auto" w:line="240" w:before="0" w:after="0"/>
        <w:rPr>
          <w:rFonts w:ascii="Arial;sans-serif" w:hAnsi="Arial;sans-serif"/>
          <w:b w:val="false"/>
          <w:color w:val="000000"/>
          <w:sz w:val="19"/>
        </w:rPr>
      </w:pPr>
      <w:r>
        <w:rPr>
          <w:rFonts w:ascii="Arial;sans-serif" w:hAnsi="Arial;sans-serif"/>
          <w:b w:val="false"/>
          <w:color w:val="000000"/>
          <w:sz w:val="19"/>
        </w:rPr>
        <w:t>/s/ Latham &amp; Watkins LLP</w:t>
      </w:r>
    </w:p>
    <w:p>
      <w:pPr>
        <w:pStyle w:val="TextBody"/>
        <w:spacing w:before="0" w:after="0"/>
        <w:rPr/>
      </w:pPr>
      <w:r>
        <w:rPr/>
      </w:r>
    </w:p>
    <w:p>
      <w:pPr>
        <w:pStyle w:val="TextBody"/>
        <w:spacing w:lineRule="auto" w:line="240"/>
        <w:rPr>
          <w:color w:val="000000"/>
        </w:rPr>
      </w:pPr>
      <w:r>
        <w:rPr>
          <w:color w:val="000000"/>
        </w:rPr>
        <w:t xml:space="preserve">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89560"/>
                <wp:effectExtent l="0" t="0" r="0" b="0"/>
                <wp:wrapNone/>
                <wp:docPr id="8" name="Frame7"/>
                <a:graphic xmlns:a="http://schemas.openxmlformats.org/drawingml/2006/main">
                  <a:graphicData uri="http://schemas.microsoft.com/office/word/2010/wordprocessingShape">
                    <wps:wsp>
                      <wps:cNvSpPr txBox="1"/>
                      <wps:spPr>
                        <a:xfrm>
                          <a:off x="0" y="0"/>
                          <a:ext cx="6480175" cy="289560"/>
                        </a:xfrm>
                        <a:prstGeom prst="rect"/>
                      </wps:spPr>
                      <wps:txbx>
                        <w:txbxContent>
                          <w:p>
                            <w:pPr>
                              <w:pStyle w:val="TextBody"/>
                              <w:spacing w:before="180" w:after="12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80" w:after="120"/>
                        <w:rPr/>
                      </w:pPr>
                      <w:r>
                        <w:rPr/>
                      </w:r>
                    </w:p>
                  </w:txbxContent>
                </v:textbox>
              </v:rect>
            </w:pict>
          </mc:Fallback>
        </mc:AlternateConten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spacing w:before="0" w:after="0"/>
        <w:jc w:val="center"/>
        <w:rPr/>
      </w:pPr>
      <w:r>
        <w:rPr/>
      </w:r>
    </w:p>
    <w:p>
      <w:pPr>
        <w:pStyle w:val="TextBody"/>
        <w:spacing w:lineRule="auto" w:line="268" w:before="0" w:after="0"/>
        <w:rPr/>
      </w:pPr>
      <w:r>
        <w:rPr>
          <w:rFonts w:ascii="Times New Roman;sans-serif" w:hAnsi="Times New Roman;sans-serif"/>
          <w:b w:val="false"/>
          <w:color w:val="000000"/>
          <w:sz w:val="20"/>
        </w:rPr>
        <w:t>We hereby consent to the incorporation by reference in this Registration Statement on Form</w:t>
      </w:r>
      <w:r>
        <w:rPr>
          <w:color w:val="000000"/>
        </w:rPr>
        <w:t xml:space="preserve"> </w:t>
      </w:r>
      <w:r>
        <w:rPr>
          <w:rFonts w:ascii="Times New Roman;sans-serif" w:hAnsi="Times New Roman;sans-serif"/>
          <w:b w:val="false"/>
          <w:color w:val="000000"/>
          <w:sz w:val="20"/>
        </w:rPr>
        <w:t>S-8</w:t>
      </w:r>
      <w:r>
        <w:rPr>
          <w:color w:val="000000"/>
        </w:rPr>
        <w:t xml:space="preserve"> </w:t>
      </w:r>
      <w:r>
        <w:rPr>
          <w:rFonts w:ascii="Times New Roman;sans-serif" w:hAnsi="Times New Roman;sans-serif"/>
          <w:b w:val="false"/>
          <w:color w:val="000000"/>
          <w:sz w:val="20"/>
        </w:rPr>
        <w:t>of Rent the Runway, Inc. of our report dated</w:t>
      </w:r>
      <w:r>
        <w:rPr>
          <w:color w:val="000000"/>
        </w:rPr>
        <w:t xml:space="preserve"> </w:t>
      </w:r>
      <w:r>
        <w:rPr>
          <w:rFonts w:ascii="Times New Roman;sans-serif" w:hAnsi="Times New Roman;sans-serif"/>
          <w:b w:val="false"/>
          <w:color w:val="000000"/>
          <w:sz w:val="20"/>
        </w:rPr>
        <w:t>April 13, 2023</w:t>
      </w:r>
      <w:r>
        <w:rPr>
          <w:color w:val="000000"/>
        </w:rPr>
        <w:t xml:space="preserve"> </w:t>
      </w:r>
      <w:r>
        <w:rPr>
          <w:rFonts w:ascii="Times New Roman;sans-serif" w:hAnsi="Times New Roman;sans-serif"/>
          <w:b w:val="false"/>
          <w:color w:val="000000"/>
          <w:sz w:val="20"/>
        </w:rPr>
        <w:t>relating to the financial statements for the year ended January 31, 2023, which appears in Rent the Runway, Inc.’s Annual Report on Form 10-K for the year ended January 31, 2023.</w:t>
      </w:r>
    </w:p>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20"/>
          <w:highlight w:val="white"/>
        </w:rPr>
        <w:t>/s/ PricewaterhouseCoopers LLP</w:t>
      </w:r>
      <w:r>
        <w:rPr>
          <w:color w:val="000000"/>
        </w:rPr>
        <w:t xml:space="preserve"> </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New York, New York </w:t>
      </w:r>
    </w:p>
    <w:p>
      <w:pPr>
        <w:pStyle w:val="TextBody"/>
        <w:spacing w:lineRule="auto" w:line="268"/>
        <w:rPr>
          <w:rFonts w:ascii="Times New Roman;sans-serif" w:hAnsi="Times New Roman;sans-serif"/>
          <w:b w:val="false"/>
          <w:color w:val="000000"/>
          <w:sz w:val="20"/>
        </w:rPr>
      </w:pPr>
      <w:r>
        <w:rPr>
          <w:rFonts w:ascii="Times New Roman;sans-serif" w:hAnsi="Times New Roman;sans-serif"/>
          <w:b w:val="false"/>
          <w:color w:val="000000"/>
          <w:sz w:val="20"/>
        </w:rPr>
        <w:t>April 13, 2023</w:t>
      </w:r>
      <w:r>
        <w:br w:type="page"/>
      </w:r>
    </w:p>
    <w:p>
      <w:pPr>
        <w:pStyle w:val="TextBody"/>
        <w:spacing w:before="0" w:after="283"/>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68327/000119312521311477/d212386ds8.htm" TargetMode="External"/><Relationship Id="rId3" Type="http://schemas.openxmlformats.org/officeDocument/2006/relationships/hyperlink" Target="https://www.sec.gov/Archives/edgar/data/1468327/000119312521311477/d212386ds8.htm" TargetMode="External"/><Relationship Id="rId4" Type="http://schemas.openxmlformats.org/officeDocument/2006/relationships/hyperlink" Target="https://www.sec.gov/Archives/edgar/data/1468327/000119312521311477/d212386ds8.htm" TargetMode="External"/><Relationship Id="rId5" Type="http://schemas.openxmlformats.org/officeDocument/2006/relationships/hyperlink" Target="https://www.sec.gov/Archives/edgar/data/1468327/000119312521311477/d212386ds8.htm" TargetMode="External"/><Relationship Id="rId6" Type="http://schemas.openxmlformats.org/officeDocument/2006/relationships/hyperlink" Target="https://www.sec.gov/Archives/edgar/data/1468327/000146832722000049/s-8xapril142022.htm" TargetMode="External"/><Relationship Id="rId7" Type="http://schemas.openxmlformats.org/officeDocument/2006/relationships/hyperlink" Target="https://www.sec.gov/Archives/edgar/data/0001468327/000119312521311477/d212386ds8.htm" TargetMode="External"/><Relationship Id="rId8" Type="http://schemas.openxmlformats.org/officeDocument/2006/relationships/hyperlink" Target="https://www.sec.gov/Archives/edgar/data/0001468327/000119312521313321/d211519dex31.htm" TargetMode="External"/><Relationship Id="rId9" Type="http://schemas.openxmlformats.org/officeDocument/2006/relationships/hyperlink" Target="https://www.sec.gov/Archives/edgar/data/0001468327/000119312521313321/d211519dex32.htm" TargetMode="External"/><Relationship Id="rId10" Type="http://schemas.openxmlformats.org/officeDocument/2006/relationships/hyperlink" Target="https://www.sec.gov/Archives/edgar/data/1468327/000119312521301156/d194411dex109.htm" TargetMode="External"/><Relationship Id="rId11" Type="http://schemas.openxmlformats.org/officeDocument/2006/relationships/image" Target="media/image1.pn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1898</Words>
  <CharactersWithSpaces>11708</CharactersWithSpaces>
  <Paragraphs>218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