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40987_8k.htm"/>
      <w:bookmarkStart w:id="1" w:name="ksdp240987_8k"/>
      <w:bookmarkEnd w:id="0"/>
      <w:bookmarkEnd w:id="1"/>
      <w:r>
        <w:rPr/>
        <w:t> </w:t>
      </w:r>
    </w:p>
    <w:p>
      <w:pPr>
        <w:pStyle w:val="TextBody"/>
        <w:pBdr>
          <w:bottom w:val="single" w:sz="24" w:space="1" w:color="000000"/>
        </w:pBdr>
        <w:bidi w:val="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36"/>
        </w:rPr>
        <w:t>UNITED STATES</w:t>
        <w:br/>
        <w:t>SECURITIES AND EXCHANGE COMMISSION</w:t>
        <w:br/>
      </w: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6012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br/>
        <w:t>Pursuant to Section 13 or 15(d)</w:t>
        <w:br/>
        <w:t>of the Securities Exchange Act of 1934</w:t>
        <w:b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4"/>
        </w:rPr>
        <w:t>January 28,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bookmarkStart w:id="4" w:name="xdx_90A_edei--EntityRegistrantName_c2026"/>
      <w:bookmarkEnd w:id="4"/>
      <w:r>
        <w:rPr>
          <w:rFonts w:ascii="Times New Roman;Times;Serif" w:hAnsi="Times New Roman;Times;Serif"/>
          <w:b/>
          <w:i w:val="false"/>
          <w:caps w:val="false"/>
          <w:smallCaps w:val="false"/>
          <w:sz w:val="40"/>
        </w:rPr>
        <w:t>Rent the Runway, Inc.</w:t>
        <w:br/>
      </w: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8955" w:type="dxa"/>
        <w:jc w:val="left"/>
        <w:tblInd w:w="0" w:type="dxa"/>
        <w:tblLayout w:type="fixed"/>
        <w:tblCellMar>
          <w:top w:w="0" w:type="dxa"/>
          <w:left w:w="0" w:type="dxa"/>
          <w:bottom w:w="0" w:type="dxa"/>
          <w:right w:w="0" w:type="dxa"/>
        </w:tblCellMar>
      </w:tblPr>
      <w:tblGrid>
        <w:gridCol w:w="3770"/>
        <w:gridCol w:w="2300"/>
        <w:gridCol w:w="2885"/>
      </w:tblGrid>
      <w:tr>
        <w:trPr/>
        <w:tc>
          <w:tcPr>
            <w:tcW w:w="3770" w:type="dxa"/>
            <w:tcBorders/>
            <w:vAlign w:val="center"/>
          </w:tcPr>
          <w:p>
            <w:pPr>
              <w:pStyle w:val="TableContents"/>
              <w:bidi w:val="0"/>
              <w:spacing w:before="0" w:after="283"/>
              <w:jc w:val="center"/>
              <w:rPr>
                <w:b/>
                <w:sz w:val="20"/>
              </w:rPr>
            </w:pPr>
            <w:bookmarkStart w:id="5" w:name="xdx_902_edei--EntityIncorporationStateCo"/>
            <w:bookmarkEnd w:id="5"/>
            <w:r>
              <w:rPr>
                <w:b/>
                <w:sz w:val="20"/>
              </w:rPr>
              <w:t>Delaware</w:t>
            </w:r>
          </w:p>
        </w:tc>
        <w:tc>
          <w:tcPr>
            <w:tcW w:w="2300" w:type="dxa"/>
            <w:tcBorders/>
            <w:vAlign w:val="center"/>
          </w:tcPr>
          <w:p>
            <w:pPr>
              <w:pStyle w:val="TableContents"/>
              <w:bidi w:val="0"/>
              <w:spacing w:before="0" w:after="283"/>
              <w:jc w:val="center"/>
              <w:rPr>
                <w:b/>
                <w:sz w:val="20"/>
              </w:rPr>
            </w:pPr>
            <w:bookmarkStart w:id="6" w:name="xdx_90F_edei--EntityFileNumber_c20260128"/>
            <w:bookmarkEnd w:id="6"/>
            <w:r>
              <w:rPr>
                <w:b/>
                <w:sz w:val="20"/>
              </w:rPr>
              <w:t>001-40958</w:t>
            </w:r>
          </w:p>
        </w:tc>
        <w:tc>
          <w:tcPr>
            <w:tcW w:w="2885" w:type="dxa"/>
            <w:tcBorders/>
            <w:vAlign w:val="center"/>
          </w:tcPr>
          <w:p>
            <w:pPr>
              <w:pStyle w:val="TableContents"/>
              <w:bidi w:val="0"/>
              <w:spacing w:before="0" w:after="283"/>
              <w:jc w:val="center"/>
              <w:rPr>
                <w:b/>
                <w:sz w:val="20"/>
              </w:rPr>
            </w:pPr>
            <w:bookmarkStart w:id="7" w:name="xdx_90B_edei--EntityTaxIdentificationNum"/>
            <w:bookmarkEnd w:id="7"/>
            <w:r>
              <w:rPr>
                <w:b/>
                <w:sz w:val="20"/>
              </w:rPr>
              <w:t>80-0376379</w:t>
            </w:r>
          </w:p>
        </w:tc>
      </w:tr>
      <w:tr>
        <w:trPr/>
        <w:tc>
          <w:tcPr>
            <w:tcW w:w="3770" w:type="dxa"/>
            <w:tcBorders/>
            <w:vAlign w:val="center"/>
          </w:tcPr>
          <w:p>
            <w:pPr>
              <w:pStyle w:val="TableContents"/>
              <w:bidi w:val="0"/>
              <w:spacing w:before="0" w:after="283"/>
              <w:jc w:val="center"/>
              <w:rPr>
                <w:b/>
                <w:sz w:val="20"/>
              </w:rPr>
            </w:pPr>
            <w:r>
              <w:rPr>
                <w:b/>
                <w:sz w:val="20"/>
              </w:rPr>
              <w:t>(State or other jurisdiction of incorporation)</w:t>
            </w:r>
          </w:p>
        </w:tc>
        <w:tc>
          <w:tcPr>
            <w:tcW w:w="2300" w:type="dxa"/>
            <w:tcBorders/>
            <w:vAlign w:val="center"/>
          </w:tcPr>
          <w:p>
            <w:pPr>
              <w:pStyle w:val="TableContents"/>
              <w:bidi w:val="0"/>
              <w:spacing w:before="0" w:after="283"/>
              <w:jc w:val="center"/>
              <w:rPr>
                <w:b/>
                <w:sz w:val="20"/>
              </w:rPr>
            </w:pPr>
            <w:r>
              <w:rPr>
                <w:b/>
                <w:sz w:val="20"/>
              </w:rPr>
              <w:t>(Commission File Number)</w:t>
            </w:r>
          </w:p>
        </w:tc>
        <w:tc>
          <w:tcPr>
            <w:tcW w:w="2885" w:type="dxa"/>
            <w:tcBorders/>
            <w:vAlign w:val="center"/>
          </w:tcPr>
          <w:p>
            <w:pPr>
              <w:pStyle w:val="TableContents"/>
              <w:bidi w:val="0"/>
              <w:spacing w:before="0" w:after="283"/>
              <w:jc w:val="center"/>
              <w:rPr>
                <w:b/>
                <w:sz w:val="20"/>
              </w:rPr>
            </w:pPr>
            <w:r>
              <w:rPr>
                <w:b/>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Rent the Runway, Inc.</w:t>
        <w:br/>
      </w:r>
      <w:bookmarkStart w:id="9" w:name="xdx_907_edei--EntityAddressAddressLine2_"/>
      <w:bookmarkEnd w:id="9"/>
      <w:r>
        <w:rPr>
          <w:rFonts w:ascii="Times New Roman;Times;Serif" w:hAnsi="Times New Roman;Times;Serif"/>
          <w:b/>
          <w:i w:val="false"/>
          <w:caps w:val="false"/>
          <w:smallCaps w:val="false"/>
          <w:sz w:val="20"/>
        </w:rPr>
        <w:t>10 Jay Street</w:t>
        <w:br/>
      </w:r>
      <w:bookmarkStart w:id="10" w:name="xdx_901_edei--EntityAddressCityOrTown_c2"/>
      <w:bookmarkEnd w:id="10"/>
      <w:r>
        <w:rPr>
          <w:rFonts w:ascii="Times New Roman;Times;Serif" w:hAnsi="Times New Roman;Times;Serif"/>
          <w:b/>
          <w:i w:val="false"/>
          <w:caps w:val="false"/>
          <w:smallCaps w:val="false"/>
          <w:sz w:val="20"/>
        </w:rPr>
        <w:t xml:space="preserve">Brooklyn, </w:t>
      </w:r>
      <w:bookmarkStart w:id="11" w:name="xdx_907_edei--EntityAddressStateOrProvin"/>
      <w:bookmarkEnd w:id="11"/>
      <w:r>
        <w:rPr>
          <w:rFonts w:ascii="Times New Roman;Times;Serif" w:hAnsi="Times New Roman;Times;Serif"/>
          <w:b/>
          <w:i w:val="false"/>
          <w:caps w:val="false"/>
          <w:smallCaps w:val="false"/>
          <w:sz w:val="20"/>
        </w:rPr>
        <w:t xml:space="preserve">New York </w:t>
      </w:r>
      <w:bookmarkStart w:id="12" w:name="xdx_901_edei--EntityAddressPostalZipCode"/>
      <w:bookmarkEnd w:id="12"/>
      <w:r>
        <w:rPr>
          <w:rFonts w:ascii="Times New Roman;Times;Serif" w:hAnsi="Times New Roman;Times;Serif"/>
          <w:b/>
          <w:i w:val="false"/>
          <w:caps w:val="false"/>
          <w:smallCaps w:val="false"/>
          <w:sz w:val="20"/>
        </w:rPr>
        <w:t>11201</w:t>
        <w:b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1_edei--CityAreaCode_c20260128__20"/>
      <w:bookmarkEnd w:id="13"/>
      <w:r>
        <w:rPr>
          <w:rFonts w:ascii="Times New Roman;Times;Serif" w:hAnsi="Times New Roman;Times;Serif"/>
          <w:b/>
          <w:i w:val="false"/>
          <w:caps w:val="false"/>
          <w:smallCaps w:val="false"/>
          <w:sz w:val="20"/>
        </w:rPr>
        <w:t xml:space="preserve">212) </w:t>
      </w:r>
      <w:bookmarkStart w:id="14" w:name="xdx_90C_edei--LocalPhoneNumber_c20260128"/>
      <w:bookmarkEnd w:id="14"/>
      <w:r>
        <w:rPr>
          <w:rFonts w:ascii="Times New Roman;Times;Serif" w:hAnsi="Times New Roman;Times;Serif"/>
          <w:b/>
          <w:i w:val="false"/>
          <w:caps w:val="false"/>
          <w:smallCaps w:val="false"/>
          <w:sz w:val="20"/>
        </w:rPr>
        <w:t>524-6860</w:t>
        <w:b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8_edei--WrittenCommunications_c202"/>
            <w:bookmarkEnd w:id="15"/>
            <w:r>
              <w:rPr/>
              <w:t>☐</w:t>
            </w:r>
          </w:p>
        </w:tc>
        <w:tc>
          <w:tcPr>
            <w:tcW w:w="729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bl>
    <w:p>
      <w:pPr>
        <w:pStyle w:val="TextBody"/>
        <w:bidi w:val="0"/>
        <w:spacing w:before="0" w:after="283"/>
        <w:jc w:val="left"/>
        <w:rPr/>
      </w:pPr>
      <w:r>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0_edei--SolicitingMaterial_c202601"/>
            <w:bookmarkEnd w:id="16"/>
            <w:r>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283"/>
        <w:jc w:val="left"/>
        <w:rPr/>
      </w:pPr>
      <w:r>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3_edei--PreCommencementTenderOffer"/>
            <w:bookmarkEnd w:id="17"/>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283"/>
        <w:jc w:val="left"/>
        <w:rPr/>
      </w:pPr>
      <w:r>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C_edei--PreCommencementIssuerTende"/>
            <w:bookmarkEnd w:id="18"/>
            <w:r>
              <w:rPr/>
              <w:t>☐</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Securities Exchange Act of 1934:</w:t>
      </w:r>
    </w:p>
    <w:p>
      <w:pPr>
        <w:pStyle w:val="TextBody"/>
        <w:bidi w:val="0"/>
        <w:spacing w:before="0" w:after="0"/>
        <w:ind w:left="0" w:right="0" w:hanging="0"/>
        <w:jc w:val="left"/>
        <w:rPr>
          <w:caps w:val="false"/>
          <w:smallCaps w:val="false"/>
        </w:rPr>
      </w:pPr>
      <w:r>
        <w:rPr>
          <w:caps w:val="false"/>
          <w:smallCaps w:val="false"/>
        </w:rPr>
        <w:t> </w:t>
      </w:r>
    </w:p>
    <w:tbl>
      <w:tblPr>
        <w:tblW w:w="9420" w:type="dxa"/>
        <w:jc w:val="left"/>
        <w:tblInd w:w="0" w:type="dxa"/>
        <w:tblLayout w:type="fixed"/>
        <w:tblCellMar>
          <w:top w:w="0" w:type="dxa"/>
          <w:left w:w="0" w:type="dxa"/>
          <w:bottom w:w="28" w:type="dxa"/>
          <w:right w:w="0" w:type="dxa"/>
        </w:tblCellMar>
      </w:tblPr>
      <w:tblGrid>
        <w:gridCol w:w="4175"/>
        <w:gridCol w:w="60"/>
        <w:gridCol w:w="1415"/>
        <w:gridCol w:w="60"/>
        <w:gridCol w:w="3710"/>
      </w:tblGrid>
      <w:tr>
        <w:trPr/>
        <w:tc>
          <w:tcPr>
            <w:tcW w:w="4175" w:type="dxa"/>
            <w:tcBorders>
              <w:bottom w:val="single" w:sz="8" w:space="0" w:color="000000"/>
            </w:tcBorders>
            <w:shd w:fill="FEFEFE" w:val="clear"/>
            <w:vAlign w:val="center"/>
          </w:tcPr>
          <w:p>
            <w:pPr>
              <w:pStyle w:val="TableContents"/>
              <w:bidi w:val="0"/>
              <w:spacing w:before="0" w:after="283"/>
              <w:jc w:val="center"/>
              <w:rPr>
                <w:b/>
                <w:sz w:val="20"/>
              </w:rPr>
            </w:pPr>
            <w:r>
              <w:rPr>
                <w:b/>
                <w:sz w:val="20"/>
              </w:rPr>
              <w:t>Title of each class</w:t>
            </w:r>
          </w:p>
        </w:tc>
        <w:tc>
          <w:tcPr>
            <w:tcW w:w="60" w:type="dxa"/>
            <w:tcBorders/>
            <w:shd w:fill="FEFEFE" w:val="clear"/>
            <w:tcMar>
              <w:bottom w:w="0" w:type="dxa"/>
            </w:tcMar>
            <w:vAlign w:val="center"/>
          </w:tcPr>
          <w:p>
            <w:pPr>
              <w:pStyle w:val="TableContents"/>
              <w:bidi w:val="0"/>
              <w:spacing w:before="0" w:after="283"/>
              <w:jc w:val="center"/>
              <w:rPr/>
            </w:pPr>
            <w:r>
              <w:rPr/>
              <w:t> </w:t>
            </w:r>
          </w:p>
        </w:tc>
        <w:tc>
          <w:tcPr>
            <w:tcW w:w="1415" w:type="dxa"/>
            <w:tcBorders>
              <w:bottom w:val="single" w:sz="8" w:space="0" w:color="000000"/>
            </w:tcBorders>
            <w:shd w:fill="FEFEFE" w:val="clear"/>
            <w:vAlign w:val="center"/>
          </w:tcPr>
          <w:p>
            <w:pPr>
              <w:pStyle w:val="TableContents"/>
              <w:bidi w:val="0"/>
              <w:spacing w:before="0" w:after="283"/>
              <w:jc w:val="center"/>
              <w:rPr>
                <w:b/>
                <w:sz w:val="20"/>
              </w:rPr>
            </w:pPr>
            <w:r>
              <w:rPr>
                <w:b/>
                <w:sz w:val="20"/>
              </w:rPr>
              <w:t>Trading Symbol</w:t>
            </w:r>
          </w:p>
        </w:tc>
        <w:tc>
          <w:tcPr>
            <w:tcW w:w="60" w:type="dxa"/>
            <w:tcBorders/>
            <w:shd w:fill="FEFEFE" w:val="clear"/>
            <w:tcMar>
              <w:bottom w:w="0" w:type="dxa"/>
            </w:tcMar>
            <w:vAlign w:val="center"/>
          </w:tcPr>
          <w:p>
            <w:pPr>
              <w:pStyle w:val="TableContents"/>
              <w:bidi w:val="0"/>
              <w:spacing w:before="0" w:after="283"/>
              <w:jc w:val="center"/>
              <w:rPr/>
            </w:pPr>
            <w:r>
              <w:rPr/>
              <w:t> </w:t>
            </w:r>
          </w:p>
        </w:tc>
        <w:tc>
          <w:tcPr>
            <w:tcW w:w="3710" w:type="dxa"/>
            <w:tcBorders>
              <w:bottom w:val="single" w:sz="8" w:space="0" w:color="000000"/>
            </w:tcBorders>
            <w:shd w:fill="FEFEFE" w:val="clear"/>
            <w:vAlign w:val="center"/>
          </w:tcPr>
          <w:p>
            <w:pPr>
              <w:pStyle w:val="TableContents"/>
              <w:bidi w:val="0"/>
              <w:spacing w:before="0" w:after="283"/>
              <w:jc w:val="center"/>
              <w:rPr>
                <w:b/>
                <w:sz w:val="20"/>
              </w:rPr>
            </w:pPr>
            <w:r>
              <w:rPr>
                <w:b/>
                <w:sz w:val="20"/>
              </w:rPr>
              <w:t>Name of each exchange on which registered</w:t>
            </w:r>
          </w:p>
        </w:tc>
      </w:tr>
      <w:tr>
        <w:trPr/>
        <w:tc>
          <w:tcPr>
            <w:tcW w:w="4175" w:type="dxa"/>
            <w:tcBorders/>
            <w:shd w:fill="FEFEFE" w:val="clear"/>
            <w:tcMar>
              <w:bottom w:w="0" w:type="dxa"/>
            </w:tcMar>
            <w:vAlign w:val="center"/>
          </w:tcPr>
          <w:p>
            <w:pPr>
              <w:pStyle w:val="TableContents"/>
              <w:bidi w:val="0"/>
              <w:spacing w:before="0" w:after="283"/>
              <w:jc w:val="center"/>
              <w:rPr>
                <w:sz w:val="20"/>
              </w:rPr>
            </w:pPr>
            <w:bookmarkStart w:id="19" w:name="xdx_90D_edei--Security12bTitle_c20260128"/>
            <w:bookmarkEnd w:id="19"/>
            <w:r>
              <w:rPr>
                <w:sz w:val="20"/>
              </w:rPr>
              <w:t>Class A Common Stock, $0.001 par value per share</w:t>
            </w:r>
          </w:p>
        </w:tc>
        <w:tc>
          <w:tcPr>
            <w:tcW w:w="60" w:type="dxa"/>
            <w:tcBorders/>
            <w:shd w:fill="FEFEFE" w:val="clear"/>
            <w:tcMar>
              <w:bottom w:w="0" w:type="dxa"/>
            </w:tcMar>
            <w:vAlign w:val="center"/>
          </w:tcPr>
          <w:p>
            <w:pPr>
              <w:pStyle w:val="TableContents"/>
              <w:bidi w:val="0"/>
              <w:spacing w:before="0" w:after="283"/>
              <w:jc w:val="center"/>
              <w:rPr/>
            </w:pPr>
            <w:r>
              <w:rPr/>
              <w:t> </w:t>
            </w:r>
          </w:p>
        </w:tc>
        <w:tc>
          <w:tcPr>
            <w:tcW w:w="1415" w:type="dxa"/>
            <w:tcBorders/>
            <w:shd w:fill="FEFEFE" w:val="clear"/>
            <w:tcMar>
              <w:bottom w:w="0" w:type="dxa"/>
            </w:tcMar>
            <w:vAlign w:val="center"/>
          </w:tcPr>
          <w:p>
            <w:pPr>
              <w:pStyle w:val="TableContents"/>
              <w:bidi w:val="0"/>
              <w:spacing w:before="0" w:after="283"/>
              <w:jc w:val="center"/>
              <w:rPr>
                <w:sz w:val="20"/>
              </w:rPr>
            </w:pPr>
            <w:bookmarkStart w:id="20" w:name="xdx_902_edei--TradingSymbol_c20260128__2"/>
            <w:bookmarkEnd w:id="20"/>
            <w:r>
              <w:rPr>
                <w:sz w:val="20"/>
              </w:rPr>
              <w:t>RENT</w:t>
            </w:r>
          </w:p>
        </w:tc>
        <w:tc>
          <w:tcPr>
            <w:tcW w:w="60" w:type="dxa"/>
            <w:tcBorders/>
            <w:shd w:fill="FEFEFE" w:val="clear"/>
            <w:tcMar>
              <w:bottom w:w="0" w:type="dxa"/>
            </w:tcMar>
            <w:vAlign w:val="center"/>
          </w:tcPr>
          <w:p>
            <w:pPr>
              <w:pStyle w:val="TableContents"/>
              <w:bidi w:val="0"/>
              <w:spacing w:before="0" w:after="283"/>
              <w:jc w:val="center"/>
              <w:rPr/>
            </w:pPr>
            <w:r>
              <w:rPr/>
              <w:t> </w:t>
            </w:r>
          </w:p>
        </w:tc>
        <w:tc>
          <w:tcPr>
            <w:tcW w:w="3710" w:type="dxa"/>
            <w:tcBorders/>
            <w:shd w:fill="FEFEFE" w:val="clear"/>
            <w:tcMar>
              <w:bottom w:w="0" w:type="dxa"/>
            </w:tcMar>
            <w:vAlign w:val="center"/>
          </w:tcPr>
          <w:p>
            <w:pPr>
              <w:pStyle w:val="TableContents"/>
              <w:bidi w:val="0"/>
              <w:spacing w:before="0" w:after="283"/>
              <w:jc w:val="center"/>
              <w:rPr>
                <w:sz w:val="20"/>
              </w:rPr>
            </w:pPr>
            <w:bookmarkStart w:id="21" w:name="xdx_90E_edei--SecurityExchangeName_c2026"/>
            <w:bookmarkEnd w:id="21"/>
            <w:r>
              <w:rPr>
                <w:sz w:val="20"/>
              </w:rPr>
              <w:t>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or Rule 12b-2 of the Securities Exchange Act of 1934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F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5_edei--EntityExTransitionPeriod_c"/>
      <w:bookmarkEnd w:id="23"/>
      <w:r>
        <w:rPr>
          <w:rFonts w:ascii="Times New Roman;Times;Serif" w:hAnsi="Times New Roman;Times;Serif"/>
          <w:b w:val="false"/>
          <w:i w:val="false"/>
          <w:caps w:val="false"/>
          <w:smallCaps w:val="false"/>
          <w:sz w:val="20"/>
        </w:rPr>
        <w:t>☐</w:t>
      </w:r>
    </w:p>
    <w:p>
      <w:pPr>
        <w:pStyle w:val="TextBody"/>
        <w:pBdr>
          <w:bottom w:val="single" w:sz="8" w:space="1" w:color="000000"/>
        </w:pBdr>
        <w:bidi w:val="0"/>
        <w:jc w:val="left"/>
        <w:rPr/>
      </w:pPr>
      <w:r>
        <w:rPr/>
        <w:t> </w:t>
      </w:r>
    </w:p>
    <w:p>
      <w:pPr>
        <w:pStyle w:val="TextBody"/>
        <w:bidi w:val="0"/>
        <w:ind w:left="0" w:right="0" w:hanging="0"/>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10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1080" w:right="0" w:hanging="108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First Amendment</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28, 2026, Rent the Runway, Inc. (the “Company”) entered into the First Amendment to Amended and Restated Credit Agreement (the “First Amendment”), by and among the Company, as borrower, the lenders party thereto (the “Lenders”) and CHS (US) Management LLC, as administrative agent (the “Agent”) which amends the Amended and Restated Credit Agreement, dated as of October 28, 2025 (the “Credit Agreement”), by and among the Company, the Lenders and the Agent. The First Amendment amends the Credit Agreement to remove the minimum liquidity covenant.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the terms of the First Amendment does not purport to be complete and is qualified in its entirety by the full text of the agreement, a copy of which is attached hereto as Exhibit 10.1 and incorporated herein by reference.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080" w:right="0" w:hanging="10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Exhibits.</w:t>
      </w:r>
    </w:p>
    <w:p>
      <w:pPr>
        <w:pStyle w:val="TextBody"/>
        <w:bidi w:val="0"/>
        <w:spacing w:before="0" w:after="0"/>
        <w:ind w:left="1080" w:right="0" w:hanging="10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Exhibits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shd w:fill="FFFFFF" w:val="clear"/>
            <w:vAlign w:val="center"/>
          </w:tcPr>
          <w:p>
            <w:pPr>
              <w:pStyle w:val="TableContents"/>
              <w:bidi w:val="0"/>
              <w:spacing w:before="0" w:after="283"/>
              <w:jc w:val="center"/>
              <w:rPr>
                <w:b/>
                <w:sz w:val="20"/>
              </w:rPr>
            </w:pPr>
            <w:r>
              <w:rPr>
                <w:b/>
                <w:sz w:val="20"/>
              </w:rPr>
              <w:t>Exhibit</w:t>
              <w:br/>
              <w:t>Number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bottom w:val="single" w:sz="8" w:space="0" w:color="000000"/>
            </w:tcBorders>
            <w:shd w:fill="FFFFFF" w:val="clear"/>
            <w:vAlign w:val="center"/>
          </w:tcPr>
          <w:p>
            <w:pPr>
              <w:pStyle w:val="TableContents"/>
              <w:bidi w:val="0"/>
              <w:spacing w:before="0" w:after="283"/>
              <w:jc w:val="center"/>
              <w:rPr>
                <w:b/>
                <w:sz w:val="20"/>
              </w:rPr>
            </w:pPr>
            <w:r>
              <w:rPr>
                <w:b/>
                <w:sz w:val="20"/>
              </w:rPr>
              <w:t>Description</w:t>
            </w:r>
          </w:p>
        </w:tc>
      </w:tr>
      <w:tr>
        <w:trPr/>
        <w:tc>
          <w:tcPr>
            <w:tcW w:w="725" w:type="dxa"/>
            <w:tcBorders/>
            <w:shd w:fill="FFFFFF" w:val="clear"/>
            <w:tcMar>
              <w:bottom w:w="0" w:type="dxa"/>
            </w:tcMar>
            <w:vAlign w:val="center"/>
          </w:tcPr>
          <w:p>
            <w:pPr>
              <w:pStyle w:val="TableContents"/>
              <w:bidi w:val="0"/>
              <w:spacing w:before="0" w:after="283"/>
              <w:jc w:val="center"/>
              <w:rPr/>
            </w:pPr>
            <w:hyperlink w:anchor="dp240987_ex1001.htm">
              <w:r>
                <w:rPr>
                  <w:rStyle w:val="InternetLink"/>
                  <w:sz w:val="20"/>
                </w:rPr>
                <w:t>10.1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left"/>
              <w:rPr/>
            </w:pPr>
            <w:hyperlink w:anchor="dp240987_ex1001.htm">
              <w:r>
                <w:rPr>
                  <w:rStyle w:val="InternetLink"/>
                  <w:sz w:val="20"/>
                </w:rPr>
                <w:t>First Amendment to Amended and Restated Credit Agreement, dated January 28, 2026, by and among the Company, CHS (US) Management LLC, as the administrative agent, and the lenders party thereto</w:t>
              </w:r>
            </w:hyperlink>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75"/>
        <w:gridCol w:w="320"/>
        <w:gridCol w:w="2525"/>
      </w:tblGrid>
      <w:tr>
        <w:trPr/>
        <w:tc>
          <w:tcPr>
            <w:tcW w:w="75" w:type="dxa"/>
            <w:tcBorders/>
            <w:vAlign w:val="center"/>
          </w:tcPr>
          <w:p>
            <w:pPr>
              <w:pStyle w:val="TableContents"/>
              <w:bidi w:val="0"/>
              <w:spacing w:before="0" w:after="283"/>
              <w:jc w:val="left"/>
              <w:rPr/>
            </w:pPr>
            <w:r>
              <w:rPr/>
              <w:t> </w:t>
            </w:r>
          </w:p>
        </w:tc>
        <w:tc>
          <w:tcPr>
            <w:tcW w:w="2845" w:type="dxa"/>
            <w:gridSpan w:val="2"/>
            <w:tcBorders/>
            <w:vAlign w:val="center"/>
          </w:tcPr>
          <w:p>
            <w:pPr>
              <w:pStyle w:val="TableContents"/>
              <w:bidi w:val="0"/>
              <w:spacing w:before="0" w:after="283"/>
              <w:jc w:val="left"/>
              <w:rPr>
                <w:b/>
                <w:sz w:val="20"/>
              </w:rPr>
            </w:pPr>
            <w:r>
              <w:rPr>
                <w:b/>
                <w:sz w:val="20"/>
              </w:rPr>
              <w:t>RENT THE RUNWAY, INC.</w:t>
            </w:r>
          </w:p>
        </w:tc>
      </w:tr>
      <w:tr>
        <w:trPr/>
        <w:tc>
          <w:tcPr>
            <w:tcW w:w="75" w:type="dxa"/>
            <w:tcBorders/>
            <w:vAlign w:val="center"/>
          </w:tcPr>
          <w:p>
            <w:pPr>
              <w:pStyle w:val="TableContents"/>
              <w:bidi w:val="0"/>
              <w:spacing w:before="0" w:after="283"/>
              <w:jc w:val="left"/>
              <w:rPr/>
            </w:pPr>
            <w:r>
              <w:rPr/>
              <w:t> </w:t>
            </w:r>
          </w:p>
        </w:tc>
        <w:tc>
          <w:tcPr>
            <w:tcW w:w="28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52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Siddharth Thacker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sz w:val="20"/>
              </w:rPr>
            </w:pPr>
            <w:r>
              <w:rPr>
                <w:sz w:val="20"/>
              </w:rPr>
              <w:t>Name:  Siddharth Thacker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sz w:val="20"/>
              </w:rPr>
            </w:pPr>
            <w:r>
              <w:rPr>
                <w:sz w:val="20"/>
              </w:rPr>
              <w:t>Title: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February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9" w:right="119" w:hanging="0"/>
        <w:jc w:val="right"/>
        <w:rPr>
          <w:caps w:val="false"/>
          <w:smallCaps w:val="false"/>
        </w:rPr>
      </w:pPr>
      <w:bookmarkStart w:id="24" w:name="dp240987_ex1001.htm"/>
      <w:bookmarkStart w:id="25" w:name="ksdp240987_ex1001"/>
      <w:bookmarkEnd w:id="24"/>
      <w:bookmarkEnd w:id="25"/>
      <w:r>
        <w:rPr>
          <w:caps w:val="false"/>
          <w:smallCaps w:val="false"/>
        </w:rPr>
        <w:t> </w:t>
      </w:r>
      <w:r>
        <w:br w:type="page"/>
      </w:r>
    </w:p>
    <w:p>
      <w:pPr>
        <w:pStyle w:val="TextBody"/>
        <w:bidi w:val="0"/>
        <w:spacing w:before="0" w:after="0"/>
        <w:ind w:left="119" w:right="119"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 </w:t>
      </w:r>
    </w:p>
    <w:p>
      <w:pPr>
        <w:pStyle w:val="TextBody"/>
        <w:bidi w:val="0"/>
        <w:spacing w:before="0" w:after="0"/>
        <w:ind w:left="119" w:right="119" w:hanging="0"/>
        <w:jc w:val="right"/>
        <w:rPr>
          <w:caps w:val="false"/>
          <w:smallCaps w:val="false"/>
        </w:rPr>
      </w:pPr>
      <w:r>
        <w:rPr>
          <w:caps w:val="false"/>
          <w:smallCaps w:val="false"/>
        </w:rPr>
        <w:t> </w:t>
      </w:r>
    </w:p>
    <w:p>
      <w:pPr>
        <w:pStyle w:val="TextBody"/>
        <w:bidi w:val="0"/>
        <w:spacing w:before="0" w:after="0"/>
        <w:ind w:left="119" w:right="119" w:hanging="0"/>
        <w:jc w:val="right"/>
        <w:rPr>
          <w:caps w:val="false"/>
          <w:smallCaps w:val="false"/>
        </w:rPr>
      </w:pPr>
      <w:r>
        <w:rPr>
          <w:caps w:val="false"/>
          <w:smallCaps w:val="false"/>
        </w:rPr>
        <w:t> </w:t>
      </w:r>
    </w:p>
    <w:p>
      <w:pPr>
        <w:pStyle w:val="TextBody"/>
        <w:bidi w:val="0"/>
        <w:spacing w:before="0" w:after="0"/>
        <w:ind w:left="119" w:right="119"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Version</w:t>
      </w:r>
    </w:p>
    <w:p>
      <w:pPr>
        <w:pStyle w:val="TextBody"/>
        <w:bidi w:val="0"/>
        <w:spacing w:before="0" w:after="0"/>
        <w:ind w:left="119" w:right="119"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FIRST AMENDMENT TO AMENDED AND RESTATED CREDIT AGREEMENT</w:t>
      </w:r>
    </w:p>
    <w:p>
      <w:pPr>
        <w:pStyle w:val="TextBody"/>
        <w:bidi w:val="0"/>
        <w:spacing w:before="0" w:after="0"/>
        <w:ind w:left="490" w:right="0" w:hanging="0"/>
        <w:jc w:val="left"/>
        <w:rPr>
          <w:caps w:val="false"/>
          <w:smallCaps w:val="false"/>
        </w:rPr>
      </w:pPr>
      <w:r>
        <w:rPr>
          <w:caps w:val="false"/>
          <w:smallCaps w:val="false"/>
        </w:rPr>
        <w:t> </w:t>
      </w:r>
    </w:p>
    <w:p>
      <w:pPr>
        <w:pStyle w:val="TextBody"/>
        <w:bidi w:val="0"/>
        <w:spacing w:before="0" w:after="0"/>
        <w:ind w:left="140" w:right="15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w:t>
        <w:tab/>
      </w:r>
      <w:r>
        <w:rPr>
          <w:rFonts w:ascii="Times New Roman;Times;Serif" w:hAnsi="Times New Roman;Times;Serif"/>
          <w:b/>
          <w:i w:val="false"/>
          <w:caps w:val="false"/>
          <w:smallCaps w:val="false"/>
          <w:sz w:val="20"/>
        </w:rPr>
        <w:t>FIRST</w:t>
        <w:tab/>
        <w:t>AMENDMENT</w:t>
        <w:tab/>
        <w:t>TO</w:t>
        <w:tab/>
        <w:t>AMENDED</w:t>
        <w:tab/>
        <w:t>AND</w:t>
        <w:tab/>
        <w:t>RESTATED</w:t>
        <w:tab/>
        <w:t>CREDIT AGREEMENT</w:t>
      </w:r>
      <w:r>
        <w:rPr>
          <w:rFonts w:ascii="Times New Roman;Times;Serif" w:hAnsi="Times New Roman;Times;Serif"/>
          <w:b w:val="false"/>
          <w:i w:val="false"/>
          <w:caps w:val="false"/>
          <w:smallCaps w:val="false"/>
          <w:sz w:val="20"/>
        </w:rPr>
        <w:t>, dated as of January 28, 2026 (this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to the Amended and Restated Credit Agreement, dated as of October 28, 2025 (as amended, amended and restated, supplemented or otherwise modified from time to time, the "</w:t>
      </w:r>
      <w:r>
        <w:rPr>
          <w:rFonts w:ascii="Times New Roman;Times;Serif" w:hAnsi="Times New Roman;Times;Serif"/>
          <w:b/>
          <w:i w:val="false"/>
          <w:caps w:val="false"/>
          <w:smallCaps w:val="false"/>
          <w:sz w:val="20"/>
        </w:rPr>
        <w:t>Credit Agreement</w:t>
      </w:r>
      <w:r>
        <w:rPr>
          <w:rFonts w:ascii="Times New Roman;Times;Serif" w:hAnsi="Times New Roman;Times;Serif"/>
          <w:b w:val="false"/>
          <w:i w:val="false"/>
          <w:caps w:val="false"/>
          <w:smallCaps w:val="false"/>
          <w:sz w:val="20"/>
        </w:rPr>
        <w:t>"), by and among the lenders from time to time party thereto (individually, a "</w:t>
      </w:r>
      <w:r>
        <w:rPr>
          <w:rFonts w:ascii="Times New Roman;Times;Serif" w:hAnsi="Times New Roman;Times;Serif"/>
          <w:b/>
          <w:i w:val="false"/>
          <w:caps w:val="false"/>
          <w:smallCaps w:val="false"/>
          <w:sz w:val="20"/>
        </w:rPr>
        <w:t>Lender</w:t>
      </w:r>
      <w:r>
        <w:rPr>
          <w:rFonts w:ascii="Times New Roman;Times;Serif" w:hAnsi="Times New Roman;Times;Serif"/>
          <w:b w:val="false"/>
          <w:i w:val="false"/>
          <w:caps w:val="false"/>
          <w:smallCaps w:val="false"/>
          <w:sz w:val="20"/>
        </w:rPr>
        <w:t>," and any and all such lenders collectively, the "</w:t>
      </w:r>
      <w:r>
        <w:rPr>
          <w:rFonts w:ascii="Times New Roman;Times;Serif" w:hAnsi="Times New Roman;Times;Serif"/>
          <w:b/>
          <w:i w:val="false"/>
          <w:caps w:val="false"/>
          <w:smallCaps w:val="false"/>
          <w:sz w:val="20"/>
        </w:rPr>
        <w:t>Lenders</w:t>
      </w:r>
      <w:r>
        <w:rPr>
          <w:rFonts w:ascii="Times New Roman;Times;Serif" w:hAnsi="Times New Roman;Times;Serif"/>
          <w:b w:val="false"/>
          <w:i w:val="false"/>
          <w:caps w:val="false"/>
          <w:smallCaps w:val="false"/>
          <w:sz w:val="20"/>
        </w:rPr>
        <w:t>"), CHS (US) Management LLC, as the administrative agent for the Lenders (in such capacity, together with its successors and assigns in such capacity, the "</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and Rent the Runway, Inc., a Delaware corporation (the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is by and among the Borrower, the Lenders and the Agent. Unless otherwise defined herein, capitalized terms used herein shall have the meanings provided in the Credit Agreement.</w:t>
      </w:r>
    </w:p>
    <w:p>
      <w:pPr>
        <w:pStyle w:val="TextBody"/>
        <w:bidi w:val="0"/>
        <w:spacing w:before="0" w:after="0"/>
        <w:ind w:left="140" w:right="156" w:hanging="0"/>
        <w:jc w:val="both"/>
        <w:rPr>
          <w:caps w:val="false"/>
          <w:smallCaps w:val="false"/>
        </w:rPr>
      </w:pPr>
      <w:r>
        <w:rPr>
          <w:caps w:val="false"/>
          <w:smallCaps w:val="false"/>
        </w:rPr>
        <w:t> </w:t>
      </w:r>
    </w:p>
    <w:p>
      <w:pPr>
        <w:pStyle w:val="TextBody"/>
        <w:bidi w:val="0"/>
        <w:spacing w:before="0" w:after="0"/>
        <w:ind w:left="140" w:right="152"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Borrower, the Agent and the Lenders desire to amend certain provisions of the Credit Agreement as provided more fully herein, subject to the terms and conditions set forth herein.</w:t>
      </w:r>
    </w:p>
    <w:p>
      <w:pPr>
        <w:pStyle w:val="TextBody"/>
        <w:bidi w:val="0"/>
        <w:spacing w:before="0" w:after="0"/>
        <w:ind w:left="140" w:right="152" w:firstLine="720"/>
        <w:jc w:val="both"/>
        <w:rPr>
          <w:caps w:val="false"/>
          <w:smallCaps w:val="false"/>
        </w:rPr>
      </w:pPr>
      <w:r>
        <w:rPr>
          <w:caps w:val="false"/>
          <w:smallCaps w:val="false"/>
        </w:rPr>
        <w:t> </w:t>
      </w:r>
    </w:p>
    <w:p>
      <w:pPr>
        <w:pStyle w:val="TextBody"/>
        <w:bidi w:val="0"/>
        <w:spacing w:before="0" w:after="0"/>
        <w:ind w:left="140" w:right="191"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mutual agreements contained in the Credit Agreement and herein and for other good and valuable consideration, the receipt and sufficiency of which are hereby acknowledged, the parties hereto hereby agree as follows:</w:t>
      </w:r>
    </w:p>
    <w:p>
      <w:pPr>
        <w:pStyle w:val="TextBody"/>
        <w:bidi w:val="0"/>
        <w:spacing w:before="0" w:after="0"/>
        <w:ind w:left="140" w:right="191" w:firstLine="720"/>
        <w:jc w:val="both"/>
        <w:rPr>
          <w:caps w:val="false"/>
          <w:smallCaps w:val="false"/>
        </w:rPr>
      </w:pPr>
      <w:r>
        <w:rPr>
          <w:caps w:val="false"/>
          <w:smallCaps w:val="false"/>
        </w:rPr>
        <w:t> </w:t>
      </w:r>
    </w:p>
    <w:p>
      <w:pPr>
        <w:pStyle w:val="TextBody"/>
        <w:bidi w:val="0"/>
        <w:spacing w:before="0" w:after="0"/>
        <w:ind w:left="86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   </w:t>
      </w:r>
      <w:r>
        <w:rPr>
          <w:rFonts w:ascii="Times New Roman;Times;Serif" w:hAnsi="Times New Roman;Times;Serif"/>
          <w:b/>
          <w:i w:val="false"/>
          <w:caps w:val="false"/>
          <w:smallCaps w:val="false"/>
          <w:sz w:val="20"/>
          <w:u w:val="single"/>
        </w:rPr>
        <w:t>Amendments to the Credit Agreement; Acknowledgment</w:t>
      </w:r>
      <w:r>
        <w:rPr>
          <w:rFonts w:ascii="Times New Roman;Times;Serif" w:hAnsi="Times New Roman;Times;Serif"/>
          <w:b w:val="false"/>
          <w:i w:val="false"/>
          <w:caps w:val="false"/>
          <w:smallCaps w:val="false"/>
          <w:sz w:val="20"/>
        </w:rPr>
        <w:t>.</w:t>
      </w:r>
    </w:p>
    <w:p>
      <w:pPr>
        <w:pStyle w:val="TextBody"/>
        <w:bidi w:val="0"/>
        <w:spacing w:before="0" w:after="0"/>
        <w:ind w:left="860" w:right="0" w:hanging="0"/>
        <w:jc w:val="left"/>
        <w:rPr>
          <w:caps w:val="false"/>
          <w:smallCaps w:val="false"/>
        </w:rPr>
      </w:pPr>
      <w:r>
        <w:rPr>
          <w:caps w:val="false"/>
          <w:smallCaps w:val="false"/>
        </w:rPr>
        <w:t> </w:t>
      </w:r>
    </w:p>
    <w:p>
      <w:pPr>
        <w:pStyle w:val="TextBody"/>
        <w:bidi w:val="0"/>
        <w:spacing w:before="0" w:after="0"/>
        <w:ind w:left="140"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w:t>
      </w:r>
      <w:r>
        <w:rPr>
          <w:rFonts w:ascii="Times New Roman;Times;Serif" w:hAnsi="Times New Roman;Times;Serif"/>
          <w:b w:val="false"/>
          <w:i w:val="false"/>
          <w:caps w:val="false"/>
          <w:smallCaps w:val="false"/>
          <w:sz w:val="20"/>
        </w:rPr>
        <w:t xml:space="preserve">   The Credit Agreement is hereby amended (a) to delete the red or green stricken text (indicated textually in the same manner as the following examples: </w:t>
      </w:r>
      <w:r>
        <w:rPr>
          <w:rFonts w:ascii="Times New Roman;Times;Serif" w:hAnsi="Times New Roman;Times;Serif"/>
          <w:b w:val="false"/>
          <w:i w:val="false"/>
          <w:caps w:val="false"/>
          <w:smallCaps w:val="false"/>
          <w:strike/>
          <w:color w:val="FF0000"/>
          <w:sz w:val="20"/>
        </w:rPr>
        <w:t>stricken text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trike/>
          <w:color w:val="00B04F"/>
          <w:sz w:val="20"/>
        </w:rPr>
        <w:t>stricken text</w:t>
      </w:r>
      <w:r>
        <w:rPr>
          <w:rFonts w:ascii="Times New Roman;Times;Serif" w:hAnsi="Times New Roman;Times;Serif"/>
          <w:b w:val="false"/>
          <w:i w:val="false"/>
          <w:caps w:val="false"/>
          <w:smallCaps w:val="false"/>
          <w:sz w:val="20"/>
        </w:rPr>
        <w:t xml:space="preserve">) and (b) to add the blue or green double-underlined text (indicated textually in the same manner as the following examples: </w:t>
      </w:r>
      <w:r>
        <w:rPr>
          <w:rFonts w:ascii="Times New Roman;Times;Serif" w:hAnsi="Times New Roman;Times;Serif"/>
          <w:b w:val="false"/>
          <w:i w:val="false"/>
          <w:caps w:val="false"/>
          <w:smallCaps w:val="false"/>
          <w:color w:val="0000FF"/>
          <w:sz w:val="20"/>
          <w:u w:val="single"/>
        </w:rPr>
        <w:t>double-underline</w:t>
      </w:r>
      <w:r>
        <w:rPr>
          <w:rFonts w:ascii="Times New Roman;Times;Serif" w:hAnsi="Times New Roman;Times;Serif"/>
          <w:b w:val="false"/>
          <w:i w:val="false"/>
          <w:caps w:val="false"/>
          <w:smallCaps w:val="false"/>
          <w:color w:val="0000FF"/>
          <w:sz w:val="20"/>
        </w:rPr>
        <w:t xml:space="preserve">d text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color w:val="00B04F"/>
          <w:sz w:val="20"/>
          <w:u w:val="single"/>
        </w:rPr>
        <w:t>double-underline</w:t>
      </w:r>
      <w:r>
        <w:rPr>
          <w:rFonts w:ascii="Times New Roman;Times;Serif" w:hAnsi="Times New Roman;Times;Serif"/>
          <w:b w:val="false"/>
          <w:i w:val="false"/>
          <w:caps w:val="false"/>
          <w:smallCaps w:val="false"/>
          <w:color w:val="00B04F"/>
          <w:sz w:val="20"/>
        </w:rPr>
        <w:t>d text</w:t>
      </w:r>
      <w:r>
        <w:rPr>
          <w:rFonts w:ascii="Times New Roman;Times;Serif" w:hAnsi="Times New Roman;Times;Serif"/>
          <w:b w:val="false"/>
          <w:i w:val="false"/>
          <w:caps w:val="false"/>
          <w:smallCaps w:val="false"/>
          <w:sz w:val="20"/>
        </w:rPr>
        <w:t xml:space="preserve">), in each case, as set forth in the marked copy of the Credit Agreement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made a part hereof for all purposes.</w:t>
      </w:r>
    </w:p>
    <w:p>
      <w:pPr>
        <w:pStyle w:val="TextBody"/>
        <w:bidi w:val="0"/>
        <w:spacing w:before="0" w:after="0"/>
        <w:ind w:left="140" w:right="170" w:firstLine="1440"/>
        <w:jc w:val="both"/>
        <w:rPr>
          <w:caps w:val="false"/>
          <w:smallCaps w:val="false"/>
        </w:rPr>
      </w:pPr>
      <w:r>
        <w:rPr>
          <w:caps w:val="false"/>
          <w:smallCaps w:val="false"/>
        </w:rPr>
        <w:t> </w:t>
      </w:r>
    </w:p>
    <w:p>
      <w:pPr>
        <w:pStyle w:val="TextBody"/>
        <w:bidi w:val="0"/>
        <w:spacing w:before="0" w:after="0"/>
        <w:ind w:left="140" w:right="196"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1.02</w:t>
      </w:r>
      <w:r>
        <w:rPr>
          <w:rFonts w:ascii="Times New Roman;Times;Serif" w:hAnsi="Times New Roman;Times;Serif"/>
          <w:b w:val="false"/>
          <w:i w:val="false"/>
          <w:caps w:val="false"/>
          <w:smallCaps w:val="false"/>
          <w:sz w:val="20"/>
        </w:rPr>
        <w:t>   The amendments in this Section 1 shall be effective only in this specific instance and for the specific purposes set forth herein and do not allow for any other or further departure from the terms and conditions of the Credit Agreement or any other Loan Document, which terms and conditions shall continue in full force and effect.</w:t>
      </w:r>
    </w:p>
    <w:p>
      <w:pPr>
        <w:pStyle w:val="TextBody"/>
        <w:bidi w:val="0"/>
        <w:spacing w:before="0" w:after="0"/>
        <w:ind w:left="140" w:right="196" w:firstLine="1440"/>
        <w:jc w:val="both"/>
        <w:rPr>
          <w:caps w:val="false"/>
          <w:smallCaps w:val="false"/>
        </w:rPr>
      </w:pPr>
      <w:r>
        <w:rPr>
          <w:caps w:val="false"/>
          <w:smallCaps w:val="false"/>
        </w:rPr>
        <w:t> </w:t>
      </w:r>
    </w:p>
    <w:p>
      <w:pPr>
        <w:pStyle w:val="TextBody"/>
        <w:bidi w:val="0"/>
        <w:spacing w:before="0" w:after="0"/>
        <w:ind w:left="140" w:right="197"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    </w:t>
      </w:r>
      <w:r>
        <w:rPr>
          <w:rFonts w:ascii="Times New Roman;Times;Serif" w:hAnsi="Times New Roman;Times;Serif"/>
          <w:b/>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Borrower hereby represents and warrants to the Lenders and the Agent as follows:</w:t>
      </w:r>
    </w:p>
    <w:p>
      <w:pPr>
        <w:pStyle w:val="TextBody"/>
        <w:bidi w:val="0"/>
        <w:spacing w:before="0" w:after="0"/>
        <w:ind w:left="140" w:right="197" w:firstLine="720"/>
        <w:jc w:val="both"/>
        <w:rPr>
          <w:caps w:val="false"/>
          <w:smallCaps w:val="false"/>
        </w:rPr>
      </w:pPr>
      <w:r>
        <w:rPr>
          <w:caps w:val="false"/>
          <w:smallCaps w:val="false"/>
        </w:rPr>
        <w:t> </w:t>
      </w:r>
    </w:p>
    <w:p>
      <w:pPr>
        <w:pStyle w:val="TextBody"/>
        <w:bidi w:val="0"/>
        <w:spacing w:before="0" w:after="0"/>
        <w:ind w:left="140" w:right="132"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No Default</w:t>
      </w:r>
      <w:r>
        <w:rPr>
          <w:rFonts w:ascii="Times New Roman;Times;Serif" w:hAnsi="Times New Roman;Times;Serif"/>
          <w:b w:val="false"/>
          <w:i w:val="false"/>
          <w:caps w:val="false"/>
          <w:smallCaps w:val="false"/>
          <w:sz w:val="20"/>
        </w:rPr>
        <w:t>. At and as of the date of this Amendment and after giving effect to this Amendment, (a) no Default has occurred and is continuing (to the knowledge of any Responsible Officer of the Borrower) and (b) no Event of Default has occurred and is continuing.</w:t>
      </w:r>
    </w:p>
    <w:p>
      <w:pPr>
        <w:pStyle w:val="TextBody"/>
        <w:bidi w:val="0"/>
        <w:spacing w:before="0" w:after="0"/>
        <w:ind w:left="140" w:right="132" w:firstLine="1440"/>
        <w:jc w:val="both"/>
        <w:rPr>
          <w:caps w:val="false"/>
          <w:smallCaps w:val="false"/>
        </w:rPr>
      </w:pPr>
      <w:r>
        <w:rPr>
          <w:caps w:val="false"/>
          <w:smallCaps w:val="false"/>
        </w:rPr>
        <w:t> </w:t>
      </w:r>
    </w:p>
    <w:p>
      <w:pPr>
        <w:pStyle w:val="TextBody"/>
        <w:bidi w:val="0"/>
        <w:spacing w:before="0" w:after="0"/>
        <w:ind w:left="140" w:right="196"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Representations and Warranties True and Correct</w:t>
      </w:r>
      <w:r>
        <w:rPr>
          <w:rFonts w:ascii="Times New Roman;Times;Serif" w:hAnsi="Times New Roman;Times;Serif"/>
          <w:b w:val="false"/>
          <w:i w:val="false"/>
          <w:caps w:val="false"/>
          <w:smallCaps w:val="false"/>
          <w:sz w:val="20"/>
        </w:rPr>
        <w:t>. At and as of the date of this Amendment and after giving effect to this Amendment, each of the representations and warranties made by any Credit Party in or pursuant to the Loan Documents (as amended</w:t>
      </w:r>
    </w:p>
    <w:p>
      <w:pPr>
        <w:pStyle w:val="TextBody"/>
        <w:bidi w:val="0"/>
        <w:spacing w:before="0" w:after="0"/>
        <w:ind w:left="140" w:right="196" w:firstLine="144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20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hereby) are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except to the extent such representations and warranties specifically relate to an earlier date, in which case such representations and warranties are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w:t>
      </w:r>
    </w:p>
    <w:p>
      <w:pPr>
        <w:pStyle w:val="TextBody"/>
        <w:bidi w:val="0"/>
        <w:spacing w:before="0" w:after="0"/>
        <w:ind w:left="140" w:right="202" w:hanging="0"/>
        <w:jc w:val="both"/>
        <w:rPr>
          <w:caps w:val="false"/>
          <w:smallCaps w:val="false"/>
        </w:rPr>
      </w:pPr>
      <w:r>
        <w:rPr>
          <w:caps w:val="false"/>
          <w:smallCaps w:val="false"/>
        </w:rPr>
        <w:t> </w:t>
      </w:r>
    </w:p>
    <w:p>
      <w:pPr>
        <w:pStyle w:val="TextBody"/>
        <w:bidi w:val="0"/>
        <w:spacing w:before="0" w:after="0"/>
        <w:ind w:left="140" w:right="192"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Due Authorization</w:t>
      </w:r>
      <w:r>
        <w:rPr>
          <w:rFonts w:ascii="Times New Roman;Times;Serif" w:hAnsi="Times New Roman;Times;Serif"/>
          <w:b w:val="false"/>
          <w:i w:val="false"/>
          <w:caps w:val="false"/>
          <w:smallCaps w:val="false"/>
          <w:sz w:val="20"/>
        </w:rPr>
        <w:t>. The execution, delivery and performance of this Amendment and the Credit Agreement (as amended hereby) (i) are within the Borrower's corporate power, (ii) have been duly authorized by all necessary action, and (iii) are not in contravention of any Requirement of Law applicable to the Borrower or the terms of the Borrower's organizational documents.</w:t>
      </w:r>
    </w:p>
    <w:p>
      <w:pPr>
        <w:pStyle w:val="TextBody"/>
        <w:bidi w:val="0"/>
        <w:spacing w:before="0" w:after="0"/>
        <w:ind w:left="140" w:right="192" w:firstLine="1440"/>
        <w:jc w:val="both"/>
        <w:rPr>
          <w:caps w:val="false"/>
          <w:smallCaps w:val="false"/>
        </w:rPr>
      </w:pPr>
      <w:r>
        <w:rPr>
          <w:caps w:val="false"/>
          <w:smallCaps w:val="false"/>
        </w:rPr>
        <w:t> </w:t>
      </w:r>
    </w:p>
    <w:p>
      <w:pPr>
        <w:pStyle w:val="TextBody"/>
        <w:bidi w:val="0"/>
        <w:spacing w:before="0" w:after="0"/>
        <w:ind w:left="140" w:right="196"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Enforceability of Agreement and Loan Documents.</w:t>
      </w:r>
      <w:r>
        <w:rPr>
          <w:rFonts w:ascii="Times New Roman;Times;Serif" w:hAnsi="Times New Roman;Times;Serif"/>
          <w:b w:val="false"/>
          <w:i w:val="false"/>
          <w:caps w:val="false"/>
          <w:smallCaps w:val="false"/>
          <w:sz w:val="20"/>
        </w:rPr>
        <w:t xml:space="preserve"> This Amendment has been duly executed and delivered by the Borrower's duly authorized officers. This Amendment and the Credit Agreement (as amended hereby) constitute the valid and binding obligations of the Borrower, enforceable against the Borrower in accordance with their respective terms, except as enforcement thereof may be limited by applicable bankruptcy, reorganization, insolvency, fraudulent conveyance, moratorium or similar laws affecting the enforcement of creditor’s rights, generally and by general principles of equity (regardless of whether enforcement is considered in a proceeding in law or equity).</w:t>
      </w:r>
    </w:p>
    <w:p>
      <w:pPr>
        <w:pStyle w:val="TextBody"/>
        <w:bidi w:val="0"/>
        <w:spacing w:before="0" w:after="0"/>
        <w:ind w:left="140" w:right="196" w:firstLine="1440"/>
        <w:jc w:val="both"/>
        <w:rPr>
          <w:caps w:val="false"/>
          <w:smallCaps w:val="false"/>
        </w:rPr>
      </w:pPr>
      <w:r>
        <w:rPr>
          <w:caps w:val="false"/>
          <w:smallCaps w:val="false"/>
        </w:rPr>
        <w:t> </w:t>
      </w:r>
    </w:p>
    <w:p>
      <w:pPr>
        <w:pStyle w:val="TextBody"/>
        <w:bidi w:val="0"/>
        <w:spacing w:before="0" w:after="0"/>
        <w:ind w:left="140" w:right="189"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Consents, Approvals and Filings, Etc.</w:t>
      </w:r>
      <w:r>
        <w:rPr>
          <w:rFonts w:ascii="Times New Roman;Times;Serif" w:hAnsi="Times New Roman;Times;Serif"/>
          <w:b w:val="false"/>
          <w:i w:val="false"/>
          <w:caps w:val="false"/>
          <w:smallCaps w:val="false"/>
          <w:sz w:val="20"/>
        </w:rPr>
        <w:t xml:space="preserve"> No authorization, consent, approval, license, qualification or formal exemption from, nor any filing, declaration or registration with, any court, governmental agency or regulatory authority or any securities exchange or any other Person (whether or not governmental) is required in connection with (i) the execution and delivery of this Amendment and (ii) performance by the Borrower of this Amendment and the Credit Agreement (as amended hereby), in each case, except for such matters which have been previously obtained.</w:t>
      </w:r>
    </w:p>
    <w:p>
      <w:pPr>
        <w:pStyle w:val="TextBody"/>
        <w:bidi w:val="0"/>
        <w:spacing w:before="0" w:after="0"/>
        <w:ind w:left="140" w:right="189" w:firstLine="1440"/>
        <w:jc w:val="both"/>
        <w:rPr>
          <w:caps w:val="false"/>
          <w:smallCaps w:val="false"/>
        </w:rPr>
      </w:pPr>
      <w:r>
        <w:rPr>
          <w:caps w:val="false"/>
          <w:smallCaps w:val="false"/>
        </w:rPr>
        <w:t> </w:t>
      </w:r>
    </w:p>
    <w:p>
      <w:pPr>
        <w:pStyle w:val="TextBody"/>
        <w:bidi w:val="0"/>
        <w:spacing w:before="0" w:after="0"/>
        <w:ind w:left="140" w:right="202"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   </w:t>
      </w:r>
      <w:r>
        <w:rPr>
          <w:rFonts w:ascii="Times New Roman;Times;Serif" w:hAnsi="Times New Roman;Times;Serif"/>
          <w:b/>
          <w:i w:val="false"/>
          <w:caps w:val="false"/>
          <w:smallCaps w:val="false"/>
          <w:sz w:val="20"/>
          <w:u w:val="single"/>
        </w:rPr>
        <w:t>Effectiveness</w:t>
      </w:r>
      <w:r>
        <w:rPr>
          <w:rFonts w:ascii="Times New Roman;Times;Serif" w:hAnsi="Times New Roman;Times;Serif"/>
          <w:b w:val="false"/>
          <w:i w:val="false"/>
          <w:caps w:val="false"/>
          <w:smallCaps w:val="false"/>
          <w:sz w:val="20"/>
        </w:rPr>
        <w:t>. This Amendment shall become effective and be deemed effective as of the date when, and only when, all of the following conditions have been satisfied as determined in the Agent's and the Lenders' reasonable discretion (the date of such effectiveness being herein called the "</w:t>
      </w:r>
      <w:r>
        <w:rPr>
          <w:rFonts w:ascii="Times New Roman;Times;Serif" w:hAnsi="Times New Roman;Times;Serif"/>
          <w:b/>
          <w:i w:val="false"/>
          <w:caps w:val="false"/>
          <w:smallCaps w:val="false"/>
          <w:sz w:val="20"/>
        </w:rPr>
        <w:t>Amendment Effective Date</w:t>
      </w:r>
      <w:r>
        <w:rPr>
          <w:rFonts w:ascii="Times New Roman;Times;Serif" w:hAnsi="Times New Roman;Times;Serif"/>
          <w:b w:val="false"/>
          <w:i w:val="false"/>
          <w:caps w:val="false"/>
          <w:smallCaps w:val="false"/>
          <w:sz w:val="20"/>
        </w:rPr>
        <w:t>"):</w:t>
      </w:r>
    </w:p>
    <w:p>
      <w:pPr>
        <w:pStyle w:val="TextBody"/>
        <w:bidi w:val="0"/>
        <w:spacing w:before="0" w:after="0"/>
        <w:ind w:left="140" w:right="202" w:firstLine="720"/>
        <w:jc w:val="both"/>
        <w:rPr>
          <w:caps w:val="false"/>
          <w:smallCaps w:val="false"/>
        </w:rPr>
      </w:pPr>
      <w:r>
        <w:rPr>
          <w:caps w:val="false"/>
          <w:smallCaps w:val="false"/>
        </w:rPr>
        <w:t> </w:t>
      </w:r>
    </w:p>
    <w:p>
      <w:pPr>
        <w:pStyle w:val="TextBody"/>
        <w:bidi w:val="0"/>
        <w:spacing w:before="0" w:after="0"/>
        <w:ind w:left="140" w:right="187"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The Agent shall have received this Amendment, duly executed by the Agent, the Borrower and the Lenders.</w:t>
      </w:r>
    </w:p>
    <w:p>
      <w:pPr>
        <w:pStyle w:val="TextBody"/>
        <w:bidi w:val="0"/>
        <w:spacing w:before="0" w:after="0"/>
        <w:ind w:left="140" w:right="187" w:firstLine="1440"/>
        <w:jc w:val="both"/>
        <w:rPr>
          <w:caps w:val="false"/>
          <w:smallCaps w:val="false"/>
        </w:rPr>
      </w:pPr>
      <w:r>
        <w:rPr>
          <w:caps w:val="false"/>
          <w:smallCaps w:val="false"/>
        </w:rPr>
        <w:t> </w:t>
      </w:r>
    </w:p>
    <w:p>
      <w:pPr>
        <w:pStyle w:val="TextBody"/>
        <w:bidi w:val="0"/>
        <w:spacing w:before="0" w:after="0"/>
        <w:ind w:left="140" w:right="20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Closing Certificate</w:t>
      </w:r>
      <w:r>
        <w:rPr>
          <w:rFonts w:ascii="Times New Roman;Times;Serif" w:hAnsi="Times New Roman;Times;Serif"/>
          <w:b w:val="false"/>
          <w:i w:val="false"/>
          <w:caps w:val="false"/>
          <w:smallCaps w:val="false"/>
          <w:sz w:val="20"/>
        </w:rPr>
        <w:t>. The Agent shall have received a certificate of a Responsible Officer of the Borrower dated the Amendment Effective Date, stating that to the best of his or her respective knowledge after due inquiry, the conditions set forth in Section 3.03 hereof have been satisfied.</w:t>
      </w:r>
    </w:p>
    <w:p>
      <w:pPr>
        <w:pStyle w:val="TextBody"/>
        <w:bidi w:val="0"/>
        <w:spacing w:before="0" w:after="0"/>
        <w:ind w:left="140" w:right="20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9" w:right="194"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3.03   Representations and Warranties; No Event of Default</w:t>
      </w:r>
      <w:r>
        <w:rPr>
          <w:rFonts w:ascii="Times New Roman;Times;Serif" w:hAnsi="Times New Roman;Times;Serif"/>
          <w:b w:val="false"/>
          <w:i w:val="false"/>
          <w:caps w:val="false"/>
          <w:smallCaps w:val="false"/>
          <w:sz w:val="20"/>
        </w:rPr>
        <w:t>. At and as of the date of this Amendment, both before and after giving effect to this Amendment, each of the representations and warranties made by any Credit Party herein or in or pursuant to any other Loan Document (as amended hereby)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 At and as of the date of this Amendment and after giving effect to this Amendment, no Default or Event of Default shall have occurred and be continuing.</w:t>
      </w:r>
    </w:p>
    <w:p>
      <w:pPr>
        <w:pStyle w:val="TextBody"/>
        <w:bidi w:val="0"/>
        <w:spacing w:before="0" w:after="0"/>
        <w:ind w:left="139" w:right="194" w:firstLine="1440"/>
        <w:jc w:val="both"/>
        <w:rPr>
          <w:caps w:val="false"/>
          <w:smallCaps w:val="false"/>
        </w:rPr>
      </w:pPr>
      <w:r>
        <w:rPr>
          <w:caps w:val="false"/>
          <w:smallCaps w:val="false"/>
        </w:rPr>
        <w:t> </w:t>
      </w:r>
    </w:p>
    <w:p>
      <w:pPr>
        <w:pStyle w:val="TextBody"/>
        <w:bidi w:val="0"/>
        <w:spacing w:before="0" w:after="0"/>
        <w:ind w:left="8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   </w:t>
      </w:r>
      <w:r>
        <w:rPr>
          <w:rFonts w:ascii="Times New Roman;Times;Serif" w:hAnsi="Times New Roman;Times;Serif"/>
          <w:b/>
          <w:i w:val="false"/>
          <w:caps w:val="false"/>
          <w:smallCaps w:val="false"/>
          <w:sz w:val="20"/>
          <w:u w:val="single"/>
        </w:rPr>
        <w:t>Release</w:t>
      </w:r>
      <w:r>
        <w:rPr>
          <w:rFonts w:ascii="Times New Roman;Times;Serif" w:hAnsi="Times New Roman;Times;Serif"/>
          <w:b w:val="false"/>
          <w:i w:val="false"/>
          <w:caps w:val="false"/>
          <w:smallCaps w:val="false"/>
          <w:sz w:val="20"/>
        </w:rPr>
        <w:t>. Each Credit Party hereby acknowledges and agrees that:</w:t>
      </w:r>
    </w:p>
    <w:p>
      <w:pPr>
        <w:pStyle w:val="TextBody"/>
        <w:bidi w:val="0"/>
        <w:spacing w:before="0" w:after="0"/>
        <w:ind w:left="140" w:right="159"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it nor any of its Subsidiaries has any claim or cause of action against the Agent or any Lender (or any of their respective Affiliates, officers, directors, employees, attorneys, consultants or agents in their capacities for the Agent or any Lender) in connection with the Loan Documents and (ii) the Agent and each Lender has heretofore properly performed and satisfied in a timely manner all of its obligations to the Credit Parties and their Subsidiaries under the Credit Agreement and the other Loan Documents that are required to have been performed on or prior to the date hereof. Notwithstanding the foregoing, the Agent and the Lenders wish (and the Credit Parties agree) to eliminate any possibility that any past conditions, acts, omissions, events or circumstances would impair or otherwise adversely affect any of the Agent's and the Lenders' rights, interests, security and/or remedies under the Credit Agreement and the other Loan Documents. Accordingly, for and in consideration of the agreements contained in this Amendment and other good and valuable consideration, each Credit Party (for itself and its Subsidiaries and the successors, assigns, heirs and representatives of each of the foregoing) (collectively, the "</w:t>
      </w:r>
      <w:r>
        <w:rPr>
          <w:rFonts w:ascii="Times New Roman;Times;Serif" w:hAnsi="Times New Roman;Times;Serif"/>
          <w:b/>
          <w:i w:val="false"/>
          <w:caps w:val="false"/>
          <w:smallCaps w:val="false"/>
          <w:sz w:val="20"/>
        </w:rPr>
        <w:t>Releasors</w:t>
      </w:r>
      <w:r>
        <w:rPr>
          <w:rFonts w:ascii="Times New Roman;Times;Serif" w:hAnsi="Times New Roman;Times;Serif"/>
          <w:b w:val="false"/>
          <w:i w:val="false"/>
          <w:caps w:val="false"/>
          <w:smallCaps w:val="false"/>
          <w:sz w:val="20"/>
        </w:rPr>
        <w:t>") does hereby fully, finally, unconditionally and irrevocably release and forever discharge the Agent, each Lender and each of their respective Affiliates, officers, directors, employees, attorneys, consultants and agents in their capacities as the Agent or any Lender (collectively, the "</w:t>
      </w:r>
      <w:r>
        <w:rPr>
          <w:rFonts w:ascii="Times New Roman;Times;Serif" w:hAnsi="Times New Roman;Times;Serif"/>
          <w:b/>
          <w:i w:val="false"/>
          <w:caps w:val="false"/>
          <w:smallCaps w:val="false"/>
          <w:sz w:val="20"/>
        </w:rPr>
        <w:t>Released Parties</w:t>
      </w:r>
      <w:r>
        <w:rPr>
          <w:rFonts w:ascii="Times New Roman;Times;Serif" w:hAnsi="Times New Roman;Times;Serif"/>
          <w:b w:val="false"/>
          <w:i w:val="false"/>
          <w:caps w:val="false"/>
          <w:smallCaps w:val="false"/>
          <w:sz w:val="20"/>
        </w:rPr>
        <w:t>") from any and all debts, claims, obligations, damages, costs, attorneys' fees, suits, demands, liabilities, actions, proceedings and causes of action, in each case, whether known or unknown, contingent or fixed, direct or indirect, and of whatever nature or description, and whether in law or in equity, under contract, tort, statute or otherwise, which any Releasor has heretofore had or now or hereafter can, shall or may have against any Released Party by reason of any act, omission or thing whatsoever done or omitted to be done on or prior to the Amendment Effective Date arising out of, connected with or related in any way to this Amendment, the Credit Agreement or any other Loan Document, or any act, event or transaction related or attendant thereto, or the agreements of the Agent or any Lender contained therein, or the possession, use, operation or control of any of the assets of any Credit Party, or the making of any Loans or other advances, or the management of such Loans or advances or the Collateral prior to the Amendment Effective Date.</w:t>
      </w:r>
    </w:p>
    <w:p>
      <w:pPr>
        <w:pStyle w:val="TextBody"/>
        <w:bidi w:val="0"/>
        <w:spacing w:before="0" w:after="0"/>
        <w:ind w:left="140" w:right="159"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   </w:t>
      </w:r>
      <w:r>
        <w:rPr>
          <w:rFonts w:ascii="Times New Roman;Times;Serif" w:hAnsi="Times New Roman;Times;Serif"/>
          <w:b/>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860" w:right="0" w:hanging="0"/>
        <w:jc w:val="left"/>
        <w:rPr>
          <w:caps w:val="false"/>
          <w:smallCaps w:val="false"/>
        </w:rPr>
      </w:pPr>
      <w:r>
        <w:rPr>
          <w:caps w:val="false"/>
          <w:smallCaps w:val="false"/>
        </w:rPr>
        <w:t> </w:t>
      </w:r>
    </w:p>
    <w:p>
      <w:pPr>
        <w:pStyle w:val="TextBody"/>
        <w:bidi w:val="0"/>
        <w:spacing w:before="0" w:after="0"/>
        <w:ind w:left="139" w:right="154"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Continuing Effect; No Waiver</w:t>
      </w:r>
      <w:r>
        <w:rPr>
          <w:rFonts w:ascii="Times New Roman;Times;Serif" w:hAnsi="Times New Roman;Times;Serif"/>
          <w:b w:val="false"/>
          <w:i w:val="false"/>
          <w:caps w:val="false"/>
          <w:smallCaps w:val="false"/>
          <w:sz w:val="20"/>
        </w:rPr>
        <w:t>. Except as otherwise expressly provided herein, the Credit Agreement and the other Loan Documents are, and shall continue to be, in full force and effect and are hereby ratified and confirmed in all respects, except that on and after the Amendment Effective Date, (i) all references in the Credit Agreement to "this Agreement", "hereto", "hereof", "hereunder" or words of like import referring to the Credit Agreement shall mean the Credit Agreement as modified by this Amendment, and (ii) all references in the other Loan Documents to the "Credit Agreement", "thereto", "thereof", "thereunder" or words of like import referring to the Credit Agreement shall mean the Credit Agreement as modified by this Amendment. To the extent that the Credit Agreement or any other Loan Document purports to pledge to the Agent, or to grant to the Agent, a security interest or lien, such pledge or grant is hereby ratified and confirmed in all respects. This Amendment does not and shall not affect any of the obligations of the Credit Parties, other than as expressly provided herein, including, without limitation, the Credit Parties' obligations to repay the Loans in accordance with the terms of Credit Agreement, or the obligations of the Credit Parties under any Loan Document to which they are a party, all of which obligations shall remain in full force and effect, and nothing herein contained shall be construed as a substitution or novation of the obligations outstanding under the Credit Agreement or instruments securing the same. Nothing expressed or implied in this Amendment shall be construed as a release or other discharge of any Credit Party under the Credit Agreement, as amended hereby, or the other Loan Documents from any  of  its obligations and liabilities as a "Borrower" or "Credit Party" thereunder. Except as expressly provided herein, the execution, delivery and effectiveness of this Amendment shall not operate as a waiver of any right, power or remedy of the Agent and the Lenders under the Credit Agreement or any other Loan Document, nor constitute a waiver of any provision of the Credit Agreement or any other Loan Document.</w:t>
      </w:r>
    </w:p>
    <w:p>
      <w:pPr>
        <w:pStyle w:val="TextBody"/>
        <w:bidi w:val="0"/>
        <w:spacing w:before="0" w:after="0"/>
        <w:ind w:left="139" w:right="154" w:firstLine="1440"/>
        <w:jc w:val="left"/>
        <w:rPr>
          <w:caps w:val="false"/>
          <w:smallCaps w:val="false"/>
        </w:rPr>
      </w:pPr>
      <w:r>
        <w:rPr>
          <w:caps w:val="false"/>
          <w:smallCaps w:val="false"/>
        </w:rPr>
        <w:t> </w:t>
      </w:r>
    </w:p>
    <w:p>
      <w:pPr>
        <w:pStyle w:val="TextBody"/>
        <w:bidi w:val="0"/>
        <w:spacing w:before="0" w:after="0"/>
        <w:ind w:left="140" w:right="192"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Loan Document</w:t>
      </w:r>
      <w:r>
        <w:rPr>
          <w:rFonts w:ascii="Times New Roman;Times;Serif" w:hAnsi="Times New Roman;Times;Serif"/>
          <w:b w:val="false"/>
          <w:i w:val="false"/>
          <w:caps w:val="false"/>
          <w:smallCaps w:val="false"/>
          <w:sz w:val="20"/>
        </w:rPr>
        <w:t>. This Amendment is a Loan Document under and as defined in the Credit Agreement.</w:t>
      </w:r>
    </w:p>
    <w:p>
      <w:pPr>
        <w:pStyle w:val="TextBody"/>
        <w:bidi w:val="0"/>
        <w:spacing w:before="0" w:after="0"/>
        <w:ind w:left="140" w:right="192" w:firstLine="1440"/>
        <w:jc w:val="left"/>
        <w:rPr>
          <w:caps w:val="false"/>
          <w:smallCaps w:val="false"/>
        </w:rPr>
      </w:pPr>
      <w:r>
        <w:rPr>
          <w:caps w:val="false"/>
          <w:smallCaps w:val="false"/>
        </w:rPr>
        <w:t> </w:t>
      </w:r>
    </w:p>
    <w:p>
      <w:pPr>
        <w:pStyle w:val="TextBody"/>
        <w:bidi w:val="0"/>
        <w:spacing w:before="0" w:after="0"/>
        <w:ind w:left="139" w:right="191"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Counterparts</w:t>
      </w:r>
      <w:r>
        <w:rPr>
          <w:rFonts w:ascii="Times New Roman;Times;Serif" w:hAnsi="Times New Roman;Times;Serif"/>
          <w:b w:val="false"/>
          <w:i w:val="false"/>
          <w:caps w:val="false"/>
          <w:smallCaps w:val="false"/>
          <w:sz w:val="20"/>
        </w:rPr>
        <w:t>. This Amendment may be executed in any number of counterparts and by different parties on separate counterparts, each of which, when executed and delivered, shall be deemed to be an original, and all of which, when taken together, shall constitute but one and the same Amendment. The words “execution,” “execute”, “signed,” “signature,” and words of like import in or related to any document to be signed in connection with this Amendment and the transactions contemplated hereby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Agent is under no obligation to agree to accept electronic signatures in any form or in any format unless expressly agreed to by the Agent pursuant to procedures approved by it.</w:t>
      </w:r>
    </w:p>
    <w:p>
      <w:pPr>
        <w:pStyle w:val="TextBody"/>
        <w:bidi w:val="0"/>
        <w:spacing w:before="0" w:after="0"/>
        <w:ind w:left="139" w:right="191"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48"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Headings</w:t>
      </w:r>
      <w:r>
        <w:rPr>
          <w:rFonts w:ascii="Times New Roman;Times;Serif" w:hAnsi="Times New Roman;Times;Serif"/>
          <w:b w:val="false"/>
          <w:i w:val="false"/>
          <w:caps w:val="false"/>
          <w:smallCaps w:val="false"/>
          <w:sz w:val="20"/>
        </w:rPr>
        <w:t>. Headings of the various subdivisions hereof are for convenience of reference only and shall in no way modify or affect any of the terms or provisions hereof.</w:t>
      </w:r>
    </w:p>
    <w:p>
      <w:pPr>
        <w:pStyle w:val="TextBody"/>
        <w:bidi w:val="0"/>
        <w:spacing w:before="0" w:after="0"/>
        <w:ind w:left="140" w:right="148" w:firstLine="1440"/>
        <w:jc w:val="both"/>
        <w:rPr>
          <w:caps w:val="false"/>
          <w:smallCaps w:val="false"/>
        </w:rPr>
      </w:pPr>
      <w:r>
        <w:rPr>
          <w:caps w:val="false"/>
          <w:smallCaps w:val="false"/>
        </w:rPr>
        <w:t> </w:t>
      </w:r>
    </w:p>
    <w:p>
      <w:pPr>
        <w:pStyle w:val="TextBody"/>
        <w:bidi w:val="0"/>
        <w:spacing w:before="0" w:after="0"/>
        <w:ind w:left="140" w:right="192"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Binding Effect; Assignment</w:t>
      </w:r>
      <w:r>
        <w:rPr>
          <w:rFonts w:ascii="Times New Roman;Times;Serif" w:hAnsi="Times New Roman;Times;Serif"/>
          <w:b w:val="false"/>
          <w:i w:val="false"/>
          <w:caps w:val="false"/>
          <w:smallCaps w:val="false"/>
          <w:sz w:val="20"/>
        </w:rPr>
        <w:t>. This Amendment shall be binding upon and inure to the benefit of the Credit Parties, the Agent and the Lenders and their respective successors and assigns in accordance with the terms of the Credit Agreement.</w:t>
      </w:r>
    </w:p>
    <w:p>
      <w:pPr>
        <w:pStyle w:val="TextBody"/>
        <w:bidi w:val="0"/>
        <w:spacing w:before="0" w:after="0"/>
        <w:ind w:left="140" w:right="192" w:firstLine="1440"/>
        <w:jc w:val="both"/>
        <w:rPr>
          <w:caps w:val="false"/>
          <w:smallCaps w:val="false"/>
        </w:rPr>
      </w:pPr>
      <w:r>
        <w:rPr>
          <w:caps w:val="false"/>
          <w:smallCaps w:val="false"/>
        </w:rPr>
        <w:t> </w:t>
      </w:r>
    </w:p>
    <w:p>
      <w:pPr>
        <w:pStyle w:val="TextBody"/>
        <w:bidi w:val="0"/>
        <w:spacing w:before="0" w:after="0"/>
        <w:ind w:left="140" w:right="152"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Any provision of this Amendment that is prohibited or unenforceable in any jurisdiction shall, as to such jurisdiction, be ineffective to the extent of such prohibition or unenforceability without invalidating the remaining portions hereof or affecting the validity or enforceability of such provision in any other jurisdiction.</w:t>
      </w:r>
    </w:p>
    <w:p>
      <w:pPr>
        <w:pStyle w:val="TextBody"/>
        <w:bidi w:val="0"/>
        <w:spacing w:before="0" w:after="0"/>
        <w:ind w:left="140" w:right="152" w:firstLine="1440"/>
        <w:jc w:val="both"/>
        <w:rPr>
          <w:caps w:val="false"/>
          <w:smallCaps w:val="false"/>
        </w:rPr>
      </w:pPr>
      <w:r>
        <w:rPr>
          <w:caps w:val="false"/>
          <w:smallCaps w:val="false"/>
        </w:rPr>
        <w:t> </w:t>
      </w:r>
    </w:p>
    <w:p>
      <w:pPr>
        <w:pStyle w:val="TextBody"/>
        <w:bidi w:val="0"/>
        <w:spacing w:before="0" w:after="0"/>
        <w:ind w:left="140" w:right="194"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Costs and Expenses</w:t>
      </w:r>
      <w:r>
        <w:rPr>
          <w:rFonts w:ascii="Times New Roman;Times;Serif" w:hAnsi="Times New Roman;Times;Serif"/>
          <w:b w:val="false"/>
          <w:i w:val="false"/>
          <w:caps w:val="false"/>
          <w:smallCaps w:val="false"/>
          <w:sz w:val="20"/>
        </w:rPr>
        <w:t>. The Borrower agrees to pay on demand all reasonable and documented costs and expenses of the Agent in connection with the preparation, execution and delivery of this Amendment.</w:t>
      </w:r>
    </w:p>
    <w:p>
      <w:pPr>
        <w:pStyle w:val="TextBody"/>
        <w:bidi w:val="0"/>
        <w:spacing w:before="0" w:after="0"/>
        <w:ind w:left="140" w:right="194" w:firstLine="1440"/>
        <w:jc w:val="both"/>
        <w:rPr>
          <w:caps w:val="false"/>
          <w:smallCaps w:val="false"/>
        </w:rPr>
      </w:pPr>
      <w:r>
        <w:rPr>
          <w:caps w:val="false"/>
          <w:smallCaps w:val="false"/>
        </w:rPr>
        <w:t> </w:t>
      </w:r>
    </w:p>
    <w:p>
      <w:pPr>
        <w:pStyle w:val="TextBody"/>
        <w:bidi w:val="0"/>
        <w:spacing w:before="0" w:after="0"/>
        <w:ind w:left="139" w:right="199"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Consent to Jurisdiction; Governing Law; Waiver of Jury Trial</w:t>
      </w:r>
      <w:r>
        <w:rPr>
          <w:rFonts w:ascii="Times New Roman;Times;Serif" w:hAnsi="Times New Roman;Times;Serif"/>
          <w:b w:val="false"/>
          <w:i w:val="false"/>
          <w:caps w:val="false"/>
          <w:smallCaps w:val="false"/>
          <w:sz w:val="20"/>
        </w:rPr>
        <w:t xml:space="preserve">. Sections 12.2, 12.3 and 12.13 of the Credit Agreement are incorporated herein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139" w:right="199" w:firstLine="1440"/>
        <w:jc w:val="both"/>
        <w:rPr>
          <w:caps w:val="false"/>
          <w:smallCaps w:val="false"/>
        </w:rPr>
      </w:pPr>
      <w:r>
        <w:rPr>
          <w:caps w:val="false"/>
          <w:smallCaps w:val="false"/>
        </w:rPr>
        <w:t> </w:t>
      </w:r>
    </w:p>
    <w:p>
      <w:pPr>
        <w:pStyle w:val="TextBody"/>
        <w:bidi w:val="0"/>
        <w:spacing w:before="0" w:after="0"/>
        <w:ind w:left="1500" w:right="1432"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1500" w:right="1432"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Amendment to be executed by their respective officers thereunto duly authorized, as of the date first above written.</w:t>
      </w:r>
    </w:p>
    <w:p>
      <w:pPr>
        <w:pStyle w:val="TextBody"/>
        <w:bidi w:val="0"/>
        <w:spacing w:before="0" w:after="0"/>
        <w:ind w:left="140" w:right="0" w:firstLine="1440"/>
        <w:jc w:val="left"/>
        <w:rPr>
          <w:caps w:val="false"/>
          <w:smallCaps w:val="false"/>
        </w:rPr>
      </w:pPr>
      <w:r>
        <w:rPr>
          <w:caps w:val="false"/>
          <w:smallCaps w:val="false"/>
        </w:rPr>
        <w:t> </w:t>
      </w:r>
    </w:p>
    <w:tbl>
      <w:tblPr>
        <w:tblW w:w="3799" w:type="dxa"/>
        <w:jc w:val="left"/>
        <w:tblInd w:w="0" w:type="dxa"/>
        <w:tblLayout w:type="fixed"/>
        <w:tblCellMar>
          <w:top w:w="60" w:type="dxa"/>
          <w:left w:w="60" w:type="dxa"/>
          <w:bottom w:w="60" w:type="dxa"/>
          <w:right w:w="60" w:type="dxa"/>
        </w:tblCellMar>
      </w:tblPr>
      <w:tblGrid>
        <w:gridCol w:w="195"/>
        <w:gridCol w:w="894"/>
        <w:gridCol w:w="2710"/>
      </w:tblGrid>
      <w:tr>
        <w:trPr/>
        <w:tc>
          <w:tcPr>
            <w:tcW w:w="195" w:type="dxa"/>
            <w:tcBorders/>
            <w:vAlign w:val="center"/>
          </w:tcPr>
          <w:p>
            <w:pPr>
              <w:pStyle w:val="TableContents"/>
              <w:bidi w:val="0"/>
              <w:spacing w:before="0" w:after="283"/>
              <w:jc w:val="left"/>
              <w:rPr/>
            </w:pPr>
            <w:r>
              <w:rPr/>
              <w:t> </w:t>
            </w:r>
          </w:p>
        </w:tc>
        <w:tc>
          <w:tcPr>
            <w:tcW w:w="3604" w:type="dxa"/>
            <w:gridSpan w:val="2"/>
            <w:tcBorders/>
            <w:vAlign w:val="center"/>
          </w:tcPr>
          <w:p>
            <w:pPr>
              <w:pStyle w:val="TableContents"/>
              <w:bidi w:val="0"/>
              <w:spacing w:before="0" w:after="283"/>
              <w:jc w:val="left"/>
              <w:rPr>
                <w:sz w:val="20"/>
              </w:rPr>
            </w:pPr>
            <w:r>
              <w:rPr>
                <w:b/>
                <w:sz w:val="20"/>
              </w:rPr>
              <w:t xml:space="preserve">RENT THE RUNWAY, INC., </w:t>
            </w:r>
            <w:r>
              <w:rPr>
                <w:sz w:val="20"/>
              </w:rPr>
              <w:t>as Borrower</w:t>
            </w:r>
          </w:p>
        </w:tc>
      </w:tr>
      <w:tr>
        <w:trPr/>
        <w:tc>
          <w:tcPr>
            <w:tcW w:w="195" w:type="dxa"/>
            <w:tcBorders/>
            <w:vAlign w:val="center"/>
          </w:tcPr>
          <w:p>
            <w:pPr>
              <w:pStyle w:val="TableContents"/>
              <w:bidi w:val="0"/>
              <w:spacing w:before="0" w:after="283"/>
              <w:jc w:val="left"/>
              <w:rPr/>
            </w:pPr>
            <w:r>
              <w:rPr/>
              <w:t> </w:t>
            </w:r>
          </w:p>
        </w:tc>
        <w:tc>
          <w:tcPr>
            <w:tcW w:w="3604" w:type="dxa"/>
            <w:gridSpan w:val="2"/>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left"/>
              <w:rPr>
                <w:sz w:val="20"/>
              </w:rPr>
            </w:pPr>
            <w:r>
              <w:rPr>
                <w:sz w:val="20"/>
              </w:rPr>
              <w:t>By:</w:t>
            </w:r>
          </w:p>
        </w:tc>
        <w:tc>
          <w:tcPr>
            <w:tcW w:w="271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sz w:val="20"/>
              </w:rPr>
            </w:pPr>
            <w:r>
              <w:rPr>
                <w:sz w:val="20"/>
              </w:rPr>
              <w:t xml:space="preserve">/s/ Siddharth Thacker </w:t>
            </w:r>
          </w:p>
        </w:tc>
      </w:tr>
      <w:tr>
        <w:trPr/>
        <w:tc>
          <w:tcPr>
            <w:tcW w:w="195"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left"/>
              <w:rPr>
                <w:sz w:val="20"/>
              </w:rPr>
            </w:pPr>
            <w:r>
              <w:rPr>
                <w:sz w:val="20"/>
              </w:rPr>
              <w:t>Name:</w:t>
            </w:r>
          </w:p>
        </w:tc>
        <w:tc>
          <w:tcPr>
            <w:tcW w:w="271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sz w:val="20"/>
              </w:rPr>
            </w:pPr>
            <w:r>
              <w:rPr>
                <w:sz w:val="20"/>
              </w:rPr>
              <w:t xml:space="preserve">Siddharth Thacker </w:t>
            </w:r>
          </w:p>
        </w:tc>
      </w:tr>
      <w:tr>
        <w:trPr/>
        <w:tc>
          <w:tcPr>
            <w:tcW w:w="195"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left"/>
              <w:rPr>
                <w:sz w:val="20"/>
              </w:rPr>
            </w:pPr>
            <w:r>
              <w:rPr>
                <w:sz w:val="20"/>
              </w:rPr>
              <w:t>Title:</w:t>
            </w:r>
          </w:p>
        </w:tc>
        <w:tc>
          <w:tcPr>
            <w:tcW w:w="271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sz w:val="20"/>
              </w:rPr>
            </w:pPr>
            <w:r>
              <w:rPr>
                <w:sz w:val="20"/>
              </w:rPr>
              <w:t>Chief Financial Officer</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First Amendment to Amended and Restated Credit Agreement]</w:t>
      </w:r>
    </w:p>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4804" w:type="dxa"/>
        <w:jc w:val="left"/>
        <w:tblInd w:w="0" w:type="dxa"/>
        <w:tblLayout w:type="fixed"/>
        <w:tblCellMar>
          <w:top w:w="60" w:type="dxa"/>
          <w:left w:w="60" w:type="dxa"/>
          <w:bottom w:w="60" w:type="dxa"/>
          <w:right w:w="60" w:type="dxa"/>
        </w:tblCellMar>
      </w:tblPr>
      <w:tblGrid>
        <w:gridCol w:w="195"/>
        <w:gridCol w:w="1071"/>
        <w:gridCol w:w="3538"/>
      </w:tblGrid>
      <w:tr>
        <w:trPr/>
        <w:tc>
          <w:tcPr>
            <w:tcW w:w="195" w:type="dxa"/>
            <w:tcBorders/>
            <w:vAlign w:val="center"/>
          </w:tcPr>
          <w:p>
            <w:pPr>
              <w:pStyle w:val="TableContents"/>
              <w:bidi w:val="0"/>
              <w:spacing w:before="0" w:after="283"/>
              <w:jc w:val="left"/>
              <w:rPr/>
            </w:pPr>
            <w:r>
              <w:rPr/>
              <w:t> </w:t>
            </w:r>
          </w:p>
        </w:tc>
        <w:tc>
          <w:tcPr>
            <w:tcW w:w="4609" w:type="dxa"/>
            <w:gridSpan w:val="2"/>
            <w:tcBorders/>
            <w:vAlign w:val="center"/>
          </w:tcPr>
          <w:p>
            <w:pPr>
              <w:pStyle w:val="TableContents"/>
              <w:bidi w:val="0"/>
              <w:spacing w:before="0" w:after="283"/>
              <w:jc w:val="left"/>
              <w:rPr/>
            </w:pPr>
            <w:r>
              <w:rPr>
                <w:b/>
              </w:rPr>
              <w:t>CHS (US) MANAGEMENT LLC</w:t>
            </w:r>
            <w:r>
              <w:rPr/>
              <w:t>, as Agent</w:t>
            </w:r>
          </w:p>
        </w:tc>
      </w:tr>
      <w:tr>
        <w:trPr/>
        <w:tc>
          <w:tcPr>
            <w:tcW w:w="195" w:type="dxa"/>
            <w:tcBorders/>
            <w:vAlign w:val="center"/>
          </w:tcPr>
          <w:p>
            <w:pPr>
              <w:pStyle w:val="TableContents"/>
              <w:bidi w:val="0"/>
              <w:spacing w:before="0" w:after="283"/>
              <w:jc w:val="left"/>
              <w:rPr/>
            </w:pPr>
            <w:r>
              <w:rPr/>
              <w:t> </w:t>
            </w:r>
          </w:p>
        </w:tc>
        <w:tc>
          <w:tcPr>
            <w:tcW w:w="4609" w:type="dxa"/>
            <w:gridSpan w:val="2"/>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1071" w:type="dxa"/>
            <w:tcBorders/>
            <w:vAlign w:val="center"/>
          </w:tcPr>
          <w:p>
            <w:pPr>
              <w:pStyle w:val="TableContents"/>
              <w:bidi w:val="0"/>
              <w:spacing w:before="0" w:after="283"/>
              <w:jc w:val="left"/>
              <w:rPr>
                <w:sz w:val="20"/>
              </w:rPr>
            </w:pPr>
            <w:r>
              <w:rPr>
                <w:sz w:val="20"/>
              </w:rPr>
              <w:t>By:</w:t>
            </w:r>
          </w:p>
        </w:tc>
        <w:tc>
          <w:tcPr>
            <w:tcW w:w="3538"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sz w:val="20"/>
              </w:rPr>
            </w:pPr>
            <w:r>
              <w:rPr>
                <w:sz w:val="20"/>
              </w:rPr>
              <w:t>/s/ David Zhang</w:t>
            </w:r>
          </w:p>
        </w:tc>
      </w:tr>
      <w:tr>
        <w:trPr/>
        <w:tc>
          <w:tcPr>
            <w:tcW w:w="195" w:type="dxa"/>
            <w:tcBorders/>
            <w:vAlign w:val="center"/>
          </w:tcPr>
          <w:p>
            <w:pPr>
              <w:pStyle w:val="TableContents"/>
              <w:bidi w:val="0"/>
              <w:spacing w:before="0" w:after="283"/>
              <w:jc w:val="left"/>
              <w:rPr/>
            </w:pPr>
            <w:r>
              <w:rPr/>
              <w:t> </w:t>
            </w:r>
          </w:p>
        </w:tc>
        <w:tc>
          <w:tcPr>
            <w:tcW w:w="1071" w:type="dxa"/>
            <w:tcBorders/>
            <w:vAlign w:val="center"/>
          </w:tcPr>
          <w:p>
            <w:pPr>
              <w:pStyle w:val="TableContents"/>
              <w:bidi w:val="0"/>
              <w:spacing w:before="0" w:after="283"/>
              <w:jc w:val="left"/>
              <w:rPr>
                <w:sz w:val="20"/>
              </w:rPr>
            </w:pPr>
            <w:r>
              <w:rPr>
                <w:sz w:val="20"/>
              </w:rPr>
              <w:t>Name:</w:t>
            </w:r>
          </w:p>
        </w:tc>
        <w:tc>
          <w:tcPr>
            <w:tcW w:w="3538"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David Zhang</w:t>
            </w:r>
          </w:p>
        </w:tc>
      </w:tr>
      <w:tr>
        <w:trPr/>
        <w:tc>
          <w:tcPr>
            <w:tcW w:w="195" w:type="dxa"/>
            <w:tcBorders/>
            <w:vAlign w:val="center"/>
          </w:tcPr>
          <w:p>
            <w:pPr>
              <w:pStyle w:val="TableContents"/>
              <w:bidi w:val="0"/>
              <w:spacing w:before="0" w:after="283"/>
              <w:jc w:val="left"/>
              <w:rPr/>
            </w:pPr>
            <w:r>
              <w:rPr/>
              <w:t> </w:t>
            </w:r>
          </w:p>
        </w:tc>
        <w:tc>
          <w:tcPr>
            <w:tcW w:w="1071" w:type="dxa"/>
            <w:tcBorders/>
            <w:vAlign w:val="center"/>
          </w:tcPr>
          <w:p>
            <w:pPr>
              <w:pStyle w:val="TableContents"/>
              <w:bidi w:val="0"/>
              <w:spacing w:before="0" w:after="283"/>
              <w:jc w:val="left"/>
              <w:rPr>
                <w:sz w:val="20"/>
              </w:rPr>
            </w:pPr>
            <w:r>
              <w:rPr>
                <w:sz w:val="20"/>
              </w:rPr>
              <w:t>Title:</w:t>
            </w:r>
          </w:p>
        </w:tc>
        <w:tc>
          <w:tcPr>
            <w:tcW w:w="3538"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Authorized Signatory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First Amendment to Amended and Restated Credit Agreement]</w:t>
      </w:r>
    </w:p>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4849" w:type="dxa"/>
        <w:jc w:val="left"/>
        <w:tblInd w:w="0" w:type="dxa"/>
        <w:tblLayout w:type="fixed"/>
        <w:tblCellMar>
          <w:top w:w="60" w:type="dxa"/>
          <w:left w:w="60" w:type="dxa"/>
          <w:bottom w:w="60" w:type="dxa"/>
          <w:right w:w="60" w:type="dxa"/>
        </w:tblCellMar>
      </w:tblPr>
      <w:tblGrid>
        <w:gridCol w:w="195"/>
        <w:gridCol w:w="1082"/>
        <w:gridCol w:w="3572"/>
      </w:tblGrid>
      <w:tr>
        <w:trPr/>
        <w:tc>
          <w:tcPr>
            <w:tcW w:w="195" w:type="dxa"/>
            <w:tcBorders/>
            <w:vAlign w:val="center"/>
          </w:tcPr>
          <w:p>
            <w:pPr>
              <w:pStyle w:val="TableContents"/>
              <w:bidi w:val="0"/>
              <w:spacing w:before="0" w:after="283"/>
              <w:jc w:val="left"/>
              <w:rPr/>
            </w:pPr>
            <w:r>
              <w:rPr/>
              <w:t> </w:t>
            </w:r>
          </w:p>
        </w:tc>
        <w:tc>
          <w:tcPr>
            <w:tcW w:w="4654" w:type="dxa"/>
            <w:gridSpan w:val="2"/>
            <w:tcBorders/>
            <w:vAlign w:val="center"/>
          </w:tcPr>
          <w:p>
            <w:pPr>
              <w:pStyle w:val="TableContents"/>
              <w:bidi w:val="0"/>
              <w:spacing w:before="0" w:after="283"/>
              <w:jc w:val="left"/>
              <w:rPr/>
            </w:pPr>
            <w:r>
              <w:rPr>
                <w:b/>
              </w:rPr>
              <w:t>CHS US INVESTMENTS LLC</w:t>
            </w:r>
            <w:r>
              <w:rPr/>
              <w:t>, as a Lender</w:t>
            </w:r>
          </w:p>
        </w:tc>
      </w:tr>
      <w:tr>
        <w:trPr/>
        <w:tc>
          <w:tcPr>
            <w:tcW w:w="195" w:type="dxa"/>
            <w:tcBorders/>
            <w:vAlign w:val="center"/>
          </w:tcPr>
          <w:p>
            <w:pPr>
              <w:pStyle w:val="TableContents"/>
              <w:bidi w:val="0"/>
              <w:spacing w:before="0" w:after="283"/>
              <w:jc w:val="left"/>
              <w:rPr/>
            </w:pPr>
            <w:r>
              <w:rPr/>
              <w:t> </w:t>
            </w:r>
          </w:p>
        </w:tc>
        <w:tc>
          <w:tcPr>
            <w:tcW w:w="4654" w:type="dxa"/>
            <w:gridSpan w:val="2"/>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4654" w:type="dxa"/>
            <w:gridSpan w:val="2"/>
            <w:tcBorders/>
            <w:vAlign w:val="center"/>
          </w:tcPr>
          <w:p>
            <w:pPr>
              <w:pStyle w:val="TableContents"/>
              <w:bidi w:val="0"/>
              <w:spacing w:before="0" w:after="283"/>
              <w:jc w:val="left"/>
              <w:rPr/>
            </w:pPr>
            <w:r>
              <w:rPr/>
              <w:t>By:  CHS GP LP, as manager</w:t>
            </w:r>
          </w:p>
        </w:tc>
      </w:tr>
      <w:tr>
        <w:trPr/>
        <w:tc>
          <w:tcPr>
            <w:tcW w:w="195" w:type="dxa"/>
            <w:tcBorders/>
            <w:vAlign w:val="center"/>
          </w:tcPr>
          <w:p>
            <w:pPr>
              <w:pStyle w:val="TableContents"/>
              <w:bidi w:val="0"/>
              <w:spacing w:before="0" w:after="283"/>
              <w:jc w:val="left"/>
              <w:rPr/>
            </w:pPr>
            <w:r>
              <w:rPr/>
              <w:t> </w:t>
            </w:r>
          </w:p>
        </w:tc>
        <w:tc>
          <w:tcPr>
            <w:tcW w:w="4654" w:type="dxa"/>
            <w:gridSpan w:val="2"/>
            <w:tcBorders/>
            <w:vAlign w:val="center"/>
          </w:tcPr>
          <w:p>
            <w:pPr>
              <w:pStyle w:val="TableContents"/>
              <w:bidi w:val="0"/>
              <w:spacing w:before="0" w:after="283"/>
              <w:jc w:val="left"/>
              <w:rPr/>
            </w:pPr>
            <w:r>
              <w:rPr/>
              <w:t>By:  CHS UGP LLC, as general partner</w:t>
            </w:r>
          </w:p>
        </w:tc>
      </w:tr>
      <w:tr>
        <w:trPr/>
        <w:tc>
          <w:tcPr>
            <w:tcW w:w="195" w:type="dxa"/>
            <w:tcBorders/>
            <w:vAlign w:val="center"/>
          </w:tcPr>
          <w:p>
            <w:pPr>
              <w:pStyle w:val="TableContents"/>
              <w:bidi w:val="0"/>
              <w:spacing w:before="0" w:after="283"/>
              <w:jc w:val="left"/>
              <w:rPr/>
            </w:pPr>
            <w:r>
              <w:rPr/>
              <w:t> </w:t>
            </w:r>
          </w:p>
        </w:tc>
        <w:tc>
          <w:tcPr>
            <w:tcW w:w="4654" w:type="dxa"/>
            <w:gridSpan w:val="2"/>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left"/>
              <w:rPr>
                <w:sz w:val="20"/>
              </w:rPr>
            </w:pPr>
            <w:r>
              <w:rPr>
                <w:sz w:val="20"/>
              </w:rPr>
              <w:t>By:</w:t>
            </w:r>
          </w:p>
        </w:tc>
        <w:tc>
          <w:tcPr>
            <w:tcW w:w="3572"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sz w:val="20"/>
              </w:rPr>
            </w:pPr>
            <w:r>
              <w:rPr>
                <w:sz w:val="20"/>
              </w:rPr>
              <w:t>/s/ David Zhang</w:t>
            </w:r>
          </w:p>
        </w:tc>
      </w:tr>
      <w:tr>
        <w:trPr/>
        <w:tc>
          <w:tcPr>
            <w:tcW w:w="195"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left"/>
              <w:rPr>
                <w:sz w:val="20"/>
              </w:rPr>
            </w:pPr>
            <w:r>
              <w:rPr>
                <w:sz w:val="20"/>
              </w:rPr>
              <w:t>Name:</w:t>
            </w:r>
          </w:p>
        </w:tc>
        <w:tc>
          <w:tcPr>
            <w:tcW w:w="3572"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David Zhang</w:t>
            </w:r>
          </w:p>
        </w:tc>
      </w:tr>
      <w:tr>
        <w:trPr/>
        <w:tc>
          <w:tcPr>
            <w:tcW w:w="195"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left"/>
              <w:rPr>
                <w:sz w:val="20"/>
              </w:rPr>
            </w:pPr>
            <w:r>
              <w:rPr>
                <w:sz w:val="20"/>
              </w:rPr>
              <w:t>Title:</w:t>
            </w:r>
          </w:p>
        </w:tc>
        <w:tc>
          <w:tcPr>
            <w:tcW w:w="3572"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Authorized Signatory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First Amendment to Amended and Restated Credit Agreement]</w:t>
      </w:r>
    </w:p>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3829" w:type="dxa"/>
        <w:jc w:val="left"/>
        <w:tblInd w:w="0" w:type="dxa"/>
        <w:tblLayout w:type="fixed"/>
        <w:tblCellMar>
          <w:top w:w="60" w:type="dxa"/>
          <w:left w:w="60" w:type="dxa"/>
          <w:bottom w:w="60" w:type="dxa"/>
          <w:right w:w="60" w:type="dxa"/>
        </w:tblCellMar>
      </w:tblPr>
      <w:tblGrid>
        <w:gridCol w:w="195"/>
        <w:gridCol w:w="723"/>
        <w:gridCol w:w="2911"/>
      </w:tblGrid>
      <w:tr>
        <w:trPr/>
        <w:tc>
          <w:tcPr>
            <w:tcW w:w="195"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sz w:val="20"/>
              </w:rPr>
            </w:pPr>
            <w:r>
              <w:rPr>
                <w:b/>
                <w:sz w:val="20"/>
              </w:rPr>
              <w:t>S3 RR AGGREGATOR, LLC</w:t>
            </w:r>
            <w:r>
              <w:rPr>
                <w:sz w:val="20"/>
              </w:rPr>
              <w:t>, as a Lender</w:t>
            </w:r>
          </w:p>
        </w:tc>
      </w:tr>
      <w:tr>
        <w:trPr/>
        <w:tc>
          <w:tcPr>
            <w:tcW w:w="195"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sz w:val="20"/>
              </w:rPr>
            </w:pPr>
            <w:r>
              <w:rPr>
                <w:sz w:val="20"/>
              </w:rPr>
              <w:t>By:</w:t>
            </w:r>
          </w:p>
        </w:tc>
        <w:tc>
          <w:tcPr>
            <w:tcW w:w="2911"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sz w:val="20"/>
              </w:rPr>
            </w:pPr>
            <w:r>
              <w:rPr>
                <w:sz w:val="20"/>
              </w:rPr>
              <w:t>/s/ Peter Comisar</w:t>
            </w:r>
          </w:p>
        </w:tc>
      </w:tr>
      <w:tr>
        <w:trPr/>
        <w:tc>
          <w:tcPr>
            <w:tcW w:w="195"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sz w:val="20"/>
              </w:rPr>
            </w:pPr>
            <w:r>
              <w:rPr>
                <w:sz w:val="20"/>
              </w:rPr>
              <w:t>Name:</w:t>
            </w:r>
          </w:p>
        </w:tc>
        <w:tc>
          <w:tcPr>
            <w:tcW w:w="2911"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Peter Comisar</w:t>
            </w:r>
          </w:p>
        </w:tc>
      </w:tr>
      <w:tr>
        <w:trPr/>
        <w:tc>
          <w:tcPr>
            <w:tcW w:w="195"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sz w:val="20"/>
              </w:rPr>
            </w:pPr>
            <w:r>
              <w:rPr>
                <w:sz w:val="20"/>
              </w:rPr>
              <w:t>Title:</w:t>
            </w:r>
          </w:p>
        </w:tc>
        <w:tc>
          <w:tcPr>
            <w:tcW w:w="2911"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Authorized Representative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First Amendment to Amended and Restated Credit Agreement]</w:t>
      </w:r>
    </w:p>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3859" w:type="dxa"/>
        <w:jc w:val="left"/>
        <w:tblInd w:w="0" w:type="dxa"/>
        <w:tblLayout w:type="fixed"/>
        <w:tblCellMar>
          <w:top w:w="60" w:type="dxa"/>
          <w:left w:w="60" w:type="dxa"/>
          <w:bottom w:w="60" w:type="dxa"/>
          <w:right w:w="60" w:type="dxa"/>
        </w:tblCellMar>
      </w:tblPr>
      <w:tblGrid>
        <w:gridCol w:w="195"/>
        <w:gridCol w:w="767"/>
        <w:gridCol w:w="2897"/>
      </w:tblGrid>
      <w:tr>
        <w:trPr/>
        <w:tc>
          <w:tcPr>
            <w:tcW w:w="195" w:type="dxa"/>
            <w:tcBorders/>
            <w:vAlign w:val="center"/>
          </w:tcPr>
          <w:p>
            <w:pPr>
              <w:pStyle w:val="TableContents"/>
              <w:bidi w:val="0"/>
              <w:spacing w:before="0" w:after="283"/>
              <w:jc w:val="left"/>
              <w:rPr/>
            </w:pPr>
            <w:r>
              <w:rPr/>
              <w:t> </w:t>
            </w:r>
          </w:p>
        </w:tc>
        <w:tc>
          <w:tcPr>
            <w:tcW w:w="3664" w:type="dxa"/>
            <w:gridSpan w:val="2"/>
            <w:tcBorders/>
            <w:vAlign w:val="center"/>
          </w:tcPr>
          <w:p>
            <w:pPr>
              <w:pStyle w:val="TableContents"/>
              <w:bidi w:val="0"/>
              <w:spacing w:before="0" w:after="283"/>
              <w:jc w:val="left"/>
              <w:rPr>
                <w:b/>
                <w:sz w:val="20"/>
              </w:rPr>
            </w:pPr>
            <w:r>
              <w:rPr>
                <w:b/>
                <w:sz w:val="20"/>
              </w:rPr>
              <w:t>GATEWAY RUNWAY, LLC, as a Lender</w:t>
            </w:r>
          </w:p>
        </w:tc>
      </w:tr>
      <w:tr>
        <w:trPr/>
        <w:tc>
          <w:tcPr>
            <w:tcW w:w="195" w:type="dxa"/>
            <w:tcBorders/>
            <w:vAlign w:val="center"/>
          </w:tcPr>
          <w:p>
            <w:pPr>
              <w:pStyle w:val="TableContents"/>
              <w:bidi w:val="0"/>
              <w:spacing w:before="0" w:after="283"/>
              <w:jc w:val="left"/>
              <w:rPr/>
            </w:pPr>
            <w:r>
              <w:rPr/>
              <w:t> </w:t>
            </w:r>
          </w:p>
        </w:tc>
        <w:tc>
          <w:tcPr>
            <w:tcW w:w="3664" w:type="dxa"/>
            <w:gridSpan w:val="2"/>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left"/>
              <w:rPr>
                <w:sz w:val="20"/>
              </w:rPr>
            </w:pPr>
            <w:r>
              <w:rPr>
                <w:sz w:val="20"/>
              </w:rPr>
              <w:t>By:</w:t>
            </w:r>
          </w:p>
        </w:tc>
        <w:tc>
          <w:tcPr>
            <w:tcW w:w="2897"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/s/ Damian Giangiacomo</w:t>
            </w:r>
          </w:p>
        </w:tc>
      </w:tr>
      <w:tr>
        <w:trPr/>
        <w:tc>
          <w:tcPr>
            <w:tcW w:w="195"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left"/>
              <w:rPr>
                <w:sz w:val="20"/>
              </w:rPr>
            </w:pPr>
            <w:r>
              <w:rPr>
                <w:sz w:val="20"/>
              </w:rPr>
              <w:t>Name:</w:t>
            </w:r>
          </w:p>
        </w:tc>
        <w:tc>
          <w:tcPr>
            <w:tcW w:w="2897"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Damian Giangiacomo</w:t>
            </w:r>
          </w:p>
        </w:tc>
      </w:tr>
      <w:tr>
        <w:trPr/>
        <w:tc>
          <w:tcPr>
            <w:tcW w:w="195"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left"/>
              <w:rPr>
                <w:sz w:val="20"/>
              </w:rPr>
            </w:pPr>
            <w:r>
              <w:rPr>
                <w:sz w:val="20"/>
              </w:rPr>
              <w:t>Title:</w:t>
            </w:r>
          </w:p>
        </w:tc>
        <w:tc>
          <w:tcPr>
            <w:tcW w:w="2897"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President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First Amendment to Amended and Restated Credit Agreement]</w:t>
      </w:r>
    </w:p>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Amended Credit Agreement</w:t>
      </w:r>
    </w:p>
    <w:p>
      <w:pPr>
        <w:pStyle w:val="TextBody"/>
        <w:bidi w:val="0"/>
        <w:spacing w:before="0" w:after="0"/>
        <w:ind w:left="3401" w:right="3372" w:firstLine="931"/>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7" w:right="117" w:hanging="0"/>
        <w:jc w:val="right"/>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Execution Version</w:t>
      </w:r>
    </w:p>
    <w:p>
      <w:pPr>
        <w:pStyle w:val="TextBody"/>
        <w:bidi w:val="0"/>
        <w:spacing w:before="0" w:after="0"/>
        <w:ind w:left="117" w:right="117" w:hanging="0"/>
        <w:jc w:val="right"/>
        <w:rPr>
          <w:caps w:val="false"/>
          <w:smallCaps w:val="false"/>
          <w:color w:val="FF0000"/>
        </w:rPr>
      </w:pPr>
      <w:r>
        <w:rPr>
          <w:caps w:val="false"/>
          <w:smallCaps w:val="false"/>
          <w:color w:val="FF0000"/>
        </w:rPr>
        <w:t> </w:t>
      </w:r>
    </w:p>
    <w:p>
      <w:pPr>
        <w:pStyle w:val="TextBody"/>
        <w:bidi w:val="0"/>
        <w:spacing w:before="0" w:after="0"/>
        <w:ind w:left="0" w:right="169" w:hanging="0"/>
        <w:jc w:val="right"/>
        <w:rPr>
          <w:rFonts w:ascii="Times New Roman;Times;Serif" w:hAnsi="Times New Roman;Times;Serif"/>
          <w:b/>
          <w:i w:val="false"/>
          <w:caps w:val="false"/>
          <w:smallCaps w:val="false"/>
          <w:color w:val="0000FF"/>
          <w:sz w:val="20"/>
        </w:rPr>
      </w:pPr>
      <w:r>
        <w:rPr>
          <w:rFonts w:ascii="Times New Roman;Times;Serif" w:hAnsi="Times New Roman;Times;Serif"/>
          <w:b/>
          <w:i w:val="false"/>
          <w:caps w:val="false"/>
          <w:smallCaps w:val="false"/>
          <w:color w:val="0000FF"/>
          <w:sz w:val="20"/>
          <w:u w:val="single"/>
        </w:rPr>
        <w:t>Exhibi</w:t>
      </w:r>
      <w:r>
        <w:rPr>
          <w:rFonts w:ascii="Times New Roman;Times;Serif" w:hAnsi="Times New Roman;Times;Serif"/>
          <w:b/>
          <w:i w:val="false"/>
          <w:caps w:val="false"/>
          <w:smallCaps w:val="false"/>
          <w:color w:val="0000FF"/>
          <w:sz w:val="20"/>
        </w:rPr>
        <w:t>t A</w:t>
      </w:r>
    </w:p>
    <w:p>
      <w:pPr>
        <w:pStyle w:val="TextBody"/>
        <w:bidi w:val="0"/>
        <w:spacing w:before="0" w:after="0"/>
        <w:ind w:left="0" w:right="169" w:hanging="0"/>
        <w:jc w:val="right"/>
        <w:rPr>
          <w:rFonts w:ascii="Times New Roman;Times;Serif" w:hAnsi="Times New Roman;Times;Serif"/>
          <w:b/>
          <w:i w:val="false"/>
          <w:caps w:val="false"/>
          <w:smallCaps w:val="false"/>
          <w:color w:val="0000FF"/>
          <w:sz w:val="20"/>
        </w:rPr>
      </w:pPr>
      <w:r>
        <w:rPr>
          <w:rFonts w:ascii="Times New Roman;Times;Serif" w:hAnsi="Times New Roman;Times;Serif"/>
          <w:b/>
          <w:i w:val="false"/>
          <w:caps w:val="false"/>
          <w:smallCaps w:val="false"/>
          <w:color w:val="0000FF"/>
          <w:sz w:val="20"/>
          <w:u w:val="single"/>
        </w:rPr>
        <w:t>Conforme</w:t>
      </w:r>
      <w:r>
        <w:rPr>
          <w:rFonts w:ascii="Times New Roman;Times;Serif" w:hAnsi="Times New Roman;Times;Serif"/>
          <w:b/>
          <w:i w:val="false"/>
          <w:caps w:val="false"/>
          <w:smallCaps w:val="false"/>
          <w:color w:val="0000FF"/>
          <w:sz w:val="20"/>
        </w:rPr>
        <w:t xml:space="preserve">d </w:t>
      </w:r>
      <w:r>
        <w:rPr>
          <w:rFonts w:ascii="Times New Roman;Times;Serif" w:hAnsi="Times New Roman;Times;Serif"/>
          <w:b/>
          <w:i w:val="false"/>
          <w:caps w:val="false"/>
          <w:smallCaps w:val="false"/>
          <w:color w:val="0000FF"/>
          <w:sz w:val="20"/>
          <w:u w:val="single"/>
        </w:rPr>
        <w:t>throug</w:t>
      </w:r>
      <w:r>
        <w:rPr>
          <w:rFonts w:ascii="Times New Roman;Times;Serif" w:hAnsi="Times New Roman;Times;Serif"/>
          <w:b/>
          <w:i w:val="false"/>
          <w:caps w:val="false"/>
          <w:smallCaps w:val="false"/>
          <w:color w:val="0000FF"/>
          <w:sz w:val="20"/>
        </w:rPr>
        <w:t xml:space="preserve">h </w:t>
      </w:r>
      <w:r>
        <w:rPr>
          <w:rFonts w:ascii="Times New Roman;Times;Serif" w:hAnsi="Times New Roman;Times;Serif"/>
          <w:b/>
          <w:i w:val="false"/>
          <w:caps w:val="false"/>
          <w:smallCaps w:val="false"/>
          <w:color w:val="0000FF"/>
          <w:sz w:val="20"/>
          <w:u w:val="single"/>
        </w:rPr>
        <w:t>Firs</w:t>
      </w:r>
      <w:r>
        <w:rPr>
          <w:rFonts w:ascii="Times New Roman;Times;Serif" w:hAnsi="Times New Roman;Times;Serif"/>
          <w:b/>
          <w:i w:val="false"/>
          <w:caps w:val="false"/>
          <w:smallCaps w:val="false"/>
          <w:color w:val="0000FF"/>
          <w:sz w:val="20"/>
        </w:rPr>
        <w:t>t Amendment</w:t>
      </w:r>
    </w:p>
    <w:p>
      <w:pPr>
        <w:pStyle w:val="TextBody"/>
        <w:bidi w:val="0"/>
        <w:spacing w:before="0" w:after="0"/>
        <w:ind w:left="5866" w:right="102" w:firstLine="2721"/>
        <w:jc w:val="left"/>
        <w:rPr>
          <w:caps w:val="false"/>
          <w:smallCaps w:val="false"/>
          <w:color w:val="0000FF"/>
        </w:rPr>
      </w:pPr>
      <w:r>
        <w:rPr>
          <w:caps w:val="false"/>
          <w:smallCaps w:val="false"/>
          <w:color w:val="0000FF"/>
        </w:rPr>
        <w:t> </w:t>
      </w:r>
    </w:p>
    <w:p>
      <w:pPr>
        <w:pStyle w:val="TextBody"/>
        <w:bidi w:val="0"/>
        <w:spacing w:before="0" w:after="0"/>
        <w:ind w:left="139" w:right="169"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CREDIT AGREEMENT AND THE RIGHTS AND OBLIGATIONS EVIDENCED HEREBY MAY BECOME SUBORDINATE IN THE MANNER AND TO THE EXTENT SET FORTH IN THE SPECIFIED SUBORDINATION AGREEMENT (AS HEREINAFTER DEFINED) TO THE OBLIGATIONS OWED BY BORROWER UNDER ANY SENIOR CREDIT AGREEMENT (AS HEREINAFTER DEFINED).</w:t>
      </w:r>
    </w:p>
    <w:p>
      <w:pPr>
        <w:pStyle w:val="TextBody"/>
        <w:bidi w:val="0"/>
        <w:spacing w:before="0" w:after="0"/>
        <w:ind w:left="139" w:right="169" w:hanging="0"/>
        <w:jc w:val="both"/>
        <w:rPr>
          <w:caps w:val="false"/>
          <w:smallCaps w:val="false"/>
        </w:rPr>
      </w:pPr>
      <w:r>
        <w:rPr>
          <w:caps w:val="false"/>
          <w:smallCaps w:val="false"/>
        </w:rPr>
        <w:t> </w:t>
      </w:r>
    </w:p>
    <w:p>
      <w:pPr>
        <w:pStyle w:val="TextBody"/>
        <w:bidi w:val="0"/>
        <w:spacing w:before="0" w:after="0"/>
        <w:ind w:left="139" w:right="169" w:hanging="0"/>
        <w:jc w:val="both"/>
        <w:rPr>
          <w:caps w:val="false"/>
          <w:smallCaps w:val="false"/>
        </w:rPr>
      </w:pPr>
      <w:r>
        <w:rPr>
          <w:caps w:val="false"/>
          <w:smallCaps w:val="false"/>
        </w:rPr>
        <w:t> </w:t>
      </w:r>
    </w:p>
    <w:p>
      <w:pPr>
        <w:pStyle w:val="TextBody"/>
        <w:bidi w:val="0"/>
        <w:spacing w:before="0" w:after="0"/>
        <w:ind w:left="139" w:right="169" w:hanging="0"/>
        <w:jc w:val="both"/>
        <w:rPr>
          <w:caps w:val="false"/>
          <w:smallCaps w:val="false"/>
        </w:rPr>
      </w:pPr>
      <w:r>
        <w:rPr>
          <w:caps w:val="false"/>
          <w:smallCaps w:val="false"/>
        </w:rPr>
        <w:t> </w:t>
      </w:r>
    </w:p>
    <w:p>
      <w:pPr>
        <w:pStyle w:val="TextBody"/>
        <w:bidi w:val="0"/>
        <w:jc w:val="left"/>
        <w:rPr>
          <w:bdr w:val="single" w:sz="24" w:space="1" w:color="000000"/>
        </w:rPr>
      </w:pPr>
      <w:r>
        <w:rPr>
          <w:bdr w:val="single" w:sz="24" w:space="1" w:color="000000"/>
        </w:rPr>
        <w:t> </w:t>
      </w:r>
    </w:p>
    <w:p>
      <w:pPr>
        <w:pStyle w:val="TextBody"/>
        <w:bidi w:val="0"/>
        <w:spacing w:before="0" w:after="283"/>
        <w:jc w:val="left"/>
        <w:rPr/>
      </w:pPr>
      <w:r>
        <w:rPr/>
        <w:t> </w:t>
      </w:r>
    </w:p>
    <w:p>
      <w:pPr>
        <w:pStyle w:val="TextBody"/>
        <w:bidi w:val="0"/>
        <w:spacing w:before="0" w:after="0"/>
        <w:ind w:left="1907" w:right="1887" w:hanging="0"/>
        <w:jc w:val="center"/>
        <w:rPr>
          <w:caps w:val="false"/>
          <w:smallCaps w:val="false"/>
        </w:rPr>
      </w:pPr>
      <w:r>
        <w:rPr>
          <w:caps w:val="false"/>
          <w:smallCaps w:val="false"/>
        </w:rPr>
        <w:t> </w:t>
      </w:r>
    </w:p>
    <w:p>
      <w:pPr>
        <w:pStyle w:val="TextBody"/>
        <w:bidi w:val="0"/>
        <w:spacing w:before="0" w:after="0"/>
        <w:ind w:left="1907" w:right="1887" w:hanging="0"/>
        <w:jc w:val="center"/>
        <w:rPr>
          <w:caps w:val="false"/>
          <w:smallCaps w:val="false"/>
        </w:rPr>
      </w:pPr>
      <w:r>
        <w:rPr>
          <w:caps w:val="false"/>
          <w:smallCaps w:val="false"/>
        </w:rPr>
        <w:t> </w:t>
      </w:r>
    </w:p>
    <w:p>
      <w:pPr>
        <w:pStyle w:val="TextBody"/>
        <w:bidi w:val="0"/>
        <w:spacing w:before="0" w:after="0"/>
        <w:ind w:left="1907" w:right="188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CREDIT AGREEMENT DATED AS OF October 28, 2025</w:t>
      </w:r>
    </w:p>
    <w:p>
      <w:pPr>
        <w:pStyle w:val="TextBody"/>
        <w:bidi w:val="0"/>
        <w:spacing w:before="0" w:after="0"/>
        <w:ind w:left="1907" w:right="1887" w:hanging="0"/>
        <w:jc w:val="center"/>
        <w:rPr>
          <w:caps w:val="false"/>
          <w:smallCaps w:val="false"/>
        </w:rPr>
      </w:pPr>
      <w:r>
        <w:rPr>
          <w:caps w:val="false"/>
          <w:smallCaps w:val="false"/>
        </w:rPr>
        <w:t> </w:t>
      </w:r>
    </w:p>
    <w:p>
      <w:pPr>
        <w:pStyle w:val="TextBody"/>
        <w:bidi w:val="0"/>
        <w:spacing w:before="0" w:after="0"/>
        <w:ind w:left="1499" w:right="1481"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AMONG</w:t>
      </w:r>
    </w:p>
    <w:p>
      <w:pPr>
        <w:pStyle w:val="TextBody"/>
        <w:bidi w:val="0"/>
        <w:spacing w:before="0" w:after="0"/>
        <w:ind w:left="1499" w:right="1481" w:hanging="0"/>
        <w:jc w:val="center"/>
        <w:rPr>
          <w:caps w:val="false"/>
          <w:smallCaps w:val="false"/>
        </w:rPr>
      </w:pPr>
      <w:r>
        <w:rPr>
          <w:caps w:val="false"/>
          <w:smallCaps w:val="false"/>
        </w:rPr>
        <w:t> </w:t>
      </w:r>
    </w:p>
    <w:p>
      <w:pPr>
        <w:pStyle w:val="TextBody"/>
        <w:bidi w:val="0"/>
        <w:spacing w:before="0" w:after="0"/>
        <w:ind w:left="3406" w:right="338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RENT THE RUNWAY, INC., AS BORROWER,</w:t>
      </w:r>
    </w:p>
    <w:p>
      <w:pPr>
        <w:pStyle w:val="TextBody"/>
        <w:bidi w:val="0"/>
        <w:spacing w:before="0" w:after="0"/>
        <w:ind w:left="3406" w:right="3387" w:hanging="0"/>
        <w:jc w:val="center"/>
        <w:rPr>
          <w:caps w:val="false"/>
          <w:smallCaps w:val="false"/>
        </w:rPr>
      </w:pPr>
      <w:r>
        <w:rPr>
          <w:caps w:val="false"/>
          <w:smallCaps w:val="false"/>
        </w:rPr>
        <w:t> </w:t>
      </w:r>
    </w:p>
    <w:p>
      <w:pPr>
        <w:pStyle w:val="TextBody"/>
        <w:bidi w:val="0"/>
        <w:spacing w:before="0" w:after="0"/>
        <w:ind w:left="1908" w:right="188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LENDERS FROM TIME TO TIME PARTY HERETO, AS LENDERS,</w:t>
      </w:r>
    </w:p>
    <w:p>
      <w:pPr>
        <w:pStyle w:val="TextBody"/>
        <w:bidi w:val="0"/>
        <w:spacing w:before="0" w:after="0"/>
        <w:ind w:left="1908" w:right="1887" w:hanging="0"/>
        <w:jc w:val="center"/>
        <w:rPr>
          <w:caps w:val="false"/>
          <w:smallCaps w:val="false"/>
        </w:rPr>
      </w:pPr>
      <w:r>
        <w:rPr>
          <w:caps w:val="false"/>
          <w:smallCaps w:val="false"/>
        </w:rPr>
        <w:t> </w:t>
      </w:r>
    </w:p>
    <w:p>
      <w:pPr>
        <w:pStyle w:val="TextBody"/>
        <w:bidi w:val="0"/>
        <w:spacing w:before="0" w:after="0"/>
        <w:ind w:left="1500" w:right="1481"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1500" w:right="1481" w:hanging="0"/>
        <w:jc w:val="center"/>
        <w:rPr>
          <w:caps w:val="false"/>
          <w:smallCaps w:val="false"/>
        </w:rPr>
      </w:pPr>
      <w:r>
        <w:rPr>
          <w:caps w:val="false"/>
          <w:smallCaps w:val="false"/>
        </w:rPr>
        <w:t> </w:t>
      </w:r>
    </w:p>
    <w:p>
      <w:pPr>
        <w:pStyle w:val="TextBody"/>
        <w:bidi w:val="0"/>
        <w:spacing w:before="0" w:after="0"/>
        <w:ind w:left="3212" w:right="3191"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CHS (US) MANAGEMENT LLC, AS ADMINISTRATIVE AGENT</w:t>
      </w:r>
    </w:p>
    <w:p>
      <w:pPr>
        <w:pStyle w:val="TextBody"/>
        <w:bidi w:val="0"/>
        <w:spacing w:before="0" w:after="0"/>
        <w:ind w:left="3212" w:right="3191" w:hanging="0"/>
        <w:jc w:val="center"/>
        <w:rPr>
          <w:caps w:val="false"/>
          <w:smallCaps w:val="false"/>
        </w:rPr>
      </w:pPr>
      <w:r>
        <w:rPr>
          <w:caps w:val="false"/>
          <w:smallCaps w:val="false"/>
        </w:rPr>
        <w:t> </w:t>
      </w:r>
    </w:p>
    <w:p>
      <w:pPr>
        <w:pStyle w:val="TextBody"/>
        <w:bidi w:val="0"/>
        <w:spacing w:before="0" w:after="0"/>
        <w:ind w:left="3212" w:right="3191" w:hanging="0"/>
        <w:jc w:val="center"/>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1500" w:right="1481" w:hanging="0"/>
        <w:jc w:val="center"/>
        <w:rPr>
          <w:caps w:val="false"/>
          <w:smallCaps w:val="false"/>
        </w:rPr>
      </w:pPr>
      <w:r>
        <w:rPr>
          <w:caps w:val="false"/>
          <w:smallCaps w:val="false"/>
        </w:rPr>
        <w:t> </w:t>
      </w:r>
    </w:p>
    <w:p>
      <w:pPr>
        <w:pStyle w:val="TextBody"/>
        <w:bidi w:val="0"/>
        <w:spacing w:before="0" w:after="0"/>
        <w:ind w:left="117" w:right="117"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117" w:right="117" w:hanging="0"/>
        <w:jc w:val="right"/>
        <w:rPr>
          <w:caps w:val="false"/>
          <w:smallCaps w:val="false"/>
        </w:rPr>
      </w:pPr>
      <w:r>
        <w:rPr>
          <w:caps w:val="false"/>
          <w:smallCaps w:val="false"/>
        </w:rPr>
        <w:t> </w:t>
      </w:r>
    </w:p>
    <w:tbl>
      <w:tblPr>
        <w:tblW w:w="7355" w:type="dxa"/>
        <w:jc w:val="left"/>
        <w:tblInd w:w="0" w:type="dxa"/>
        <w:tblLayout w:type="fixed"/>
        <w:tblCellMar>
          <w:top w:w="0" w:type="dxa"/>
          <w:left w:w="0" w:type="dxa"/>
          <w:bottom w:w="0" w:type="dxa"/>
          <w:right w:w="0" w:type="dxa"/>
        </w:tblCellMar>
      </w:tblPr>
      <w:tblGrid>
        <w:gridCol w:w="215"/>
        <w:gridCol w:w="440"/>
        <w:gridCol w:w="6185"/>
        <w:gridCol w:w="515"/>
      </w:tblGrid>
      <w:tr>
        <w:trPr/>
        <w:tc>
          <w:tcPr>
            <w:tcW w:w="215" w:type="dxa"/>
            <w:tcBorders/>
            <w:vAlign w:val="center"/>
          </w:tcPr>
          <w:p>
            <w:pPr>
              <w:pStyle w:val="TableContents"/>
              <w:bidi w:val="0"/>
              <w:spacing w:before="0" w:after="283"/>
              <w:jc w:val="both"/>
              <w:rPr/>
            </w:pPr>
            <w:r>
              <w:rPr/>
              <w:t>1.</w:t>
            </w:r>
          </w:p>
        </w:tc>
        <w:tc>
          <w:tcPr>
            <w:tcW w:w="6625" w:type="dxa"/>
            <w:gridSpan w:val="2"/>
            <w:tcBorders/>
            <w:vAlign w:val="center"/>
          </w:tcPr>
          <w:p>
            <w:pPr>
              <w:pStyle w:val="TableContents"/>
              <w:bidi w:val="0"/>
              <w:spacing w:before="0" w:after="283"/>
              <w:jc w:val="both"/>
              <w:rPr/>
            </w:pPr>
            <w:r>
              <w:rPr/>
              <w:t>DEFINITIONS.</w:t>
            </w:r>
          </w:p>
        </w:tc>
        <w:tc>
          <w:tcPr>
            <w:tcW w:w="515" w:type="dxa"/>
            <w:tcBorders/>
            <w:vAlign w:val="center"/>
          </w:tcPr>
          <w:p>
            <w:pPr>
              <w:pStyle w:val="TableContents"/>
              <w:bidi w:val="0"/>
              <w:spacing w:before="0" w:after="283"/>
              <w:jc w:val="right"/>
              <w:rPr/>
            </w:pPr>
            <w:r>
              <w:rPr/>
              <w:t>2</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1.1</w:t>
            </w:r>
          </w:p>
        </w:tc>
        <w:tc>
          <w:tcPr>
            <w:tcW w:w="6185" w:type="dxa"/>
            <w:tcBorders/>
            <w:vAlign w:val="center"/>
          </w:tcPr>
          <w:p>
            <w:pPr>
              <w:pStyle w:val="TableContents"/>
              <w:bidi w:val="0"/>
              <w:spacing w:before="0" w:after="283"/>
              <w:jc w:val="both"/>
              <w:rPr/>
            </w:pPr>
            <w:r>
              <w:rPr/>
              <w:t>Certain Defined Terms</w:t>
            </w:r>
          </w:p>
        </w:tc>
        <w:tc>
          <w:tcPr>
            <w:tcW w:w="515" w:type="dxa"/>
            <w:tcBorders/>
            <w:vAlign w:val="center"/>
          </w:tcPr>
          <w:p>
            <w:pPr>
              <w:pStyle w:val="TableContents"/>
              <w:bidi w:val="0"/>
              <w:spacing w:before="0" w:after="283"/>
              <w:jc w:val="right"/>
              <w:rPr/>
            </w:pPr>
            <w:r>
              <w:rPr/>
              <w:t>2</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1.2</w:t>
            </w:r>
          </w:p>
        </w:tc>
        <w:tc>
          <w:tcPr>
            <w:tcW w:w="6185" w:type="dxa"/>
            <w:tcBorders/>
            <w:vAlign w:val="center"/>
          </w:tcPr>
          <w:p>
            <w:pPr>
              <w:pStyle w:val="TableContents"/>
              <w:bidi w:val="0"/>
              <w:spacing w:before="0" w:after="283"/>
              <w:jc w:val="both"/>
              <w:rPr/>
            </w:pPr>
            <w:r>
              <w:rPr/>
              <w:t>Other Interpretive Provisions</w:t>
            </w:r>
          </w:p>
        </w:tc>
        <w:tc>
          <w:tcPr>
            <w:tcW w:w="515" w:type="dxa"/>
            <w:tcBorders/>
            <w:vAlign w:val="center"/>
          </w:tcPr>
          <w:p>
            <w:pPr>
              <w:pStyle w:val="TableContents"/>
              <w:bidi w:val="0"/>
              <w:spacing w:before="0" w:after="283"/>
              <w:jc w:val="right"/>
              <w:rPr/>
            </w:pPr>
            <w:r>
              <w:rPr/>
              <w:t>32</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1.3</w:t>
            </w:r>
          </w:p>
        </w:tc>
        <w:tc>
          <w:tcPr>
            <w:tcW w:w="6185" w:type="dxa"/>
            <w:tcBorders/>
            <w:vAlign w:val="center"/>
          </w:tcPr>
          <w:p>
            <w:pPr>
              <w:pStyle w:val="TableContents"/>
              <w:bidi w:val="0"/>
              <w:spacing w:before="0" w:after="283"/>
              <w:jc w:val="both"/>
              <w:rPr/>
            </w:pPr>
            <w:r>
              <w:rPr/>
              <w:t>Accounting Terms</w:t>
            </w:r>
          </w:p>
        </w:tc>
        <w:tc>
          <w:tcPr>
            <w:tcW w:w="515" w:type="dxa"/>
            <w:tcBorders/>
            <w:vAlign w:val="center"/>
          </w:tcPr>
          <w:p>
            <w:pPr>
              <w:pStyle w:val="TableContents"/>
              <w:bidi w:val="0"/>
              <w:spacing w:before="0" w:after="283"/>
              <w:jc w:val="right"/>
              <w:rPr/>
            </w:pPr>
            <w:r>
              <w:rPr>
                <w:strike/>
                <w:color w:val="FF0000"/>
              </w:rPr>
              <w:t>34</w:t>
            </w:r>
            <w:r>
              <w:rPr>
                <w:color w:val="0000FF"/>
                <w:u w:val="single"/>
              </w:rPr>
              <w:t>33</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1.4</w:t>
            </w:r>
          </w:p>
        </w:tc>
        <w:tc>
          <w:tcPr>
            <w:tcW w:w="6185" w:type="dxa"/>
            <w:tcBorders/>
            <w:vAlign w:val="center"/>
          </w:tcPr>
          <w:p>
            <w:pPr>
              <w:pStyle w:val="TableContents"/>
              <w:bidi w:val="0"/>
              <w:spacing w:before="0" w:after="283"/>
              <w:jc w:val="both"/>
              <w:rPr/>
            </w:pPr>
            <w:r>
              <w:rPr/>
              <w:t>Rounding</w:t>
            </w:r>
          </w:p>
        </w:tc>
        <w:tc>
          <w:tcPr>
            <w:tcW w:w="515" w:type="dxa"/>
            <w:tcBorders/>
            <w:vAlign w:val="center"/>
          </w:tcPr>
          <w:p>
            <w:pPr>
              <w:pStyle w:val="TableContents"/>
              <w:bidi w:val="0"/>
              <w:spacing w:before="0" w:after="283"/>
              <w:jc w:val="right"/>
              <w:rPr/>
            </w:pPr>
            <w:r>
              <w:rPr/>
              <w:t>34</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1.5</w:t>
            </w:r>
          </w:p>
        </w:tc>
        <w:tc>
          <w:tcPr>
            <w:tcW w:w="6185" w:type="dxa"/>
            <w:tcBorders/>
            <w:vAlign w:val="center"/>
          </w:tcPr>
          <w:p>
            <w:pPr>
              <w:pStyle w:val="TableContents"/>
              <w:bidi w:val="0"/>
              <w:spacing w:before="0" w:after="283"/>
              <w:jc w:val="both"/>
              <w:rPr/>
            </w:pPr>
            <w:r>
              <w:rPr/>
              <w:t>Times of Day</w:t>
            </w:r>
          </w:p>
        </w:tc>
        <w:tc>
          <w:tcPr>
            <w:tcW w:w="515" w:type="dxa"/>
            <w:tcBorders/>
            <w:vAlign w:val="center"/>
          </w:tcPr>
          <w:p>
            <w:pPr>
              <w:pStyle w:val="TableContents"/>
              <w:bidi w:val="0"/>
              <w:spacing w:before="0" w:after="283"/>
              <w:jc w:val="right"/>
              <w:rPr/>
            </w:pPr>
            <w:r>
              <w:rPr>
                <w:strike/>
                <w:color w:val="FF0000"/>
              </w:rPr>
              <w:t>35</w:t>
            </w:r>
            <w:r>
              <w:rPr>
                <w:color w:val="0000FF"/>
                <w:u w:val="single"/>
              </w:rPr>
              <w:t>34</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1.6</w:t>
            </w:r>
          </w:p>
        </w:tc>
        <w:tc>
          <w:tcPr>
            <w:tcW w:w="6185" w:type="dxa"/>
            <w:tcBorders/>
            <w:vAlign w:val="center"/>
          </w:tcPr>
          <w:p>
            <w:pPr>
              <w:pStyle w:val="TableContents"/>
              <w:bidi w:val="0"/>
              <w:spacing w:before="0" w:after="283"/>
              <w:jc w:val="both"/>
              <w:rPr/>
            </w:pPr>
            <w:r>
              <w:rPr/>
              <w:t>Divisions</w:t>
            </w:r>
          </w:p>
        </w:tc>
        <w:tc>
          <w:tcPr>
            <w:tcW w:w="515" w:type="dxa"/>
            <w:tcBorders/>
            <w:vAlign w:val="center"/>
          </w:tcPr>
          <w:p>
            <w:pPr>
              <w:pStyle w:val="TableContents"/>
              <w:bidi w:val="0"/>
              <w:spacing w:before="0" w:after="283"/>
              <w:jc w:val="right"/>
              <w:rPr/>
            </w:pPr>
            <w:r>
              <w:rPr>
                <w:strike/>
                <w:color w:val="FF0000"/>
              </w:rPr>
              <w:t>35</w:t>
            </w:r>
            <w:r>
              <w:rPr>
                <w:color w:val="0000FF"/>
                <w:u w:val="single"/>
              </w:rPr>
              <w:t>34</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1.7</w:t>
            </w:r>
          </w:p>
        </w:tc>
        <w:tc>
          <w:tcPr>
            <w:tcW w:w="6185" w:type="dxa"/>
            <w:tcBorders/>
            <w:vAlign w:val="center"/>
          </w:tcPr>
          <w:p>
            <w:pPr>
              <w:pStyle w:val="TableContents"/>
              <w:bidi w:val="0"/>
              <w:spacing w:before="0" w:after="283"/>
              <w:jc w:val="both"/>
              <w:rPr/>
            </w:pPr>
            <w:r>
              <w:rPr/>
              <w:t>Senior Loan Documents and Specified Subordination Agreement</w:t>
            </w:r>
          </w:p>
        </w:tc>
        <w:tc>
          <w:tcPr>
            <w:tcW w:w="515" w:type="dxa"/>
            <w:tcBorders/>
            <w:vAlign w:val="center"/>
          </w:tcPr>
          <w:p>
            <w:pPr>
              <w:pStyle w:val="TableContents"/>
              <w:bidi w:val="0"/>
              <w:spacing w:before="0" w:after="283"/>
              <w:jc w:val="right"/>
              <w:rPr/>
            </w:pPr>
            <w:r>
              <w:rPr>
                <w:strike/>
                <w:color w:val="FF0000"/>
              </w:rPr>
              <w:t>35</w:t>
            </w:r>
            <w:r>
              <w:rPr>
                <w:color w:val="0000FF"/>
                <w:u w:val="single"/>
              </w:rPr>
              <w:t>34</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1.8</w:t>
            </w:r>
          </w:p>
        </w:tc>
        <w:tc>
          <w:tcPr>
            <w:tcW w:w="6185" w:type="dxa"/>
            <w:tcBorders/>
            <w:vAlign w:val="center"/>
          </w:tcPr>
          <w:p>
            <w:pPr>
              <w:pStyle w:val="TableContents"/>
              <w:bidi w:val="0"/>
              <w:spacing w:before="0" w:after="283"/>
              <w:jc w:val="both"/>
              <w:rPr/>
            </w:pPr>
            <w:r>
              <w:rPr/>
              <w:t>Rates</w:t>
            </w:r>
          </w:p>
        </w:tc>
        <w:tc>
          <w:tcPr>
            <w:tcW w:w="515" w:type="dxa"/>
            <w:tcBorders/>
            <w:vAlign w:val="center"/>
          </w:tcPr>
          <w:p>
            <w:pPr>
              <w:pStyle w:val="TableContents"/>
              <w:bidi w:val="0"/>
              <w:spacing w:before="0" w:after="283"/>
              <w:ind w:left="0" w:right="0" w:hanging="0"/>
              <w:jc w:val="right"/>
              <w:rPr/>
            </w:pPr>
            <w:r>
              <w:rPr/>
              <w:t>35</w:t>
            </w:r>
          </w:p>
        </w:tc>
      </w:tr>
      <w:tr>
        <w:trPr/>
        <w:tc>
          <w:tcPr>
            <w:tcW w:w="215" w:type="dxa"/>
            <w:tcBorders/>
            <w:vAlign w:val="center"/>
          </w:tcPr>
          <w:p>
            <w:pPr>
              <w:pStyle w:val="TableContents"/>
              <w:bidi w:val="0"/>
              <w:spacing w:before="0" w:after="283"/>
              <w:ind w:left="0" w:right="0" w:hanging="0"/>
              <w:jc w:val="left"/>
              <w:rPr/>
            </w:pPr>
            <w:r>
              <w:rPr/>
              <w:t> </w:t>
            </w:r>
          </w:p>
        </w:tc>
        <w:tc>
          <w:tcPr>
            <w:tcW w:w="440" w:type="dxa"/>
            <w:tcBorders/>
            <w:vAlign w:val="center"/>
          </w:tcPr>
          <w:p>
            <w:pPr>
              <w:pStyle w:val="TableContents"/>
              <w:bidi w:val="0"/>
              <w:spacing w:before="0" w:after="283"/>
              <w:ind w:left="0" w:right="0" w:hanging="0"/>
              <w:jc w:val="left"/>
              <w:rPr/>
            </w:pPr>
            <w:r>
              <w:rPr/>
              <w:t> </w:t>
            </w:r>
          </w:p>
        </w:tc>
        <w:tc>
          <w:tcPr>
            <w:tcW w:w="6185" w:type="dxa"/>
            <w:tcBorders/>
            <w:vAlign w:val="center"/>
          </w:tcPr>
          <w:p>
            <w:pPr>
              <w:pStyle w:val="TableContents"/>
              <w:bidi w:val="0"/>
              <w:spacing w:before="0" w:after="283"/>
              <w:ind w:left="0" w:right="0" w:hanging="0"/>
              <w:jc w:val="left"/>
              <w:rPr/>
            </w:pPr>
            <w:r>
              <w:rPr/>
              <w:t> </w:t>
            </w:r>
          </w:p>
        </w:tc>
        <w:tc>
          <w:tcPr>
            <w:tcW w:w="515" w:type="dxa"/>
            <w:tcBorders/>
            <w:vAlign w:val="center"/>
          </w:tcPr>
          <w:p>
            <w:pPr>
              <w:pStyle w:val="TableContents"/>
              <w:bidi w:val="0"/>
              <w:spacing w:before="0" w:after="283"/>
              <w:jc w:val="right"/>
              <w:rPr/>
            </w:pPr>
            <w:r>
              <w:rPr/>
              <w:t> </w:t>
            </w:r>
          </w:p>
        </w:tc>
      </w:tr>
      <w:tr>
        <w:trPr/>
        <w:tc>
          <w:tcPr>
            <w:tcW w:w="215" w:type="dxa"/>
            <w:tcBorders/>
            <w:vAlign w:val="center"/>
          </w:tcPr>
          <w:p>
            <w:pPr>
              <w:pStyle w:val="TableContents"/>
              <w:bidi w:val="0"/>
              <w:spacing w:before="0" w:after="283"/>
              <w:jc w:val="both"/>
              <w:rPr/>
            </w:pPr>
            <w:r>
              <w:rPr/>
              <w:t>2.</w:t>
            </w:r>
          </w:p>
        </w:tc>
        <w:tc>
          <w:tcPr>
            <w:tcW w:w="6625" w:type="dxa"/>
            <w:gridSpan w:val="2"/>
            <w:tcBorders/>
            <w:vAlign w:val="center"/>
          </w:tcPr>
          <w:p>
            <w:pPr>
              <w:pStyle w:val="TableContents"/>
              <w:bidi w:val="0"/>
              <w:spacing w:before="0" w:after="283"/>
              <w:jc w:val="both"/>
              <w:rPr/>
            </w:pPr>
            <w:r>
              <w:rPr/>
              <w:t>TERM LOANS.</w:t>
            </w:r>
          </w:p>
        </w:tc>
        <w:tc>
          <w:tcPr>
            <w:tcW w:w="515" w:type="dxa"/>
            <w:tcBorders/>
            <w:vAlign w:val="center"/>
          </w:tcPr>
          <w:p>
            <w:pPr>
              <w:pStyle w:val="TableContents"/>
              <w:bidi w:val="0"/>
              <w:spacing w:before="0" w:after="283"/>
              <w:jc w:val="right"/>
              <w:rPr/>
            </w:pPr>
            <w:r>
              <w:rPr>
                <w:strike/>
                <w:color w:val="FF0000"/>
              </w:rPr>
              <w:t>36</w:t>
            </w:r>
            <w:r>
              <w:rPr>
                <w:color w:val="0000FF"/>
                <w:u w:val="single"/>
              </w:rPr>
              <w:t>35</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2.1</w:t>
            </w:r>
          </w:p>
        </w:tc>
        <w:tc>
          <w:tcPr>
            <w:tcW w:w="6185" w:type="dxa"/>
            <w:tcBorders/>
            <w:vAlign w:val="center"/>
          </w:tcPr>
          <w:p>
            <w:pPr>
              <w:pStyle w:val="TableContents"/>
              <w:bidi w:val="0"/>
              <w:spacing w:before="0" w:after="283"/>
              <w:jc w:val="both"/>
              <w:rPr/>
            </w:pPr>
            <w:r>
              <w:rPr/>
              <w:t>Restatement Date Transactions; Loans and Commitments</w:t>
            </w:r>
          </w:p>
        </w:tc>
        <w:tc>
          <w:tcPr>
            <w:tcW w:w="515" w:type="dxa"/>
            <w:tcBorders/>
            <w:vAlign w:val="center"/>
          </w:tcPr>
          <w:p>
            <w:pPr>
              <w:pStyle w:val="TableContents"/>
              <w:bidi w:val="0"/>
              <w:spacing w:before="0" w:after="283"/>
              <w:jc w:val="right"/>
              <w:rPr/>
            </w:pPr>
            <w:r>
              <w:rPr>
                <w:strike/>
                <w:color w:val="FF0000"/>
              </w:rPr>
              <w:t>36</w:t>
            </w:r>
            <w:r>
              <w:rPr>
                <w:color w:val="0000FF"/>
                <w:u w:val="single"/>
              </w:rPr>
              <w:t>35</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2.2</w:t>
            </w:r>
          </w:p>
        </w:tc>
        <w:tc>
          <w:tcPr>
            <w:tcW w:w="6185" w:type="dxa"/>
            <w:tcBorders/>
            <w:vAlign w:val="center"/>
          </w:tcPr>
          <w:p>
            <w:pPr>
              <w:pStyle w:val="TableContents"/>
              <w:bidi w:val="0"/>
              <w:spacing w:before="0" w:after="283"/>
              <w:jc w:val="both"/>
              <w:rPr/>
            </w:pPr>
            <w:r>
              <w:rPr/>
              <w:t>Accrual of Interest and Maturity; Evidence of Indebtedness</w:t>
            </w:r>
          </w:p>
        </w:tc>
        <w:tc>
          <w:tcPr>
            <w:tcW w:w="515" w:type="dxa"/>
            <w:tcBorders/>
            <w:vAlign w:val="center"/>
          </w:tcPr>
          <w:p>
            <w:pPr>
              <w:pStyle w:val="TableContents"/>
              <w:bidi w:val="0"/>
              <w:spacing w:before="0" w:after="283"/>
              <w:jc w:val="right"/>
              <w:rPr/>
            </w:pPr>
            <w:r>
              <w:rPr/>
              <w:t>36</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2.3</w:t>
            </w:r>
          </w:p>
        </w:tc>
        <w:tc>
          <w:tcPr>
            <w:tcW w:w="6185" w:type="dxa"/>
            <w:tcBorders/>
            <w:vAlign w:val="center"/>
          </w:tcPr>
          <w:p>
            <w:pPr>
              <w:pStyle w:val="TableContents"/>
              <w:bidi w:val="0"/>
              <w:spacing w:before="0" w:after="283"/>
              <w:jc w:val="both"/>
              <w:rPr/>
            </w:pPr>
            <w:r>
              <w:rPr/>
              <w:t>Requests for Loans</w:t>
            </w:r>
          </w:p>
        </w:tc>
        <w:tc>
          <w:tcPr>
            <w:tcW w:w="515" w:type="dxa"/>
            <w:tcBorders/>
            <w:vAlign w:val="center"/>
          </w:tcPr>
          <w:p>
            <w:pPr>
              <w:pStyle w:val="TableContents"/>
              <w:bidi w:val="0"/>
              <w:spacing w:before="0" w:after="283"/>
              <w:jc w:val="right"/>
              <w:rPr/>
            </w:pPr>
            <w:r>
              <w:rPr>
                <w:strike/>
                <w:color w:val="FF0000"/>
              </w:rPr>
              <w:t>37</w:t>
            </w:r>
            <w:r>
              <w:rPr>
                <w:color w:val="0000FF"/>
                <w:u w:val="single"/>
              </w:rPr>
              <w:t>36</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2.4</w:t>
            </w:r>
          </w:p>
        </w:tc>
        <w:tc>
          <w:tcPr>
            <w:tcW w:w="6185" w:type="dxa"/>
            <w:tcBorders/>
            <w:vAlign w:val="center"/>
          </w:tcPr>
          <w:p>
            <w:pPr>
              <w:pStyle w:val="TableContents"/>
              <w:bidi w:val="0"/>
              <w:spacing w:before="0" w:after="283"/>
              <w:jc w:val="both"/>
              <w:rPr/>
            </w:pPr>
            <w:r>
              <w:rPr/>
              <w:t>Disbursement of Loans</w:t>
            </w:r>
          </w:p>
        </w:tc>
        <w:tc>
          <w:tcPr>
            <w:tcW w:w="515" w:type="dxa"/>
            <w:tcBorders/>
            <w:vAlign w:val="center"/>
          </w:tcPr>
          <w:p>
            <w:pPr>
              <w:pStyle w:val="TableContents"/>
              <w:bidi w:val="0"/>
              <w:spacing w:before="0" w:after="283"/>
              <w:jc w:val="right"/>
              <w:rPr/>
            </w:pPr>
            <w:r>
              <w:rPr>
                <w:strike/>
                <w:color w:val="FF0000"/>
              </w:rPr>
              <w:t>38</w:t>
            </w:r>
            <w:r>
              <w:rPr>
                <w:color w:val="0000FF"/>
                <w:u w:val="single"/>
              </w:rPr>
              <w:t>37</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2.5</w:t>
            </w:r>
          </w:p>
        </w:tc>
        <w:tc>
          <w:tcPr>
            <w:tcW w:w="6185" w:type="dxa"/>
            <w:tcBorders/>
            <w:vAlign w:val="center"/>
          </w:tcPr>
          <w:p>
            <w:pPr>
              <w:pStyle w:val="TableContents"/>
              <w:bidi w:val="0"/>
              <w:spacing w:before="0" w:after="283"/>
              <w:jc w:val="both"/>
              <w:rPr/>
            </w:pPr>
            <w:r>
              <w:rPr/>
              <w:t>Fees</w:t>
            </w:r>
          </w:p>
        </w:tc>
        <w:tc>
          <w:tcPr>
            <w:tcW w:w="515" w:type="dxa"/>
            <w:tcBorders/>
            <w:vAlign w:val="center"/>
          </w:tcPr>
          <w:p>
            <w:pPr>
              <w:pStyle w:val="TableContents"/>
              <w:bidi w:val="0"/>
              <w:spacing w:before="0" w:after="283"/>
              <w:jc w:val="right"/>
              <w:rPr/>
            </w:pPr>
            <w:r>
              <w:rPr/>
              <w:t>38</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2.6</w:t>
            </w:r>
          </w:p>
        </w:tc>
        <w:tc>
          <w:tcPr>
            <w:tcW w:w="6185" w:type="dxa"/>
            <w:tcBorders/>
            <w:vAlign w:val="center"/>
          </w:tcPr>
          <w:p>
            <w:pPr>
              <w:pStyle w:val="TableContents"/>
              <w:bidi w:val="0"/>
              <w:spacing w:before="0" w:after="283"/>
              <w:jc w:val="both"/>
              <w:rPr/>
            </w:pPr>
            <w:r>
              <w:rPr/>
              <w:t>Interest Payments; Default Interest</w:t>
            </w:r>
          </w:p>
        </w:tc>
        <w:tc>
          <w:tcPr>
            <w:tcW w:w="515" w:type="dxa"/>
            <w:tcBorders/>
            <w:vAlign w:val="center"/>
          </w:tcPr>
          <w:p>
            <w:pPr>
              <w:pStyle w:val="TableContents"/>
              <w:bidi w:val="0"/>
              <w:spacing w:before="0" w:after="283"/>
              <w:jc w:val="right"/>
              <w:rPr/>
            </w:pPr>
            <w:r>
              <w:rPr/>
              <w:t>38</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2.7</w:t>
            </w:r>
          </w:p>
        </w:tc>
        <w:tc>
          <w:tcPr>
            <w:tcW w:w="6185" w:type="dxa"/>
            <w:tcBorders/>
            <w:vAlign w:val="center"/>
          </w:tcPr>
          <w:p>
            <w:pPr>
              <w:pStyle w:val="TableContents"/>
              <w:bidi w:val="0"/>
              <w:spacing w:before="0" w:after="283"/>
              <w:jc w:val="both"/>
              <w:rPr/>
            </w:pPr>
            <w:r>
              <w:rPr/>
              <w:t>Optional Prepayments</w:t>
            </w:r>
          </w:p>
        </w:tc>
        <w:tc>
          <w:tcPr>
            <w:tcW w:w="515" w:type="dxa"/>
            <w:tcBorders/>
            <w:vAlign w:val="center"/>
          </w:tcPr>
          <w:p>
            <w:pPr>
              <w:pStyle w:val="TableContents"/>
              <w:bidi w:val="0"/>
              <w:spacing w:before="0" w:after="283"/>
              <w:jc w:val="right"/>
              <w:rPr/>
            </w:pPr>
            <w:r>
              <w:rPr/>
              <w:t>39</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2.8</w:t>
            </w:r>
          </w:p>
        </w:tc>
        <w:tc>
          <w:tcPr>
            <w:tcW w:w="6185" w:type="dxa"/>
            <w:tcBorders/>
            <w:vAlign w:val="center"/>
          </w:tcPr>
          <w:p>
            <w:pPr>
              <w:pStyle w:val="TableContents"/>
              <w:bidi w:val="0"/>
              <w:spacing w:before="0" w:after="283"/>
              <w:jc w:val="both"/>
              <w:rPr/>
            </w:pPr>
            <w:r>
              <w:rPr/>
              <w:t>Mandatory Repayment of Loans</w:t>
            </w:r>
          </w:p>
        </w:tc>
        <w:tc>
          <w:tcPr>
            <w:tcW w:w="515" w:type="dxa"/>
            <w:tcBorders/>
            <w:vAlign w:val="center"/>
          </w:tcPr>
          <w:p>
            <w:pPr>
              <w:pStyle w:val="TableContents"/>
              <w:bidi w:val="0"/>
              <w:spacing w:before="0" w:after="283"/>
              <w:jc w:val="right"/>
              <w:rPr/>
            </w:pPr>
            <w:r>
              <w:rPr/>
              <w:t>39</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2.9</w:t>
            </w:r>
          </w:p>
        </w:tc>
        <w:tc>
          <w:tcPr>
            <w:tcW w:w="6185" w:type="dxa"/>
            <w:tcBorders/>
            <w:vAlign w:val="center"/>
          </w:tcPr>
          <w:p>
            <w:pPr>
              <w:pStyle w:val="TableContents"/>
              <w:bidi w:val="0"/>
              <w:spacing w:before="0" w:after="283"/>
              <w:jc w:val="both"/>
              <w:rPr/>
            </w:pPr>
            <w:r>
              <w:rPr/>
              <w:t>Application of Payments</w:t>
            </w:r>
          </w:p>
        </w:tc>
        <w:tc>
          <w:tcPr>
            <w:tcW w:w="515" w:type="dxa"/>
            <w:tcBorders/>
            <w:vAlign w:val="center"/>
          </w:tcPr>
          <w:p>
            <w:pPr>
              <w:pStyle w:val="TableContents"/>
              <w:bidi w:val="0"/>
              <w:spacing w:before="0" w:after="283"/>
              <w:jc w:val="right"/>
              <w:rPr/>
            </w:pPr>
            <w:r>
              <w:rPr>
                <w:strike/>
                <w:color w:val="FF0000"/>
              </w:rPr>
              <w:t>41</w:t>
            </w:r>
            <w:r>
              <w:rPr>
                <w:color w:val="0000FF"/>
                <w:u w:val="single"/>
              </w:rPr>
              <w:t>40</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2.10</w:t>
            </w:r>
          </w:p>
        </w:tc>
        <w:tc>
          <w:tcPr>
            <w:tcW w:w="6185" w:type="dxa"/>
            <w:tcBorders/>
            <w:vAlign w:val="center"/>
          </w:tcPr>
          <w:p>
            <w:pPr>
              <w:pStyle w:val="TableContents"/>
              <w:bidi w:val="0"/>
              <w:spacing w:before="0" w:after="283"/>
              <w:jc w:val="both"/>
              <w:rPr/>
            </w:pPr>
            <w:r>
              <w:rPr/>
              <w:t>Use of Proceeds of Loans</w:t>
            </w:r>
          </w:p>
        </w:tc>
        <w:tc>
          <w:tcPr>
            <w:tcW w:w="515" w:type="dxa"/>
            <w:tcBorders/>
            <w:vAlign w:val="center"/>
          </w:tcPr>
          <w:p>
            <w:pPr>
              <w:pStyle w:val="TableContents"/>
              <w:bidi w:val="0"/>
              <w:spacing w:before="0" w:after="283"/>
              <w:jc w:val="right"/>
              <w:rPr/>
            </w:pPr>
            <w:r>
              <w:rPr/>
              <w:t>41</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2.11</w:t>
            </w:r>
          </w:p>
        </w:tc>
        <w:tc>
          <w:tcPr>
            <w:tcW w:w="6185" w:type="dxa"/>
            <w:tcBorders/>
            <w:vAlign w:val="center"/>
          </w:tcPr>
          <w:p>
            <w:pPr>
              <w:pStyle w:val="TableContents"/>
              <w:bidi w:val="0"/>
              <w:spacing w:before="0" w:after="283"/>
              <w:jc w:val="both"/>
              <w:rPr/>
            </w:pPr>
            <w:r>
              <w:rPr/>
              <w:t>Incremental Facilities</w:t>
            </w:r>
          </w:p>
        </w:tc>
        <w:tc>
          <w:tcPr>
            <w:tcW w:w="515" w:type="dxa"/>
            <w:tcBorders/>
            <w:vAlign w:val="center"/>
          </w:tcPr>
          <w:p>
            <w:pPr>
              <w:pStyle w:val="TableContents"/>
              <w:bidi w:val="0"/>
              <w:spacing w:before="0" w:after="283"/>
              <w:jc w:val="right"/>
              <w:rPr/>
            </w:pPr>
            <w:r>
              <w:rPr/>
              <w:t>41</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2.12</w:t>
            </w:r>
          </w:p>
        </w:tc>
        <w:tc>
          <w:tcPr>
            <w:tcW w:w="6185" w:type="dxa"/>
            <w:tcBorders/>
            <w:vAlign w:val="center"/>
          </w:tcPr>
          <w:p>
            <w:pPr>
              <w:pStyle w:val="TableContents"/>
              <w:bidi w:val="0"/>
              <w:spacing w:before="0" w:after="283"/>
              <w:jc w:val="both"/>
              <w:rPr/>
            </w:pPr>
            <w:r>
              <w:rPr/>
              <w:t>SOFR Option</w:t>
            </w:r>
          </w:p>
        </w:tc>
        <w:tc>
          <w:tcPr>
            <w:tcW w:w="515" w:type="dxa"/>
            <w:tcBorders/>
            <w:vAlign w:val="center"/>
          </w:tcPr>
          <w:p>
            <w:pPr>
              <w:pStyle w:val="TableContents"/>
              <w:bidi w:val="0"/>
              <w:spacing w:before="0" w:after="283"/>
              <w:jc w:val="right"/>
              <w:rPr/>
            </w:pPr>
            <w:r>
              <w:rPr/>
              <w:t>43</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2.13</w:t>
            </w:r>
          </w:p>
        </w:tc>
        <w:tc>
          <w:tcPr>
            <w:tcW w:w="6185" w:type="dxa"/>
            <w:tcBorders/>
            <w:vAlign w:val="center"/>
          </w:tcPr>
          <w:p>
            <w:pPr>
              <w:pStyle w:val="TableContents"/>
              <w:bidi w:val="0"/>
              <w:spacing w:before="0" w:after="283"/>
              <w:jc w:val="both"/>
              <w:rPr/>
            </w:pPr>
            <w:r>
              <w:rPr/>
              <w:t>Funding Losses</w:t>
            </w:r>
          </w:p>
        </w:tc>
        <w:tc>
          <w:tcPr>
            <w:tcW w:w="515" w:type="dxa"/>
            <w:tcBorders/>
            <w:vAlign w:val="center"/>
          </w:tcPr>
          <w:p>
            <w:pPr>
              <w:pStyle w:val="TableContents"/>
              <w:bidi w:val="0"/>
              <w:spacing w:before="0" w:after="283"/>
              <w:jc w:val="right"/>
              <w:rPr/>
            </w:pPr>
            <w:r>
              <w:rPr/>
              <w:t>46</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2.14</w:t>
            </w:r>
          </w:p>
        </w:tc>
        <w:tc>
          <w:tcPr>
            <w:tcW w:w="6185" w:type="dxa"/>
            <w:tcBorders/>
            <w:vAlign w:val="center"/>
          </w:tcPr>
          <w:p>
            <w:pPr>
              <w:pStyle w:val="TableContents"/>
              <w:bidi w:val="0"/>
              <w:spacing w:before="0" w:after="283"/>
              <w:jc w:val="both"/>
              <w:rPr/>
            </w:pPr>
            <w:r>
              <w:rPr/>
              <w:t>Impracticability or Illegality</w:t>
            </w:r>
          </w:p>
        </w:tc>
        <w:tc>
          <w:tcPr>
            <w:tcW w:w="515" w:type="dxa"/>
            <w:tcBorders/>
            <w:vAlign w:val="center"/>
          </w:tcPr>
          <w:p>
            <w:pPr>
              <w:pStyle w:val="TableContents"/>
              <w:bidi w:val="0"/>
              <w:spacing w:before="0" w:after="283"/>
              <w:ind w:left="0" w:right="0" w:hanging="0"/>
              <w:jc w:val="right"/>
              <w:rPr/>
            </w:pPr>
            <w:r>
              <w:rPr/>
              <w:t>46</w:t>
            </w:r>
          </w:p>
        </w:tc>
      </w:tr>
      <w:tr>
        <w:trPr/>
        <w:tc>
          <w:tcPr>
            <w:tcW w:w="215" w:type="dxa"/>
            <w:tcBorders/>
            <w:vAlign w:val="center"/>
          </w:tcPr>
          <w:p>
            <w:pPr>
              <w:pStyle w:val="TableContents"/>
              <w:bidi w:val="0"/>
              <w:spacing w:before="0" w:after="283"/>
              <w:ind w:left="0" w:right="0" w:hanging="0"/>
              <w:jc w:val="left"/>
              <w:rPr/>
            </w:pPr>
            <w:r>
              <w:rPr/>
              <w:t> </w:t>
            </w:r>
          </w:p>
        </w:tc>
        <w:tc>
          <w:tcPr>
            <w:tcW w:w="440" w:type="dxa"/>
            <w:tcBorders/>
            <w:vAlign w:val="center"/>
          </w:tcPr>
          <w:p>
            <w:pPr>
              <w:pStyle w:val="TableContents"/>
              <w:bidi w:val="0"/>
              <w:spacing w:before="0" w:after="283"/>
              <w:ind w:left="0" w:right="0" w:hanging="0"/>
              <w:jc w:val="left"/>
              <w:rPr/>
            </w:pPr>
            <w:r>
              <w:rPr/>
              <w:t> </w:t>
            </w:r>
          </w:p>
        </w:tc>
        <w:tc>
          <w:tcPr>
            <w:tcW w:w="6185" w:type="dxa"/>
            <w:tcBorders/>
            <w:vAlign w:val="center"/>
          </w:tcPr>
          <w:p>
            <w:pPr>
              <w:pStyle w:val="TableContents"/>
              <w:bidi w:val="0"/>
              <w:spacing w:before="0" w:after="283"/>
              <w:ind w:left="0" w:right="0" w:hanging="0"/>
              <w:jc w:val="left"/>
              <w:rPr/>
            </w:pPr>
            <w:r>
              <w:rPr/>
              <w:t> </w:t>
            </w:r>
          </w:p>
        </w:tc>
        <w:tc>
          <w:tcPr>
            <w:tcW w:w="515" w:type="dxa"/>
            <w:tcBorders/>
            <w:vAlign w:val="center"/>
          </w:tcPr>
          <w:p>
            <w:pPr>
              <w:pStyle w:val="TableContents"/>
              <w:bidi w:val="0"/>
              <w:spacing w:before="0" w:after="283"/>
              <w:jc w:val="right"/>
              <w:rPr/>
            </w:pPr>
            <w:r>
              <w:rPr/>
              <w:t> </w:t>
            </w:r>
          </w:p>
        </w:tc>
      </w:tr>
      <w:tr>
        <w:trPr/>
        <w:tc>
          <w:tcPr>
            <w:tcW w:w="215" w:type="dxa"/>
            <w:tcBorders/>
            <w:vAlign w:val="center"/>
          </w:tcPr>
          <w:p>
            <w:pPr>
              <w:pStyle w:val="TableContents"/>
              <w:bidi w:val="0"/>
              <w:spacing w:before="0" w:after="283"/>
              <w:jc w:val="both"/>
              <w:rPr/>
            </w:pPr>
            <w:r>
              <w:rPr/>
              <w:t>3.</w:t>
            </w:r>
          </w:p>
        </w:tc>
        <w:tc>
          <w:tcPr>
            <w:tcW w:w="6625" w:type="dxa"/>
            <w:gridSpan w:val="2"/>
            <w:tcBorders/>
            <w:vAlign w:val="center"/>
          </w:tcPr>
          <w:p>
            <w:pPr>
              <w:pStyle w:val="TableContents"/>
              <w:bidi w:val="0"/>
              <w:spacing w:before="0" w:after="283"/>
              <w:jc w:val="both"/>
              <w:rPr/>
            </w:pPr>
            <w:r>
              <w:rPr/>
              <w:t>[INTENTIONALLY OMITTED].</w:t>
            </w:r>
          </w:p>
        </w:tc>
        <w:tc>
          <w:tcPr>
            <w:tcW w:w="515" w:type="dxa"/>
            <w:tcBorders/>
            <w:vAlign w:val="center"/>
          </w:tcPr>
          <w:p>
            <w:pPr>
              <w:pStyle w:val="TableContents"/>
              <w:bidi w:val="0"/>
              <w:spacing w:before="0" w:after="283"/>
              <w:ind w:left="0" w:right="0" w:hanging="0"/>
              <w:jc w:val="right"/>
              <w:rPr/>
            </w:pPr>
            <w:r>
              <w:rPr/>
              <w:t>47</w:t>
            </w:r>
          </w:p>
        </w:tc>
      </w:tr>
      <w:tr>
        <w:trPr/>
        <w:tc>
          <w:tcPr>
            <w:tcW w:w="215" w:type="dxa"/>
            <w:tcBorders/>
            <w:vAlign w:val="center"/>
          </w:tcPr>
          <w:p>
            <w:pPr>
              <w:pStyle w:val="TableContents"/>
              <w:bidi w:val="0"/>
              <w:spacing w:before="0" w:after="283"/>
              <w:ind w:left="0" w:right="0" w:hanging="0"/>
              <w:jc w:val="left"/>
              <w:rPr/>
            </w:pPr>
            <w:r>
              <w:rPr/>
              <w:t> </w:t>
            </w:r>
          </w:p>
        </w:tc>
        <w:tc>
          <w:tcPr>
            <w:tcW w:w="440" w:type="dxa"/>
            <w:tcBorders/>
            <w:vAlign w:val="center"/>
          </w:tcPr>
          <w:p>
            <w:pPr>
              <w:pStyle w:val="TableContents"/>
              <w:bidi w:val="0"/>
              <w:spacing w:before="0" w:after="283"/>
              <w:ind w:left="0" w:right="0" w:hanging="0"/>
              <w:jc w:val="left"/>
              <w:rPr/>
            </w:pPr>
            <w:r>
              <w:rPr/>
              <w:t> </w:t>
            </w:r>
          </w:p>
        </w:tc>
        <w:tc>
          <w:tcPr>
            <w:tcW w:w="6185" w:type="dxa"/>
            <w:tcBorders/>
            <w:vAlign w:val="center"/>
          </w:tcPr>
          <w:p>
            <w:pPr>
              <w:pStyle w:val="TableContents"/>
              <w:bidi w:val="0"/>
              <w:spacing w:before="0" w:after="283"/>
              <w:ind w:left="0" w:right="0" w:hanging="0"/>
              <w:jc w:val="left"/>
              <w:rPr/>
            </w:pPr>
            <w:r>
              <w:rPr/>
              <w:t> </w:t>
            </w:r>
          </w:p>
        </w:tc>
        <w:tc>
          <w:tcPr>
            <w:tcW w:w="515" w:type="dxa"/>
            <w:tcBorders/>
            <w:vAlign w:val="center"/>
          </w:tcPr>
          <w:p>
            <w:pPr>
              <w:pStyle w:val="TableContents"/>
              <w:bidi w:val="0"/>
              <w:spacing w:before="0" w:after="283"/>
              <w:jc w:val="right"/>
              <w:rPr/>
            </w:pPr>
            <w:r>
              <w:rPr/>
              <w:t> </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4.</w:t>
            </w:r>
          </w:p>
        </w:tc>
        <w:tc>
          <w:tcPr>
            <w:tcW w:w="6185" w:type="dxa"/>
            <w:tcBorders/>
            <w:vAlign w:val="center"/>
          </w:tcPr>
          <w:p>
            <w:pPr>
              <w:pStyle w:val="TableContents"/>
              <w:bidi w:val="0"/>
              <w:spacing w:before="0" w:after="283"/>
              <w:jc w:val="both"/>
              <w:rPr/>
            </w:pPr>
            <w:r>
              <w:rPr/>
              <w:t>CONDITIONS.</w:t>
            </w:r>
          </w:p>
        </w:tc>
        <w:tc>
          <w:tcPr>
            <w:tcW w:w="515" w:type="dxa"/>
            <w:tcBorders/>
            <w:vAlign w:val="center"/>
          </w:tcPr>
          <w:p>
            <w:pPr>
              <w:pStyle w:val="TableContents"/>
              <w:bidi w:val="0"/>
              <w:spacing w:before="0" w:after="283"/>
              <w:jc w:val="right"/>
              <w:rPr/>
            </w:pPr>
            <w:r>
              <w:rPr/>
              <w:t>47</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4.1</w:t>
            </w:r>
          </w:p>
        </w:tc>
        <w:tc>
          <w:tcPr>
            <w:tcW w:w="6185" w:type="dxa"/>
            <w:tcBorders/>
            <w:vAlign w:val="center"/>
          </w:tcPr>
          <w:p>
            <w:pPr>
              <w:pStyle w:val="TableContents"/>
              <w:bidi w:val="0"/>
              <w:spacing w:before="0" w:after="283"/>
              <w:jc w:val="both"/>
              <w:rPr/>
            </w:pPr>
            <w:r>
              <w:rPr/>
              <w:t>Conditions to Effectiveness</w:t>
            </w:r>
          </w:p>
        </w:tc>
        <w:tc>
          <w:tcPr>
            <w:tcW w:w="515" w:type="dxa"/>
            <w:tcBorders/>
            <w:vAlign w:val="center"/>
          </w:tcPr>
          <w:p>
            <w:pPr>
              <w:pStyle w:val="TableContents"/>
              <w:bidi w:val="0"/>
              <w:spacing w:before="0" w:after="283"/>
              <w:jc w:val="right"/>
              <w:rPr/>
            </w:pPr>
            <w:r>
              <w:rPr/>
              <w:t>47</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4.2</w:t>
            </w:r>
          </w:p>
        </w:tc>
        <w:tc>
          <w:tcPr>
            <w:tcW w:w="6185" w:type="dxa"/>
            <w:tcBorders/>
            <w:vAlign w:val="center"/>
          </w:tcPr>
          <w:p>
            <w:pPr>
              <w:pStyle w:val="TableContents"/>
              <w:bidi w:val="0"/>
              <w:spacing w:before="0" w:after="283"/>
              <w:jc w:val="both"/>
              <w:rPr/>
            </w:pPr>
            <w:r>
              <w:rPr/>
              <w:t>Conditions to all Loans</w:t>
            </w:r>
          </w:p>
        </w:tc>
        <w:tc>
          <w:tcPr>
            <w:tcW w:w="515" w:type="dxa"/>
            <w:tcBorders/>
            <w:vAlign w:val="center"/>
          </w:tcPr>
          <w:p>
            <w:pPr>
              <w:pStyle w:val="TableContents"/>
              <w:bidi w:val="0"/>
              <w:spacing w:before="0" w:after="283"/>
              <w:jc w:val="right"/>
              <w:rPr/>
            </w:pPr>
            <w:r>
              <w:rPr/>
              <w:t>50</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4.3</w:t>
            </w:r>
          </w:p>
        </w:tc>
        <w:tc>
          <w:tcPr>
            <w:tcW w:w="6185" w:type="dxa"/>
            <w:tcBorders/>
            <w:vAlign w:val="center"/>
          </w:tcPr>
          <w:p>
            <w:pPr>
              <w:pStyle w:val="TableContents"/>
              <w:bidi w:val="0"/>
              <w:spacing w:before="0" w:after="283"/>
              <w:jc w:val="both"/>
              <w:rPr/>
            </w:pPr>
            <w:r>
              <w:rPr/>
              <w:t>Conditions Subsequent to Effectiveness</w:t>
            </w:r>
          </w:p>
        </w:tc>
        <w:tc>
          <w:tcPr>
            <w:tcW w:w="515" w:type="dxa"/>
            <w:tcBorders/>
            <w:vAlign w:val="center"/>
          </w:tcPr>
          <w:p>
            <w:pPr>
              <w:pStyle w:val="TableContents"/>
              <w:bidi w:val="0"/>
              <w:spacing w:before="0" w:after="283"/>
              <w:ind w:left="0" w:right="0" w:hanging="0"/>
              <w:jc w:val="right"/>
              <w:rPr/>
            </w:pPr>
            <w:r>
              <w:rPr>
                <w:strike/>
                <w:color w:val="FF0000"/>
              </w:rPr>
              <w:t>50</w:t>
            </w:r>
            <w:r>
              <w:rPr>
                <w:color w:val="0000FF"/>
                <w:u w:val="single"/>
              </w:rPr>
              <w:t>51</w:t>
            </w:r>
          </w:p>
        </w:tc>
      </w:tr>
      <w:tr>
        <w:trPr/>
        <w:tc>
          <w:tcPr>
            <w:tcW w:w="215" w:type="dxa"/>
            <w:tcBorders/>
            <w:vAlign w:val="center"/>
          </w:tcPr>
          <w:p>
            <w:pPr>
              <w:pStyle w:val="TableContents"/>
              <w:bidi w:val="0"/>
              <w:spacing w:before="0" w:after="283"/>
              <w:ind w:left="0" w:right="0" w:hanging="0"/>
              <w:jc w:val="left"/>
              <w:rPr/>
            </w:pPr>
            <w:r>
              <w:rPr/>
              <w:t> </w:t>
            </w:r>
          </w:p>
        </w:tc>
        <w:tc>
          <w:tcPr>
            <w:tcW w:w="440" w:type="dxa"/>
            <w:tcBorders/>
            <w:vAlign w:val="center"/>
          </w:tcPr>
          <w:p>
            <w:pPr>
              <w:pStyle w:val="TableContents"/>
              <w:bidi w:val="0"/>
              <w:spacing w:before="0" w:after="283"/>
              <w:ind w:left="0" w:right="0" w:hanging="0"/>
              <w:jc w:val="left"/>
              <w:rPr/>
            </w:pPr>
            <w:r>
              <w:rPr/>
              <w:t> </w:t>
            </w:r>
          </w:p>
        </w:tc>
        <w:tc>
          <w:tcPr>
            <w:tcW w:w="6185" w:type="dxa"/>
            <w:tcBorders/>
            <w:vAlign w:val="center"/>
          </w:tcPr>
          <w:p>
            <w:pPr>
              <w:pStyle w:val="TableContents"/>
              <w:bidi w:val="0"/>
              <w:spacing w:before="0" w:after="283"/>
              <w:ind w:left="0" w:right="0" w:hanging="0"/>
              <w:jc w:val="left"/>
              <w:rPr/>
            </w:pPr>
            <w:r>
              <w:rPr/>
              <w:t> </w:t>
            </w:r>
          </w:p>
        </w:tc>
        <w:tc>
          <w:tcPr>
            <w:tcW w:w="515" w:type="dxa"/>
            <w:tcBorders/>
            <w:vAlign w:val="center"/>
          </w:tcPr>
          <w:p>
            <w:pPr>
              <w:pStyle w:val="TableContents"/>
              <w:bidi w:val="0"/>
              <w:spacing w:before="0" w:after="283"/>
              <w:jc w:val="right"/>
              <w:rPr/>
            </w:pPr>
            <w:r>
              <w:rPr/>
              <w:t> </w:t>
            </w:r>
          </w:p>
        </w:tc>
      </w:tr>
      <w:tr>
        <w:trPr/>
        <w:tc>
          <w:tcPr>
            <w:tcW w:w="215" w:type="dxa"/>
            <w:tcBorders/>
            <w:vAlign w:val="center"/>
          </w:tcPr>
          <w:p>
            <w:pPr>
              <w:pStyle w:val="TableContents"/>
              <w:bidi w:val="0"/>
              <w:spacing w:before="0" w:after="283"/>
              <w:jc w:val="left"/>
              <w:rPr/>
            </w:pPr>
            <w:r>
              <w:rPr/>
              <w:t>5.</w:t>
            </w:r>
          </w:p>
        </w:tc>
        <w:tc>
          <w:tcPr>
            <w:tcW w:w="6625" w:type="dxa"/>
            <w:gridSpan w:val="2"/>
            <w:tcBorders/>
            <w:vAlign w:val="center"/>
          </w:tcPr>
          <w:p>
            <w:pPr>
              <w:pStyle w:val="TableContents"/>
              <w:bidi w:val="0"/>
              <w:spacing w:before="0" w:after="283"/>
              <w:jc w:val="left"/>
              <w:rPr/>
            </w:pPr>
            <w:r>
              <w:rPr/>
              <w:t>REPRESENTATIONS AND WARRANTIES.</w:t>
            </w:r>
          </w:p>
        </w:tc>
        <w:tc>
          <w:tcPr>
            <w:tcW w:w="515" w:type="dxa"/>
            <w:tcBorders/>
            <w:vAlign w:val="center"/>
          </w:tcPr>
          <w:p>
            <w:pPr>
              <w:pStyle w:val="TableContents"/>
              <w:bidi w:val="0"/>
              <w:spacing w:before="0" w:after="283"/>
              <w:jc w:val="right"/>
              <w:rPr/>
            </w:pPr>
            <w:r>
              <w:rPr/>
              <w:t>51</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5.1</w:t>
            </w:r>
          </w:p>
        </w:tc>
        <w:tc>
          <w:tcPr>
            <w:tcW w:w="6185" w:type="dxa"/>
            <w:tcBorders/>
            <w:vAlign w:val="center"/>
          </w:tcPr>
          <w:p>
            <w:pPr>
              <w:pStyle w:val="TableContents"/>
              <w:bidi w:val="0"/>
              <w:spacing w:before="0" w:after="283"/>
              <w:jc w:val="both"/>
              <w:rPr/>
            </w:pPr>
            <w:r>
              <w:rPr/>
              <w:t>Corporate Authority</w:t>
            </w:r>
          </w:p>
        </w:tc>
        <w:tc>
          <w:tcPr>
            <w:tcW w:w="515" w:type="dxa"/>
            <w:tcBorders/>
            <w:vAlign w:val="center"/>
          </w:tcPr>
          <w:p>
            <w:pPr>
              <w:pStyle w:val="TableContents"/>
              <w:bidi w:val="0"/>
              <w:spacing w:before="0" w:after="283"/>
              <w:jc w:val="right"/>
              <w:rPr/>
            </w:pPr>
            <w:r>
              <w:rPr/>
              <w:t>51</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5.2</w:t>
            </w:r>
          </w:p>
        </w:tc>
        <w:tc>
          <w:tcPr>
            <w:tcW w:w="6185" w:type="dxa"/>
            <w:tcBorders/>
            <w:vAlign w:val="center"/>
          </w:tcPr>
          <w:p>
            <w:pPr>
              <w:pStyle w:val="TableContents"/>
              <w:bidi w:val="0"/>
              <w:spacing w:before="0" w:after="283"/>
              <w:jc w:val="both"/>
              <w:rPr/>
            </w:pPr>
            <w:r>
              <w:rPr/>
              <w:t>Due Authorization</w:t>
            </w:r>
          </w:p>
        </w:tc>
        <w:tc>
          <w:tcPr>
            <w:tcW w:w="515" w:type="dxa"/>
            <w:tcBorders/>
            <w:vAlign w:val="center"/>
          </w:tcPr>
          <w:p>
            <w:pPr>
              <w:pStyle w:val="TableContents"/>
              <w:bidi w:val="0"/>
              <w:spacing w:before="0" w:after="283"/>
              <w:jc w:val="right"/>
              <w:rPr/>
            </w:pPr>
            <w:r>
              <w:rPr/>
              <w:t>51</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5.3</w:t>
            </w:r>
          </w:p>
        </w:tc>
        <w:tc>
          <w:tcPr>
            <w:tcW w:w="6185" w:type="dxa"/>
            <w:tcBorders/>
            <w:vAlign w:val="center"/>
          </w:tcPr>
          <w:p>
            <w:pPr>
              <w:pStyle w:val="TableContents"/>
              <w:bidi w:val="0"/>
              <w:spacing w:before="0" w:after="283"/>
              <w:jc w:val="both"/>
              <w:rPr/>
            </w:pPr>
            <w:r>
              <w:rPr/>
              <w:t>Good Title; Leases; Assets; No Liens</w:t>
            </w:r>
          </w:p>
        </w:tc>
        <w:tc>
          <w:tcPr>
            <w:tcW w:w="515" w:type="dxa"/>
            <w:tcBorders/>
            <w:vAlign w:val="center"/>
          </w:tcPr>
          <w:p>
            <w:pPr>
              <w:pStyle w:val="TableContents"/>
              <w:bidi w:val="0"/>
              <w:spacing w:before="0" w:after="283"/>
              <w:jc w:val="right"/>
              <w:rPr/>
            </w:pPr>
            <w:r>
              <w:rPr/>
              <w:t>51</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5.4</w:t>
            </w:r>
          </w:p>
        </w:tc>
        <w:tc>
          <w:tcPr>
            <w:tcW w:w="6185" w:type="dxa"/>
            <w:tcBorders/>
            <w:vAlign w:val="center"/>
          </w:tcPr>
          <w:p>
            <w:pPr>
              <w:pStyle w:val="TableContents"/>
              <w:bidi w:val="0"/>
              <w:spacing w:before="0" w:after="283"/>
              <w:jc w:val="both"/>
              <w:rPr/>
            </w:pPr>
            <w:r>
              <w:rPr/>
              <w:t>Taxes</w:t>
            </w:r>
          </w:p>
        </w:tc>
        <w:tc>
          <w:tcPr>
            <w:tcW w:w="515" w:type="dxa"/>
            <w:tcBorders/>
            <w:vAlign w:val="center"/>
          </w:tcPr>
          <w:p>
            <w:pPr>
              <w:pStyle w:val="TableContents"/>
              <w:bidi w:val="0"/>
              <w:spacing w:before="0" w:after="283"/>
              <w:jc w:val="right"/>
              <w:rPr/>
            </w:pPr>
            <w:r>
              <w:rPr/>
              <w:t>52</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5.5</w:t>
            </w:r>
          </w:p>
        </w:tc>
        <w:tc>
          <w:tcPr>
            <w:tcW w:w="6185" w:type="dxa"/>
            <w:tcBorders/>
            <w:vAlign w:val="center"/>
          </w:tcPr>
          <w:p>
            <w:pPr>
              <w:pStyle w:val="TableContents"/>
              <w:bidi w:val="0"/>
              <w:spacing w:before="0" w:after="283"/>
              <w:jc w:val="both"/>
              <w:rPr/>
            </w:pPr>
            <w:r>
              <w:rPr/>
              <w:t>No Defaults</w:t>
            </w:r>
          </w:p>
        </w:tc>
        <w:tc>
          <w:tcPr>
            <w:tcW w:w="515" w:type="dxa"/>
            <w:tcBorders/>
            <w:vAlign w:val="center"/>
          </w:tcPr>
          <w:p>
            <w:pPr>
              <w:pStyle w:val="TableContents"/>
              <w:bidi w:val="0"/>
              <w:spacing w:before="0" w:after="283"/>
              <w:jc w:val="right"/>
              <w:rPr/>
            </w:pPr>
            <w:r>
              <w:rPr/>
              <w:t>52</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5.6</w:t>
            </w:r>
          </w:p>
        </w:tc>
        <w:tc>
          <w:tcPr>
            <w:tcW w:w="6185" w:type="dxa"/>
            <w:tcBorders/>
            <w:vAlign w:val="center"/>
          </w:tcPr>
          <w:p>
            <w:pPr>
              <w:pStyle w:val="TableContents"/>
              <w:bidi w:val="0"/>
              <w:spacing w:before="0" w:after="283"/>
              <w:jc w:val="both"/>
              <w:rPr/>
            </w:pPr>
            <w:r>
              <w:rPr/>
              <w:t>Enforceability of Agreement and Loan Documents</w:t>
            </w:r>
          </w:p>
        </w:tc>
        <w:tc>
          <w:tcPr>
            <w:tcW w:w="515" w:type="dxa"/>
            <w:tcBorders/>
            <w:vAlign w:val="center"/>
          </w:tcPr>
          <w:p>
            <w:pPr>
              <w:pStyle w:val="TableContents"/>
              <w:bidi w:val="0"/>
              <w:spacing w:before="0" w:after="283"/>
              <w:jc w:val="right"/>
              <w:rPr/>
            </w:pPr>
            <w:r>
              <w:rPr/>
              <w:t>52</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5.7</w:t>
            </w:r>
          </w:p>
        </w:tc>
        <w:tc>
          <w:tcPr>
            <w:tcW w:w="6185" w:type="dxa"/>
            <w:tcBorders/>
            <w:vAlign w:val="center"/>
          </w:tcPr>
          <w:p>
            <w:pPr>
              <w:pStyle w:val="TableContents"/>
              <w:bidi w:val="0"/>
              <w:spacing w:before="0" w:after="283"/>
              <w:jc w:val="both"/>
              <w:rPr/>
            </w:pPr>
            <w:r>
              <w:rPr/>
              <w:t>Compliance with Laws</w:t>
            </w:r>
          </w:p>
        </w:tc>
        <w:tc>
          <w:tcPr>
            <w:tcW w:w="515" w:type="dxa"/>
            <w:tcBorders/>
            <w:vAlign w:val="center"/>
          </w:tcPr>
          <w:p>
            <w:pPr>
              <w:pStyle w:val="TableContents"/>
              <w:bidi w:val="0"/>
              <w:spacing w:before="0" w:after="283"/>
              <w:jc w:val="right"/>
              <w:rPr/>
            </w:pPr>
            <w:r>
              <w:rPr>
                <w:strike/>
                <w:color w:val="FF0000"/>
              </w:rPr>
              <w:t>52</w:t>
            </w:r>
            <w:r>
              <w:rPr>
                <w:color w:val="0000FF"/>
                <w:u w:val="single"/>
              </w:rPr>
              <w:t>53</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5.8</w:t>
            </w:r>
          </w:p>
        </w:tc>
        <w:tc>
          <w:tcPr>
            <w:tcW w:w="6185" w:type="dxa"/>
            <w:tcBorders/>
            <w:vAlign w:val="center"/>
          </w:tcPr>
          <w:p>
            <w:pPr>
              <w:pStyle w:val="TableContents"/>
              <w:bidi w:val="0"/>
              <w:spacing w:before="0" w:after="283"/>
              <w:jc w:val="both"/>
              <w:rPr/>
            </w:pPr>
            <w:r>
              <w:rPr/>
              <w:t>Non-contravention</w:t>
            </w:r>
          </w:p>
        </w:tc>
        <w:tc>
          <w:tcPr>
            <w:tcW w:w="515" w:type="dxa"/>
            <w:tcBorders/>
            <w:vAlign w:val="center"/>
          </w:tcPr>
          <w:p>
            <w:pPr>
              <w:pStyle w:val="TableContents"/>
              <w:bidi w:val="0"/>
              <w:spacing w:before="0" w:after="283"/>
              <w:jc w:val="right"/>
              <w:rPr/>
            </w:pPr>
            <w:r>
              <w:rPr/>
              <w:t>53</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5.9</w:t>
            </w:r>
          </w:p>
        </w:tc>
        <w:tc>
          <w:tcPr>
            <w:tcW w:w="6185" w:type="dxa"/>
            <w:tcBorders/>
            <w:vAlign w:val="center"/>
          </w:tcPr>
          <w:p>
            <w:pPr>
              <w:pStyle w:val="TableContents"/>
              <w:bidi w:val="0"/>
              <w:spacing w:before="0" w:after="283"/>
              <w:jc w:val="both"/>
              <w:rPr/>
            </w:pPr>
            <w:r>
              <w:rPr/>
              <w:t>Litigation</w:t>
            </w:r>
          </w:p>
        </w:tc>
        <w:tc>
          <w:tcPr>
            <w:tcW w:w="515" w:type="dxa"/>
            <w:tcBorders/>
            <w:vAlign w:val="center"/>
          </w:tcPr>
          <w:p>
            <w:pPr>
              <w:pStyle w:val="TableContents"/>
              <w:bidi w:val="0"/>
              <w:spacing w:before="0" w:after="283"/>
              <w:jc w:val="right"/>
              <w:rPr/>
            </w:pPr>
            <w:r>
              <w:rPr/>
              <w:t>53</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5.10</w:t>
            </w:r>
          </w:p>
        </w:tc>
        <w:tc>
          <w:tcPr>
            <w:tcW w:w="6185" w:type="dxa"/>
            <w:tcBorders/>
            <w:vAlign w:val="center"/>
          </w:tcPr>
          <w:p>
            <w:pPr>
              <w:pStyle w:val="TableContents"/>
              <w:bidi w:val="0"/>
              <w:spacing w:before="0" w:after="283"/>
              <w:jc w:val="both"/>
              <w:rPr/>
            </w:pPr>
            <w:r>
              <w:rPr/>
              <w:t>Consents, Approvals and Filings, Etc</w:t>
            </w:r>
          </w:p>
        </w:tc>
        <w:tc>
          <w:tcPr>
            <w:tcW w:w="515" w:type="dxa"/>
            <w:tcBorders/>
            <w:vAlign w:val="center"/>
          </w:tcPr>
          <w:p>
            <w:pPr>
              <w:pStyle w:val="TableContents"/>
              <w:bidi w:val="0"/>
              <w:spacing w:before="0" w:after="283"/>
              <w:jc w:val="right"/>
              <w:rPr/>
            </w:pPr>
            <w:r>
              <w:rPr/>
              <w:t>53</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5.11</w:t>
            </w:r>
          </w:p>
        </w:tc>
        <w:tc>
          <w:tcPr>
            <w:tcW w:w="6185" w:type="dxa"/>
            <w:tcBorders/>
            <w:vAlign w:val="center"/>
          </w:tcPr>
          <w:p>
            <w:pPr>
              <w:pStyle w:val="TableContents"/>
              <w:bidi w:val="0"/>
              <w:spacing w:before="0" w:after="283"/>
              <w:jc w:val="both"/>
              <w:rPr/>
            </w:pPr>
            <w:r>
              <w:rPr/>
              <w:t>Agreements Affecting Financial Condition</w:t>
            </w:r>
          </w:p>
        </w:tc>
        <w:tc>
          <w:tcPr>
            <w:tcW w:w="515" w:type="dxa"/>
            <w:tcBorders/>
            <w:vAlign w:val="center"/>
          </w:tcPr>
          <w:p>
            <w:pPr>
              <w:pStyle w:val="TableContents"/>
              <w:bidi w:val="0"/>
              <w:spacing w:before="0" w:after="283"/>
              <w:jc w:val="right"/>
              <w:rPr/>
            </w:pPr>
            <w:r>
              <w:rPr/>
              <w:t>54</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5.12</w:t>
            </w:r>
          </w:p>
        </w:tc>
        <w:tc>
          <w:tcPr>
            <w:tcW w:w="6185" w:type="dxa"/>
            <w:tcBorders/>
            <w:vAlign w:val="center"/>
          </w:tcPr>
          <w:p>
            <w:pPr>
              <w:pStyle w:val="TableContents"/>
              <w:bidi w:val="0"/>
              <w:spacing w:before="0" w:after="283"/>
              <w:jc w:val="both"/>
              <w:rPr/>
            </w:pPr>
            <w:r>
              <w:rPr/>
              <w:t>No Investment Company or Margin Stock</w:t>
            </w:r>
          </w:p>
        </w:tc>
        <w:tc>
          <w:tcPr>
            <w:tcW w:w="515" w:type="dxa"/>
            <w:tcBorders/>
            <w:vAlign w:val="center"/>
          </w:tcPr>
          <w:p>
            <w:pPr>
              <w:pStyle w:val="TableContents"/>
              <w:bidi w:val="0"/>
              <w:spacing w:before="0" w:after="283"/>
              <w:jc w:val="right"/>
              <w:rPr/>
            </w:pPr>
            <w:r>
              <w:rPr/>
              <w:t>54</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5.13</w:t>
            </w:r>
          </w:p>
        </w:tc>
        <w:tc>
          <w:tcPr>
            <w:tcW w:w="6185" w:type="dxa"/>
            <w:tcBorders/>
            <w:vAlign w:val="center"/>
          </w:tcPr>
          <w:p>
            <w:pPr>
              <w:pStyle w:val="TableContents"/>
              <w:bidi w:val="0"/>
              <w:spacing w:before="0" w:after="283"/>
              <w:jc w:val="both"/>
              <w:rPr/>
            </w:pPr>
            <w:r>
              <w:rPr/>
              <w:t>ERISA</w:t>
            </w:r>
          </w:p>
        </w:tc>
        <w:tc>
          <w:tcPr>
            <w:tcW w:w="515" w:type="dxa"/>
            <w:tcBorders/>
            <w:vAlign w:val="center"/>
          </w:tcPr>
          <w:p>
            <w:pPr>
              <w:pStyle w:val="TableContents"/>
              <w:bidi w:val="0"/>
              <w:spacing w:before="0" w:after="283"/>
              <w:jc w:val="right"/>
              <w:rPr/>
            </w:pPr>
            <w:r>
              <w:rPr/>
              <w:t>54</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7" w:right="117"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p>
      <w:pPr>
        <w:pStyle w:val="TextBody"/>
        <w:bidi w:val="0"/>
        <w:spacing w:before="0" w:after="0"/>
        <w:ind w:left="119" w:right="119" w:firstLine="720"/>
        <w:jc w:val="right"/>
        <w:rPr>
          <w:caps w:val="false"/>
          <w:smallCaps w:val="false"/>
        </w:rPr>
      </w:pPr>
      <w:r>
        <w:rPr>
          <w:caps w:val="false"/>
          <w:smallCaps w:val="false"/>
        </w:rPr>
        <w:t> </w:t>
      </w:r>
    </w:p>
    <w:tbl>
      <w:tblPr>
        <w:tblW w:w="8390" w:type="dxa"/>
        <w:jc w:val="left"/>
        <w:tblInd w:w="0" w:type="dxa"/>
        <w:tblLayout w:type="fixed"/>
        <w:tblCellMar>
          <w:top w:w="0" w:type="dxa"/>
          <w:left w:w="0" w:type="dxa"/>
          <w:bottom w:w="0" w:type="dxa"/>
          <w:right w:w="0" w:type="dxa"/>
        </w:tblCellMar>
      </w:tblPr>
      <w:tblGrid>
        <w:gridCol w:w="215"/>
        <w:gridCol w:w="440"/>
        <w:gridCol w:w="7220"/>
        <w:gridCol w:w="515"/>
      </w:tblGrid>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5.14</w:t>
            </w:r>
          </w:p>
        </w:tc>
        <w:tc>
          <w:tcPr>
            <w:tcW w:w="7220" w:type="dxa"/>
            <w:tcBorders/>
            <w:vAlign w:val="center"/>
          </w:tcPr>
          <w:p>
            <w:pPr>
              <w:pStyle w:val="TableContents"/>
              <w:bidi w:val="0"/>
              <w:spacing w:before="0" w:after="283"/>
              <w:jc w:val="both"/>
              <w:rPr/>
            </w:pPr>
            <w:r>
              <w:rPr/>
              <w:t>Conditions Affecting Business or Properties</w:t>
            </w:r>
          </w:p>
        </w:tc>
        <w:tc>
          <w:tcPr>
            <w:tcW w:w="515" w:type="dxa"/>
            <w:tcBorders/>
            <w:vAlign w:val="center"/>
          </w:tcPr>
          <w:p>
            <w:pPr>
              <w:pStyle w:val="TableContents"/>
              <w:bidi w:val="0"/>
              <w:spacing w:before="0" w:after="283"/>
              <w:jc w:val="right"/>
              <w:rPr/>
            </w:pPr>
            <w:r>
              <w:rPr/>
              <w:t>54</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5.15</w:t>
            </w:r>
          </w:p>
        </w:tc>
        <w:tc>
          <w:tcPr>
            <w:tcW w:w="7220" w:type="dxa"/>
            <w:tcBorders/>
            <w:vAlign w:val="center"/>
          </w:tcPr>
          <w:p>
            <w:pPr>
              <w:pStyle w:val="TableContents"/>
              <w:bidi w:val="0"/>
              <w:spacing w:before="0" w:after="283"/>
              <w:jc w:val="both"/>
              <w:rPr/>
            </w:pPr>
            <w:r>
              <w:rPr/>
              <w:t>Environmental and Safety Matters</w:t>
            </w:r>
          </w:p>
        </w:tc>
        <w:tc>
          <w:tcPr>
            <w:tcW w:w="515" w:type="dxa"/>
            <w:tcBorders/>
            <w:vAlign w:val="center"/>
          </w:tcPr>
          <w:p>
            <w:pPr>
              <w:pStyle w:val="TableContents"/>
              <w:bidi w:val="0"/>
              <w:spacing w:before="0" w:after="283"/>
              <w:jc w:val="right"/>
              <w:rPr/>
            </w:pPr>
            <w:r>
              <w:rPr/>
              <w:t>54</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5.16</w:t>
            </w:r>
          </w:p>
        </w:tc>
        <w:tc>
          <w:tcPr>
            <w:tcW w:w="7220" w:type="dxa"/>
            <w:tcBorders/>
            <w:vAlign w:val="center"/>
          </w:tcPr>
          <w:p>
            <w:pPr>
              <w:pStyle w:val="TableContents"/>
              <w:bidi w:val="0"/>
              <w:spacing w:before="0" w:after="283"/>
              <w:jc w:val="both"/>
              <w:rPr/>
            </w:pPr>
            <w:r>
              <w:rPr/>
              <w:t>Subsidiaries</w:t>
            </w:r>
          </w:p>
        </w:tc>
        <w:tc>
          <w:tcPr>
            <w:tcW w:w="515" w:type="dxa"/>
            <w:tcBorders/>
            <w:vAlign w:val="center"/>
          </w:tcPr>
          <w:p>
            <w:pPr>
              <w:pStyle w:val="TableContents"/>
              <w:bidi w:val="0"/>
              <w:spacing w:before="0" w:after="283"/>
              <w:jc w:val="right"/>
              <w:rPr/>
            </w:pPr>
            <w:r>
              <w:rPr/>
              <w:t>55</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5.17</w:t>
            </w:r>
          </w:p>
        </w:tc>
        <w:tc>
          <w:tcPr>
            <w:tcW w:w="7220" w:type="dxa"/>
            <w:tcBorders/>
            <w:vAlign w:val="center"/>
          </w:tcPr>
          <w:p>
            <w:pPr>
              <w:pStyle w:val="TableContents"/>
              <w:bidi w:val="0"/>
              <w:spacing w:before="0" w:after="283"/>
              <w:jc w:val="both"/>
              <w:rPr/>
            </w:pPr>
            <w:r>
              <w:rPr/>
              <w:t>Adverse Agreements, Etc</w:t>
            </w:r>
          </w:p>
        </w:tc>
        <w:tc>
          <w:tcPr>
            <w:tcW w:w="515" w:type="dxa"/>
            <w:tcBorders/>
            <w:vAlign w:val="center"/>
          </w:tcPr>
          <w:p>
            <w:pPr>
              <w:pStyle w:val="TableContents"/>
              <w:bidi w:val="0"/>
              <w:spacing w:before="0" w:after="283"/>
              <w:jc w:val="right"/>
              <w:rPr/>
            </w:pPr>
            <w:r>
              <w:rPr/>
              <w:t>55</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5.18</w:t>
            </w:r>
          </w:p>
        </w:tc>
        <w:tc>
          <w:tcPr>
            <w:tcW w:w="7220" w:type="dxa"/>
            <w:tcBorders/>
            <w:vAlign w:val="center"/>
          </w:tcPr>
          <w:p>
            <w:pPr>
              <w:pStyle w:val="TableContents"/>
              <w:bidi w:val="0"/>
              <w:spacing w:before="0" w:after="283"/>
              <w:jc w:val="both"/>
              <w:rPr/>
            </w:pPr>
            <w:r>
              <w:rPr/>
              <w:t>Material Contracts</w:t>
            </w:r>
          </w:p>
        </w:tc>
        <w:tc>
          <w:tcPr>
            <w:tcW w:w="515" w:type="dxa"/>
            <w:tcBorders/>
            <w:vAlign w:val="center"/>
          </w:tcPr>
          <w:p>
            <w:pPr>
              <w:pStyle w:val="TableContents"/>
              <w:bidi w:val="0"/>
              <w:spacing w:before="0" w:after="283"/>
              <w:jc w:val="right"/>
              <w:rPr/>
            </w:pPr>
            <w:r>
              <w:rPr/>
              <w:t>55</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5.19</w:t>
            </w:r>
          </w:p>
        </w:tc>
        <w:tc>
          <w:tcPr>
            <w:tcW w:w="7220" w:type="dxa"/>
            <w:tcBorders/>
            <w:vAlign w:val="center"/>
          </w:tcPr>
          <w:p>
            <w:pPr>
              <w:pStyle w:val="TableContents"/>
              <w:bidi w:val="0"/>
              <w:spacing w:before="0" w:after="283"/>
              <w:jc w:val="both"/>
              <w:rPr/>
            </w:pPr>
            <w:r>
              <w:rPr/>
              <w:t>Insurance</w:t>
            </w:r>
          </w:p>
        </w:tc>
        <w:tc>
          <w:tcPr>
            <w:tcW w:w="515" w:type="dxa"/>
            <w:tcBorders/>
            <w:vAlign w:val="center"/>
          </w:tcPr>
          <w:p>
            <w:pPr>
              <w:pStyle w:val="TableContents"/>
              <w:bidi w:val="0"/>
              <w:spacing w:before="0" w:after="283"/>
              <w:jc w:val="right"/>
              <w:rPr/>
            </w:pPr>
            <w:r>
              <w:rPr/>
              <w:t>55</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5.20</w:t>
            </w:r>
          </w:p>
        </w:tc>
        <w:tc>
          <w:tcPr>
            <w:tcW w:w="7220" w:type="dxa"/>
            <w:tcBorders/>
            <w:vAlign w:val="center"/>
          </w:tcPr>
          <w:p>
            <w:pPr>
              <w:pStyle w:val="TableContents"/>
              <w:bidi w:val="0"/>
              <w:spacing w:before="0" w:after="283"/>
              <w:jc w:val="both"/>
              <w:rPr/>
            </w:pPr>
            <w:r>
              <w:rPr/>
              <w:t>Capital Structure</w:t>
            </w:r>
          </w:p>
        </w:tc>
        <w:tc>
          <w:tcPr>
            <w:tcW w:w="515" w:type="dxa"/>
            <w:tcBorders/>
            <w:vAlign w:val="center"/>
          </w:tcPr>
          <w:p>
            <w:pPr>
              <w:pStyle w:val="TableContents"/>
              <w:bidi w:val="0"/>
              <w:spacing w:before="0" w:after="283"/>
              <w:jc w:val="right"/>
              <w:rPr/>
            </w:pPr>
            <w:r>
              <w:rPr/>
              <w:t>55</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5.21</w:t>
            </w:r>
          </w:p>
        </w:tc>
        <w:tc>
          <w:tcPr>
            <w:tcW w:w="7220" w:type="dxa"/>
            <w:tcBorders/>
            <w:vAlign w:val="center"/>
          </w:tcPr>
          <w:p>
            <w:pPr>
              <w:pStyle w:val="TableContents"/>
              <w:bidi w:val="0"/>
              <w:spacing w:before="0" w:after="283"/>
              <w:jc w:val="both"/>
              <w:rPr/>
            </w:pPr>
            <w:r>
              <w:rPr/>
              <w:t>Accuracy of Information</w:t>
            </w:r>
          </w:p>
        </w:tc>
        <w:tc>
          <w:tcPr>
            <w:tcW w:w="515" w:type="dxa"/>
            <w:tcBorders/>
            <w:vAlign w:val="center"/>
          </w:tcPr>
          <w:p>
            <w:pPr>
              <w:pStyle w:val="TableContents"/>
              <w:bidi w:val="0"/>
              <w:spacing w:before="0" w:after="283"/>
              <w:jc w:val="right"/>
              <w:rPr/>
            </w:pPr>
            <w:r>
              <w:rPr/>
              <w:t>55</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5.22</w:t>
            </w:r>
          </w:p>
        </w:tc>
        <w:tc>
          <w:tcPr>
            <w:tcW w:w="7220" w:type="dxa"/>
            <w:tcBorders/>
            <w:vAlign w:val="center"/>
          </w:tcPr>
          <w:p>
            <w:pPr>
              <w:pStyle w:val="TableContents"/>
              <w:bidi w:val="0"/>
              <w:spacing w:before="0" w:after="283"/>
              <w:jc w:val="both"/>
              <w:rPr/>
            </w:pPr>
            <w:r>
              <w:rPr/>
              <w:t>Solvency</w:t>
            </w:r>
          </w:p>
        </w:tc>
        <w:tc>
          <w:tcPr>
            <w:tcW w:w="515" w:type="dxa"/>
            <w:tcBorders/>
            <w:vAlign w:val="center"/>
          </w:tcPr>
          <w:p>
            <w:pPr>
              <w:pStyle w:val="TableContents"/>
              <w:bidi w:val="0"/>
              <w:spacing w:before="0" w:after="283"/>
              <w:jc w:val="right"/>
              <w:rPr/>
            </w:pPr>
            <w:r>
              <w:rPr/>
              <w:t>56</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5.23</w:t>
            </w:r>
          </w:p>
        </w:tc>
        <w:tc>
          <w:tcPr>
            <w:tcW w:w="7220" w:type="dxa"/>
            <w:tcBorders/>
            <w:vAlign w:val="center"/>
          </w:tcPr>
          <w:p>
            <w:pPr>
              <w:pStyle w:val="TableContents"/>
              <w:bidi w:val="0"/>
              <w:spacing w:before="0" w:after="283"/>
              <w:jc w:val="both"/>
              <w:rPr/>
            </w:pPr>
            <w:r>
              <w:rPr/>
              <w:t>Employee Matters</w:t>
            </w:r>
          </w:p>
        </w:tc>
        <w:tc>
          <w:tcPr>
            <w:tcW w:w="515" w:type="dxa"/>
            <w:tcBorders/>
            <w:vAlign w:val="center"/>
          </w:tcPr>
          <w:p>
            <w:pPr>
              <w:pStyle w:val="TableContents"/>
              <w:bidi w:val="0"/>
              <w:spacing w:before="0" w:after="283"/>
              <w:jc w:val="right"/>
              <w:rPr/>
            </w:pPr>
            <w:r>
              <w:rPr/>
              <w:t>56</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5.24</w:t>
            </w:r>
          </w:p>
        </w:tc>
        <w:tc>
          <w:tcPr>
            <w:tcW w:w="7220" w:type="dxa"/>
            <w:tcBorders/>
            <w:vAlign w:val="center"/>
          </w:tcPr>
          <w:p>
            <w:pPr>
              <w:pStyle w:val="TableContents"/>
              <w:bidi w:val="0"/>
              <w:spacing w:before="0" w:after="283"/>
              <w:jc w:val="both"/>
              <w:rPr/>
            </w:pPr>
            <w:r>
              <w:rPr/>
              <w:t>Disclosure</w:t>
            </w:r>
          </w:p>
        </w:tc>
        <w:tc>
          <w:tcPr>
            <w:tcW w:w="515" w:type="dxa"/>
            <w:tcBorders/>
            <w:vAlign w:val="center"/>
          </w:tcPr>
          <w:p>
            <w:pPr>
              <w:pStyle w:val="TableContents"/>
              <w:bidi w:val="0"/>
              <w:spacing w:before="0" w:after="283"/>
              <w:jc w:val="right"/>
              <w:rPr/>
            </w:pPr>
            <w:r>
              <w:rPr/>
              <w:t>56</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5.25</w:t>
            </w:r>
          </w:p>
        </w:tc>
        <w:tc>
          <w:tcPr>
            <w:tcW w:w="7220" w:type="dxa"/>
            <w:tcBorders/>
            <w:vAlign w:val="center"/>
          </w:tcPr>
          <w:p>
            <w:pPr>
              <w:pStyle w:val="TableContents"/>
              <w:bidi w:val="0"/>
              <w:spacing w:before="0" w:after="283"/>
              <w:jc w:val="both"/>
              <w:rPr/>
            </w:pPr>
            <w:r>
              <w:rPr/>
              <w:t>Corporate Documents and Corporate Existence</w:t>
            </w:r>
          </w:p>
        </w:tc>
        <w:tc>
          <w:tcPr>
            <w:tcW w:w="515" w:type="dxa"/>
            <w:tcBorders/>
            <w:vAlign w:val="center"/>
          </w:tcPr>
          <w:p>
            <w:pPr>
              <w:pStyle w:val="TableContents"/>
              <w:bidi w:val="0"/>
              <w:spacing w:before="0" w:after="283"/>
              <w:jc w:val="right"/>
              <w:rPr/>
            </w:pPr>
            <w:r>
              <w:rPr/>
              <w:t>56</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5.26</w:t>
            </w:r>
          </w:p>
        </w:tc>
        <w:tc>
          <w:tcPr>
            <w:tcW w:w="7220" w:type="dxa"/>
            <w:tcBorders/>
            <w:vAlign w:val="center"/>
          </w:tcPr>
          <w:p>
            <w:pPr>
              <w:pStyle w:val="TableContents"/>
              <w:bidi w:val="0"/>
              <w:spacing w:before="0" w:after="283"/>
              <w:jc w:val="both"/>
              <w:rPr/>
            </w:pPr>
            <w:r>
              <w:rPr/>
              <w:t>Anti-Money Laundering/Anti-Terrorism</w:t>
            </w:r>
          </w:p>
        </w:tc>
        <w:tc>
          <w:tcPr>
            <w:tcW w:w="515" w:type="dxa"/>
            <w:tcBorders/>
            <w:vAlign w:val="center"/>
          </w:tcPr>
          <w:p>
            <w:pPr>
              <w:pStyle w:val="TableContents"/>
              <w:bidi w:val="0"/>
              <w:spacing w:before="0" w:after="283"/>
              <w:jc w:val="right"/>
              <w:rPr/>
            </w:pPr>
            <w:r>
              <w:rPr/>
              <w:t>56</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5.27</w:t>
            </w:r>
          </w:p>
        </w:tc>
        <w:tc>
          <w:tcPr>
            <w:tcW w:w="7220" w:type="dxa"/>
            <w:tcBorders/>
            <w:vAlign w:val="center"/>
          </w:tcPr>
          <w:p>
            <w:pPr>
              <w:pStyle w:val="TableContents"/>
              <w:bidi w:val="0"/>
              <w:spacing w:before="0" w:after="283"/>
              <w:jc w:val="both"/>
              <w:rPr/>
            </w:pPr>
            <w:r>
              <w:rPr/>
              <w:t>EEA Financial Institution</w:t>
            </w:r>
          </w:p>
        </w:tc>
        <w:tc>
          <w:tcPr>
            <w:tcW w:w="515" w:type="dxa"/>
            <w:tcBorders/>
            <w:vAlign w:val="center"/>
          </w:tcPr>
          <w:p>
            <w:pPr>
              <w:pStyle w:val="TableContents"/>
              <w:bidi w:val="0"/>
              <w:spacing w:before="0" w:after="283"/>
              <w:jc w:val="right"/>
              <w:rPr/>
            </w:pPr>
            <w:r>
              <w:rPr>
                <w:strike/>
                <w:color w:val="FF0000"/>
              </w:rPr>
              <w:t>57</w:t>
            </w:r>
            <w:r>
              <w:rPr>
                <w:color w:val="0000FF"/>
                <w:u w:val="single"/>
              </w:rPr>
              <w:t>56</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5.28</w:t>
            </w:r>
          </w:p>
        </w:tc>
        <w:tc>
          <w:tcPr>
            <w:tcW w:w="7220" w:type="dxa"/>
            <w:tcBorders/>
            <w:vAlign w:val="center"/>
          </w:tcPr>
          <w:p>
            <w:pPr>
              <w:pStyle w:val="TableContents"/>
              <w:bidi w:val="0"/>
              <w:spacing w:before="0" w:after="283"/>
              <w:jc w:val="both"/>
              <w:rPr/>
            </w:pPr>
            <w:r>
              <w:rPr/>
              <w:t>Intellectual Property</w:t>
            </w:r>
          </w:p>
        </w:tc>
        <w:tc>
          <w:tcPr>
            <w:tcW w:w="515" w:type="dxa"/>
            <w:tcBorders/>
            <w:vAlign w:val="center"/>
          </w:tcPr>
          <w:p>
            <w:pPr>
              <w:pStyle w:val="TableContents"/>
              <w:bidi w:val="0"/>
              <w:spacing w:before="0" w:after="283"/>
              <w:jc w:val="right"/>
              <w:rPr/>
            </w:pPr>
            <w:r>
              <w:rPr/>
              <w:t>57</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5.29</w:t>
            </w:r>
          </w:p>
        </w:tc>
        <w:tc>
          <w:tcPr>
            <w:tcW w:w="7220" w:type="dxa"/>
            <w:tcBorders/>
            <w:vAlign w:val="center"/>
          </w:tcPr>
          <w:p>
            <w:pPr>
              <w:pStyle w:val="TableContents"/>
              <w:bidi w:val="0"/>
              <w:spacing w:before="0" w:after="283"/>
              <w:jc w:val="both"/>
              <w:rPr/>
            </w:pPr>
            <w:r>
              <w:rPr/>
              <w:t>Inbound Licenses</w:t>
            </w:r>
          </w:p>
        </w:tc>
        <w:tc>
          <w:tcPr>
            <w:tcW w:w="515" w:type="dxa"/>
            <w:tcBorders/>
            <w:vAlign w:val="center"/>
          </w:tcPr>
          <w:p>
            <w:pPr>
              <w:pStyle w:val="TableContents"/>
              <w:bidi w:val="0"/>
              <w:spacing w:before="0" w:after="283"/>
              <w:jc w:val="right"/>
              <w:rPr/>
            </w:pPr>
            <w:r>
              <w:rPr/>
              <w:t>57</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5.30</w:t>
            </w:r>
          </w:p>
        </w:tc>
        <w:tc>
          <w:tcPr>
            <w:tcW w:w="7220" w:type="dxa"/>
            <w:tcBorders/>
            <w:vAlign w:val="center"/>
          </w:tcPr>
          <w:p>
            <w:pPr>
              <w:pStyle w:val="TableContents"/>
              <w:bidi w:val="0"/>
              <w:spacing w:before="0" w:after="283"/>
              <w:jc w:val="both"/>
              <w:rPr/>
            </w:pPr>
            <w:r>
              <w:rPr/>
              <w:t>Use of Proceeds</w:t>
            </w:r>
          </w:p>
        </w:tc>
        <w:tc>
          <w:tcPr>
            <w:tcW w:w="515" w:type="dxa"/>
            <w:tcBorders/>
            <w:vAlign w:val="center"/>
          </w:tcPr>
          <w:p>
            <w:pPr>
              <w:pStyle w:val="TableContents"/>
              <w:bidi w:val="0"/>
              <w:spacing w:before="0" w:after="283"/>
              <w:jc w:val="right"/>
              <w:rPr/>
            </w:pPr>
            <w:r>
              <w:rPr/>
              <w:t>57</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5.31</w:t>
            </w:r>
          </w:p>
        </w:tc>
        <w:tc>
          <w:tcPr>
            <w:tcW w:w="7220" w:type="dxa"/>
            <w:tcBorders/>
            <w:vAlign w:val="center"/>
          </w:tcPr>
          <w:p>
            <w:pPr>
              <w:pStyle w:val="TableContents"/>
              <w:bidi w:val="0"/>
              <w:spacing w:before="0" w:after="283"/>
              <w:jc w:val="both"/>
              <w:rPr/>
            </w:pPr>
            <w:r>
              <w:rPr/>
              <w:t>Security Documents</w:t>
            </w:r>
          </w:p>
        </w:tc>
        <w:tc>
          <w:tcPr>
            <w:tcW w:w="515" w:type="dxa"/>
            <w:tcBorders/>
            <w:vAlign w:val="center"/>
          </w:tcPr>
          <w:p>
            <w:pPr>
              <w:pStyle w:val="TableContents"/>
              <w:bidi w:val="0"/>
              <w:spacing w:before="0" w:after="283"/>
              <w:jc w:val="right"/>
              <w:rPr/>
            </w:pPr>
            <w:r>
              <w:rPr/>
              <w:t>57</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5.32</w:t>
            </w:r>
          </w:p>
        </w:tc>
        <w:tc>
          <w:tcPr>
            <w:tcW w:w="7220" w:type="dxa"/>
            <w:tcBorders/>
            <w:vAlign w:val="center"/>
          </w:tcPr>
          <w:p>
            <w:pPr>
              <w:pStyle w:val="TableContents"/>
              <w:bidi w:val="0"/>
              <w:spacing w:before="0" w:after="283"/>
              <w:jc w:val="both"/>
              <w:rPr/>
            </w:pPr>
            <w:r>
              <w:rPr/>
              <w:t>Customers and Suppliers</w:t>
            </w:r>
          </w:p>
        </w:tc>
        <w:tc>
          <w:tcPr>
            <w:tcW w:w="515" w:type="dxa"/>
            <w:tcBorders/>
            <w:vAlign w:val="center"/>
          </w:tcPr>
          <w:p>
            <w:pPr>
              <w:pStyle w:val="TableContents"/>
              <w:bidi w:val="0"/>
              <w:spacing w:before="0" w:after="283"/>
              <w:jc w:val="right"/>
              <w:rPr/>
            </w:pPr>
            <w:r>
              <w:rPr/>
              <w:t>57</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5.33</w:t>
            </w:r>
          </w:p>
        </w:tc>
        <w:tc>
          <w:tcPr>
            <w:tcW w:w="7220" w:type="dxa"/>
            <w:tcBorders/>
            <w:vAlign w:val="center"/>
          </w:tcPr>
          <w:p>
            <w:pPr>
              <w:pStyle w:val="TableContents"/>
              <w:bidi w:val="0"/>
              <w:spacing w:before="0" w:after="283"/>
              <w:jc w:val="both"/>
              <w:rPr/>
            </w:pPr>
            <w:r>
              <w:rPr/>
              <w:t>Technology Security Systems</w:t>
            </w:r>
          </w:p>
        </w:tc>
        <w:tc>
          <w:tcPr>
            <w:tcW w:w="515" w:type="dxa"/>
            <w:tcBorders/>
            <w:vAlign w:val="center"/>
          </w:tcPr>
          <w:p>
            <w:pPr>
              <w:pStyle w:val="TableContents"/>
              <w:bidi w:val="0"/>
              <w:spacing w:before="0" w:after="283"/>
              <w:ind w:left="0" w:right="0" w:hanging="0"/>
              <w:jc w:val="right"/>
              <w:rPr/>
            </w:pPr>
            <w:r>
              <w:rPr/>
              <w:t>57</w:t>
            </w:r>
          </w:p>
        </w:tc>
      </w:tr>
      <w:tr>
        <w:trPr/>
        <w:tc>
          <w:tcPr>
            <w:tcW w:w="215" w:type="dxa"/>
            <w:tcBorders/>
            <w:vAlign w:val="center"/>
          </w:tcPr>
          <w:p>
            <w:pPr>
              <w:pStyle w:val="TableContents"/>
              <w:bidi w:val="0"/>
              <w:spacing w:before="0" w:after="283"/>
              <w:ind w:left="0" w:right="0" w:hanging="0"/>
              <w:jc w:val="left"/>
              <w:rPr/>
            </w:pPr>
            <w:r>
              <w:rPr/>
              <w:t> </w:t>
            </w:r>
          </w:p>
        </w:tc>
        <w:tc>
          <w:tcPr>
            <w:tcW w:w="440" w:type="dxa"/>
            <w:tcBorders/>
            <w:vAlign w:val="center"/>
          </w:tcPr>
          <w:p>
            <w:pPr>
              <w:pStyle w:val="TableContents"/>
              <w:bidi w:val="0"/>
              <w:spacing w:before="0" w:after="283"/>
              <w:ind w:left="0" w:right="0" w:hanging="0"/>
              <w:jc w:val="left"/>
              <w:rPr/>
            </w:pPr>
            <w:r>
              <w:rPr/>
              <w:t> </w:t>
            </w:r>
          </w:p>
        </w:tc>
        <w:tc>
          <w:tcPr>
            <w:tcW w:w="7220" w:type="dxa"/>
            <w:tcBorders/>
            <w:vAlign w:val="center"/>
          </w:tcPr>
          <w:p>
            <w:pPr>
              <w:pStyle w:val="TableContents"/>
              <w:bidi w:val="0"/>
              <w:spacing w:before="0" w:after="283"/>
              <w:ind w:left="0" w:right="0" w:hanging="0"/>
              <w:jc w:val="left"/>
              <w:rPr/>
            </w:pPr>
            <w:r>
              <w:rPr/>
              <w:t> </w:t>
            </w:r>
          </w:p>
        </w:tc>
        <w:tc>
          <w:tcPr>
            <w:tcW w:w="515" w:type="dxa"/>
            <w:tcBorders/>
            <w:vAlign w:val="center"/>
          </w:tcPr>
          <w:p>
            <w:pPr>
              <w:pStyle w:val="TableContents"/>
              <w:bidi w:val="0"/>
              <w:spacing w:before="0" w:after="283"/>
              <w:jc w:val="right"/>
              <w:rPr/>
            </w:pPr>
            <w:r>
              <w:rPr/>
              <w:t> </w:t>
            </w:r>
          </w:p>
        </w:tc>
      </w:tr>
      <w:tr>
        <w:trPr/>
        <w:tc>
          <w:tcPr>
            <w:tcW w:w="215" w:type="dxa"/>
            <w:tcBorders/>
            <w:vAlign w:val="center"/>
          </w:tcPr>
          <w:p>
            <w:pPr>
              <w:pStyle w:val="TableContents"/>
              <w:bidi w:val="0"/>
              <w:spacing w:before="0" w:after="283"/>
              <w:jc w:val="left"/>
              <w:rPr/>
            </w:pPr>
            <w:r>
              <w:rPr/>
              <w:t>6.</w:t>
            </w:r>
          </w:p>
        </w:tc>
        <w:tc>
          <w:tcPr>
            <w:tcW w:w="7660" w:type="dxa"/>
            <w:gridSpan w:val="2"/>
            <w:tcBorders/>
            <w:vAlign w:val="center"/>
          </w:tcPr>
          <w:p>
            <w:pPr>
              <w:pStyle w:val="TableContents"/>
              <w:bidi w:val="0"/>
              <w:spacing w:before="0" w:after="283"/>
              <w:jc w:val="left"/>
              <w:rPr/>
            </w:pPr>
            <w:r>
              <w:rPr/>
              <w:t>AFFIRMATIVE COVENANTS.</w:t>
            </w:r>
          </w:p>
        </w:tc>
        <w:tc>
          <w:tcPr>
            <w:tcW w:w="515" w:type="dxa"/>
            <w:tcBorders/>
            <w:vAlign w:val="center"/>
          </w:tcPr>
          <w:p>
            <w:pPr>
              <w:pStyle w:val="TableContents"/>
              <w:bidi w:val="0"/>
              <w:spacing w:before="0" w:after="283"/>
              <w:jc w:val="right"/>
              <w:rPr/>
            </w:pPr>
            <w:r>
              <w:rPr/>
              <w:t>58</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6.1</w:t>
            </w:r>
          </w:p>
        </w:tc>
        <w:tc>
          <w:tcPr>
            <w:tcW w:w="7220" w:type="dxa"/>
            <w:tcBorders/>
            <w:vAlign w:val="center"/>
          </w:tcPr>
          <w:p>
            <w:pPr>
              <w:pStyle w:val="TableContents"/>
              <w:bidi w:val="0"/>
              <w:spacing w:before="0" w:after="283"/>
              <w:jc w:val="both"/>
              <w:rPr/>
            </w:pPr>
            <w:r>
              <w:rPr/>
              <w:t>Financial Statements</w:t>
            </w:r>
          </w:p>
        </w:tc>
        <w:tc>
          <w:tcPr>
            <w:tcW w:w="515" w:type="dxa"/>
            <w:tcBorders/>
            <w:vAlign w:val="center"/>
          </w:tcPr>
          <w:p>
            <w:pPr>
              <w:pStyle w:val="TableContents"/>
              <w:bidi w:val="0"/>
              <w:spacing w:before="0" w:after="283"/>
              <w:jc w:val="right"/>
              <w:rPr/>
            </w:pPr>
            <w:r>
              <w:rPr/>
              <w:t>58</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6.2</w:t>
            </w:r>
          </w:p>
        </w:tc>
        <w:tc>
          <w:tcPr>
            <w:tcW w:w="7220" w:type="dxa"/>
            <w:tcBorders/>
            <w:vAlign w:val="center"/>
          </w:tcPr>
          <w:p>
            <w:pPr>
              <w:pStyle w:val="TableContents"/>
              <w:bidi w:val="0"/>
              <w:spacing w:before="0" w:after="283"/>
              <w:jc w:val="both"/>
              <w:rPr/>
            </w:pPr>
            <w:r>
              <w:rPr/>
              <w:t>Certificates; Other Information</w:t>
            </w:r>
          </w:p>
        </w:tc>
        <w:tc>
          <w:tcPr>
            <w:tcW w:w="515" w:type="dxa"/>
            <w:tcBorders/>
            <w:vAlign w:val="center"/>
          </w:tcPr>
          <w:p>
            <w:pPr>
              <w:pStyle w:val="TableContents"/>
              <w:bidi w:val="0"/>
              <w:spacing w:before="0" w:after="283"/>
              <w:jc w:val="right"/>
              <w:rPr/>
            </w:pPr>
            <w:r>
              <w:rPr/>
              <w:t>59</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6.3</w:t>
            </w:r>
          </w:p>
        </w:tc>
        <w:tc>
          <w:tcPr>
            <w:tcW w:w="7220" w:type="dxa"/>
            <w:tcBorders/>
            <w:vAlign w:val="center"/>
          </w:tcPr>
          <w:p>
            <w:pPr>
              <w:pStyle w:val="TableContents"/>
              <w:bidi w:val="0"/>
              <w:spacing w:before="0" w:after="283"/>
              <w:jc w:val="both"/>
              <w:rPr/>
            </w:pPr>
            <w:r>
              <w:rPr/>
              <w:t>Payment of Taxes and Other Obligations</w:t>
            </w:r>
          </w:p>
        </w:tc>
        <w:tc>
          <w:tcPr>
            <w:tcW w:w="515" w:type="dxa"/>
            <w:tcBorders/>
            <w:vAlign w:val="center"/>
          </w:tcPr>
          <w:p>
            <w:pPr>
              <w:pStyle w:val="TableContents"/>
              <w:bidi w:val="0"/>
              <w:spacing w:before="0" w:after="283"/>
              <w:jc w:val="right"/>
              <w:rPr/>
            </w:pPr>
            <w:r>
              <w:rPr/>
              <w:t>60</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6.4</w:t>
            </w:r>
          </w:p>
        </w:tc>
        <w:tc>
          <w:tcPr>
            <w:tcW w:w="7220" w:type="dxa"/>
            <w:tcBorders/>
            <w:vAlign w:val="center"/>
          </w:tcPr>
          <w:p>
            <w:pPr>
              <w:pStyle w:val="TableContents"/>
              <w:bidi w:val="0"/>
              <w:spacing w:before="0" w:after="283"/>
              <w:jc w:val="both"/>
              <w:rPr/>
            </w:pPr>
            <w:r>
              <w:rPr/>
              <w:t>Conduct of Business and Maintenance of Existence; Compliance with Laws</w:t>
            </w:r>
          </w:p>
        </w:tc>
        <w:tc>
          <w:tcPr>
            <w:tcW w:w="515" w:type="dxa"/>
            <w:tcBorders/>
            <w:vAlign w:val="center"/>
          </w:tcPr>
          <w:p>
            <w:pPr>
              <w:pStyle w:val="TableContents"/>
              <w:bidi w:val="0"/>
              <w:spacing w:before="0" w:after="283"/>
              <w:jc w:val="right"/>
              <w:rPr/>
            </w:pPr>
            <w:r>
              <w:rPr/>
              <w:t>61</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6.5</w:t>
            </w:r>
          </w:p>
        </w:tc>
        <w:tc>
          <w:tcPr>
            <w:tcW w:w="7220" w:type="dxa"/>
            <w:tcBorders/>
            <w:vAlign w:val="center"/>
          </w:tcPr>
          <w:p>
            <w:pPr>
              <w:pStyle w:val="TableContents"/>
              <w:bidi w:val="0"/>
              <w:spacing w:before="0" w:after="283"/>
              <w:jc w:val="both"/>
              <w:rPr/>
            </w:pPr>
            <w:r>
              <w:rPr/>
              <w:t>Maintenance of Property; Insurance</w:t>
            </w:r>
          </w:p>
        </w:tc>
        <w:tc>
          <w:tcPr>
            <w:tcW w:w="515" w:type="dxa"/>
            <w:tcBorders/>
            <w:vAlign w:val="center"/>
          </w:tcPr>
          <w:p>
            <w:pPr>
              <w:pStyle w:val="TableContents"/>
              <w:bidi w:val="0"/>
              <w:spacing w:before="0" w:after="283"/>
              <w:jc w:val="right"/>
              <w:rPr/>
            </w:pPr>
            <w:r>
              <w:rPr/>
              <w:t>61</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6.6</w:t>
            </w:r>
          </w:p>
        </w:tc>
        <w:tc>
          <w:tcPr>
            <w:tcW w:w="7220" w:type="dxa"/>
            <w:tcBorders/>
            <w:vAlign w:val="center"/>
          </w:tcPr>
          <w:p>
            <w:pPr>
              <w:pStyle w:val="TableContents"/>
              <w:bidi w:val="0"/>
              <w:spacing w:before="0" w:after="283"/>
              <w:jc w:val="both"/>
              <w:rPr/>
            </w:pPr>
            <w:r>
              <w:rPr/>
              <w:t>Inspection of Property; Books and Records, Discussions</w:t>
            </w:r>
          </w:p>
        </w:tc>
        <w:tc>
          <w:tcPr>
            <w:tcW w:w="515" w:type="dxa"/>
            <w:tcBorders/>
            <w:vAlign w:val="center"/>
          </w:tcPr>
          <w:p>
            <w:pPr>
              <w:pStyle w:val="TableContents"/>
              <w:bidi w:val="0"/>
              <w:spacing w:before="0" w:after="283"/>
              <w:jc w:val="right"/>
              <w:rPr/>
            </w:pPr>
            <w:r>
              <w:rPr/>
              <w:t>62</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6.7</w:t>
            </w:r>
          </w:p>
        </w:tc>
        <w:tc>
          <w:tcPr>
            <w:tcW w:w="7220" w:type="dxa"/>
            <w:tcBorders/>
            <w:vAlign w:val="center"/>
          </w:tcPr>
          <w:p>
            <w:pPr>
              <w:pStyle w:val="TableContents"/>
              <w:bidi w:val="0"/>
              <w:spacing w:before="0" w:after="283"/>
              <w:jc w:val="both"/>
              <w:rPr/>
            </w:pPr>
            <w:r>
              <w:rPr/>
              <w:t>Notices</w:t>
            </w:r>
          </w:p>
        </w:tc>
        <w:tc>
          <w:tcPr>
            <w:tcW w:w="515" w:type="dxa"/>
            <w:tcBorders/>
            <w:vAlign w:val="center"/>
          </w:tcPr>
          <w:p>
            <w:pPr>
              <w:pStyle w:val="TableContents"/>
              <w:bidi w:val="0"/>
              <w:spacing w:before="0" w:after="283"/>
              <w:jc w:val="right"/>
              <w:rPr/>
            </w:pPr>
            <w:r>
              <w:rPr/>
              <w:t>62</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6.8</w:t>
            </w:r>
          </w:p>
        </w:tc>
        <w:tc>
          <w:tcPr>
            <w:tcW w:w="7220" w:type="dxa"/>
            <w:tcBorders/>
            <w:vAlign w:val="center"/>
          </w:tcPr>
          <w:p>
            <w:pPr>
              <w:pStyle w:val="TableContents"/>
              <w:bidi w:val="0"/>
              <w:spacing w:before="0" w:after="283"/>
              <w:jc w:val="both"/>
              <w:rPr/>
            </w:pPr>
            <w:r>
              <w:rPr/>
              <w:t>Hazardous Material Laws</w:t>
            </w:r>
          </w:p>
        </w:tc>
        <w:tc>
          <w:tcPr>
            <w:tcW w:w="515" w:type="dxa"/>
            <w:tcBorders/>
            <w:vAlign w:val="center"/>
          </w:tcPr>
          <w:p>
            <w:pPr>
              <w:pStyle w:val="TableContents"/>
              <w:bidi w:val="0"/>
              <w:spacing w:before="0" w:after="283"/>
              <w:jc w:val="right"/>
              <w:rPr/>
            </w:pPr>
            <w:r>
              <w:rPr/>
              <w:t>64</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6.9</w:t>
            </w:r>
          </w:p>
        </w:tc>
        <w:tc>
          <w:tcPr>
            <w:tcW w:w="7220" w:type="dxa"/>
            <w:tcBorders/>
            <w:vAlign w:val="center"/>
          </w:tcPr>
          <w:p>
            <w:pPr>
              <w:pStyle w:val="TableContents"/>
              <w:bidi w:val="0"/>
              <w:spacing w:before="0" w:after="283"/>
              <w:jc w:val="both"/>
              <w:rPr/>
            </w:pPr>
            <w:r>
              <w:rPr/>
              <w:t>Board Observation Rights</w:t>
            </w:r>
          </w:p>
        </w:tc>
        <w:tc>
          <w:tcPr>
            <w:tcW w:w="515" w:type="dxa"/>
            <w:tcBorders/>
            <w:vAlign w:val="center"/>
          </w:tcPr>
          <w:p>
            <w:pPr>
              <w:pStyle w:val="TableContents"/>
              <w:bidi w:val="0"/>
              <w:spacing w:before="0" w:after="283"/>
              <w:jc w:val="right"/>
              <w:rPr/>
            </w:pPr>
            <w:r>
              <w:rPr/>
              <w:t>64</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6.10</w:t>
            </w:r>
          </w:p>
        </w:tc>
        <w:tc>
          <w:tcPr>
            <w:tcW w:w="7220" w:type="dxa"/>
            <w:tcBorders/>
            <w:vAlign w:val="center"/>
          </w:tcPr>
          <w:p>
            <w:pPr>
              <w:pStyle w:val="TableContents"/>
              <w:bidi w:val="0"/>
              <w:spacing w:before="0" w:after="283"/>
              <w:jc w:val="both"/>
              <w:rPr/>
            </w:pPr>
            <w:r>
              <w:rPr/>
              <w:t>Governmental and Other Approvals</w:t>
            </w:r>
          </w:p>
        </w:tc>
        <w:tc>
          <w:tcPr>
            <w:tcW w:w="515" w:type="dxa"/>
            <w:tcBorders/>
            <w:vAlign w:val="center"/>
          </w:tcPr>
          <w:p>
            <w:pPr>
              <w:pStyle w:val="TableContents"/>
              <w:bidi w:val="0"/>
              <w:spacing w:before="0" w:after="283"/>
              <w:jc w:val="right"/>
              <w:rPr/>
            </w:pPr>
            <w:r>
              <w:rPr/>
              <w:t>65</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6.11</w:t>
            </w:r>
          </w:p>
        </w:tc>
        <w:tc>
          <w:tcPr>
            <w:tcW w:w="7220" w:type="dxa"/>
            <w:tcBorders/>
            <w:vAlign w:val="center"/>
          </w:tcPr>
          <w:p>
            <w:pPr>
              <w:pStyle w:val="TableContents"/>
              <w:bidi w:val="0"/>
              <w:spacing w:before="0" w:after="283"/>
              <w:jc w:val="both"/>
              <w:rPr/>
            </w:pPr>
            <w:r>
              <w:rPr/>
              <w:t>Compliance with ERISA; ERISA Notices</w:t>
            </w:r>
          </w:p>
        </w:tc>
        <w:tc>
          <w:tcPr>
            <w:tcW w:w="515" w:type="dxa"/>
            <w:tcBorders/>
            <w:vAlign w:val="center"/>
          </w:tcPr>
          <w:p>
            <w:pPr>
              <w:pStyle w:val="TableContents"/>
              <w:bidi w:val="0"/>
              <w:spacing w:before="0" w:after="283"/>
              <w:jc w:val="right"/>
              <w:rPr/>
            </w:pPr>
            <w:r>
              <w:rPr/>
              <w:t>65</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6.12</w:t>
            </w:r>
          </w:p>
        </w:tc>
        <w:tc>
          <w:tcPr>
            <w:tcW w:w="7220" w:type="dxa"/>
            <w:tcBorders/>
            <w:vAlign w:val="center"/>
          </w:tcPr>
          <w:p>
            <w:pPr>
              <w:pStyle w:val="TableContents"/>
              <w:bidi w:val="0"/>
              <w:spacing w:before="0" w:after="283"/>
              <w:jc w:val="both"/>
              <w:rPr/>
            </w:pPr>
            <w:r>
              <w:rPr/>
              <w:t>Defense of Collateral</w:t>
            </w:r>
          </w:p>
        </w:tc>
        <w:tc>
          <w:tcPr>
            <w:tcW w:w="515" w:type="dxa"/>
            <w:tcBorders/>
            <w:vAlign w:val="center"/>
          </w:tcPr>
          <w:p>
            <w:pPr>
              <w:pStyle w:val="TableContents"/>
              <w:bidi w:val="0"/>
              <w:spacing w:before="0" w:after="283"/>
              <w:jc w:val="right"/>
              <w:rPr/>
            </w:pPr>
            <w:r>
              <w:rPr/>
              <w:t>65</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6.13</w:t>
            </w:r>
          </w:p>
        </w:tc>
        <w:tc>
          <w:tcPr>
            <w:tcW w:w="7220" w:type="dxa"/>
            <w:tcBorders/>
            <w:vAlign w:val="center"/>
          </w:tcPr>
          <w:p>
            <w:pPr>
              <w:pStyle w:val="TableContents"/>
              <w:bidi w:val="0"/>
              <w:spacing w:before="0" w:after="283"/>
              <w:jc w:val="both"/>
              <w:rPr/>
            </w:pPr>
            <w:r>
              <w:rPr/>
              <w:t>Future Subsidiaries; Additional Collateral</w:t>
            </w:r>
          </w:p>
        </w:tc>
        <w:tc>
          <w:tcPr>
            <w:tcW w:w="515" w:type="dxa"/>
            <w:tcBorders/>
            <w:vAlign w:val="center"/>
          </w:tcPr>
          <w:p>
            <w:pPr>
              <w:pStyle w:val="TableContents"/>
              <w:bidi w:val="0"/>
              <w:spacing w:before="0" w:after="283"/>
              <w:jc w:val="right"/>
              <w:rPr/>
            </w:pPr>
            <w:r>
              <w:rPr/>
              <w:t>66</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6.14</w:t>
            </w:r>
          </w:p>
        </w:tc>
        <w:tc>
          <w:tcPr>
            <w:tcW w:w="7220" w:type="dxa"/>
            <w:tcBorders/>
            <w:vAlign w:val="center"/>
          </w:tcPr>
          <w:p>
            <w:pPr>
              <w:pStyle w:val="TableContents"/>
              <w:bidi w:val="0"/>
              <w:spacing w:before="0" w:after="283"/>
              <w:jc w:val="both"/>
              <w:rPr/>
            </w:pPr>
            <w:r>
              <w:rPr/>
              <w:t>Accounts</w:t>
            </w:r>
          </w:p>
        </w:tc>
        <w:tc>
          <w:tcPr>
            <w:tcW w:w="515" w:type="dxa"/>
            <w:tcBorders/>
            <w:vAlign w:val="center"/>
          </w:tcPr>
          <w:p>
            <w:pPr>
              <w:pStyle w:val="TableContents"/>
              <w:bidi w:val="0"/>
              <w:spacing w:before="0" w:after="283"/>
              <w:jc w:val="right"/>
              <w:rPr/>
            </w:pPr>
            <w:r>
              <w:rPr/>
              <w:t>67</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6.15</w:t>
            </w:r>
          </w:p>
        </w:tc>
        <w:tc>
          <w:tcPr>
            <w:tcW w:w="7220" w:type="dxa"/>
            <w:tcBorders/>
            <w:vAlign w:val="center"/>
          </w:tcPr>
          <w:p>
            <w:pPr>
              <w:pStyle w:val="TableContents"/>
              <w:bidi w:val="0"/>
              <w:spacing w:before="0" w:after="283"/>
              <w:jc w:val="both"/>
              <w:rPr/>
            </w:pPr>
            <w:r>
              <w:rPr/>
              <w:t>Use of Proceeds</w:t>
            </w:r>
          </w:p>
        </w:tc>
        <w:tc>
          <w:tcPr>
            <w:tcW w:w="515" w:type="dxa"/>
            <w:tcBorders/>
            <w:vAlign w:val="center"/>
          </w:tcPr>
          <w:p>
            <w:pPr>
              <w:pStyle w:val="TableContents"/>
              <w:bidi w:val="0"/>
              <w:spacing w:before="0" w:after="283"/>
              <w:jc w:val="right"/>
              <w:rPr/>
            </w:pPr>
            <w:r>
              <w:rPr/>
              <w:t>68</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6.16</w:t>
            </w:r>
          </w:p>
        </w:tc>
        <w:tc>
          <w:tcPr>
            <w:tcW w:w="7220" w:type="dxa"/>
            <w:tcBorders/>
            <w:vAlign w:val="center"/>
          </w:tcPr>
          <w:p>
            <w:pPr>
              <w:pStyle w:val="TableContents"/>
              <w:bidi w:val="0"/>
              <w:spacing w:before="0" w:after="283"/>
              <w:jc w:val="both"/>
              <w:rPr/>
            </w:pPr>
            <w:r>
              <w:rPr/>
              <w:t>Intellectual Property</w:t>
            </w:r>
          </w:p>
        </w:tc>
        <w:tc>
          <w:tcPr>
            <w:tcW w:w="515" w:type="dxa"/>
            <w:tcBorders/>
            <w:vAlign w:val="center"/>
          </w:tcPr>
          <w:p>
            <w:pPr>
              <w:pStyle w:val="TableContents"/>
              <w:bidi w:val="0"/>
              <w:spacing w:before="0" w:after="283"/>
              <w:jc w:val="right"/>
              <w:rPr/>
            </w:pPr>
            <w:r>
              <w:rPr/>
              <w:t>68</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6.17</w:t>
            </w:r>
          </w:p>
        </w:tc>
        <w:tc>
          <w:tcPr>
            <w:tcW w:w="7220" w:type="dxa"/>
            <w:tcBorders/>
            <w:vAlign w:val="center"/>
          </w:tcPr>
          <w:p>
            <w:pPr>
              <w:pStyle w:val="TableContents"/>
              <w:bidi w:val="0"/>
              <w:spacing w:before="0" w:after="283"/>
              <w:jc w:val="both"/>
              <w:rPr/>
            </w:pPr>
            <w:r>
              <w:rPr/>
              <w:t>Consent of Inbound Licensors</w:t>
            </w:r>
          </w:p>
        </w:tc>
        <w:tc>
          <w:tcPr>
            <w:tcW w:w="515" w:type="dxa"/>
            <w:tcBorders/>
            <w:vAlign w:val="center"/>
          </w:tcPr>
          <w:p>
            <w:pPr>
              <w:pStyle w:val="TableContents"/>
              <w:bidi w:val="0"/>
              <w:spacing w:before="0" w:after="283"/>
              <w:jc w:val="right"/>
              <w:rPr/>
            </w:pPr>
            <w:r>
              <w:rPr/>
              <w:t>68</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6.18</w:t>
            </w:r>
          </w:p>
        </w:tc>
        <w:tc>
          <w:tcPr>
            <w:tcW w:w="7220" w:type="dxa"/>
            <w:tcBorders/>
            <w:vAlign w:val="center"/>
          </w:tcPr>
          <w:p>
            <w:pPr>
              <w:pStyle w:val="TableContents"/>
              <w:bidi w:val="0"/>
              <w:spacing w:before="0" w:after="283"/>
              <w:jc w:val="both"/>
              <w:rPr/>
            </w:pPr>
            <w:r>
              <w:rPr/>
              <w:t>Anti-Terrorism</w:t>
            </w:r>
          </w:p>
        </w:tc>
        <w:tc>
          <w:tcPr>
            <w:tcW w:w="515" w:type="dxa"/>
            <w:tcBorders/>
            <w:vAlign w:val="center"/>
          </w:tcPr>
          <w:p>
            <w:pPr>
              <w:pStyle w:val="TableContents"/>
              <w:bidi w:val="0"/>
              <w:spacing w:before="0" w:after="283"/>
              <w:jc w:val="right"/>
              <w:rPr/>
            </w:pPr>
            <w:r>
              <w:rPr/>
              <w:t>68</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6.19</w:t>
            </w:r>
          </w:p>
        </w:tc>
        <w:tc>
          <w:tcPr>
            <w:tcW w:w="7220" w:type="dxa"/>
            <w:tcBorders/>
            <w:vAlign w:val="center"/>
          </w:tcPr>
          <w:p>
            <w:pPr>
              <w:pStyle w:val="TableContents"/>
              <w:bidi w:val="0"/>
              <w:spacing w:before="0" w:after="283"/>
              <w:jc w:val="both"/>
              <w:rPr/>
            </w:pPr>
            <w:r>
              <w:rPr/>
              <w:t>Further Assurances and Information</w:t>
            </w:r>
          </w:p>
        </w:tc>
        <w:tc>
          <w:tcPr>
            <w:tcW w:w="515" w:type="dxa"/>
            <w:tcBorders/>
            <w:vAlign w:val="center"/>
          </w:tcPr>
          <w:p>
            <w:pPr>
              <w:pStyle w:val="TableContents"/>
              <w:bidi w:val="0"/>
              <w:spacing w:before="0" w:after="283"/>
              <w:ind w:left="0" w:right="0" w:hanging="0"/>
              <w:jc w:val="right"/>
              <w:rPr/>
            </w:pPr>
            <w:r>
              <w:rPr/>
              <w:t>69</w:t>
            </w:r>
          </w:p>
        </w:tc>
      </w:tr>
      <w:tr>
        <w:trPr/>
        <w:tc>
          <w:tcPr>
            <w:tcW w:w="215" w:type="dxa"/>
            <w:tcBorders/>
            <w:vAlign w:val="center"/>
          </w:tcPr>
          <w:p>
            <w:pPr>
              <w:pStyle w:val="TableContents"/>
              <w:bidi w:val="0"/>
              <w:spacing w:before="0" w:after="283"/>
              <w:ind w:left="0" w:right="0" w:hanging="0"/>
              <w:jc w:val="left"/>
              <w:rPr/>
            </w:pPr>
            <w:r>
              <w:rPr/>
              <w:t> </w:t>
            </w:r>
          </w:p>
        </w:tc>
        <w:tc>
          <w:tcPr>
            <w:tcW w:w="440" w:type="dxa"/>
            <w:tcBorders/>
            <w:vAlign w:val="center"/>
          </w:tcPr>
          <w:p>
            <w:pPr>
              <w:pStyle w:val="TableContents"/>
              <w:bidi w:val="0"/>
              <w:spacing w:before="0" w:after="283"/>
              <w:ind w:left="0" w:right="0" w:hanging="0"/>
              <w:jc w:val="left"/>
              <w:rPr/>
            </w:pPr>
            <w:r>
              <w:rPr/>
              <w:t> </w:t>
            </w:r>
          </w:p>
        </w:tc>
        <w:tc>
          <w:tcPr>
            <w:tcW w:w="7220" w:type="dxa"/>
            <w:tcBorders/>
            <w:vAlign w:val="center"/>
          </w:tcPr>
          <w:p>
            <w:pPr>
              <w:pStyle w:val="TableContents"/>
              <w:bidi w:val="0"/>
              <w:spacing w:before="0" w:after="283"/>
              <w:ind w:left="0" w:right="0" w:hanging="0"/>
              <w:jc w:val="left"/>
              <w:rPr/>
            </w:pPr>
            <w:r>
              <w:rPr/>
              <w:t> </w:t>
            </w:r>
          </w:p>
        </w:tc>
        <w:tc>
          <w:tcPr>
            <w:tcW w:w="515" w:type="dxa"/>
            <w:tcBorders/>
            <w:vAlign w:val="center"/>
          </w:tcPr>
          <w:p>
            <w:pPr>
              <w:pStyle w:val="TableContents"/>
              <w:bidi w:val="0"/>
              <w:spacing w:before="0" w:after="283"/>
              <w:jc w:val="right"/>
              <w:rPr/>
            </w:pPr>
            <w:r>
              <w:rPr/>
              <w:t> </w:t>
            </w:r>
          </w:p>
        </w:tc>
      </w:tr>
      <w:tr>
        <w:trPr/>
        <w:tc>
          <w:tcPr>
            <w:tcW w:w="215" w:type="dxa"/>
            <w:tcBorders/>
            <w:vAlign w:val="center"/>
          </w:tcPr>
          <w:p>
            <w:pPr>
              <w:pStyle w:val="TableContents"/>
              <w:bidi w:val="0"/>
              <w:spacing w:before="0" w:after="283"/>
              <w:jc w:val="left"/>
              <w:rPr/>
            </w:pPr>
            <w:r>
              <w:rPr/>
              <w:t>7.</w:t>
            </w:r>
          </w:p>
        </w:tc>
        <w:tc>
          <w:tcPr>
            <w:tcW w:w="7660" w:type="dxa"/>
            <w:gridSpan w:val="2"/>
            <w:tcBorders/>
            <w:vAlign w:val="center"/>
          </w:tcPr>
          <w:p>
            <w:pPr>
              <w:pStyle w:val="TableContents"/>
              <w:bidi w:val="0"/>
              <w:spacing w:before="0" w:after="283"/>
              <w:jc w:val="left"/>
              <w:rPr/>
            </w:pPr>
            <w:r>
              <w:rPr/>
              <w:t>NEGATIVE COVENANTS.</w:t>
            </w:r>
          </w:p>
        </w:tc>
        <w:tc>
          <w:tcPr>
            <w:tcW w:w="515" w:type="dxa"/>
            <w:tcBorders/>
            <w:vAlign w:val="center"/>
          </w:tcPr>
          <w:p>
            <w:pPr>
              <w:pStyle w:val="TableContents"/>
              <w:bidi w:val="0"/>
              <w:spacing w:before="0" w:after="283"/>
              <w:jc w:val="right"/>
              <w:rPr/>
            </w:pPr>
            <w:r>
              <w:rPr/>
              <w:t>69</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7.1</w:t>
            </w:r>
          </w:p>
        </w:tc>
        <w:tc>
          <w:tcPr>
            <w:tcW w:w="7220" w:type="dxa"/>
            <w:tcBorders/>
            <w:vAlign w:val="center"/>
          </w:tcPr>
          <w:p>
            <w:pPr>
              <w:pStyle w:val="TableContents"/>
              <w:bidi w:val="0"/>
              <w:spacing w:before="0" w:after="283"/>
              <w:jc w:val="both"/>
              <w:rPr/>
            </w:pPr>
            <w:r>
              <w:rPr/>
              <w:t>Limitation on Debt</w:t>
            </w:r>
          </w:p>
        </w:tc>
        <w:tc>
          <w:tcPr>
            <w:tcW w:w="515" w:type="dxa"/>
            <w:tcBorders/>
            <w:vAlign w:val="center"/>
          </w:tcPr>
          <w:p>
            <w:pPr>
              <w:pStyle w:val="TableContents"/>
              <w:bidi w:val="0"/>
              <w:spacing w:before="0" w:after="283"/>
              <w:jc w:val="right"/>
              <w:rPr/>
            </w:pPr>
            <w:r>
              <w:rPr/>
              <w:t>69</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7.2</w:t>
            </w:r>
          </w:p>
        </w:tc>
        <w:tc>
          <w:tcPr>
            <w:tcW w:w="7220" w:type="dxa"/>
            <w:tcBorders/>
            <w:vAlign w:val="center"/>
          </w:tcPr>
          <w:p>
            <w:pPr>
              <w:pStyle w:val="TableContents"/>
              <w:bidi w:val="0"/>
              <w:spacing w:before="0" w:after="283"/>
              <w:jc w:val="both"/>
              <w:rPr/>
            </w:pPr>
            <w:r>
              <w:rPr/>
              <w:t>Limitation on Liens</w:t>
            </w:r>
          </w:p>
        </w:tc>
        <w:tc>
          <w:tcPr>
            <w:tcW w:w="515" w:type="dxa"/>
            <w:tcBorders/>
            <w:vAlign w:val="center"/>
          </w:tcPr>
          <w:p>
            <w:pPr>
              <w:pStyle w:val="TableContents"/>
              <w:bidi w:val="0"/>
              <w:spacing w:before="0" w:after="283"/>
              <w:jc w:val="right"/>
              <w:rPr/>
            </w:pPr>
            <w:r>
              <w:rPr/>
              <w:t>70</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7.3</w:t>
            </w:r>
          </w:p>
        </w:tc>
        <w:tc>
          <w:tcPr>
            <w:tcW w:w="7220" w:type="dxa"/>
            <w:tcBorders/>
            <w:vAlign w:val="center"/>
          </w:tcPr>
          <w:p>
            <w:pPr>
              <w:pStyle w:val="TableContents"/>
              <w:bidi w:val="0"/>
              <w:spacing w:before="0" w:after="283"/>
              <w:jc w:val="both"/>
              <w:rPr/>
            </w:pPr>
            <w:r>
              <w:rPr>
                <w:strike/>
                <w:color w:val="FF0000"/>
              </w:rPr>
              <w:t>Transfers of</w:t>
            </w:r>
            <w:r>
              <w:rPr>
                <w:color w:val="0000FF"/>
                <w:u w:val="single"/>
              </w:rPr>
              <w:t>Material</w:t>
            </w:r>
            <w:r>
              <w:rPr/>
              <w:t xml:space="preserve"> Assets</w:t>
            </w:r>
          </w:p>
        </w:tc>
        <w:tc>
          <w:tcPr>
            <w:tcW w:w="515" w:type="dxa"/>
            <w:tcBorders/>
            <w:vAlign w:val="center"/>
          </w:tcPr>
          <w:p>
            <w:pPr>
              <w:pStyle w:val="TableContents"/>
              <w:bidi w:val="0"/>
              <w:spacing w:before="0" w:after="283"/>
              <w:jc w:val="right"/>
              <w:rPr/>
            </w:pPr>
            <w:r>
              <w:rPr/>
              <w:t>71</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7.4</w:t>
            </w:r>
          </w:p>
        </w:tc>
        <w:tc>
          <w:tcPr>
            <w:tcW w:w="7220" w:type="dxa"/>
            <w:tcBorders/>
            <w:vAlign w:val="center"/>
          </w:tcPr>
          <w:p>
            <w:pPr>
              <w:pStyle w:val="TableContents"/>
              <w:bidi w:val="0"/>
              <w:spacing w:before="0" w:after="283"/>
              <w:jc w:val="both"/>
              <w:rPr/>
            </w:pPr>
            <w:r>
              <w:rPr/>
              <w:t>Limitation on Mergers, Dissolution or Sale of Assets</w:t>
            </w:r>
          </w:p>
        </w:tc>
        <w:tc>
          <w:tcPr>
            <w:tcW w:w="515" w:type="dxa"/>
            <w:tcBorders/>
            <w:vAlign w:val="center"/>
          </w:tcPr>
          <w:p>
            <w:pPr>
              <w:pStyle w:val="TableContents"/>
              <w:bidi w:val="0"/>
              <w:spacing w:before="0" w:after="283"/>
              <w:jc w:val="right"/>
              <w:rPr/>
            </w:pPr>
            <w:r>
              <w:rPr>
                <w:strike/>
                <w:color w:val="FF0000"/>
              </w:rPr>
              <w:t>72</w:t>
            </w:r>
            <w:r>
              <w:rPr>
                <w:color w:val="0000FF"/>
                <w:u w:val="single"/>
              </w:rPr>
              <w:t>71</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7.5</w:t>
            </w:r>
          </w:p>
        </w:tc>
        <w:tc>
          <w:tcPr>
            <w:tcW w:w="7220" w:type="dxa"/>
            <w:tcBorders/>
            <w:vAlign w:val="center"/>
          </w:tcPr>
          <w:p>
            <w:pPr>
              <w:pStyle w:val="TableContents"/>
              <w:bidi w:val="0"/>
              <w:spacing w:before="0" w:after="283"/>
              <w:jc w:val="both"/>
              <w:rPr/>
            </w:pPr>
            <w:r>
              <w:rPr/>
              <w:t>Restricted Payments</w:t>
            </w:r>
          </w:p>
        </w:tc>
        <w:tc>
          <w:tcPr>
            <w:tcW w:w="515" w:type="dxa"/>
            <w:tcBorders/>
            <w:vAlign w:val="center"/>
          </w:tcPr>
          <w:p>
            <w:pPr>
              <w:pStyle w:val="TableContents"/>
              <w:bidi w:val="0"/>
              <w:spacing w:before="0" w:after="283"/>
              <w:jc w:val="right"/>
              <w:rPr/>
            </w:pPr>
            <w:r>
              <w:rPr/>
              <w:t>73</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7.6</w:t>
            </w:r>
          </w:p>
        </w:tc>
        <w:tc>
          <w:tcPr>
            <w:tcW w:w="7220" w:type="dxa"/>
            <w:tcBorders/>
            <w:vAlign w:val="center"/>
          </w:tcPr>
          <w:p>
            <w:pPr>
              <w:pStyle w:val="TableContents"/>
              <w:bidi w:val="0"/>
              <w:spacing w:before="0" w:after="283"/>
              <w:jc w:val="both"/>
              <w:rPr/>
            </w:pPr>
            <w:r>
              <w:rPr/>
              <w:t>Limitation on Investments, Loans and Advances</w:t>
            </w:r>
          </w:p>
        </w:tc>
        <w:tc>
          <w:tcPr>
            <w:tcW w:w="515" w:type="dxa"/>
            <w:tcBorders/>
            <w:vAlign w:val="center"/>
          </w:tcPr>
          <w:p>
            <w:pPr>
              <w:pStyle w:val="TableContents"/>
              <w:bidi w:val="0"/>
              <w:spacing w:before="0" w:after="283"/>
              <w:jc w:val="right"/>
              <w:rPr/>
            </w:pPr>
            <w:r>
              <w:rPr>
                <w:strike/>
                <w:color w:val="FF0000"/>
              </w:rPr>
              <w:t>74</w:t>
            </w:r>
            <w:r>
              <w:rPr>
                <w:color w:val="0000FF"/>
                <w:u w:val="single"/>
              </w:rPr>
              <w:t>73</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7.7</w:t>
            </w:r>
          </w:p>
        </w:tc>
        <w:tc>
          <w:tcPr>
            <w:tcW w:w="7220" w:type="dxa"/>
            <w:tcBorders/>
            <w:vAlign w:val="center"/>
          </w:tcPr>
          <w:p>
            <w:pPr>
              <w:pStyle w:val="TableContents"/>
              <w:bidi w:val="0"/>
              <w:spacing w:before="0" w:after="283"/>
              <w:jc w:val="both"/>
              <w:rPr/>
            </w:pPr>
            <w:r>
              <w:rPr/>
              <w:t>Transactions with Affiliates</w:t>
            </w:r>
          </w:p>
        </w:tc>
        <w:tc>
          <w:tcPr>
            <w:tcW w:w="515" w:type="dxa"/>
            <w:tcBorders/>
            <w:vAlign w:val="center"/>
          </w:tcPr>
          <w:p>
            <w:pPr>
              <w:pStyle w:val="TableContents"/>
              <w:bidi w:val="0"/>
              <w:spacing w:before="0" w:after="283"/>
              <w:jc w:val="right"/>
              <w:rPr/>
            </w:pPr>
            <w:r>
              <w:rPr/>
              <w:t>75</w:t>
            </w:r>
          </w:p>
        </w:tc>
      </w:tr>
      <w:tr>
        <w:trPr/>
        <w:tc>
          <w:tcPr>
            <w:tcW w:w="21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7.8</w:t>
            </w:r>
          </w:p>
        </w:tc>
        <w:tc>
          <w:tcPr>
            <w:tcW w:w="7220" w:type="dxa"/>
            <w:tcBorders/>
            <w:vAlign w:val="center"/>
          </w:tcPr>
          <w:p>
            <w:pPr>
              <w:pStyle w:val="TableContents"/>
              <w:bidi w:val="0"/>
              <w:spacing w:before="0" w:after="283"/>
              <w:jc w:val="both"/>
              <w:rPr/>
            </w:pPr>
            <w:r>
              <w:rPr/>
              <w:t>Sale-Leaseback Transactions</w:t>
            </w:r>
          </w:p>
        </w:tc>
        <w:tc>
          <w:tcPr>
            <w:tcW w:w="515" w:type="dxa"/>
            <w:tcBorders/>
            <w:vAlign w:val="center"/>
          </w:tcPr>
          <w:p>
            <w:pPr>
              <w:pStyle w:val="TableContents"/>
              <w:bidi w:val="0"/>
              <w:spacing w:before="0" w:after="283"/>
              <w:jc w:val="right"/>
              <w:rPr/>
            </w:pPr>
            <w:r>
              <w:rPr/>
              <w:t>75</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7" w:right="117"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p>
      <w:pPr>
        <w:pStyle w:val="TextBody"/>
        <w:bidi w:val="0"/>
        <w:spacing w:before="0" w:after="0"/>
        <w:ind w:left="119" w:right="119" w:firstLine="720"/>
        <w:jc w:val="right"/>
        <w:rPr>
          <w:caps w:val="false"/>
          <w:smallCaps w:val="false"/>
        </w:rPr>
      </w:pPr>
      <w:r>
        <w:rPr>
          <w:caps w:val="false"/>
          <w:smallCaps w:val="false"/>
        </w:rPr>
        <w:t> </w:t>
      </w:r>
    </w:p>
    <w:tbl>
      <w:tblPr>
        <w:tblW w:w="9404" w:type="dxa"/>
        <w:jc w:val="left"/>
        <w:tblInd w:w="0" w:type="dxa"/>
        <w:tblLayout w:type="fixed"/>
        <w:tblCellMar>
          <w:top w:w="0" w:type="dxa"/>
          <w:left w:w="0" w:type="dxa"/>
          <w:bottom w:w="0" w:type="dxa"/>
          <w:right w:w="0" w:type="dxa"/>
        </w:tblCellMar>
      </w:tblPr>
      <w:tblGrid>
        <w:gridCol w:w="335"/>
        <w:gridCol w:w="616"/>
        <w:gridCol w:w="7938"/>
        <w:gridCol w:w="515"/>
      </w:tblGrid>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7.9</w:t>
            </w:r>
          </w:p>
        </w:tc>
        <w:tc>
          <w:tcPr>
            <w:tcW w:w="7938" w:type="dxa"/>
            <w:tcBorders/>
            <w:vAlign w:val="center"/>
          </w:tcPr>
          <w:p>
            <w:pPr>
              <w:pStyle w:val="TableContents"/>
              <w:bidi w:val="0"/>
              <w:spacing w:before="0" w:after="283"/>
              <w:jc w:val="both"/>
              <w:rPr/>
            </w:pPr>
            <w:r>
              <w:rPr/>
              <w:t>Limitations on Other Restrictions</w:t>
            </w:r>
          </w:p>
        </w:tc>
        <w:tc>
          <w:tcPr>
            <w:tcW w:w="515" w:type="dxa"/>
            <w:tcBorders/>
            <w:vAlign w:val="center"/>
          </w:tcPr>
          <w:p>
            <w:pPr>
              <w:pStyle w:val="TableContents"/>
              <w:bidi w:val="0"/>
              <w:spacing w:before="0" w:after="283"/>
              <w:jc w:val="right"/>
              <w:rPr/>
            </w:pPr>
            <w:r>
              <w:rPr>
                <w:strike/>
                <w:color w:val="FF0000"/>
              </w:rPr>
              <w:t>76</w:t>
            </w:r>
            <w:r>
              <w:rPr>
                <w:color w:val="0000FF"/>
                <w:u w:val="single"/>
              </w:rPr>
              <w:t>75</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7.10</w:t>
            </w:r>
          </w:p>
        </w:tc>
        <w:tc>
          <w:tcPr>
            <w:tcW w:w="7938" w:type="dxa"/>
            <w:tcBorders/>
            <w:vAlign w:val="center"/>
          </w:tcPr>
          <w:p>
            <w:pPr>
              <w:pStyle w:val="TableContents"/>
              <w:bidi w:val="0"/>
              <w:spacing w:before="0" w:after="283"/>
              <w:jc w:val="both"/>
              <w:rPr/>
            </w:pPr>
            <w:r>
              <w:rPr/>
              <w:t>Prepayment of Subordinated Debt</w:t>
            </w:r>
          </w:p>
        </w:tc>
        <w:tc>
          <w:tcPr>
            <w:tcW w:w="515" w:type="dxa"/>
            <w:tcBorders/>
            <w:vAlign w:val="center"/>
          </w:tcPr>
          <w:p>
            <w:pPr>
              <w:pStyle w:val="TableContents"/>
              <w:bidi w:val="0"/>
              <w:spacing w:before="0" w:after="283"/>
              <w:jc w:val="right"/>
              <w:rPr/>
            </w:pPr>
            <w:r>
              <w:rPr>
                <w:strike/>
                <w:color w:val="FF0000"/>
              </w:rPr>
              <w:t>76</w:t>
            </w:r>
            <w:r>
              <w:rPr>
                <w:color w:val="0000FF"/>
                <w:u w:val="single"/>
              </w:rPr>
              <w:t>75</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7.11</w:t>
            </w:r>
          </w:p>
        </w:tc>
        <w:tc>
          <w:tcPr>
            <w:tcW w:w="7938" w:type="dxa"/>
            <w:tcBorders/>
            <w:vAlign w:val="center"/>
          </w:tcPr>
          <w:p>
            <w:pPr>
              <w:pStyle w:val="TableContents"/>
              <w:bidi w:val="0"/>
              <w:spacing w:before="0" w:after="283"/>
              <w:jc w:val="both"/>
              <w:rPr/>
            </w:pPr>
            <w:r>
              <w:rPr/>
              <w:t>Amendment of Senior Loan Documents and Subordinated Debt Documents</w:t>
            </w:r>
          </w:p>
        </w:tc>
        <w:tc>
          <w:tcPr>
            <w:tcW w:w="515" w:type="dxa"/>
            <w:tcBorders/>
            <w:vAlign w:val="center"/>
          </w:tcPr>
          <w:p>
            <w:pPr>
              <w:pStyle w:val="TableContents"/>
              <w:bidi w:val="0"/>
              <w:spacing w:before="0" w:after="283"/>
              <w:jc w:val="right"/>
              <w:rPr/>
            </w:pPr>
            <w:r>
              <w:rPr>
                <w:strike/>
                <w:color w:val="FF0000"/>
              </w:rPr>
              <w:t>76</w:t>
            </w:r>
            <w:r>
              <w:rPr>
                <w:color w:val="0000FF"/>
                <w:u w:val="single"/>
              </w:rPr>
              <w:t>75</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7.12</w:t>
            </w:r>
          </w:p>
        </w:tc>
        <w:tc>
          <w:tcPr>
            <w:tcW w:w="7938" w:type="dxa"/>
            <w:tcBorders/>
            <w:vAlign w:val="center"/>
          </w:tcPr>
          <w:p>
            <w:pPr>
              <w:pStyle w:val="TableContents"/>
              <w:bidi w:val="0"/>
              <w:spacing w:before="0" w:after="283"/>
              <w:jc w:val="both"/>
              <w:rPr/>
            </w:pPr>
            <w:r>
              <w:rPr/>
              <w:t>Modification of Certain Agreements</w:t>
            </w:r>
          </w:p>
        </w:tc>
        <w:tc>
          <w:tcPr>
            <w:tcW w:w="515" w:type="dxa"/>
            <w:tcBorders/>
            <w:vAlign w:val="center"/>
          </w:tcPr>
          <w:p>
            <w:pPr>
              <w:pStyle w:val="TableContents"/>
              <w:bidi w:val="0"/>
              <w:spacing w:before="0" w:after="283"/>
              <w:jc w:val="right"/>
              <w:rPr/>
            </w:pPr>
            <w:r>
              <w:rPr/>
              <w:t>76</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7.13</w:t>
            </w:r>
          </w:p>
        </w:tc>
        <w:tc>
          <w:tcPr>
            <w:tcW w:w="7938" w:type="dxa"/>
            <w:tcBorders/>
            <w:vAlign w:val="center"/>
          </w:tcPr>
          <w:p>
            <w:pPr>
              <w:pStyle w:val="TableContents"/>
              <w:bidi w:val="0"/>
              <w:spacing w:before="0" w:after="283"/>
              <w:jc w:val="both"/>
              <w:rPr/>
            </w:pPr>
            <w:r>
              <w:rPr/>
              <w:t>Fiscal Year</w:t>
            </w:r>
          </w:p>
        </w:tc>
        <w:tc>
          <w:tcPr>
            <w:tcW w:w="515" w:type="dxa"/>
            <w:tcBorders/>
            <w:vAlign w:val="center"/>
          </w:tcPr>
          <w:p>
            <w:pPr>
              <w:pStyle w:val="TableContents"/>
              <w:bidi w:val="0"/>
              <w:spacing w:before="0" w:after="283"/>
              <w:jc w:val="right"/>
              <w:rPr/>
            </w:pPr>
            <w:r>
              <w:rPr/>
              <w:t>76</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7.14</w:t>
            </w:r>
          </w:p>
        </w:tc>
        <w:tc>
          <w:tcPr>
            <w:tcW w:w="7938" w:type="dxa"/>
            <w:tcBorders/>
            <w:vAlign w:val="center"/>
          </w:tcPr>
          <w:p>
            <w:pPr>
              <w:pStyle w:val="TableContents"/>
              <w:bidi w:val="0"/>
              <w:spacing w:before="0" w:after="283"/>
              <w:jc w:val="both"/>
              <w:rPr/>
            </w:pPr>
            <w:r>
              <w:rPr>
                <w:strike/>
                <w:color w:val="FF0000"/>
              </w:rPr>
              <w:t>Liquidity</w:t>
            </w:r>
            <w:r>
              <w:rPr>
                <w:color w:val="0000FF"/>
                <w:u w:val="single"/>
              </w:rPr>
              <w:t>[Reserved]</w:t>
            </w:r>
          </w:p>
        </w:tc>
        <w:tc>
          <w:tcPr>
            <w:tcW w:w="515" w:type="dxa"/>
            <w:tcBorders/>
            <w:vAlign w:val="center"/>
          </w:tcPr>
          <w:p>
            <w:pPr>
              <w:pStyle w:val="TableContents"/>
              <w:bidi w:val="0"/>
              <w:spacing w:before="0" w:after="283"/>
              <w:jc w:val="right"/>
              <w:rPr/>
            </w:pPr>
            <w:r>
              <w:rPr/>
              <w:t>76</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7.15</w:t>
            </w:r>
          </w:p>
        </w:tc>
        <w:tc>
          <w:tcPr>
            <w:tcW w:w="7938" w:type="dxa"/>
            <w:tcBorders/>
            <w:vAlign w:val="center"/>
          </w:tcPr>
          <w:p>
            <w:pPr>
              <w:pStyle w:val="TableContents"/>
              <w:bidi w:val="0"/>
              <w:spacing w:before="0" w:after="283"/>
              <w:jc w:val="both"/>
              <w:rPr/>
            </w:pPr>
            <w:r>
              <w:rPr/>
              <w:t>Divisions</w:t>
            </w:r>
          </w:p>
        </w:tc>
        <w:tc>
          <w:tcPr>
            <w:tcW w:w="515" w:type="dxa"/>
            <w:tcBorders/>
            <w:vAlign w:val="center"/>
          </w:tcPr>
          <w:p>
            <w:pPr>
              <w:pStyle w:val="TableContents"/>
              <w:bidi w:val="0"/>
              <w:spacing w:before="0" w:after="283"/>
              <w:jc w:val="right"/>
              <w:rPr/>
            </w:pPr>
            <w:r>
              <w:rPr/>
              <w:t>76</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7.16</w:t>
            </w:r>
          </w:p>
        </w:tc>
        <w:tc>
          <w:tcPr>
            <w:tcW w:w="7938" w:type="dxa"/>
            <w:tcBorders/>
            <w:vAlign w:val="center"/>
          </w:tcPr>
          <w:p>
            <w:pPr>
              <w:pStyle w:val="TableContents"/>
              <w:bidi w:val="0"/>
              <w:spacing w:before="0" w:after="283"/>
              <w:jc w:val="both"/>
              <w:rPr/>
            </w:pPr>
            <w:r>
              <w:rPr/>
              <w:t>[Reserved]</w:t>
            </w:r>
          </w:p>
        </w:tc>
        <w:tc>
          <w:tcPr>
            <w:tcW w:w="515" w:type="dxa"/>
            <w:tcBorders/>
            <w:vAlign w:val="center"/>
          </w:tcPr>
          <w:p>
            <w:pPr>
              <w:pStyle w:val="TableContents"/>
              <w:bidi w:val="0"/>
              <w:spacing w:before="0" w:after="283"/>
              <w:jc w:val="right"/>
              <w:rPr/>
            </w:pPr>
            <w:r>
              <w:rPr>
                <w:strike/>
                <w:color w:val="FF0000"/>
              </w:rPr>
              <w:t>77</w:t>
            </w:r>
            <w:r>
              <w:rPr>
                <w:color w:val="0000FF"/>
                <w:u w:val="single"/>
              </w:rPr>
              <w:t>76</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7.17</w:t>
            </w:r>
          </w:p>
        </w:tc>
        <w:tc>
          <w:tcPr>
            <w:tcW w:w="7938" w:type="dxa"/>
            <w:tcBorders/>
            <w:vAlign w:val="center"/>
          </w:tcPr>
          <w:p>
            <w:pPr>
              <w:pStyle w:val="TableContents"/>
              <w:bidi w:val="0"/>
              <w:spacing w:before="0" w:after="283"/>
              <w:jc w:val="both"/>
              <w:rPr>
                <w:u w:val="single"/>
              </w:rPr>
            </w:pPr>
            <w:r>
              <w:rPr>
                <w:u w:val="single"/>
              </w:rPr>
              <w:t xml:space="preserve">ERISA </w:t>
            </w:r>
          </w:p>
        </w:tc>
        <w:tc>
          <w:tcPr>
            <w:tcW w:w="515" w:type="dxa"/>
            <w:tcBorders/>
            <w:vAlign w:val="center"/>
          </w:tcPr>
          <w:p>
            <w:pPr>
              <w:pStyle w:val="TableContents"/>
              <w:bidi w:val="0"/>
              <w:spacing w:before="0" w:after="283"/>
              <w:jc w:val="right"/>
              <w:rPr/>
            </w:pPr>
            <w:r>
              <w:rPr>
                <w:strike/>
                <w:color w:val="FF0000"/>
              </w:rPr>
              <w:t>77</w:t>
            </w:r>
            <w:r>
              <w:rPr>
                <w:u w:val="single"/>
              </w:rPr>
              <w:t>76</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7.18</w:t>
            </w:r>
          </w:p>
        </w:tc>
        <w:tc>
          <w:tcPr>
            <w:tcW w:w="7938" w:type="dxa"/>
            <w:tcBorders/>
            <w:vAlign w:val="center"/>
          </w:tcPr>
          <w:p>
            <w:pPr>
              <w:pStyle w:val="TableContents"/>
              <w:bidi w:val="0"/>
              <w:spacing w:before="0" w:after="283"/>
              <w:jc w:val="both"/>
              <w:rPr/>
            </w:pPr>
            <w:r>
              <w:rPr/>
              <w:t>Environmental</w:t>
            </w:r>
          </w:p>
        </w:tc>
        <w:tc>
          <w:tcPr>
            <w:tcW w:w="515" w:type="dxa"/>
            <w:tcBorders/>
            <w:vAlign w:val="center"/>
          </w:tcPr>
          <w:p>
            <w:pPr>
              <w:pStyle w:val="TableContents"/>
              <w:bidi w:val="0"/>
              <w:spacing w:before="0" w:after="283"/>
              <w:jc w:val="right"/>
              <w:rPr/>
            </w:pPr>
            <w:r>
              <w:rPr>
                <w:strike/>
                <w:color w:val="FF0000"/>
              </w:rPr>
              <w:t>77</w:t>
            </w:r>
            <w:r>
              <w:rPr>
                <w:color w:val="0000FF"/>
                <w:u w:val="single"/>
              </w:rPr>
              <w:t>76</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7.19</w:t>
            </w:r>
          </w:p>
        </w:tc>
        <w:tc>
          <w:tcPr>
            <w:tcW w:w="7938" w:type="dxa"/>
            <w:tcBorders/>
            <w:vAlign w:val="center"/>
          </w:tcPr>
          <w:p>
            <w:pPr>
              <w:pStyle w:val="TableContents"/>
              <w:bidi w:val="0"/>
              <w:spacing w:before="0" w:after="283"/>
              <w:jc w:val="both"/>
              <w:rPr/>
            </w:pPr>
            <w:r>
              <w:rPr/>
              <w:t>Accounting Methods</w:t>
            </w:r>
          </w:p>
        </w:tc>
        <w:tc>
          <w:tcPr>
            <w:tcW w:w="515" w:type="dxa"/>
            <w:tcBorders/>
            <w:vAlign w:val="center"/>
          </w:tcPr>
          <w:p>
            <w:pPr>
              <w:pStyle w:val="TableContents"/>
              <w:bidi w:val="0"/>
              <w:spacing w:before="0" w:after="283"/>
              <w:jc w:val="right"/>
              <w:rPr/>
            </w:pPr>
            <w:r>
              <w:rPr>
                <w:strike/>
                <w:color w:val="FF0000"/>
              </w:rPr>
              <w:t>77</w:t>
            </w:r>
            <w:r>
              <w:rPr>
                <w:color w:val="0000FF"/>
                <w:u w:val="single"/>
              </w:rPr>
              <w:t>76</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7.20</w:t>
            </w:r>
          </w:p>
        </w:tc>
        <w:tc>
          <w:tcPr>
            <w:tcW w:w="7938" w:type="dxa"/>
            <w:tcBorders/>
            <w:vAlign w:val="center"/>
          </w:tcPr>
          <w:p>
            <w:pPr>
              <w:pStyle w:val="TableContents"/>
              <w:bidi w:val="0"/>
              <w:spacing w:before="0" w:after="283"/>
              <w:jc w:val="both"/>
              <w:rPr/>
            </w:pPr>
            <w:r>
              <w:rPr/>
              <w:t>Sanctioned Persons; Anti-Corruption Laws; Anti-Money Laundering Laws</w:t>
            </w:r>
          </w:p>
        </w:tc>
        <w:tc>
          <w:tcPr>
            <w:tcW w:w="515" w:type="dxa"/>
            <w:tcBorders/>
            <w:vAlign w:val="center"/>
          </w:tcPr>
          <w:p>
            <w:pPr>
              <w:pStyle w:val="TableContents"/>
              <w:bidi w:val="0"/>
              <w:spacing w:before="0" w:after="283"/>
              <w:jc w:val="right"/>
              <w:rPr/>
            </w:pPr>
            <w:r>
              <w:rPr>
                <w:strike/>
                <w:color w:val="FF0000"/>
              </w:rPr>
              <w:t>77</w:t>
            </w:r>
            <w:r>
              <w:rPr>
                <w:color w:val="0000FF"/>
                <w:u w:val="single"/>
              </w:rPr>
              <w:t>76</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7.21</w:t>
            </w:r>
          </w:p>
        </w:tc>
        <w:tc>
          <w:tcPr>
            <w:tcW w:w="7938" w:type="dxa"/>
            <w:tcBorders/>
            <w:vAlign w:val="center"/>
          </w:tcPr>
          <w:p>
            <w:pPr>
              <w:pStyle w:val="TableContents"/>
              <w:bidi w:val="0"/>
              <w:spacing w:before="0" w:after="283"/>
              <w:jc w:val="both"/>
              <w:rPr/>
            </w:pPr>
            <w:r>
              <w:rPr/>
              <w:t>Federal Reserve Regulations</w:t>
            </w:r>
          </w:p>
        </w:tc>
        <w:tc>
          <w:tcPr>
            <w:tcW w:w="515" w:type="dxa"/>
            <w:tcBorders/>
            <w:vAlign w:val="center"/>
          </w:tcPr>
          <w:p>
            <w:pPr>
              <w:pStyle w:val="TableContents"/>
              <w:bidi w:val="0"/>
              <w:spacing w:before="0" w:after="283"/>
              <w:ind w:left="0" w:right="0" w:hanging="0"/>
              <w:jc w:val="right"/>
              <w:rPr/>
            </w:pPr>
            <w:r>
              <w:rPr/>
              <w:t>77</w:t>
            </w:r>
          </w:p>
        </w:tc>
      </w:tr>
      <w:tr>
        <w:trPr/>
        <w:tc>
          <w:tcPr>
            <w:tcW w:w="335" w:type="dxa"/>
            <w:tcBorders/>
            <w:vAlign w:val="center"/>
          </w:tcPr>
          <w:p>
            <w:pPr>
              <w:pStyle w:val="TableContents"/>
              <w:bidi w:val="0"/>
              <w:spacing w:before="0" w:after="283"/>
              <w:ind w:left="0" w:right="0" w:hanging="0"/>
              <w:jc w:val="left"/>
              <w:rPr/>
            </w:pPr>
            <w:r>
              <w:rPr/>
              <w:t> </w:t>
            </w:r>
          </w:p>
        </w:tc>
        <w:tc>
          <w:tcPr>
            <w:tcW w:w="616" w:type="dxa"/>
            <w:tcBorders/>
            <w:vAlign w:val="center"/>
          </w:tcPr>
          <w:p>
            <w:pPr>
              <w:pStyle w:val="TableContents"/>
              <w:bidi w:val="0"/>
              <w:spacing w:before="0" w:after="283"/>
              <w:ind w:left="0" w:right="0" w:hanging="0"/>
              <w:jc w:val="left"/>
              <w:rPr/>
            </w:pPr>
            <w:r>
              <w:rPr/>
              <w:t> </w:t>
            </w:r>
          </w:p>
        </w:tc>
        <w:tc>
          <w:tcPr>
            <w:tcW w:w="7938" w:type="dxa"/>
            <w:tcBorders/>
            <w:vAlign w:val="center"/>
          </w:tcPr>
          <w:p>
            <w:pPr>
              <w:pStyle w:val="TableContents"/>
              <w:bidi w:val="0"/>
              <w:spacing w:before="0" w:after="283"/>
              <w:ind w:left="0" w:right="0" w:hanging="0"/>
              <w:jc w:val="left"/>
              <w:rPr/>
            </w:pPr>
            <w:r>
              <w:rPr/>
              <w:t> </w:t>
            </w:r>
          </w:p>
        </w:tc>
        <w:tc>
          <w:tcPr>
            <w:tcW w:w="515" w:type="dxa"/>
            <w:tcBorders/>
            <w:vAlign w:val="center"/>
          </w:tcPr>
          <w:p>
            <w:pPr>
              <w:pStyle w:val="TableContents"/>
              <w:bidi w:val="0"/>
              <w:spacing w:before="0" w:after="283"/>
              <w:jc w:val="right"/>
              <w:rPr/>
            </w:pPr>
            <w:r>
              <w:rPr/>
              <w:t> </w:t>
            </w:r>
          </w:p>
        </w:tc>
      </w:tr>
      <w:tr>
        <w:trPr/>
        <w:tc>
          <w:tcPr>
            <w:tcW w:w="335" w:type="dxa"/>
            <w:tcBorders/>
            <w:vAlign w:val="center"/>
          </w:tcPr>
          <w:p>
            <w:pPr>
              <w:pStyle w:val="TableContents"/>
              <w:bidi w:val="0"/>
              <w:spacing w:before="0" w:after="283"/>
              <w:jc w:val="left"/>
              <w:rPr/>
            </w:pPr>
            <w:r>
              <w:rPr/>
              <w:t>8.</w:t>
            </w:r>
          </w:p>
        </w:tc>
        <w:tc>
          <w:tcPr>
            <w:tcW w:w="8554" w:type="dxa"/>
            <w:gridSpan w:val="2"/>
            <w:tcBorders/>
            <w:vAlign w:val="center"/>
          </w:tcPr>
          <w:p>
            <w:pPr>
              <w:pStyle w:val="TableContents"/>
              <w:bidi w:val="0"/>
              <w:spacing w:before="0" w:after="283"/>
              <w:jc w:val="left"/>
              <w:rPr/>
            </w:pPr>
            <w:r>
              <w:rPr/>
              <w:t>DEFAULTS.</w:t>
            </w:r>
          </w:p>
        </w:tc>
        <w:tc>
          <w:tcPr>
            <w:tcW w:w="515" w:type="dxa"/>
            <w:tcBorders/>
            <w:vAlign w:val="center"/>
          </w:tcPr>
          <w:p>
            <w:pPr>
              <w:pStyle w:val="TableContents"/>
              <w:bidi w:val="0"/>
              <w:spacing w:before="0" w:after="283"/>
              <w:jc w:val="right"/>
              <w:rPr/>
            </w:pPr>
            <w:r>
              <w:rPr>
                <w:strike/>
                <w:color w:val="FF0000"/>
              </w:rPr>
              <w:t>78</w:t>
            </w:r>
            <w:r>
              <w:rPr>
                <w:color w:val="0000FF"/>
                <w:u w:val="single"/>
              </w:rPr>
              <w:t>77</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8.1</w:t>
            </w:r>
          </w:p>
        </w:tc>
        <w:tc>
          <w:tcPr>
            <w:tcW w:w="7938" w:type="dxa"/>
            <w:tcBorders/>
            <w:vAlign w:val="center"/>
          </w:tcPr>
          <w:p>
            <w:pPr>
              <w:pStyle w:val="TableContents"/>
              <w:bidi w:val="0"/>
              <w:spacing w:before="0" w:after="283"/>
              <w:jc w:val="both"/>
              <w:rPr/>
            </w:pPr>
            <w:r>
              <w:rPr/>
              <w:t>Events of Default</w:t>
            </w:r>
          </w:p>
        </w:tc>
        <w:tc>
          <w:tcPr>
            <w:tcW w:w="515" w:type="dxa"/>
            <w:tcBorders/>
            <w:vAlign w:val="center"/>
          </w:tcPr>
          <w:p>
            <w:pPr>
              <w:pStyle w:val="TableContents"/>
              <w:bidi w:val="0"/>
              <w:spacing w:before="0" w:after="283"/>
              <w:jc w:val="right"/>
              <w:rPr/>
            </w:pPr>
            <w:r>
              <w:rPr>
                <w:strike/>
                <w:color w:val="FF0000"/>
              </w:rPr>
              <w:t>78</w:t>
            </w:r>
            <w:r>
              <w:rPr>
                <w:color w:val="0000FF"/>
                <w:u w:val="single"/>
              </w:rPr>
              <w:t>77</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8.2</w:t>
            </w:r>
          </w:p>
        </w:tc>
        <w:tc>
          <w:tcPr>
            <w:tcW w:w="7938" w:type="dxa"/>
            <w:tcBorders/>
            <w:vAlign w:val="center"/>
          </w:tcPr>
          <w:p>
            <w:pPr>
              <w:pStyle w:val="TableContents"/>
              <w:bidi w:val="0"/>
              <w:spacing w:before="0" w:after="283"/>
              <w:jc w:val="both"/>
              <w:rPr/>
            </w:pPr>
            <w:r>
              <w:rPr/>
              <w:t>Exercise of Remedies</w:t>
            </w:r>
          </w:p>
        </w:tc>
        <w:tc>
          <w:tcPr>
            <w:tcW w:w="515" w:type="dxa"/>
            <w:tcBorders/>
            <w:vAlign w:val="center"/>
          </w:tcPr>
          <w:p>
            <w:pPr>
              <w:pStyle w:val="TableContents"/>
              <w:bidi w:val="0"/>
              <w:spacing w:before="0" w:after="283"/>
              <w:jc w:val="right"/>
              <w:rPr/>
            </w:pPr>
            <w:r>
              <w:rPr>
                <w:strike/>
                <w:color w:val="FF0000"/>
              </w:rPr>
              <w:t>80</w:t>
            </w:r>
            <w:r>
              <w:rPr>
                <w:color w:val="0000FF"/>
                <w:u w:val="single"/>
              </w:rPr>
              <w:t>79</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8.3</w:t>
            </w:r>
          </w:p>
        </w:tc>
        <w:tc>
          <w:tcPr>
            <w:tcW w:w="7938" w:type="dxa"/>
            <w:tcBorders/>
            <w:vAlign w:val="center"/>
          </w:tcPr>
          <w:p>
            <w:pPr>
              <w:pStyle w:val="TableContents"/>
              <w:bidi w:val="0"/>
              <w:spacing w:before="0" w:after="283"/>
              <w:jc w:val="both"/>
              <w:rPr/>
            </w:pPr>
            <w:r>
              <w:rPr/>
              <w:t>Rights Cumulative</w:t>
            </w:r>
          </w:p>
        </w:tc>
        <w:tc>
          <w:tcPr>
            <w:tcW w:w="515" w:type="dxa"/>
            <w:tcBorders/>
            <w:vAlign w:val="center"/>
          </w:tcPr>
          <w:p>
            <w:pPr>
              <w:pStyle w:val="TableContents"/>
              <w:bidi w:val="0"/>
              <w:spacing w:before="0" w:after="283"/>
              <w:jc w:val="right"/>
              <w:rPr/>
            </w:pPr>
            <w:r>
              <w:rPr/>
              <w:t>80</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8.4</w:t>
            </w:r>
          </w:p>
        </w:tc>
        <w:tc>
          <w:tcPr>
            <w:tcW w:w="7938" w:type="dxa"/>
            <w:tcBorders/>
            <w:vAlign w:val="center"/>
          </w:tcPr>
          <w:p>
            <w:pPr>
              <w:pStyle w:val="TableContents"/>
              <w:bidi w:val="0"/>
              <w:spacing w:before="0" w:after="283"/>
              <w:jc w:val="both"/>
              <w:rPr/>
            </w:pPr>
            <w:r>
              <w:rPr/>
              <w:t>Waiver by the Borrower of Certain Laws</w:t>
            </w:r>
          </w:p>
        </w:tc>
        <w:tc>
          <w:tcPr>
            <w:tcW w:w="515" w:type="dxa"/>
            <w:tcBorders/>
            <w:vAlign w:val="center"/>
          </w:tcPr>
          <w:p>
            <w:pPr>
              <w:pStyle w:val="TableContents"/>
              <w:bidi w:val="0"/>
              <w:spacing w:before="0" w:after="283"/>
              <w:jc w:val="right"/>
              <w:rPr/>
            </w:pPr>
            <w:r>
              <w:rPr/>
              <w:t>80</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8.5</w:t>
            </w:r>
          </w:p>
        </w:tc>
        <w:tc>
          <w:tcPr>
            <w:tcW w:w="7938" w:type="dxa"/>
            <w:tcBorders/>
            <w:vAlign w:val="center"/>
          </w:tcPr>
          <w:p>
            <w:pPr>
              <w:pStyle w:val="TableContents"/>
              <w:bidi w:val="0"/>
              <w:spacing w:before="0" w:after="283"/>
              <w:jc w:val="both"/>
              <w:rPr/>
            </w:pPr>
            <w:r>
              <w:rPr/>
              <w:t>Waiver of Defaults</w:t>
            </w:r>
          </w:p>
        </w:tc>
        <w:tc>
          <w:tcPr>
            <w:tcW w:w="515" w:type="dxa"/>
            <w:tcBorders/>
            <w:vAlign w:val="center"/>
          </w:tcPr>
          <w:p>
            <w:pPr>
              <w:pStyle w:val="TableContents"/>
              <w:bidi w:val="0"/>
              <w:spacing w:before="0" w:after="283"/>
              <w:jc w:val="right"/>
              <w:rPr/>
            </w:pPr>
            <w:r>
              <w:rPr/>
              <w:t>80</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8.6</w:t>
            </w:r>
          </w:p>
        </w:tc>
        <w:tc>
          <w:tcPr>
            <w:tcW w:w="7938" w:type="dxa"/>
            <w:tcBorders/>
            <w:vAlign w:val="center"/>
          </w:tcPr>
          <w:p>
            <w:pPr>
              <w:pStyle w:val="TableContents"/>
              <w:bidi w:val="0"/>
              <w:spacing w:before="0" w:after="283"/>
              <w:jc w:val="both"/>
              <w:rPr/>
            </w:pPr>
            <w:r>
              <w:rPr/>
              <w:t>Set Off</w:t>
            </w:r>
          </w:p>
        </w:tc>
        <w:tc>
          <w:tcPr>
            <w:tcW w:w="515" w:type="dxa"/>
            <w:tcBorders/>
            <w:vAlign w:val="center"/>
          </w:tcPr>
          <w:p>
            <w:pPr>
              <w:pStyle w:val="TableContents"/>
              <w:bidi w:val="0"/>
              <w:spacing w:before="0" w:after="283"/>
              <w:ind w:left="0" w:right="0" w:hanging="0"/>
              <w:jc w:val="right"/>
              <w:rPr/>
            </w:pPr>
            <w:r>
              <w:rPr>
                <w:strike/>
                <w:color w:val="FF0000"/>
              </w:rPr>
              <w:t>81</w:t>
            </w:r>
            <w:r>
              <w:rPr>
                <w:color w:val="0000FF"/>
                <w:u w:val="single"/>
              </w:rPr>
              <w:t>80</w:t>
            </w:r>
          </w:p>
        </w:tc>
      </w:tr>
      <w:tr>
        <w:trPr/>
        <w:tc>
          <w:tcPr>
            <w:tcW w:w="335" w:type="dxa"/>
            <w:tcBorders/>
            <w:vAlign w:val="center"/>
          </w:tcPr>
          <w:p>
            <w:pPr>
              <w:pStyle w:val="TableContents"/>
              <w:bidi w:val="0"/>
              <w:spacing w:before="0" w:after="283"/>
              <w:ind w:left="0" w:right="0" w:hanging="0"/>
              <w:jc w:val="left"/>
              <w:rPr/>
            </w:pPr>
            <w:r>
              <w:rPr/>
              <w:t> </w:t>
            </w:r>
          </w:p>
        </w:tc>
        <w:tc>
          <w:tcPr>
            <w:tcW w:w="616" w:type="dxa"/>
            <w:tcBorders/>
            <w:vAlign w:val="center"/>
          </w:tcPr>
          <w:p>
            <w:pPr>
              <w:pStyle w:val="TableContents"/>
              <w:bidi w:val="0"/>
              <w:spacing w:before="0" w:after="283"/>
              <w:ind w:left="0" w:right="0" w:hanging="0"/>
              <w:jc w:val="left"/>
              <w:rPr/>
            </w:pPr>
            <w:r>
              <w:rPr/>
              <w:t> </w:t>
            </w:r>
          </w:p>
        </w:tc>
        <w:tc>
          <w:tcPr>
            <w:tcW w:w="7938" w:type="dxa"/>
            <w:tcBorders/>
            <w:vAlign w:val="center"/>
          </w:tcPr>
          <w:p>
            <w:pPr>
              <w:pStyle w:val="TableContents"/>
              <w:bidi w:val="0"/>
              <w:spacing w:before="0" w:after="283"/>
              <w:ind w:left="0" w:right="0" w:hanging="0"/>
              <w:jc w:val="left"/>
              <w:rPr/>
            </w:pPr>
            <w:r>
              <w:rPr/>
              <w:t> </w:t>
            </w:r>
          </w:p>
        </w:tc>
        <w:tc>
          <w:tcPr>
            <w:tcW w:w="515" w:type="dxa"/>
            <w:tcBorders/>
            <w:vAlign w:val="center"/>
          </w:tcPr>
          <w:p>
            <w:pPr>
              <w:pStyle w:val="TableContents"/>
              <w:bidi w:val="0"/>
              <w:spacing w:before="0" w:after="283"/>
              <w:jc w:val="right"/>
              <w:rPr/>
            </w:pPr>
            <w:r>
              <w:rPr/>
              <w:t> </w:t>
            </w:r>
          </w:p>
        </w:tc>
      </w:tr>
      <w:tr>
        <w:trPr/>
        <w:tc>
          <w:tcPr>
            <w:tcW w:w="335" w:type="dxa"/>
            <w:tcBorders/>
            <w:vAlign w:val="center"/>
          </w:tcPr>
          <w:p>
            <w:pPr>
              <w:pStyle w:val="TableContents"/>
              <w:bidi w:val="0"/>
              <w:spacing w:before="0" w:after="283"/>
              <w:jc w:val="both"/>
              <w:rPr/>
            </w:pPr>
            <w:r>
              <w:rPr/>
              <w:t>9.</w:t>
            </w:r>
          </w:p>
        </w:tc>
        <w:tc>
          <w:tcPr>
            <w:tcW w:w="8554" w:type="dxa"/>
            <w:gridSpan w:val="2"/>
            <w:tcBorders/>
            <w:vAlign w:val="center"/>
          </w:tcPr>
          <w:p>
            <w:pPr>
              <w:pStyle w:val="TableContents"/>
              <w:bidi w:val="0"/>
              <w:spacing w:before="0" w:after="283"/>
              <w:jc w:val="both"/>
              <w:rPr/>
            </w:pPr>
            <w:r>
              <w:rPr/>
              <w:t>PAYMENTS, RECOVERIES AND COLLECTIONS.</w:t>
            </w:r>
          </w:p>
        </w:tc>
        <w:tc>
          <w:tcPr>
            <w:tcW w:w="515" w:type="dxa"/>
            <w:tcBorders/>
            <w:vAlign w:val="center"/>
          </w:tcPr>
          <w:p>
            <w:pPr>
              <w:pStyle w:val="TableContents"/>
              <w:bidi w:val="0"/>
              <w:spacing w:before="0" w:after="283"/>
              <w:jc w:val="right"/>
              <w:rPr/>
            </w:pPr>
            <w:r>
              <w:rPr/>
              <w:t>81</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9.1</w:t>
            </w:r>
          </w:p>
        </w:tc>
        <w:tc>
          <w:tcPr>
            <w:tcW w:w="7938" w:type="dxa"/>
            <w:tcBorders/>
            <w:vAlign w:val="center"/>
          </w:tcPr>
          <w:p>
            <w:pPr>
              <w:pStyle w:val="TableContents"/>
              <w:bidi w:val="0"/>
              <w:spacing w:before="0" w:after="283"/>
              <w:jc w:val="both"/>
              <w:rPr/>
            </w:pPr>
            <w:r>
              <w:rPr/>
              <w:t>Payment Procedure</w:t>
            </w:r>
          </w:p>
        </w:tc>
        <w:tc>
          <w:tcPr>
            <w:tcW w:w="515" w:type="dxa"/>
            <w:tcBorders/>
            <w:vAlign w:val="center"/>
          </w:tcPr>
          <w:p>
            <w:pPr>
              <w:pStyle w:val="TableContents"/>
              <w:bidi w:val="0"/>
              <w:spacing w:before="0" w:after="283"/>
              <w:jc w:val="right"/>
              <w:rPr/>
            </w:pPr>
            <w:r>
              <w:rPr/>
              <w:t>81</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9.2</w:t>
            </w:r>
          </w:p>
        </w:tc>
        <w:tc>
          <w:tcPr>
            <w:tcW w:w="7938" w:type="dxa"/>
            <w:tcBorders/>
            <w:vAlign w:val="center"/>
          </w:tcPr>
          <w:p>
            <w:pPr>
              <w:pStyle w:val="TableContents"/>
              <w:bidi w:val="0"/>
              <w:spacing w:before="0" w:after="283"/>
              <w:jc w:val="both"/>
              <w:rPr/>
            </w:pPr>
            <w:r>
              <w:rPr/>
              <w:t>Application of Payments</w:t>
            </w:r>
          </w:p>
        </w:tc>
        <w:tc>
          <w:tcPr>
            <w:tcW w:w="515" w:type="dxa"/>
            <w:tcBorders/>
            <w:vAlign w:val="center"/>
          </w:tcPr>
          <w:p>
            <w:pPr>
              <w:pStyle w:val="TableContents"/>
              <w:bidi w:val="0"/>
              <w:spacing w:before="0" w:after="283"/>
              <w:jc w:val="right"/>
              <w:rPr/>
            </w:pPr>
            <w:r>
              <w:rPr>
                <w:strike/>
                <w:color w:val="FF0000"/>
              </w:rPr>
              <w:t>82</w:t>
            </w:r>
            <w:r>
              <w:rPr>
                <w:color w:val="0000FF"/>
                <w:u w:val="single"/>
              </w:rPr>
              <w:t>81</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9.3</w:t>
            </w:r>
          </w:p>
        </w:tc>
        <w:tc>
          <w:tcPr>
            <w:tcW w:w="7938" w:type="dxa"/>
            <w:tcBorders/>
            <w:vAlign w:val="center"/>
          </w:tcPr>
          <w:p>
            <w:pPr>
              <w:pStyle w:val="TableContents"/>
              <w:bidi w:val="0"/>
              <w:spacing w:before="0" w:after="283"/>
              <w:jc w:val="both"/>
              <w:rPr/>
            </w:pPr>
            <w:r>
              <w:rPr/>
              <w:t>Ratable Sharing</w:t>
            </w:r>
          </w:p>
        </w:tc>
        <w:tc>
          <w:tcPr>
            <w:tcW w:w="515" w:type="dxa"/>
            <w:tcBorders/>
            <w:vAlign w:val="center"/>
          </w:tcPr>
          <w:p>
            <w:pPr>
              <w:pStyle w:val="TableContents"/>
              <w:bidi w:val="0"/>
              <w:spacing w:before="0" w:after="283"/>
              <w:jc w:val="right"/>
              <w:rPr/>
            </w:pPr>
            <w:r>
              <w:rPr>
                <w:strike/>
                <w:color w:val="FF0000"/>
              </w:rPr>
              <w:t>83</w:t>
            </w:r>
            <w:r>
              <w:rPr>
                <w:color w:val="0000FF"/>
                <w:u w:val="single"/>
              </w:rPr>
              <w:t>82</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9.4</w:t>
            </w:r>
          </w:p>
        </w:tc>
        <w:tc>
          <w:tcPr>
            <w:tcW w:w="7938" w:type="dxa"/>
            <w:tcBorders/>
            <w:vAlign w:val="center"/>
          </w:tcPr>
          <w:p>
            <w:pPr>
              <w:pStyle w:val="TableContents"/>
              <w:bidi w:val="0"/>
              <w:spacing w:before="0" w:after="283"/>
              <w:jc w:val="both"/>
              <w:rPr/>
            </w:pPr>
            <w:r>
              <w:rPr/>
              <w:t>Treatment of a Defaulting Lender</w:t>
            </w:r>
          </w:p>
        </w:tc>
        <w:tc>
          <w:tcPr>
            <w:tcW w:w="515" w:type="dxa"/>
            <w:tcBorders/>
            <w:vAlign w:val="center"/>
          </w:tcPr>
          <w:p>
            <w:pPr>
              <w:pStyle w:val="TableContents"/>
              <w:bidi w:val="0"/>
              <w:spacing w:before="0" w:after="283"/>
              <w:ind w:left="0" w:right="0" w:hanging="0"/>
              <w:jc w:val="right"/>
              <w:rPr/>
            </w:pPr>
            <w:r>
              <w:rPr/>
              <w:t>83</w:t>
            </w:r>
          </w:p>
        </w:tc>
      </w:tr>
      <w:tr>
        <w:trPr/>
        <w:tc>
          <w:tcPr>
            <w:tcW w:w="335" w:type="dxa"/>
            <w:tcBorders/>
            <w:vAlign w:val="center"/>
          </w:tcPr>
          <w:p>
            <w:pPr>
              <w:pStyle w:val="TableContents"/>
              <w:bidi w:val="0"/>
              <w:spacing w:before="0" w:after="283"/>
              <w:ind w:left="0" w:right="0" w:hanging="0"/>
              <w:jc w:val="left"/>
              <w:rPr/>
            </w:pPr>
            <w:r>
              <w:rPr/>
              <w:t> </w:t>
            </w:r>
          </w:p>
        </w:tc>
        <w:tc>
          <w:tcPr>
            <w:tcW w:w="616" w:type="dxa"/>
            <w:tcBorders/>
            <w:vAlign w:val="center"/>
          </w:tcPr>
          <w:p>
            <w:pPr>
              <w:pStyle w:val="TableContents"/>
              <w:bidi w:val="0"/>
              <w:spacing w:before="0" w:after="283"/>
              <w:ind w:left="0" w:right="0" w:hanging="0"/>
              <w:jc w:val="left"/>
              <w:rPr/>
            </w:pPr>
            <w:r>
              <w:rPr/>
              <w:t> </w:t>
            </w:r>
          </w:p>
        </w:tc>
        <w:tc>
          <w:tcPr>
            <w:tcW w:w="7938" w:type="dxa"/>
            <w:tcBorders/>
            <w:vAlign w:val="center"/>
          </w:tcPr>
          <w:p>
            <w:pPr>
              <w:pStyle w:val="TableContents"/>
              <w:bidi w:val="0"/>
              <w:spacing w:before="0" w:after="283"/>
              <w:ind w:left="0" w:right="0" w:hanging="0"/>
              <w:jc w:val="left"/>
              <w:rPr/>
            </w:pPr>
            <w:r>
              <w:rPr/>
              <w:t> </w:t>
            </w:r>
          </w:p>
        </w:tc>
        <w:tc>
          <w:tcPr>
            <w:tcW w:w="515" w:type="dxa"/>
            <w:tcBorders/>
            <w:vAlign w:val="center"/>
          </w:tcPr>
          <w:p>
            <w:pPr>
              <w:pStyle w:val="TableContents"/>
              <w:bidi w:val="0"/>
              <w:spacing w:before="0" w:after="283"/>
              <w:jc w:val="right"/>
              <w:rPr/>
            </w:pPr>
            <w:r>
              <w:rPr/>
              <w:t> </w:t>
            </w:r>
          </w:p>
        </w:tc>
      </w:tr>
      <w:tr>
        <w:trPr/>
        <w:tc>
          <w:tcPr>
            <w:tcW w:w="335" w:type="dxa"/>
            <w:tcBorders/>
            <w:vAlign w:val="center"/>
          </w:tcPr>
          <w:p>
            <w:pPr>
              <w:pStyle w:val="TableContents"/>
              <w:bidi w:val="0"/>
              <w:spacing w:before="0" w:after="283"/>
              <w:jc w:val="both"/>
              <w:rPr/>
            </w:pPr>
            <w:r>
              <w:rPr/>
              <w:t>10.</w:t>
            </w:r>
          </w:p>
        </w:tc>
        <w:tc>
          <w:tcPr>
            <w:tcW w:w="8554" w:type="dxa"/>
            <w:gridSpan w:val="2"/>
            <w:tcBorders/>
            <w:vAlign w:val="center"/>
          </w:tcPr>
          <w:p>
            <w:pPr>
              <w:pStyle w:val="TableContents"/>
              <w:bidi w:val="0"/>
              <w:spacing w:before="0" w:after="283"/>
              <w:jc w:val="both"/>
              <w:rPr/>
            </w:pPr>
            <w:r>
              <w:rPr/>
              <w:t>YIELD PROTECTION; INCREASED COSTS; MARGIN ADJUSTMENTS; TAXES.</w:t>
            </w:r>
          </w:p>
        </w:tc>
        <w:tc>
          <w:tcPr>
            <w:tcW w:w="515" w:type="dxa"/>
            <w:tcBorders/>
            <w:vAlign w:val="center"/>
          </w:tcPr>
          <w:p>
            <w:pPr>
              <w:pStyle w:val="TableContents"/>
              <w:bidi w:val="0"/>
              <w:spacing w:before="0" w:after="283"/>
              <w:jc w:val="right"/>
              <w:rPr/>
            </w:pPr>
            <w:r>
              <w:rPr>
                <w:strike/>
                <w:color w:val="FF0000"/>
              </w:rPr>
              <w:t>84</w:t>
            </w:r>
            <w:r>
              <w:rPr>
                <w:color w:val="0000FF"/>
                <w:u w:val="single"/>
              </w:rPr>
              <w:t>83</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10.1</w:t>
            </w:r>
          </w:p>
        </w:tc>
        <w:tc>
          <w:tcPr>
            <w:tcW w:w="7938" w:type="dxa"/>
            <w:tcBorders/>
            <w:vAlign w:val="center"/>
          </w:tcPr>
          <w:p>
            <w:pPr>
              <w:pStyle w:val="TableContents"/>
              <w:bidi w:val="0"/>
              <w:spacing w:before="0" w:after="283"/>
              <w:jc w:val="both"/>
              <w:rPr/>
            </w:pPr>
            <w:r>
              <w:rPr/>
              <w:t>Capital Adequacy and Other Increased Costs</w:t>
            </w:r>
          </w:p>
        </w:tc>
        <w:tc>
          <w:tcPr>
            <w:tcW w:w="515" w:type="dxa"/>
            <w:tcBorders/>
            <w:vAlign w:val="center"/>
          </w:tcPr>
          <w:p>
            <w:pPr>
              <w:pStyle w:val="TableContents"/>
              <w:bidi w:val="0"/>
              <w:spacing w:before="0" w:after="283"/>
              <w:jc w:val="right"/>
              <w:rPr/>
            </w:pPr>
            <w:r>
              <w:rPr>
                <w:strike/>
                <w:color w:val="FF0000"/>
              </w:rPr>
              <w:t>84</w:t>
            </w:r>
            <w:r>
              <w:rPr>
                <w:color w:val="0000FF"/>
                <w:u w:val="single"/>
              </w:rPr>
              <w:t>83</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10.2</w:t>
            </w:r>
          </w:p>
        </w:tc>
        <w:tc>
          <w:tcPr>
            <w:tcW w:w="7938" w:type="dxa"/>
            <w:tcBorders/>
            <w:vAlign w:val="center"/>
          </w:tcPr>
          <w:p>
            <w:pPr>
              <w:pStyle w:val="TableContents"/>
              <w:bidi w:val="0"/>
              <w:spacing w:before="0" w:after="283"/>
              <w:jc w:val="both"/>
              <w:rPr/>
            </w:pPr>
            <w:r>
              <w:rPr/>
              <w:t>Right of Lenders to Fund through Branches and Affiliates</w:t>
            </w:r>
          </w:p>
        </w:tc>
        <w:tc>
          <w:tcPr>
            <w:tcW w:w="515" w:type="dxa"/>
            <w:tcBorders/>
            <w:vAlign w:val="center"/>
          </w:tcPr>
          <w:p>
            <w:pPr>
              <w:pStyle w:val="TableContents"/>
              <w:bidi w:val="0"/>
              <w:spacing w:before="0" w:after="283"/>
              <w:jc w:val="right"/>
              <w:rPr/>
            </w:pPr>
            <w:r>
              <w:rPr/>
              <w:t>84</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10.3</w:t>
            </w:r>
          </w:p>
        </w:tc>
        <w:tc>
          <w:tcPr>
            <w:tcW w:w="7938" w:type="dxa"/>
            <w:tcBorders/>
            <w:vAlign w:val="center"/>
          </w:tcPr>
          <w:p>
            <w:pPr>
              <w:pStyle w:val="TableContents"/>
              <w:bidi w:val="0"/>
              <w:spacing w:before="0" w:after="283"/>
              <w:jc w:val="both"/>
              <w:rPr/>
            </w:pPr>
            <w:r>
              <w:rPr/>
              <w:t>Delay in Requests</w:t>
            </w:r>
          </w:p>
        </w:tc>
        <w:tc>
          <w:tcPr>
            <w:tcW w:w="515" w:type="dxa"/>
            <w:tcBorders/>
            <w:vAlign w:val="center"/>
          </w:tcPr>
          <w:p>
            <w:pPr>
              <w:pStyle w:val="TableContents"/>
              <w:bidi w:val="0"/>
              <w:spacing w:before="0" w:after="283"/>
              <w:jc w:val="right"/>
              <w:rPr/>
            </w:pPr>
            <w:r>
              <w:rPr/>
              <w:t>84</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10.4</w:t>
            </w:r>
          </w:p>
        </w:tc>
        <w:tc>
          <w:tcPr>
            <w:tcW w:w="7938" w:type="dxa"/>
            <w:tcBorders/>
            <w:vAlign w:val="center"/>
          </w:tcPr>
          <w:p>
            <w:pPr>
              <w:pStyle w:val="TableContents"/>
              <w:bidi w:val="0"/>
              <w:spacing w:before="0" w:after="283"/>
              <w:jc w:val="both"/>
              <w:rPr/>
            </w:pPr>
            <w:r>
              <w:rPr/>
              <w:t>Taxes</w:t>
            </w:r>
          </w:p>
        </w:tc>
        <w:tc>
          <w:tcPr>
            <w:tcW w:w="515" w:type="dxa"/>
            <w:tcBorders/>
            <w:vAlign w:val="center"/>
          </w:tcPr>
          <w:p>
            <w:pPr>
              <w:pStyle w:val="TableContents"/>
              <w:bidi w:val="0"/>
              <w:spacing w:before="0" w:after="283"/>
              <w:ind w:left="0" w:right="0" w:hanging="0"/>
              <w:jc w:val="right"/>
              <w:rPr/>
            </w:pPr>
            <w:r>
              <w:rPr>
                <w:strike/>
                <w:color w:val="FF0000"/>
              </w:rPr>
              <w:t>85</w:t>
            </w:r>
            <w:r>
              <w:rPr>
                <w:color w:val="0000FF"/>
                <w:u w:val="single"/>
              </w:rPr>
              <w:t>84</w:t>
            </w:r>
          </w:p>
        </w:tc>
      </w:tr>
      <w:tr>
        <w:trPr/>
        <w:tc>
          <w:tcPr>
            <w:tcW w:w="335" w:type="dxa"/>
            <w:tcBorders/>
            <w:vAlign w:val="center"/>
          </w:tcPr>
          <w:p>
            <w:pPr>
              <w:pStyle w:val="TableContents"/>
              <w:bidi w:val="0"/>
              <w:spacing w:before="0" w:after="283"/>
              <w:ind w:left="0" w:right="0" w:hanging="0"/>
              <w:jc w:val="left"/>
              <w:rPr/>
            </w:pPr>
            <w:r>
              <w:rPr/>
              <w:t> </w:t>
            </w:r>
          </w:p>
        </w:tc>
        <w:tc>
          <w:tcPr>
            <w:tcW w:w="616" w:type="dxa"/>
            <w:tcBorders/>
            <w:vAlign w:val="center"/>
          </w:tcPr>
          <w:p>
            <w:pPr>
              <w:pStyle w:val="TableContents"/>
              <w:bidi w:val="0"/>
              <w:spacing w:before="0" w:after="283"/>
              <w:ind w:left="0" w:right="0" w:hanging="0"/>
              <w:jc w:val="left"/>
              <w:rPr/>
            </w:pPr>
            <w:r>
              <w:rPr/>
              <w:t> </w:t>
            </w:r>
          </w:p>
        </w:tc>
        <w:tc>
          <w:tcPr>
            <w:tcW w:w="7938" w:type="dxa"/>
            <w:tcBorders/>
            <w:vAlign w:val="center"/>
          </w:tcPr>
          <w:p>
            <w:pPr>
              <w:pStyle w:val="TableContents"/>
              <w:bidi w:val="0"/>
              <w:spacing w:before="0" w:after="283"/>
              <w:ind w:left="0" w:right="0" w:hanging="0"/>
              <w:jc w:val="left"/>
              <w:rPr/>
            </w:pPr>
            <w:r>
              <w:rPr/>
              <w:t> </w:t>
            </w:r>
          </w:p>
        </w:tc>
        <w:tc>
          <w:tcPr>
            <w:tcW w:w="515" w:type="dxa"/>
            <w:tcBorders/>
            <w:vAlign w:val="center"/>
          </w:tcPr>
          <w:p>
            <w:pPr>
              <w:pStyle w:val="TableContents"/>
              <w:bidi w:val="0"/>
              <w:spacing w:before="0" w:after="283"/>
              <w:jc w:val="right"/>
              <w:rPr/>
            </w:pPr>
            <w:r>
              <w:rPr/>
              <w:t> </w:t>
            </w:r>
          </w:p>
        </w:tc>
      </w:tr>
      <w:tr>
        <w:trPr/>
        <w:tc>
          <w:tcPr>
            <w:tcW w:w="335" w:type="dxa"/>
            <w:tcBorders/>
            <w:vAlign w:val="center"/>
          </w:tcPr>
          <w:p>
            <w:pPr>
              <w:pStyle w:val="TableContents"/>
              <w:bidi w:val="0"/>
              <w:spacing w:before="0" w:after="283"/>
              <w:jc w:val="both"/>
              <w:rPr/>
            </w:pPr>
            <w:r>
              <w:rPr/>
              <w:t>11.</w:t>
            </w:r>
          </w:p>
        </w:tc>
        <w:tc>
          <w:tcPr>
            <w:tcW w:w="8554" w:type="dxa"/>
            <w:gridSpan w:val="2"/>
            <w:tcBorders/>
            <w:vAlign w:val="center"/>
          </w:tcPr>
          <w:p>
            <w:pPr>
              <w:pStyle w:val="TableContents"/>
              <w:bidi w:val="0"/>
              <w:spacing w:before="0" w:after="283"/>
              <w:jc w:val="both"/>
              <w:rPr/>
            </w:pPr>
            <w:r>
              <w:rPr/>
              <w:t>AGENT.</w:t>
            </w:r>
          </w:p>
        </w:tc>
        <w:tc>
          <w:tcPr>
            <w:tcW w:w="515" w:type="dxa"/>
            <w:tcBorders/>
            <w:vAlign w:val="center"/>
          </w:tcPr>
          <w:p>
            <w:pPr>
              <w:pStyle w:val="TableContents"/>
              <w:bidi w:val="0"/>
              <w:spacing w:before="0" w:after="283"/>
              <w:jc w:val="right"/>
              <w:rPr/>
            </w:pPr>
            <w:r>
              <w:rPr/>
              <w:t>86</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11.1</w:t>
            </w:r>
          </w:p>
        </w:tc>
        <w:tc>
          <w:tcPr>
            <w:tcW w:w="7938" w:type="dxa"/>
            <w:tcBorders/>
            <w:vAlign w:val="center"/>
          </w:tcPr>
          <w:p>
            <w:pPr>
              <w:pStyle w:val="TableContents"/>
              <w:bidi w:val="0"/>
              <w:spacing w:before="0" w:after="283"/>
              <w:jc w:val="both"/>
              <w:rPr/>
            </w:pPr>
            <w:r>
              <w:rPr/>
              <w:t>Appointment of the Agent</w:t>
            </w:r>
          </w:p>
        </w:tc>
        <w:tc>
          <w:tcPr>
            <w:tcW w:w="515" w:type="dxa"/>
            <w:tcBorders/>
            <w:vAlign w:val="center"/>
          </w:tcPr>
          <w:p>
            <w:pPr>
              <w:pStyle w:val="TableContents"/>
              <w:bidi w:val="0"/>
              <w:spacing w:before="0" w:after="283"/>
              <w:jc w:val="right"/>
              <w:rPr/>
            </w:pPr>
            <w:r>
              <w:rPr/>
              <w:t>86</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11.2</w:t>
            </w:r>
          </w:p>
        </w:tc>
        <w:tc>
          <w:tcPr>
            <w:tcW w:w="7938" w:type="dxa"/>
            <w:tcBorders/>
            <w:vAlign w:val="center"/>
          </w:tcPr>
          <w:p>
            <w:pPr>
              <w:pStyle w:val="TableContents"/>
              <w:bidi w:val="0"/>
              <w:spacing w:before="0" w:after="283"/>
              <w:jc w:val="both"/>
              <w:rPr/>
            </w:pPr>
            <w:r>
              <w:rPr/>
              <w:t>Agency for Perfection</w:t>
            </w:r>
          </w:p>
        </w:tc>
        <w:tc>
          <w:tcPr>
            <w:tcW w:w="515" w:type="dxa"/>
            <w:tcBorders/>
            <w:vAlign w:val="center"/>
          </w:tcPr>
          <w:p>
            <w:pPr>
              <w:pStyle w:val="TableContents"/>
              <w:bidi w:val="0"/>
              <w:spacing w:before="0" w:after="283"/>
              <w:jc w:val="right"/>
              <w:rPr/>
            </w:pPr>
            <w:r>
              <w:rPr/>
              <w:t>86</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11.3</w:t>
            </w:r>
          </w:p>
        </w:tc>
        <w:tc>
          <w:tcPr>
            <w:tcW w:w="7938" w:type="dxa"/>
            <w:tcBorders/>
            <w:vAlign w:val="center"/>
          </w:tcPr>
          <w:p>
            <w:pPr>
              <w:pStyle w:val="TableContents"/>
              <w:bidi w:val="0"/>
              <w:spacing w:before="0" w:after="283"/>
              <w:jc w:val="both"/>
              <w:rPr/>
            </w:pPr>
            <w:r>
              <w:rPr/>
              <w:t>Scope of the Agent’s Duties</w:t>
            </w:r>
          </w:p>
        </w:tc>
        <w:tc>
          <w:tcPr>
            <w:tcW w:w="515" w:type="dxa"/>
            <w:tcBorders/>
            <w:vAlign w:val="center"/>
          </w:tcPr>
          <w:p>
            <w:pPr>
              <w:pStyle w:val="TableContents"/>
              <w:bidi w:val="0"/>
              <w:spacing w:before="0" w:after="283"/>
              <w:jc w:val="right"/>
              <w:rPr/>
            </w:pPr>
            <w:r>
              <w:rPr>
                <w:strike/>
                <w:color w:val="FF0000"/>
              </w:rPr>
              <w:t>87</w:t>
            </w:r>
            <w:r>
              <w:rPr>
                <w:color w:val="0000FF"/>
                <w:u w:val="single"/>
              </w:rPr>
              <w:t>86</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11.4</w:t>
            </w:r>
          </w:p>
        </w:tc>
        <w:tc>
          <w:tcPr>
            <w:tcW w:w="7938" w:type="dxa"/>
            <w:tcBorders/>
            <w:vAlign w:val="center"/>
          </w:tcPr>
          <w:p>
            <w:pPr>
              <w:pStyle w:val="TableContents"/>
              <w:bidi w:val="0"/>
              <w:spacing w:before="0" w:after="283"/>
              <w:jc w:val="both"/>
              <w:rPr/>
            </w:pPr>
            <w:r>
              <w:rPr/>
              <w:t>Successor Agent</w:t>
            </w:r>
          </w:p>
        </w:tc>
        <w:tc>
          <w:tcPr>
            <w:tcW w:w="515" w:type="dxa"/>
            <w:tcBorders/>
            <w:vAlign w:val="center"/>
          </w:tcPr>
          <w:p>
            <w:pPr>
              <w:pStyle w:val="TableContents"/>
              <w:bidi w:val="0"/>
              <w:spacing w:before="0" w:after="283"/>
              <w:jc w:val="right"/>
              <w:rPr/>
            </w:pPr>
            <w:r>
              <w:rPr/>
              <w:t>87</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11.5</w:t>
            </w:r>
          </w:p>
        </w:tc>
        <w:tc>
          <w:tcPr>
            <w:tcW w:w="7938" w:type="dxa"/>
            <w:tcBorders/>
            <w:vAlign w:val="center"/>
          </w:tcPr>
          <w:p>
            <w:pPr>
              <w:pStyle w:val="TableContents"/>
              <w:bidi w:val="0"/>
              <w:spacing w:before="0" w:after="283"/>
              <w:jc w:val="both"/>
              <w:rPr/>
            </w:pPr>
            <w:r>
              <w:rPr/>
              <w:t>Credit Decisions</w:t>
            </w:r>
          </w:p>
        </w:tc>
        <w:tc>
          <w:tcPr>
            <w:tcW w:w="515" w:type="dxa"/>
            <w:tcBorders/>
            <w:vAlign w:val="center"/>
          </w:tcPr>
          <w:p>
            <w:pPr>
              <w:pStyle w:val="TableContents"/>
              <w:bidi w:val="0"/>
              <w:spacing w:before="0" w:after="283"/>
              <w:jc w:val="right"/>
              <w:rPr/>
            </w:pPr>
            <w:r>
              <w:rPr/>
              <w:t>88</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11.6</w:t>
            </w:r>
          </w:p>
        </w:tc>
        <w:tc>
          <w:tcPr>
            <w:tcW w:w="7938" w:type="dxa"/>
            <w:tcBorders/>
            <w:vAlign w:val="center"/>
          </w:tcPr>
          <w:p>
            <w:pPr>
              <w:pStyle w:val="TableContents"/>
              <w:bidi w:val="0"/>
              <w:spacing w:before="0" w:after="283"/>
              <w:jc w:val="both"/>
              <w:rPr/>
            </w:pPr>
            <w:r>
              <w:rPr/>
              <w:t>Authority of the Agent to Enforce This Agreement</w:t>
            </w:r>
          </w:p>
        </w:tc>
        <w:tc>
          <w:tcPr>
            <w:tcW w:w="515" w:type="dxa"/>
            <w:tcBorders/>
            <w:vAlign w:val="center"/>
          </w:tcPr>
          <w:p>
            <w:pPr>
              <w:pStyle w:val="TableContents"/>
              <w:bidi w:val="0"/>
              <w:spacing w:before="0" w:after="283"/>
              <w:jc w:val="right"/>
              <w:rPr/>
            </w:pPr>
            <w:r>
              <w:rPr>
                <w:strike/>
                <w:color w:val="FF0000"/>
              </w:rPr>
              <w:t>89</w:t>
            </w:r>
            <w:r>
              <w:rPr>
                <w:color w:val="0000FF"/>
                <w:u w:val="single"/>
              </w:rPr>
              <w:t>88</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11.7</w:t>
            </w:r>
          </w:p>
        </w:tc>
        <w:tc>
          <w:tcPr>
            <w:tcW w:w="7938" w:type="dxa"/>
            <w:tcBorders/>
            <w:vAlign w:val="center"/>
          </w:tcPr>
          <w:p>
            <w:pPr>
              <w:pStyle w:val="TableContents"/>
              <w:bidi w:val="0"/>
              <w:spacing w:before="0" w:after="283"/>
              <w:jc w:val="both"/>
              <w:rPr/>
            </w:pPr>
            <w:r>
              <w:rPr/>
              <w:t>Indemnification of the Agent</w:t>
            </w:r>
          </w:p>
        </w:tc>
        <w:tc>
          <w:tcPr>
            <w:tcW w:w="515" w:type="dxa"/>
            <w:tcBorders/>
            <w:vAlign w:val="center"/>
          </w:tcPr>
          <w:p>
            <w:pPr>
              <w:pStyle w:val="TableContents"/>
              <w:bidi w:val="0"/>
              <w:spacing w:before="0" w:after="283"/>
              <w:jc w:val="right"/>
              <w:rPr/>
            </w:pPr>
            <w:r>
              <w:rPr>
                <w:strike/>
                <w:color w:val="FF0000"/>
              </w:rPr>
              <w:t>89</w:t>
            </w:r>
            <w:r>
              <w:rPr>
                <w:color w:val="0000FF"/>
                <w:u w:val="single"/>
              </w:rPr>
              <w:t>88</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11.8</w:t>
            </w:r>
          </w:p>
        </w:tc>
        <w:tc>
          <w:tcPr>
            <w:tcW w:w="7938" w:type="dxa"/>
            <w:tcBorders/>
            <w:vAlign w:val="center"/>
          </w:tcPr>
          <w:p>
            <w:pPr>
              <w:pStyle w:val="TableContents"/>
              <w:bidi w:val="0"/>
              <w:spacing w:before="0" w:after="283"/>
              <w:jc w:val="both"/>
              <w:rPr/>
            </w:pPr>
            <w:r>
              <w:rPr/>
              <w:t>Knowledge of Default</w:t>
            </w:r>
          </w:p>
        </w:tc>
        <w:tc>
          <w:tcPr>
            <w:tcW w:w="515" w:type="dxa"/>
            <w:tcBorders/>
            <w:vAlign w:val="center"/>
          </w:tcPr>
          <w:p>
            <w:pPr>
              <w:pStyle w:val="TableContents"/>
              <w:bidi w:val="0"/>
              <w:spacing w:before="0" w:after="283"/>
              <w:jc w:val="right"/>
              <w:rPr/>
            </w:pPr>
            <w:r>
              <w:rPr>
                <w:strike/>
                <w:color w:val="FF0000"/>
              </w:rPr>
              <w:t>90</w:t>
            </w:r>
            <w:r>
              <w:rPr>
                <w:color w:val="0000FF"/>
                <w:u w:val="single"/>
              </w:rPr>
              <w:t>89</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11.9</w:t>
            </w:r>
          </w:p>
        </w:tc>
        <w:tc>
          <w:tcPr>
            <w:tcW w:w="7938" w:type="dxa"/>
            <w:tcBorders/>
            <w:vAlign w:val="center"/>
          </w:tcPr>
          <w:p>
            <w:pPr>
              <w:pStyle w:val="TableContents"/>
              <w:bidi w:val="0"/>
              <w:spacing w:before="0" w:after="283"/>
              <w:jc w:val="both"/>
              <w:rPr/>
            </w:pPr>
            <w:r>
              <w:rPr/>
              <w:t>The Agent’s Authorization; Action by Lenders</w:t>
            </w:r>
          </w:p>
        </w:tc>
        <w:tc>
          <w:tcPr>
            <w:tcW w:w="515" w:type="dxa"/>
            <w:tcBorders/>
            <w:vAlign w:val="center"/>
          </w:tcPr>
          <w:p>
            <w:pPr>
              <w:pStyle w:val="TableContents"/>
              <w:bidi w:val="0"/>
              <w:spacing w:before="0" w:after="283"/>
              <w:jc w:val="right"/>
              <w:rPr/>
            </w:pPr>
            <w:r>
              <w:rPr>
                <w:strike/>
                <w:color w:val="FF0000"/>
              </w:rPr>
              <w:t>90</w:t>
            </w:r>
            <w:r>
              <w:rPr>
                <w:color w:val="0000FF"/>
                <w:u w:val="single"/>
              </w:rPr>
              <w:t>89</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11.10</w:t>
            </w:r>
          </w:p>
        </w:tc>
        <w:tc>
          <w:tcPr>
            <w:tcW w:w="7938" w:type="dxa"/>
            <w:tcBorders/>
            <w:vAlign w:val="center"/>
          </w:tcPr>
          <w:p>
            <w:pPr>
              <w:pStyle w:val="TableContents"/>
              <w:bidi w:val="0"/>
              <w:spacing w:before="0" w:after="283"/>
              <w:jc w:val="both"/>
              <w:rPr/>
            </w:pPr>
            <w:r>
              <w:rPr/>
              <w:t>Enforcement Actions by the Agent</w:t>
            </w:r>
          </w:p>
        </w:tc>
        <w:tc>
          <w:tcPr>
            <w:tcW w:w="515" w:type="dxa"/>
            <w:tcBorders/>
            <w:vAlign w:val="center"/>
          </w:tcPr>
          <w:p>
            <w:pPr>
              <w:pStyle w:val="TableContents"/>
              <w:bidi w:val="0"/>
              <w:spacing w:before="0" w:after="283"/>
              <w:jc w:val="right"/>
              <w:rPr/>
            </w:pPr>
            <w:r>
              <w:rPr/>
              <w:t>90</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11.11</w:t>
            </w:r>
          </w:p>
        </w:tc>
        <w:tc>
          <w:tcPr>
            <w:tcW w:w="7938" w:type="dxa"/>
            <w:tcBorders/>
            <w:vAlign w:val="center"/>
          </w:tcPr>
          <w:p>
            <w:pPr>
              <w:pStyle w:val="TableContents"/>
              <w:bidi w:val="0"/>
              <w:spacing w:before="0" w:after="283"/>
              <w:jc w:val="both"/>
              <w:rPr/>
            </w:pPr>
            <w:r>
              <w:rPr/>
              <w:t>Collateral Matters</w:t>
            </w:r>
          </w:p>
        </w:tc>
        <w:tc>
          <w:tcPr>
            <w:tcW w:w="515" w:type="dxa"/>
            <w:tcBorders/>
            <w:vAlign w:val="center"/>
          </w:tcPr>
          <w:p>
            <w:pPr>
              <w:pStyle w:val="TableContents"/>
              <w:bidi w:val="0"/>
              <w:spacing w:before="0" w:after="283"/>
              <w:jc w:val="right"/>
              <w:rPr/>
            </w:pPr>
            <w:r>
              <w:rPr>
                <w:strike/>
                <w:color w:val="FF0000"/>
              </w:rPr>
              <w:t>91</w:t>
            </w:r>
            <w:r>
              <w:rPr>
                <w:color w:val="0000FF"/>
                <w:u w:val="single"/>
              </w:rPr>
              <w:t>90</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11.12</w:t>
            </w:r>
          </w:p>
        </w:tc>
        <w:tc>
          <w:tcPr>
            <w:tcW w:w="7938" w:type="dxa"/>
            <w:tcBorders/>
            <w:vAlign w:val="center"/>
          </w:tcPr>
          <w:p>
            <w:pPr>
              <w:pStyle w:val="TableContents"/>
              <w:bidi w:val="0"/>
              <w:spacing w:before="0" w:after="283"/>
              <w:jc w:val="both"/>
              <w:rPr/>
            </w:pPr>
            <w:r>
              <w:rPr/>
              <w:t>The Agent in its Individual Capacity</w:t>
            </w:r>
          </w:p>
        </w:tc>
        <w:tc>
          <w:tcPr>
            <w:tcW w:w="515" w:type="dxa"/>
            <w:tcBorders/>
            <w:vAlign w:val="center"/>
          </w:tcPr>
          <w:p>
            <w:pPr>
              <w:pStyle w:val="TableContents"/>
              <w:bidi w:val="0"/>
              <w:spacing w:before="0" w:after="283"/>
              <w:jc w:val="right"/>
              <w:rPr/>
            </w:pPr>
            <w:r>
              <w:rPr/>
              <w:t>91</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11.13</w:t>
            </w:r>
          </w:p>
        </w:tc>
        <w:tc>
          <w:tcPr>
            <w:tcW w:w="7938" w:type="dxa"/>
            <w:tcBorders/>
            <w:vAlign w:val="center"/>
          </w:tcPr>
          <w:p>
            <w:pPr>
              <w:pStyle w:val="TableContents"/>
              <w:bidi w:val="0"/>
              <w:spacing w:before="0" w:after="283"/>
              <w:jc w:val="both"/>
              <w:rPr/>
            </w:pPr>
            <w:r>
              <w:rPr/>
              <w:t>Specified Subordination Agreement and Subordination Agreements</w:t>
            </w:r>
          </w:p>
        </w:tc>
        <w:tc>
          <w:tcPr>
            <w:tcW w:w="515" w:type="dxa"/>
            <w:tcBorders/>
            <w:vAlign w:val="center"/>
          </w:tcPr>
          <w:p>
            <w:pPr>
              <w:pStyle w:val="TableContents"/>
              <w:bidi w:val="0"/>
              <w:spacing w:before="0" w:after="283"/>
              <w:jc w:val="right"/>
              <w:rPr/>
            </w:pPr>
            <w:r>
              <w:rPr/>
              <w:t>91</w:t>
            </w:r>
          </w:p>
        </w:tc>
      </w:tr>
      <w:tr>
        <w:trPr/>
        <w:tc>
          <w:tcPr>
            <w:tcW w:w="335" w:type="dxa"/>
            <w:tcBorders/>
            <w:vAlign w:val="center"/>
          </w:tcPr>
          <w:p>
            <w:pPr>
              <w:pStyle w:val="TableContents"/>
              <w:bidi w:val="0"/>
              <w:spacing w:before="0" w:after="283"/>
              <w:jc w:val="both"/>
              <w:rPr/>
            </w:pPr>
            <w:r>
              <w:rPr/>
              <w:t> </w:t>
            </w:r>
          </w:p>
        </w:tc>
        <w:tc>
          <w:tcPr>
            <w:tcW w:w="616" w:type="dxa"/>
            <w:tcBorders/>
            <w:vAlign w:val="center"/>
          </w:tcPr>
          <w:p>
            <w:pPr>
              <w:pStyle w:val="TableContents"/>
              <w:bidi w:val="0"/>
              <w:spacing w:before="0" w:after="283"/>
              <w:jc w:val="both"/>
              <w:rPr/>
            </w:pPr>
            <w:r>
              <w:rPr/>
              <w:t>11.14</w:t>
            </w:r>
          </w:p>
        </w:tc>
        <w:tc>
          <w:tcPr>
            <w:tcW w:w="7938" w:type="dxa"/>
            <w:tcBorders/>
            <w:vAlign w:val="center"/>
          </w:tcPr>
          <w:p>
            <w:pPr>
              <w:pStyle w:val="TableContents"/>
              <w:bidi w:val="0"/>
              <w:spacing w:before="0" w:after="283"/>
              <w:jc w:val="both"/>
              <w:rPr/>
            </w:pPr>
            <w:r>
              <w:rPr/>
              <w:t>No Reliance on the Agent’s Customer Identification Program</w:t>
            </w:r>
          </w:p>
        </w:tc>
        <w:tc>
          <w:tcPr>
            <w:tcW w:w="515" w:type="dxa"/>
            <w:tcBorders/>
            <w:vAlign w:val="center"/>
          </w:tcPr>
          <w:p>
            <w:pPr>
              <w:pStyle w:val="TableContents"/>
              <w:bidi w:val="0"/>
              <w:spacing w:before="0" w:after="283"/>
              <w:jc w:val="right"/>
              <w:rPr/>
            </w:pPr>
            <w:r>
              <w:rPr>
                <w:strike/>
                <w:color w:val="FF0000"/>
              </w:rPr>
              <w:t>92</w:t>
            </w:r>
            <w:r>
              <w:rPr>
                <w:color w:val="0000FF"/>
                <w:u w:val="single"/>
              </w:rPr>
              <w:t>91</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7" w:right="117"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p>
      <w:pPr>
        <w:pStyle w:val="TextBody"/>
        <w:bidi w:val="0"/>
        <w:spacing w:before="0" w:after="0"/>
        <w:ind w:left="119" w:right="119" w:firstLine="720"/>
        <w:jc w:val="right"/>
        <w:rPr>
          <w:caps w:val="false"/>
          <w:smallCaps w:val="false"/>
        </w:rPr>
      </w:pPr>
      <w:r>
        <w:rPr>
          <w:caps w:val="false"/>
          <w:smallCaps w:val="false"/>
        </w:rPr>
        <w:t> </w:t>
      </w:r>
    </w:p>
    <w:tbl>
      <w:tblPr>
        <w:tblW w:w="8390" w:type="dxa"/>
        <w:jc w:val="left"/>
        <w:tblInd w:w="0" w:type="dxa"/>
        <w:tblLayout w:type="fixed"/>
        <w:tblCellMar>
          <w:top w:w="0" w:type="dxa"/>
          <w:left w:w="0" w:type="dxa"/>
          <w:bottom w:w="0" w:type="dxa"/>
          <w:right w:w="0" w:type="dxa"/>
        </w:tblCellMar>
      </w:tblPr>
      <w:tblGrid>
        <w:gridCol w:w="335"/>
        <w:gridCol w:w="560"/>
        <w:gridCol w:w="6740"/>
        <w:gridCol w:w="755"/>
      </w:tblGrid>
      <w:tr>
        <w:trPr/>
        <w:tc>
          <w:tcPr>
            <w:tcW w:w="335" w:type="dxa"/>
            <w:tcBorders/>
            <w:vAlign w:val="center"/>
          </w:tcPr>
          <w:p>
            <w:pPr>
              <w:pStyle w:val="TableContents"/>
              <w:bidi w:val="0"/>
              <w:spacing w:before="0" w:after="283"/>
              <w:jc w:val="left"/>
              <w:rPr/>
            </w:pPr>
            <w:r>
              <w:rPr/>
              <w:t>12.</w:t>
            </w:r>
          </w:p>
        </w:tc>
        <w:tc>
          <w:tcPr>
            <w:tcW w:w="7300" w:type="dxa"/>
            <w:gridSpan w:val="2"/>
            <w:tcBorders/>
            <w:vAlign w:val="center"/>
          </w:tcPr>
          <w:p>
            <w:pPr>
              <w:pStyle w:val="TableContents"/>
              <w:bidi w:val="0"/>
              <w:spacing w:before="0" w:after="283"/>
              <w:jc w:val="left"/>
              <w:rPr/>
            </w:pPr>
            <w:r>
              <w:rPr/>
              <w:t>MISCELLANEOUS.</w:t>
            </w:r>
          </w:p>
        </w:tc>
        <w:tc>
          <w:tcPr>
            <w:tcW w:w="755" w:type="dxa"/>
            <w:tcBorders/>
            <w:vAlign w:val="center"/>
          </w:tcPr>
          <w:p>
            <w:pPr>
              <w:pStyle w:val="TableContents"/>
              <w:bidi w:val="0"/>
              <w:spacing w:before="0" w:after="283"/>
              <w:jc w:val="right"/>
              <w:rPr/>
            </w:pPr>
            <w:r>
              <w:rPr/>
              <w:t>92</w:t>
            </w:r>
          </w:p>
        </w:tc>
      </w:tr>
      <w:tr>
        <w:trPr/>
        <w:tc>
          <w:tcPr>
            <w:tcW w:w="335" w:type="dxa"/>
            <w:tcBorders/>
            <w:vAlign w:val="center"/>
          </w:tcPr>
          <w:p>
            <w:pPr>
              <w:pStyle w:val="TableContents"/>
              <w:bidi w:val="0"/>
              <w:spacing w:before="0" w:after="283"/>
              <w:jc w:val="both"/>
              <w:rPr/>
            </w:pPr>
            <w:r>
              <w:rPr/>
              <w:t> </w:t>
            </w:r>
          </w:p>
        </w:tc>
        <w:tc>
          <w:tcPr>
            <w:tcW w:w="560" w:type="dxa"/>
            <w:tcBorders/>
            <w:vAlign w:val="center"/>
          </w:tcPr>
          <w:p>
            <w:pPr>
              <w:pStyle w:val="TableContents"/>
              <w:bidi w:val="0"/>
              <w:spacing w:before="0" w:after="283"/>
              <w:jc w:val="both"/>
              <w:rPr/>
            </w:pPr>
            <w:r>
              <w:rPr/>
              <w:t>12.1</w:t>
            </w:r>
          </w:p>
        </w:tc>
        <w:tc>
          <w:tcPr>
            <w:tcW w:w="6740" w:type="dxa"/>
            <w:tcBorders/>
            <w:vAlign w:val="center"/>
          </w:tcPr>
          <w:p>
            <w:pPr>
              <w:pStyle w:val="TableContents"/>
              <w:bidi w:val="0"/>
              <w:spacing w:before="0" w:after="283"/>
              <w:jc w:val="both"/>
              <w:rPr/>
            </w:pPr>
            <w:r>
              <w:rPr/>
              <w:t>[Reserved]</w:t>
            </w:r>
          </w:p>
        </w:tc>
        <w:tc>
          <w:tcPr>
            <w:tcW w:w="755" w:type="dxa"/>
            <w:tcBorders/>
            <w:vAlign w:val="center"/>
          </w:tcPr>
          <w:p>
            <w:pPr>
              <w:pStyle w:val="TableContents"/>
              <w:bidi w:val="0"/>
              <w:spacing w:before="0" w:after="283"/>
              <w:jc w:val="right"/>
              <w:rPr/>
            </w:pPr>
            <w:r>
              <w:rPr/>
              <w:t>92</w:t>
            </w:r>
          </w:p>
        </w:tc>
      </w:tr>
      <w:tr>
        <w:trPr/>
        <w:tc>
          <w:tcPr>
            <w:tcW w:w="335" w:type="dxa"/>
            <w:tcBorders/>
            <w:vAlign w:val="center"/>
          </w:tcPr>
          <w:p>
            <w:pPr>
              <w:pStyle w:val="TableContents"/>
              <w:bidi w:val="0"/>
              <w:spacing w:before="0" w:after="283"/>
              <w:jc w:val="both"/>
              <w:rPr/>
            </w:pPr>
            <w:r>
              <w:rPr/>
              <w:t> </w:t>
            </w:r>
          </w:p>
        </w:tc>
        <w:tc>
          <w:tcPr>
            <w:tcW w:w="560" w:type="dxa"/>
            <w:tcBorders/>
            <w:vAlign w:val="center"/>
          </w:tcPr>
          <w:p>
            <w:pPr>
              <w:pStyle w:val="TableContents"/>
              <w:bidi w:val="0"/>
              <w:spacing w:before="0" w:after="283"/>
              <w:jc w:val="both"/>
              <w:rPr/>
            </w:pPr>
            <w:r>
              <w:rPr/>
              <w:t>12.2</w:t>
            </w:r>
          </w:p>
        </w:tc>
        <w:tc>
          <w:tcPr>
            <w:tcW w:w="6740" w:type="dxa"/>
            <w:tcBorders/>
            <w:vAlign w:val="center"/>
          </w:tcPr>
          <w:p>
            <w:pPr>
              <w:pStyle w:val="TableContents"/>
              <w:bidi w:val="0"/>
              <w:spacing w:before="0" w:after="283"/>
              <w:jc w:val="both"/>
              <w:rPr/>
            </w:pPr>
            <w:r>
              <w:rPr/>
              <w:t>Consent to Jurisdiction</w:t>
            </w:r>
          </w:p>
        </w:tc>
        <w:tc>
          <w:tcPr>
            <w:tcW w:w="755" w:type="dxa"/>
            <w:tcBorders/>
            <w:vAlign w:val="center"/>
          </w:tcPr>
          <w:p>
            <w:pPr>
              <w:pStyle w:val="TableContents"/>
              <w:bidi w:val="0"/>
              <w:spacing w:before="0" w:after="283"/>
              <w:jc w:val="right"/>
              <w:rPr/>
            </w:pPr>
            <w:r>
              <w:rPr/>
              <w:t>92</w:t>
            </w:r>
          </w:p>
        </w:tc>
      </w:tr>
      <w:tr>
        <w:trPr/>
        <w:tc>
          <w:tcPr>
            <w:tcW w:w="335" w:type="dxa"/>
            <w:tcBorders/>
            <w:vAlign w:val="center"/>
          </w:tcPr>
          <w:p>
            <w:pPr>
              <w:pStyle w:val="TableContents"/>
              <w:bidi w:val="0"/>
              <w:spacing w:before="0" w:after="283"/>
              <w:jc w:val="both"/>
              <w:rPr/>
            </w:pPr>
            <w:r>
              <w:rPr/>
              <w:t> </w:t>
            </w:r>
          </w:p>
        </w:tc>
        <w:tc>
          <w:tcPr>
            <w:tcW w:w="560" w:type="dxa"/>
            <w:tcBorders/>
            <w:vAlign w:val="center"/>
          </w:tcPr>
          <w:p>
            <w:pPr>
              <w:pStyle w:val="TableContents"/>
              <w:bidi w:val="0"/>
              <w:spacing w:before="0" w:after="283"/>
              <w:jc w:val="both"/>
              <w:rPr/>
            </w:pPr>
            <w:r>
              <w:rPr/>
              <w:t>12.3</w:t>
            </w:r>
          </w:p>
        </w:tc>
        <w:tc>
          <w:tcPr>
            <w:tcW w:w="6740" w:type="dxa"/>
            <w:tcBorders/>
            <w:vAlign w:val="center"/>
          </w:tcPr>
          <w:p>
            <w:pPr>
              <w:pStyle w:val="TableContents"/>
              <w:bidi w:val="0"/>
              <w:spacing w:before="0" w:after="283"/>
              <w:jc w:val="both"/>
              <w:rPr/>
            </w:pPr>
            <w:r>
              <w:rPr/>
              <w:t>Governing Law</w:t>
            </w:r>
          </w:p>
        </w:tc>
        <w:tc>
          <w:tcPr>
            <w:tcW w:w="755" w:type="dxa"/>
            <w:tcBorders/>
            <w:vAlign w:val="center"/>
          </w:tcPr>
          <w:p>
            <w:pPr>
              <w:pStyle w:val="TableContents"/>
              <w:bidi w:val="0"/>
              <w:spacing w:before="0" w:after="283"/>
              <w:jc w:val="right"/>
              <w:rPr/>
            </w:pPr>
            <w:r>
              <w:rPr/>
              <w:t>92</w:t>
            </w:r>
          </w:p>
        </w:tc>
      </w:tr>
      <w:tr>
        <w:trPr/>
        <w:tc>
          <w:tcPr>
            <w:tcW w:w="335" w:type="dxa"/>
            <w:tcBorders/>
            <w:vAlign w:val="center"/>
          </w:tcPr>
          <w:p>
            <w:pPr>
              <w:pStyle w:val="TableContents"/>
              <w:bidi w:val="0"/>
              <w:spacing w:before="0" w:after="283"/>
              <w:jc w:val="both"/>
              <w:rPr/>
            </w:pPr>
            <w:r>
              <w:rPr/>
              <w:t> </w:t>
            </w:r>
          </w:p>
        </w:tc>
        <w:tc>
          <w:tcPr>
            <w:tcW w:w="560" w:type="dxa"/>
            <w:tcBorders/>
            <w:vAlign w:val="center"/>
          </w:tcPr>
          <w:p>
            <w:pPr>
              <w:pStyle w:val="TableContents"/>
              <w:bidi w:val="0"/>
              <w:spacing w:before="0" w:after="283"/>
              <w:jc w:val="both"/>
              <w:rPr/>
            </w:pPr>
            <w:r>
              <w:rPr/>
              <w:t>12.4</w:t>
            </w:r>
          </w:p>
        </w:tc>
        <w:tc>
          <w:tcPr>
            <w:tcW w:w="6740" w:type="dxa"/>
            <w:tcBorders/>
            <w:vAlign w:val="center"/>
          </w:tcPr>
          <w:p>
            <w:pPr>
              <w:pStyle w:val="TableContents"/>
              <w:bidi w:val="0"/>
              <w:spacing w:before="0" w:after="283"/>
              <w:jc w:val="both"/>
              <w:rPr/>
            </w:pPr>
            <w:r>
              <w:rPr/>
              <w:t>Closing Costs and Other Costs; Indemnification</w:t>
            </w:r>
          </w:p>
        </w:tc>
        <w:tc>
          <w:tcPr>
            <w:tcW w:w="755" w:type="dxa"/>
            <w:tcBorders/>
            <w:vAlign w:val="center"/>
          </w:tcPr>
          <w:p>
            <w:pPr>
              <w:pStyle w:val="TableContents"/>
              <w:bidi w:val="0"/>
              <w:spacing w:before="0" w:after="283"/>
              <w:jc w:val="right"/>
              <w:rPr/>
            </w:pPr>
            <w:r>
              <w:rPr>
                <w:strike/>
                <w:color w:val="FF0000"/>
              </w:rPr>
              <w:t>93</w:t>
            </w:r>
            <w:r>
              <w:rPr>
                <w:color w:val="0000FF"/>
                <w:u w:val="single"/>
              </w:rPr>
              <w:t>92</w:t>
            </w:r>
          </w:p>
        </w:tc>
      </w:tr>
      <w:tr>
        <w:trPr/>
        <w:tc>
          <w:tcPr>
            <w:tcW w:w="335" w:type="dxa"/>
            <w:tcBorders/>
            <w:vAlign w:val="center"/>
          </w:tcPr>
          <w:p>
            <w:pPr>
              <w:pStyle w:val="TableContents"/>
              <w:bidi w:val="0"/>
              <w:spacing w:before="0" w:after="283"/>
              <w:jc w:val="both"/>
              <w:rPr/>
            </w:pPr>
            <w:r>
              <w:rPr/>
              <w:t> </w:t>
            </w:r>
          </w:p>
        </w:tc>
        <w:tc>
          <w:tcPr>
            <w:tcW w:w="560" w:type="dxa"/>
            <w:tcBorders/>
            <w:vAlign w:val="center"/>
          </w:tcPr>
          <w:p>
            <w:pPr>
              <w:pStyle w:val="TableContents"/>
              <w:bidi w:val="0"/>
              <w:spacing w:before="0" w:after="283"/>
              <w:jc w:val="both"/>
              <w:rPr/>
            </w:pPr>
            <w:r>
              <w:rPr/>
              <w:t>12.5</w:t>
            </w:r>
          </w:p>
        </w:tc>
        <w:tc>
          <w:tcPr>
            <w:tcW w:w="6740" w:type="dxa"/>
            <w:tcBorders/>
            <w:vAlign w:val="center"/>
          </w:tcPr>
          <w:p>
            <w:pPr>
              <w:pStyle w:val="TableContents"/>
              <w:bidi w:val="0"/>
              <w:spacing w:before="0" w:after="283"/>
              <w:jc w:val="both"/>
              <w:rPr/>
            </w:pPr>
            <w:r>
              <w:rPr/>
              <w:t>Notices</w:t>
            </w:r>
          </w:p>
        </w:tc>
        <w:tc>
          <w:tcPr>
            <w:tcW w:w="755" w:type="dxa"/>
            <w:tcBorders/>
            <w:vAlign w:val="center"/>
          </w:tcPr>
          <w:p>
            <w:pPr>
              <w:pStyle w:val="TableContents"/>
              <w:bidi w:val="0"/>
              <w:spacing w:before="0" w:after="283"/>
              <w:jc w:val="right"/>
              <w:rPr/>
            </w:pPr>
            <w:r>
              <w:rPr/>
              <w:t>94</w:t>
            </w:r>
          </w:p>
        </w:tc>
      </w:tr>
      <w:tr>
        <w:trPr/>
        <w:tc>
          <w:tcPr>
            <w:tcW w:w="335" w:type="dxa"/>
            <w:tcBorders/>
            <w:vAlign w:val="center"/>
          </w:tcPr>
          <w:p>
            <w:pPr>
              <w:pStyle w:val="TableContents"/>
              <w:bidi w:val="0"/>
              <w:spacing w:before="0" w:after="283"/>
              <w:jc w:val="both"/>
              <w:rPr/>
            </w:pPr>
            <w:r>
              <w:rPr/>
              <w:t> </w:t>
            </w:r>
          </w:p>
        </w:tc>
        <w:tc>
          <w:tcPr>
            <w:tcW w:w="560" w:type="dxa"/>
            <w:tcBorders/>
            <w:vAlign w:val="center"/>
          </w:tcPr>
          <w:p>
            <w:pPr>
              <w:pStyle w:val="TableContents"/>
              <w:bidi w:val="0"/>
              <w:spacing w:before="0" w:after="283"/>
              <w:jc w:val="both"/>
              <w:rPr/>
            </w:pPr>
            <w:r>
              <w:rPr/>
              <w:t>12.6</w:t>
            </w:r>
          </w:p>
        </w:tc>
        <w:tc>
          <w:tcPr>
            <w:tcW w:w="6740" w:type="dxa"/>
            <w:tcBorders/>
            <w:vAlign w:val="center"/>
          </w:tcPr>
          <w:p>
            <w:pPr>
              <w:pStyle w:val="TableContents"/>
              <w:bidi w:val="0"/>
              <w:spacing w:before="0" w:after="283"/>
              <w:jc w:val="both"/>
              <w:rPr/>
            </w:pPr>
            <w:r>
              <w:rPr/>
              <w:t>Further Action</w:t>
            </w:r>
          </w:p>
        </w:tc>
        <w:tc>
          <w:tcPr>
            <w:tcW w:w="755" w:type="dxa"/>
            <w:tcBorders/>
            <w:vAlign w:val="center"/>
          </w:tcPr>
          <w:p>
            <w:pPr>
              <w:pStyle w:val="TableContents"/>
              <w:bidi w:val="0"/>
              <w:spacing w:before="0" w:after="283"/>
              <w:jc w:val="right"/>
              <w:rPr/>
            </w:pPr>
            <w:r>
              <w:rPr>
                <w:strike/>
                <w:color w:val="FF0000"/>
              </w:rPr>
              <w:t>95</w:t>
            </w:r>
            <w:r>
              <w:rPr>
                <w:color w:val="0000FF"/>
                <w:u w:val="single"/>
              </w:rPr>
              <w:t>94</w:t>
            </w:r>
          </w:p>
        </w:tc>
      </w:tr>
      <w:tr>
        <w:trPr/>
        <w:tc>
          <w:tcPr>
            <w:tcW w:w="335" w:type="dxa"/>
            <w:tcBorders/>
            <w:vAlign w:val="center"/>
          </w:tcPr>
          <w:p>
            <w:pPr>
              <w:pStyle w:val="TableContents"/>
              <w:bidi w:val="0"/>
              <w:spacing w:before="0" w:after="283"/>
              <w:jc w:val="both"/>
              <w:rPr/>
            </w:pPr>
            <w:r>
              <w:rPr/>
              <w:t> </w:t>
            </w:r>
          </w:p>
        </w:tc>
        <w:tc>
          <w:tcPr>
            <w:tcW w:w="560" w:type="dxa"/>
            <w:tcBorders/>
            <w:vAlign w:val="center"/>
          </w:tcPr>
          <w:p>
            <w:pPr>
              <w:pStyle w:val="TableContents"/>
              <w:bidi w:val="0"/>
              <w:spacing w:before="0" w:after="283"/>
              <w:jc w:val="both"/>
              <w:rPr/>
            </w:pPr>
            <w:r>
              <w:rPr/>
              <w:t>12.7</w:t>
            </w:r>
          </w:p>
        </w:tc>
        <w:tc>
          <w:tcPr>
            <w:tcW w:w="6740" w:type="dxa"/>
            <w:tcBorders/>
            <w:vAlign w:val="center"/>
          </w:tcPr>
          <w:p>
            <w:pPr>
              <w:pStyle w:val="TableContents"/>
              <w:bidi w:val="0"/>
              <w:spacing w:before="0" w:after="283"/>
              <w:jc w:val="both"/>
              <w:rPr/>
            </w:pPr>
            <w:r>
              <w:rPr/>
              <w:t>Successors and Assigns; Participations; Assignments</w:t>
            </w:r>
          </w:p>
        </w:tc>
        <w:tc>
          <w:tcPr>
            <w:tcW w:w="755" w:type="dxa"/>
            <w:tcBorders/>
            <w:vAlign w:val="center"/>
          </w:tcPr>
          <w:p>
            <w:pPr>
              <w:pStyle w:val="TableContents"/>
              <w:bidi w:val="0"/>
              <w:spacing w:before="0" w:after="283"/>
              <w:jc w:val="right"/>
              <w:rPr/>
            </w:pPr>
            <w:r>
              <w:rPr>
                <w:strike/>
                <w:color w:val="FF0000"/>
              </w:rPr>
              <w:t>95</w:t>
            </w:r>
            <w:r>
              <w:rPr>
                <w:color w:val="0000FF"/>
                <w:u w:val="single"/>
              </w:rPr>
              <w:t>94</w:t>
            </w:r>
          </w:p>
        </w:tc>
      </w:tr>
      <w:tr>
        <w:trPr/>
        <w:tc>
          <w:tcPr>
            <w:tcW w:w="335" w:type="dxa"/>
            <w:tcBorders/>
            <w:vAlign w:val="center"/>
          </w:tcPr>
          <w:p>
            <w:pPr>
              <w:pStyle w:val="TableContents"/>
              <w:bidi w:val="0"/>
              <w:spacing w:before="0" w:after="283"/>
              <w:jc w:val="both"/>
              <w:rPr/>
            </w:pPr>
            <w:r>
              <w:rPr/>
              <w:t> </w:t>
            </w:r>
          </w:p>
        </w:tc>
        <w:tc>
          <w:tcPr>
            <w:tcW w:w="560" w:type="dxa"/>
            <w:tcBorders/>
            <w:vAlign w:val="center"/>
          </w:tcPr>
          <w:p>
            <w:pPr>
              <w:pStyle w:val="TableContents"/>
              <w:bidi w:val="0"/>
              <w:spacing w:before="0" w:after="283"/>
              <w:jc w:val="both"/>
              <w:rPr/>
            </w:pPr>
            <w:r>
              <w:rPr/>
              <w:t>12.8</w:t>
            </w:r>
          </w:p>
        </w:tc>
        <w:tc>
          <w:tcPr>
            <w:tcW w:w="6740" w:type="dxa"/>
            <w:tcBorders/>
            <w:vAlign w:val="center"/>
          </w:tcPr>
          <w:p>
            <w:pPr>
              <w:pStyle w:val="TableContents"/>
              <w:bidi w:val="0"/>
              <w:spacing w:before="0" w:after="283"/>
              <w:jc w:val="both"/>
              <w:rPr/>
            </w:pPr>
            <w:r>
              <w:rPr/>
              <w:t>Counterparts</w:t>
            </w:r>
          </w:p>
        </w:tc>
        <w:tc>
          <w:tcPr>
            <w:tcW w:w="755" w:type="dxa"/>
            <w:tcBorders/>
            <w:vAlign w:val="center"/>
          </w:tcPr>
          <w:p>
            <w:pPr>
              <w:pStyle w:val="TableContents"/>
              <w:bidi w:val="0"/>
              <w:spacing w:before="0" w:after="283"/>
              <w:jc w:val="right"/>
              <w:rPr/>
            </w:pPr>
            <w:r>
              <w:rPr>
                <w:strike/>
                <w:color w:val="FF0000"/>
              </w:rPr>
              <w:t>98</w:t>
            </w:r>
            <w:r>
              <w:rPr>
                <w:color w:val="0000FF"/>
                <w:u w:val="single"/>
              </w:rPr>
              <w:t>97</w:t>
            </w:r>
          </w:p>
        </w:tc>
      </w:tr>
      <w:tr>
        <w:trPr/>
        <w:tc>
          <w:tcPr>
            <w:tcW w:w="335" w:type="dxa"/>
            <w:tcBorders/>
            <w:vAlign w:val="center"/>
          </w:tcPr>
          <w:p>
            <w:pPr>
              <w:pStyle w:val="TableContents"/>
              <w:bidi w:val="0"/>
              <w:spacing w:before="0" w:after="283"/>
              <w:jc w:val="both"/>
              <w:rPr/>
            </w:pPr>
            <w:r>
              <w:rPr/>
              <w:t> </w:t>
            </w:r>
          </w:p>
        </w:tc>
        <w:tc>
          <w:tcPr>
            <w:tcW w:w="560" w:type="dxa"/>
            <w:tcBorders/>
            <w:vAlign w:val="center"/>
          </w:tcPr>
          <w:p>
            <w:pPr>
              <w:pStyle w:val="TableContents"/>
              <w:bidi w:val="0"/>
              <w:spacing w:before="0" w:after="283"/>
              <w:jc w:val="both"/>
              <w:rPr/>
            </w:pPr>
            <w:r>
              <w:rPr/>
              <w:t>12.9</w:t>
            </w:r>
          </w:p>
        </w:tc>
        <w:tc>
          <w:tcPr>
            <w:tcW w:w="6740" w:type="dxa"/>
            <w:tcBorders/>
            <w:vAlign w:val="center"/>
          </w:tcPr>
          <w:p>
            <w:pPr>
              <w:pStyle w:val="TableContents"/>
              <w:bidi w:val="0"/>
              <w:spacing w:before="0" w:after="283"/>
              <w:jc w:val="both"/>
              <w:rPr/>
            </w:pPr>
            <w:r>
              <w:rPr/>
              <w:t>Amendment and Waiver</w:t>
            </w:r>
          </w:p>
        </w:tc>
        <w:tc>
          <w:tcPr>
            <w:tcW w:w="755" w:type="dxa"/>
            <w:tcBorders/>
            <w:vAlign w:val="center"/>
          </w:tcPr>
          <w:p>
            <w:pPr>
              <w:pStyle w:val="TableContents"/>
              <w:bidi w:val="0"/>
              <w:spacing w:before="0" w:after="283"/>
              <w:jc w:val="right"/>
              <w:rPr/>
            </w:pPr>
            <w:r>
              <w:rPr/>
              <w:t>98</w:t>
            </w:r>
          </w:p>
        </w:tc>
      </w:tr>
      <w:tr>
        <w:trPr/>
        <w:tc>
          <w:tcPr>
            <w:tcW w:w="335" w:type="dxa"/>
            <w:tcBorders/>
            <w:vAlign w:val="center"/>
          </w:tcPr>
          <w:p>
            <w:pPr>
              <w:pStyle w:val="TableContents"/>
              <w:bidi w:val="0"/>
              <w:spacing w:before="0" w:after="283"/>
              <w:jc w:val="both"/>
              <w:rPr/>
            </w:pPr>
            <w:r>
              <w:rPr/>
              <w:t> </w:t>
            </w:r>
          </w:p>
        </w:tc>
        <w:tc>
          <w:tcPr>
            <w:tcW w:w="560" w:type="dxa"/>
            <w:tcBorders/>
            <w:vAlign w:val="center"/>
          </w:tcPr>
          <w:p>
            <w:pPr>
              <w:pStyle w:val="TableContents"/>
              <w:bidi w:val="0"/>
              <w:spacing w:before="0" w:after="283"/>
              <w:jc w:val="both"/>
              <w:rPr/>
            </w:pPr>
            <w:r>
              <w:rPr/>
              <w:t>12.10</w:t>
            </w:r>
          </w:p>
        </w:tc>
        <w:tc>
          <w:tcPr>
            <w:tcW w:w="6740" w:type="dxa"/>
            <w:tcBorders/>
            <w:vAlign w:val="center"/>
          </w:tcPr>
          <w:p>
            <w:pPr>
              <w:pStyle w:val="TableContents"/>
              <w:bidi w:val="0"/>
              <w:spacing w:before="0" w:after="283"/>
              <w:jc w:val="both"/>
              <w:rPr/>
            </w:pPr>
            <w:r>
              <w:rPr/>
              <w:t>Confidentiality</w:t>
            </w:r>
          </w:p>
        </w:tc>
        <w:tc>
          <w:tcPr>
            <w:tcW w:w="755" w:type="dxa"/>
            <w:tcBorders/>
            <w:vAlign w:val="center"/>
          </w:tcPr>
          <w:p>
            <w:pPr>
              <w:pStyle w:val="TableContents"/>
              <w:bidi w:val="0"/>
              <w:spacing w:before="0" w:after="283"/>
              <w:jc w:val="right"/>
              <w:rPr/>
            </w:pPr>
            <w:r>
              <w:rPr>
                <w:strike/>
                <w:color w:val="FF0000"/>
              </w:rPr>
              <w:t>101</w:t>
            </w:r>
            <w:r>
              <w:rPr>
                <w:color w:val="0000FF"/>
                <w:u w:val="single"/>
              </w:rPr>
              <w:t>100</w:t>
            </w:r>
          </w:p>
        </w:tc>
      </w:tr>
      <w:tr>
        <w:trPr/>
        <w:tc>
          <w:tcPr>
            <w:tcW w:w="335" w:type="dxa"/>
            <w:tcBorders/>
            <w:vAlign w:val="center"/>
          </w:tcPr>
          <w:p>
            <w:pPr>
              <w:pStyle w:val="TableContents"/>
              <w:bidi w:val="0"/>
              <w:spacing w:before="0" w:after="283"/>
              <w:jc w:val="both"/>
              <w:rPr/>
            </w:pPr>
            <w:r>
              <w:rPr/>
              <w:t> </w:t>
            </w:r>
          </w:p>
        </w:tc>
        <w:tc>
          <w:tcPr>
            <w:tcW w:w="560" w:type="dxa"/>
            <w:tcBorders/>
            <w:vAlign w:val="center"/>
          </w:tcPr>
          <w:p>
            <w:pPr>
              <w:pStyle w:val="TableContents"/>
              <w:bidi w:val="0"/>
              <w:spacing w:before="0" w:after="283"/>
              <w:jc w:val="both"/>
              <w:rPr/>
            </w:pPr>
            <w:r>
              <w:rPr/>
              <w:t>12.11</w:t>
            </w:r>
          </w:p>
        </w:tc>
        <w:tc>
          <w:tcPr>
            <w:tcW w:w="6740" w:type="dxa"/>
            <w:tcBorders/>
            <w:vAlign w:val="center"/>
          </w:tcPr>
          <w:p>
            <w:pPr>
              <w:pStyle w:val="TableContents"/>
              <w:bidi w:val="0"/>
              <w:spacing w:before="0" w:after="283"/>
              <w:jc w:val="both"/>
              <w:rPr/>
            </w:pPr>
            <w:r>
              <w:rPr/>
              <w:t>Substitution or Removal of Lenders</w:t>
            </w:r>
          </w:p>
        </w:tc>
        <w:tc>
          <w:tcPr>
            <w:tcW w:w="755" w:type="dxa"/>
            <w:tcBorders/>
            <w:vAlign w:val="center"/>
          </w:tcPr>
          <w:p>
            <w:pPr>
              <w:pStyle w:val="TableContents"/>
              <w:bidi w:val="0"/>
              <w:spacing w:before="0" w:after="283"/>
              <w:jc w:val="right"/>
              <w:rPr/>
            </w:pPr>
            <w:r>
              <w:rPr/>
              <w:t>101</w:t>
            </w:r>
          </w:p>
        </w:tc>
      </w:tr>
      <w:tr>
        <w:trPr/>
        <w:tc>
          <w:tcPr>
            <w:tcW w:w="335" w:type="dxa"/>
            <w:tcBorders/>
            <w:vAlign w:val="center"/>
          </w:tcPr>
          <w:p>
            <w:pPr>
              <w:pStyle w:val="TableContents"/>
              <w:bidi w:val="0"/>
              <w:spacing w:before="0" w:after="283"/>
              <w:jc w:val="both"/>
              <w:rPr/>
            </w:pPr>
            <w:r>
              <w:rPr/>
              <w:t> </w:t>
            </w:r>
          </w:p>
        </w:tc>
        <w:tc>
          <w:tcPr>
            <w:tcW w:w="560" w:type="dxa"/>
            <w:tcBorders/>
            <w:vAlign w:val="center"/>
          </w:tcPr>
          <w:p>
            <w:pPr>
              <w:pStyle w:val="TableContents"/>
              <w:bidi w:val="0"/>
              <w:spacing w:before="0" w:after="283"/>
              <w:jc w:val="both"/>
              <w:rPr/>
            </w:pPr>
            <w:r>
              <w:rPr/>
              <w:t>12.12</w:t>
            </w:r>
          </w:p>
        </w:tc>
        <w:tc>
          <w:tcPr>
            <w:tcW w:w="6740" w:type="dxa"/>
            <w:tcBorders/>
            <w:vAlign w:val="center"/>
          </w:tcPr>
          <w:p>
            <w:pPr>
              <w:pStyle w:val="TableContents"/>
              <w:bidi w:val="0"/>
              <w:spacing w:before="0" w:after="283"/>
              <w:jc w:val="both"/>
              <w:rPr/>
            </w:pPr>
            <w:r>
              <w:rPr/>
              <w:t>Withholding Taxes</w:t>
            </w:r>
          </w:p>
        </w:tc>
        <w:tc>
          <w:tcPr>
            <w:tcW w:w="755" w:type="dxa"/>
            <w:tcBorders/>
            <w:vAlign w:val="center"/>
          </w:tcPr>
          <w:p>
            <w:pPr>
              <w:pStyle w:val="TableContents"/>
              <w:bidi w:val="0"/>
              <w:spacing w:before="0" w:after="283"/>
              <w:jc w:val="right"/>
              <w:rPr/>
            </w:pPr>
            <w:r>
              <w:rPr>
                <w:strike/>
                <w:color w:val="FF0000"/>
              </w:rPr>
              <w:t>102</w:t>
            </w:r>
            <w:r>
              <w:rPr>
                <w:color w:val="0000FF"/>
                <w:u w:val="single"/>
              </w:rPr>
              <w:t>101</w:t>
            </w:r>
          </w:p>
        </w:tc>
      </w:tr>
      <w:tr>
        <w:trPr/>
        <w:tc>
          <w:tcPr>
            <w:tcW w:w="335" w:type="dxa"/>
            <w:tcBorders/>
            <w:vAlign w:val="center"/>
          </w:tcPr>
          <w:p>
            <w:pPr>
              <w:pStyle w:val="TableContents"/>
              <w:bidi w:val="0"/>
              <w:spacing w:before="0" w:after="283"/>
              <w:jc w:val="right"/>
              <w:rPr/>
            </w:pPr>
            <w:r>
              <w:rPr/>
              <w:t> </w:t>
            </w:r>
          </w:p>
        </w:tc>
        <w:tc>
          <w:tcPr>
            <w:tcW w:w="560" w:type="dxa"/>
            <w:tcBorders/>
            <w:vAlign w:val="center"/>
          </w:tcPr>
          <w:p>
            <w:pPr>
              <w:pStyle w:val="TableContents"/>
              <w:bidi w:val="0"/>
              <w:spacing w:before="0" w:after="283"/>
              <w:jc w:val="left"/>
              <w:rPr/>
            </w:pPr>
            <w:r>
              <w:rPr/>
              <w:t>12.13</w:t>
            </w:r>
          </w:p>
        </w:tc>
        <w:tc>
          <w:tcPr>
            <w:tcW w:w="6740" w:type="dxa"/>
            <w:tcBorders/>
            <w:vAlign w:val="center"/>
          </w:tcPr>
          <w:p>
            <w:pPr>
              <w:pStyle w:val="TableContents"/>
              <w:bidi w:val="0"/>
              <w:spacing w:before="0" w:after="283"/>
              <w:jc w:val="left"/>
              <w:rPr/>
            </w:pPr>
            <w:r>
              <w:rPr/>
              <w:t>WAIVER OF JURY TRIAL</w:t>
            </w:r>
          </w:p>
        </w:tc>
        <w:tc>
          <w:tcPr>
            <w:tcW w:w="755" w:type="dxa"/>
            <w:tcBorders/>
            <w:vAlign w:val="center"/>
          </w:tcPr>
          <w:p>
            <w:pPr>
              <w:pStyle w:val="TableContents"/>
              <w:bidi w:val="0"/>
              <w:spacing w:before="0" w:after="283"/>
              <w:jc w:val="right"/>
              <w:rPr/>
            </w:pPr>
            <w:r>
              <w:rPr>
                <w:strike/>
                <w:color w:val="FF0000"/>
              </w:rPr>
              <w:t>104</w:t>
            </w:r>
            <w:r>
              <w:rPr>
                <w:color w:val="0000FF"/>
                <w:u w:val="single"/>
              </w:rPr>
              <w:t>103</w:t>
            </w:r>
          </w:p>
        </w:tc>
      </w:tr>
      <w:tr>
        <w:trPr/>
        <w:tc>
          <w:tcPr>
            <w:tcW w:w="335" w:type="dxa"/>
            <w:tcBorders/>
            <w:vAlign w:val="center"/>
          </w:tcPr>
          <w:p>
            <w:pPr>
              <w:pStyle w:val="TableContents"/>
              <w:bidi w:val="0"/>
              <w:spacing w:before="0" w:after="283"/>
              <w:jc w:val="both"/>
              <w:rPr/>
            </w:pPr>
            <w:r>
              <w:rPr/>
              <w:t> </w:t>
            </w:r>
          </w:p>
        </w:tc>
        <w:tc>
          <w:tcPr>
            <w:tcW w:w="560" w:type="dxa"/>
            <w:tcBorders/>
            <w:vAlign w:val="center"/>
          </w:tcPr>
          <w:p>
            <w:pPr>
              <w:pStyle w:val="TableContents"/>
              <w:bidi w:val="0"/>
              <w:spacing w:before="0" w:after="283"/>
              <w:jc w:val="both"/>
              <w:rPr/>
            </w:pPr>
            <w:r>
              <w:rPr/>
              <w:t>12.14</w:t>
            </w:r>
          </w:p>
        </w:tc>
        <w:tc>
          <w:tcPr>
            <w:tcW w:w="6740" w:type="dxa"/>
            <w:tcBorders/>
            <w:vAlign w:val="center"/>
          </w:tcPr>
          <w:p>
            <w:pPr>
              <w:pStyle w:val="TableContents"/>
              <w:bidi w:val="0"/>
              <w:spacing w:before="0" w:after="283"/>
              <w:jc w:val="both"/>
              <w:rPr/>
            </w:pPr>
            <w:r>
              <w:rPr/>
              <w:t>USA Patriot Act Notice; Beneficial Ownership Certification</w:t>
            </w:r>
          </w:p>
        </w:tc>
        <w:tc>
          <w:tcPr>
            <w:tcW w:w="755" w:type="dxa"/>
            <w:tcBorders/>
            <w:vAlign w:val="center"/>
          </w:tcPr>
          <w:p>
            <w:pPr>
              <w:pStyle w:val="TableContents"/>
              <w:bidi w:val="0"/>
              <w:spacing w:before="0" w:after="283"/>
              <w:jc w:val="right"/>
              <w:rPr/>
            </w:pPr>
            <w:r>
              <w:rPr/>
              <w:t>104</w:t>
            </w:r>
          </w:p>
        </w:tc>
      </w:tr>
      <w:tr>
        <w:trPr/>
        <w:tc>
          <w:tcPr>
            <w:tcW w:w="335" w:type="dxa"/>
            <w:tcBorders/>
            <w:vAlign w:val="center"/>
          </w:tcPr>
          <w:p>
            <w:pPr>
              <w:pStyle w:val="TableContents"/>
              <w:bidi w:val="0"/>
              <w:spacing w:before="0" w:after="283"/>
              <w:jc w:val="both"/>
              <w:rPr/>
            </w:pPr>
            <w:r>
              <w:rPr/>
              <w:t> </w:t>
            </w:r>
          </w:p>
        </w:tc>
        <w:tc>
          <w:tcPr>
            <w:tcW w:w="560" w:type="dxa"/>
            <w:tcBorders/>
            <w:vAlign w:val="center"/>
          </w:tcPr>
          <w:p>
            <w:pPr>
              <w:pStyle w:val="TableContents"/>
              <w:bidi w:val="0"/>
              <w:spacing w:before="0" w:after="283"/>
              <w:jc w:val="both"/>
              <w:rPr/>
            </w:pPr>
            <w:r>
              <w:rPr/>
              <w:t>12.15</w:t>
            </w:r>
          </w:p>
        </w:tc>
        <w:tc>
          <w:tcPr>
            <w:tcW w:w="6740" w:type="dxa"/>
            <w:tcBorders/>
            <w:vAlign w:val="center"/>
          </w:tcPr>
          <w:p>
            <w:pPr>
              <w:pStyle w:val="TableContents"/>
              <w:bidi w:val="0"/>
              <w:spacing w:before="0" w:after="283"/>
              <w:jc w:val="both"/>
              <w:rPr/>
            </w:pPr>
            <w:r>
              <w:rPr/>
              <w:t>Complete Agreement; Conflicts</w:t>
            </w:r>
          </w:p>
        </w:tc>
        <w:tc>
          <w:tcPr>
            <w:tcW w:w="755" w:type="dxa"/>
            <w:tcBorders/>
            <w:vAlign w:val="center"/>
          </w:tcPr>
          <w:p>
            <w:pPr>
              <w:pStyle w:val="TableContents"/>
              <w:bidi w:val="0"/>
              <w:spacing w:before="0" w:after="283"/>
              <w:jc w:val="right"/>
              <w:rPr/>
            </w:pPr>
            <w:r>
              <w:rPr/>
              <w:t>104</w:t>
            </w:r>
          </w:p>
        </w:tc>
      </w:tr>
      <w:tr>
        <w:trPr/>
        <w:tc>
          <w:tcPr>
            <w:tcW w:w="335" w:type="dxa"/>
            <w:tcBorders/>
            <w:vAlign w:val="center"/>
          </w:tcPr>
          <w:p>
            <w:pPr>
              <w:pStyle w:val="TableContents"/>
              <w:bidi w:val="0"/>
              <w:spacing w:before="0" w:after="283"/>
              <w:jc w:val="both"/>
              <w:rPr/>
            </w:pPr>
            <w:r>
              <w:rPr/>
              <w:t> </w:t>
            </w:r>
          </w:p>
        </w:tc>
        <w:tc>
          <w:tcPr>
            <w:tcW w:w="560" w:type="dxa"/>
            <w:tcBorders/>
            <w:vAlign w:val="center"/>
          </w:tcPr>
          <w:p>
            <w:pPr>
              <w:pStyle w:val="TableContents"/>
              <w:bidi w:val="0"/>
              <w:spacing w:before="0" w:after="283"/>
              <w:jc w:val="both"/>
              <w:rPr/>
            </w:pPr>
            <w:r>
              <w:rPr/>
              <w:t>12.16</w:t>
            </w:r>
          </w:p>
        </w:tc>
        <w:tc>
          <w:tcPr>
            <w:tcW w:w="6740" w:type="dxa"/>
            <w:tcBorders/>
            <w:vAlign w:val="center"/>
          </w:tcPr>
          <w:p>
            <w:pPr>
              <w:pStyle w:val="TableContents"/>
              <w:bidi w:val="0"/>
              <w:spacing w:before="0" w:after="283"/>
              <w:jc w:val="both"/>
              <w:rPr/>
            </w:pPr>
            <w:r>
              <w:rPr/>
              <w:t>Severability</w:t>
            </w:r>
          </w:p>
        </w:tc>
        <w:tc>
          <w:tcPr>
            <w:tcW w:w="755" w:type="dxa"/>
            <w:tcBorders/>
            <w:vAlign w:val="center"/>
          </w:tcPr>
          <w:p>
            <w:pPr>
              <w:pStyle w:val="TableContents"/>
              <w:bidi w:val="0"/>
              <w:spacing w:before="0" w:after="283"/>
              <w:jc w:val="right"/>
              <w:rPr/>
            </w:pPr>
            <w:r>
              <w:rPr/>
              <w:t>104</w:t>
            </w:r>
          </w:p>
        </w:tc>
      </w:tr>
      <w:tr>
        <w:trPr/>
        <w:tc>
          <w:tcPr>
            <w:tcW w:w="335" w:type="dxa"/>
            <w:tcBorders/>
            <w:vAlign w:val="center"/>
          </w:tcPr>
          <w:p>
            <w:pPr>
              <w:pStyle w:val="TableContents"/>
              <w:bidi w:val="0"/>
              <w:spacing w:before="0" w:after="283"/>
              <w:jc w:val="both"/>
              <w:rPr/>
            </w:pPr>
            <w:r>
              <w:rPr/>
              <w:t> </w:t>
            </w:r>
          </w:p>
        </w:tc>
        <w:tc>
          <w:tcPr>
            <w:tcW w:w="560" w:type="dxa"/>
            <w:tcBorders/>
            <w:vAlign w:val="center"/>
          </w:tcPr>
          <w:p>
            <w:pPr>
              <w:pStyle w:val="TableContents"/>
              <w:bidi w:val="0"/>
              <w:spacing w:before="0" w:after="283"/>
              <w:jc w:val="both"/>
              <w:rPr/>
            </w:pPr>
            <w:r>
              <w:rPr/>
              <w:t>12.17</w:t>
            </w:r>
          </w:p>
        </w:tc>
        <w:tc>
          <w:tcPr>
            <w:tcW w:w="6740" w:type="dxa"/>
            <w:tcBorders/>
            <w:vAlign w:val="center"/>
          </w:tcPr>
          <w:p>
            <w:pPr>
              <w:pStyle w:val="TableContents"/>
              <w:bidi w:val="0"/>
              <w:spacing w:before="0" w:after="283"/>
              <w:jc w:val="both"/>
              <w:rPr/>
            </w:pPr>
            <w:r>
              <w:rPr/>
              <w:t>Table of Contents and Headings; Section References</w:t>
            </w:r>
          </w:p>
        </w:tc>
        <w:tc>
          <w:tcPr>
            <w:tcW w:w="755" w:type="dxa"/>
            <w:tcBorders/>
            <w:vAlign w:val="center"/>
          </w:tcPr>
          <w:p>
            <w:pPr>
              <w:pStyle w:val="TableContents"/>
              <w:bidi w:val="0"/>
              <w:spacing w:before="0" w:after="283"/>
              <w:jc w:val="right"/>
              <w:rPr/>
            </w:pPr>
            <w:r>
              <w:rPr/>
              <w:t>104</w:t>
            </w:r>
          </w:p>
        </w:tc>
      </w:tr>
      <w:tr>
        <w:trPr/>
        <w:tc>
          <w:tcPr>
            <w:tcW w:w="335" w:type="dxa"/>
            <w:tcBorders/>
            <w:vAlign w:val="center"/>
          </w:tcPr>
          <w:p>
            <w:pPr>
              <w:pStyle w:val="TableContents"/>
              <w:bidi w:val="0"/>
              <w:spacing w:before="0" w:after="283"/>
              <w:jc w:val="both"/>
              <w:rPr/>
            </w:pPr>
            <w:r>
              <w:rPr/>
              <w:t> </w:t>
            </w:r>
          </w:p>
        </w:tc>
        <w:tc>
          <w:tcPr>
            <w:tcW w:w="560" w:type="dxa"/>
            <w:tcBorders/>
            <w:vAlign w:val="center"/>
          </w:tcPr>
          <w:p>
            <w:pPr>
              <w:pStyle w:val="TableContents"/>
              <w:bidi w:val="0"/>
              <w:spacing w:before="0" w:after="283"/>
              <w:jc w:val="both"/>
              <w:rPr/>
            </w:pPr>
            <w:r>
              <w:rPr/>
              <w:t>12.18</w:t>
            </w:r>
          </w:p>
        </w:tc>
        <w:tc>
          <w:tcPr>
            <w:tcW w:w="6740" w:type="dxa"/>
            <w:tcBorders/>
            <w:vAlign w:val="center"/>
          </w:tcPr>
          <w:p>
            <w:pPr>
              <w:pStyle w:val="TableContents"/>
              <w:bidi w:val="0"/>
              <w:spacing w:before="0" w:after="283"/>
              <w:jc w:val="both"/>
              <w:rPr/>
            </w:pPr>
            <w:r>
              <w:rPr/>
              <w:t>Construction of Certain Provisions</w:t>
            </w:r>
          </w:p>
        </w:tc>
        <w:tc>
          <w:tcPr>
            <w:tcW w:w="755" w:type="dxa"/>
            <w:tcBorders/>
            <w:vAlign w:val="center"/>
          </w:tcPr>
          <w:p>
            <w:pPr>
              <w:pStyle w:val="TableContents"/>
              <w:bidi w:val="0"/>
              <w:spacing w:before="0" w:after="283"/>
              <w:jc w:val="right"/>
              <w:rPr/>
            </w:pPr>
            <w:r>
              <w:rPr>
                <w:strike/>
                <w:color w:val="FF0000"/>
              </w:rPr>
              <w:t>105</w:t>
            </w:r>
            <w:r>
              <w:rPr>
                <w:color w:val="0000FF"/>
                <w:u w:val="single"/>
              </w:rPr>
              <w:t>104</w:t>
            </w:r>
          </w:p>
        </w:tc>
      </w:tr>
      <w:tr>
        <w:trPr/>
        <w:tc>
          <w:tcPr>
            <w:tcW w:w="335" w:type="dxa"/>
            <w:tcBorders/>
            <w:vAlign w:val="center"/>
          </w:tcPr>
          <w:p>
            <w:pPr>
              <w:pStyle w:val="TableContents"/>
              <w:bidi w:val="0"/>
              <w:spacing w:before="0" w:after="283"/>
              <w:jc w:val="both"/>
              <w:rPr/>
            </w:pPr>
            <w:r>
              <w:rPr/>
              <w:t> </w:t>
            </w:r>
          </w:p>
        </w:tc>
        <w:tc>
          <w:tcPr>
            <w:tcW w:w="560" w:type="dxa"/>
            <w:tcBorders/>
            <w:vAlign w:val="center"/>
          </w:tcPr>
          <w:p>
            <w:pPr>
              <w:pStyle w:val="TableContents"/>
              <w:bidi w:val="0"/>
              <w:spacing w:before="0" w:after="283"/>
              <w:jc w:val="both"/>
              <w:rPr/>
            </w:pPr>
            <w:r>
              <w:rPr/>
              <w:t>12.19</w:t>
            </w:r>
          </w:p>
        </w:tc>
        <w:tc>
          <w:tcPr>
            <w:tcW w:w="6740" w:type="dxa"/>
            <w:tcBorders/>
            <w:vAlign w:val="center"/>
          </w:tcPr>
          <w:p>
            <w:pPr>
              <w:pStyle w:val="TableContents"/>
              <w:bidi w:val="0"/>
              <w:spacing w:before="0" w:after="283"/>
              <w:jc w:val="both"/>
              <w:rPr/>
            </w:pPr>
            <w:r>
              <w:rPr/>
              <w:t>Independence of Covenants</w:t>
            </w:r>
          </w:p>
        </w:tc>
        <w:tc>
          <w:tcPr>
            <w:tcW w:w="755" w:type="dxa"/>
            <w:tcBorders/>
            <w:vAlign w:val="center"/>
          </w:tcPr>
          <w:p>
            <w:pPr>
              <w:pStyle w:val="TableContents"/>
              <w:bidi w:val="0"/>
              <w:spacing w:before="0" w:after="283"/>
              <w:jc w:val="right"/>
              <w:rPr/>
            </w:pPr>
            <w:r>
              <w:rPr>
                <w:strike/>
                <w:color w:val="FF0000"/>
              </w:rPr>
              <w:t>105</w:t>
            </w:r>
            <w:r>
              <w:rPr>
                <w:color w:val="0000FF"/>
                <w:u w:val="single"/>
              </w:rPr>
              <w:t>104</w:t>
            </w:r>
          </w:p>
        </w:tc>
      </w:tr>
      <w:tr>
        <w:trPr/>
        <w:tc>
          <w:tcPr>
            <w:tcW w:w="335" w:type="dxa"/>
            <w:tcBorders/>
            <w:vAlign w:val="center"/>
          </w:tcPr>
          <w:p>
            <w:pPr>
              <w:pStyle w:val="TableContents"/>
              <w:bidi w:val="0"/>
              <w:spacing w:before="0" w:after="283"/>
              <w:jc w:val="both"/>
              <w:rPr/>
            </w:pPr>
            <w:r>
              <w:rPr/>
              <w:t> </w:t>
            </w:r>
          </w:p>
        </w:tc>
        <w:tc>
          <w:tcPr>
            <w:tcW w:w="560" w:type="dxa"/>
            <w:tcBorders/>
            <w:vAlign w:val="center"/>
          </w:tcPr>
          <w:p>
            <w:pPr>
              <w:pStyle w:val="TableContents"/>
              <w:bidi w:val="0"/>
              <w:spacing w:before="0" w:after="283"/>
              <w:jc w:val="both"/>
              <w:rPr/>
            </w:pPr>
            <w:r>
              <w:rPr/>
              <w:t>12.20</w:t>
            </w:r>
          </w:p>
        </w:tc>
        <w:tc>
          <w:tcPr>
            <w:tcW w:w="6740" w:type="dxa"/>
            <w:tcBorders/>
            <w:vAlign w:val="center"/>
          </w:tcPr>
          <w:p>
            <w:pPr>
              <w:pStyle w:val="TableContents"/>
              <w:bidi w:val="0"/>
              <w:spacing w:before="0" w:after="283"/>
              <w:jc w:val="both"/>
              <w:rPr/>
            </w:pPr>
            <w:r>
              <w:rPr/>
              <w:t>Electronic Transmissions</w:t>
            </w:r>
          </w:p>
        </w:tc>
        <w:tc>
          <w:tcPr>
            <w:tcW w:w="755" w:type="dxa"/>
            <w:tcBorders/>
            <w:vAlign w:val="center"/>
          </w:tcPr>
          <w:p>
            <w:pPr>
              <w:pStyle w:val="TableContents"/>
              <w:bidi w:val="0"/>
              <w:spacing w:before="0" w:after="283"/>
              <w:jc w:val="right"/>
              <w:rPr/>
            </w:pPr>
            <w:r>
              <w:rPr>
                <w:strike/>
                <w:color w:val="FF0000"/>
              </w:rPr>
              <w:t>105</w:t>
            </w:r>
            <w:r>
              <w:rPr>
                <w:color w:val="0000FF"/>
                <w:u w:val="single"/>
              </w:rPr>
              <w:t>104</w:t>
            </w:r>
          </w:p>
        </w:tc>
      </w:tr>
      <w:tr>
        <w:trPr/>
        <w:tc>
          <w:tcPr>
            <w:tcW w:w="335" w:type="dxa"/>
            <w:tcBorders/>
            <w:vAlign w:val="center"/>
          </w:tcPr>
          <w:p>
            <w:pPr>
              <w:pStyle w:val="TableContents"/>
              <w:bidi w:val="0"/>
              <w:spacing w:before="0" w:after="283"/>
              <w:jc w:val="both"/>
              <w:rPr/>
            </w:pPr>
            <w:r>
              <w:rPr/>
              <w:t> </w:t>
            </w:r>
          </w:p>
        </w:tc>
        <w:tc>
          <w:tcPr>
            <w:tcW w:w="560" w:type="dxa"/>
            <w:tcBorders/>
            <w:vAlign w:val="center"/>
          </w:tcPr>
          <w:p>
            <w:pPr>
              <w:pStyle w:val="TableContents"/>
              <w:bidi w:val="0"/>
              <w:spacing w:before="0" w:after="283"/>
              <w:jc w:val="both"/>
              <w:rPr/>
            </w:pPr>
            <w:r>
              <w:rPr/>
              <w:t>12.21</w:t>
            </w:r>
          </w:p>
        </w:tc>
        <w:tc>
          <w:tcPr>
            <w:tcW w:w="6740" w:type="dxa"/>
            <w:tcBorders/>
            <w:vAlign w:val="center"/>
          </w:tcPr>
          <w:p>
            <w:pPr>
              <w:pStyle w:val="TableContents"/>
              <w:bidi w:val="0"/>
              <w:spacing w:before="0" w:after="283"/>
              <w:jc w:val="both"/>
              <w:rPr/>
            </w:pPr>
            <w:r>
              <w:rPr/>
              <w:t>Advertisements</w:t>
            </w:r>
          </w:p>
        </w:tc>
        <w:tc>
          <w:tcPr>
            <w:tcW w:w="755" w:type="dxa"/>
            <w:tcBorders/>
            <w:vAlign w:val="center"/>
          </w:tcPr>
          <w:p>
            <w:pPr>
              <w:pStyle w:val="TableContents"/>
              <w:bidi w:val="0"/>
              <w:spacing w:before="0" w:after="283"/>
              <w:jc w:val="right"/>
              <w:rPr/>
            </w:pPr>
            <w:r>
              <w:rPr/>
              <w:t>105</w:t>
            </w:r>
          </w:p>
        </w:tc>
      </w:tr>
      <w:tr>
        <w:trPr/>
        <w:tc>
          <w:tcPr>
            <w:tcW w:w="335" w:type="dxa"/>
            <w:tcBorders/>
            <w:vAlign w:val="center"/>
          </w:tcPr>
          <w:p>
            <w:pPr>
              <w:pStyle w:val="TableContents"/>
              <w:bidi w:val="0"/>
              <w:spacing w:before="0" w:after="283"/>
              <w:jc w:val="both"/>
              <w:rPr/>
            </w:pPr>
            <w:r>
              <w:rPr/>
              <w:t> </w:t>
            </w:r>
          </w:p>
        </w:tc>
        <w:tc>
          <w:tcPr>
            <w:tcW w:w="560" w:type="dxa"/>
            <w:tcBorders/>
            <w:vAlign w:val="center"/>
          </w:tcPr>
          <w:p>
            <w:pPr>
              <w:pStyle w:val="TableContents"/>
              <w:bidi w:val="0"/>
              <w:spacing w:before="0" w:after="283"/>
              <w:jc w:val="both"/>
              <w:rPr/>
            </w:pPr>
            <w:r>
              <w:rPr/>
              <w:t>12.22</w:t>
            </w:r>
          </w:p>
        </w:tc>
        <w:tc>
          <w:tcPr>
            <w:tcW w:w="6740" w:type="dxa"/>
            <w:tcBorders/>
            <w:vAlign w:val="center"/>
          </w:tcPr>
          <w:p>
            <w:pPr>
              <w:pStyle w:val="TableContents"/>
              <w:bidi w:val="0"/>
              <w:spacing w:before="0" w:after="283"/>
              <w:jc w:val="both"/>
              <w:rPr/>
            </w:pPr>
            <w:r>
              <w:rPr/>
              <w:t>Reliance on and Survival of Provisions</w:t>
            </w:r>
          </w:p>
        </w:tc>
        <w:tc>
          <w:tcPr>
            <w:tcW w:w="755" w:type="dxa"/>
            <w:tcBorders/>
            <w:vAlign w:val="center"/>
          </w:tcPr>
          <w:p>
            <w:pPr>
              <w:pStyle w:val="TableContents"/>
              <w:bidi w:val="0"/>
              <w:spacing w:before="0" w:after="283"/>
              <w:jc w:val="right"/>
              <w:rPr/>
            </w:pPr>
            <w:r>
              <w:rPr>
                <w:strike/>
                <w:color w:val="FF0000"/>
              </w:rPr>
              <w:t>106</w:t>
            </w:r>
            <w:r>
              <w:rPr>
                <w:color w:val="0000FF"/>
                <w:u w:val="single"/>
              </w:rPr>
              <w:t>105</w:t>
            </w:r>
          </w:p>
        </w:tc>
      </w:tr>
      <w:tr>
        <w:trPr/>
        <w:tc>
          <w:tcPr>
            <w:tcW w:w="335" w:type="dxa"/>
            <w:tcBorders/>
            <w:vAlign w:val="center"/>
          </w:tcPr>
          <w:p>
            <w:pPr>
              <w:pStyle w:val="TableContents"/>
              <w:bidi w:val="0"/>
              <w:spacing w:before="0" w:after="283"/>
              <w:jc w:val="both"/>
              <w:rPr/>
            </w:pPr>
            <w:r>
              <w:rPr/>
              <w:t> </w:t>
            </w:r>
          </w:p>
        </w:tc>
        <w:tc>
          <w:tcPr>
            <w:tcW w:w="560" w:type="dxa"/>
            <w:tcBorders/>
            <w:vAlign w:val="center"/>
          </w:tcPr>
          <w:p>
            <w:pPr>
              <w:pStyle w:val="TableContents"/>
              <w:bidi w:val="0"/>
              <w:spacing w:before="0" w:after="283"/>
              <w:jc w:val="both"/>
              <w:rPr/>
            </w:pPr>
            <w:r>
              <w:rPr/>
              <w:t>12.23</w:t>
            </w:r>
          </w:p>
        </w:tc>
        <w:tc>
          <w:tcPr>
            <w:tcW w:w="6740" w:type="dxa"/>
            <w:tcBorders/>
            <w:vAlign w:val="center"/>
          </w:tcPr>
          <w:p>
            <w:pPr>
              <w:pStyle w:val="TableContents"/>
              <w:bidi w:val="0"/>
              <w:spacing w:before="0" w:after="283"/>
              <w:jc w:val="both"/>
              <w:rPr/>
            </w:pPr>
            <w:r>
              <w:rPr/>
              <w:t>Interest</w:t>
            </w:r>
          </w:p>
        </w:tc>
        <w:tc>
          <w:tcPr>
            <w:tcW w:w="755" w:type="dxa"/>
            <w:tcBorders/>
            <w:vAlign w:val="center"/>
          </w:tcPr>
          <w:p>
            <w:pPr>
              <w:pStyle w:val="TableContents"/>
              <w:bidi w:val="0"/>
              <w:spacing w:before="0" w:after="283"/>
              <w:jc w:val="right"/>
              <w:rPr/>
            </w:pPr>
            <w:r>
              <w:rPr>
                <w:strike/>
                <w:color w:val="FF0000"/>
              </w:rPr>
              <w:t>106</w:t>
            </w:r>
            <w:r>
              <w:rPr>
                <w:color w:val="0000FF"/>
                <w:u w:val="single"/>
              </w:rPr>
              <w:t>105</w:t>
            </w:r>
          </w:p>
        </w:tc>
      </w:tr>
      <w:tr>
        <w:trPr/>
        <w:tc>
          <w:tcPr>
            <w:tcW w:w="335" w:type="dxa"/>
            <w:tcBorders/>
            <w:vAlign w:val="center"/>
          </w:tcPr>
          <w:p>
            <w:pPr>
              <w:pStyle w:val="TableContents"/>
              <w:bidi w:val="0"/>
              <w:spacing w:before="0" w:after="283"/>
              <w:jc w:val="both"/>
              <w:rPr/>
            </w:pPr>
            <w:r>
              <w:rPr/>
              <w:t> </w:t>
            </w:r>
          </w:p>
        </w:tc>
        <w:tc>
          <w:tcPr>
            <w:tcW w:w="560" w:type="dxa"/>
            <w:tcBorders/>
            <w:vAlign w:val="center"/>
          </w:tcPr>
          <w:p>
            <w:pPr>
              <w:pStyle w:val="TableContents"/>
              <w:bidi w:val="0"/>
              <w:spacing w:before="0" w:after="283"/>
              <w:jc w:val="both"/>
              <w:rPr/>
            </w:pPr>
            <w:r>
              <w:rPr/>
              <w:t>12.24</w:t>
            </w:r>
          </w:p>
        </w:tc>
        <w:tc>
          <w:tcPr>
            <w:tcW w:w="6740" w:type="dxa"/>
            <w:tcBorders/>
            <w:vAlign w:val="center"/>
          </w:tcPr>
          <w:p>
            <w:pPr>
              <w:pStyle w:val="TableContents"/>
              <w:bidi w:val="0"/>
              <w:spacing w:before="0" w:after="283"/>
              <w:jc w:val="both"/>
              <w:rPr/>
            </w:pPr>
            <w:r>
              <w:rPr/>
              <w:t>Acknowledgment and Consent to Bail-In of EEA Financial Institutions</w:t>
            </w:r>
          </w:p>
        </w:tc>
        <w:tc>
          <w:tcPr>
            <w:tcW w:w="755" w:type="dxa"/>
            <w:tcBorders/>
            <w:vAlign w:val="center"/>
          </w:tcPr>
          <w:p>
            <w:pPr>
              <w:pStyle w:val="TableContents"/>
              <w:bidi w:val="0"/>
              <w:spacing w:before="0" w:after="283"/>
              <w:jc w:val="right"/>
              <w:rPr/>
            </w:pPr>
            <w:r>
              <w:rPr/>
              <w:t>106</w:t>
            </w:r>
          </w:p>
        </w:tc>
      </w:tr>
      <w:tr>
        <w:trPr/>
        <w:tc>
          <w:tcPr>
            <w:tcW w:w="335" w:type="dxa"/>
            <w:tcBorders/>
            <w:vAlign w:val="center"/>
          </w:tcPr>
          <w:p>
            <w:pPr>
              <w:pStyle w:val="TableContents"/>
              <w:bidi w:val="0"/>
              <w:spacing w:before="0" w:after="283"/>
              <w:jc w:val="both"/>
              <w:rPr/>
            </w:pPr>
            <w:r>
              <w:rPr/>
              <w:t> </w:t>
            </w:r>
          </w:p>
        </w:tc>
        <w:tc>
          <w:tcPr>
            <w:tcW w:w="560" w:type="dxa"/>
            <w:tcBorders/>
            <w:vAlign w:val="center"/>
          </w:tcPr>
          <w:p>
            <w:pPr>
              <w:pStyle w:val="TableContents"/>
              <w:bidi w:val="0"/>
              <w:spacing w:before="0" w:after="283"/>
              <w:jc w:val="both"/>
              <w:rPr/>
            </w:pPr>
            <w:r>
              <w:rPr/>
              <w:t>12.25</w:t>
            </w:r>
          </w:p>
        </w:tc>
        <w:tc>
          <w:tcPr>
            <w:tcW w:w="6740" w:type="dxa"/>
            <w:tcBorders/>
            <w:vAlign w:val="center"/>
          </w:tcPr>
          <w:p>
            <w:pPr>
              <w:pStyle w:val="TableContents"/>
              <w:bidi w:val="0"/>
              <w:spacing w:before="0" w:after="283"/>
              <w:jc w:val="both"/>
              <w:rPr/>
            </w:pPr>
            <w:r>
              <w:rPr/>
              <w:t>Specified Subordination Agreement</w:t>
            </w:r>
          </w:p>
        </w:tc>
        <w:tc>
          <w:tcPr>
            <w:tcW w:w="755" w:type="dxa"/>
            <w:tcBorders/>
            <w:vAlign w:val="center"/>
          </w:tcPr>
          <w:p>
            <w:pPr>
              <w:pStyle w:val="TableContents"/>
              <w:bidi w:val="0"/>
              <w:spacing w:before="0" w:after="283"/>
              <w:jc w:val="right"/>
              <w:rPr/>
            </w:pPr>
            <w:r>
              <w:rPr>
                <w:strike/>
                <w:color w:val="FF0000"/>
              </w:rPr>
              <w:t>107</w:t>
            </w:r>
            <w:r>
              <w:rPr>
                <w:color w:val="0000FF"/>
                <w:u w:val="single"/>
              </w:rPr>
              <w:t>106</w:t>
            </w:r>
          </w:p>
        </w:tc>
      </w:tr>
      <w:tr>
        <w:trPr/>
        <w:tc>
          <w:tcPr>
            <w:tcW w:w="335" w:type="dxa"/>
            <w:tcBorders/>
            <w:vAlign w:val="center"/>
          </w:tcPr>
          <w:p>
            <w:pPr>
              <w:pStyle w:val="TableContents"/>
              <w:bidi w:val="0"/>
              <w:spacing w:before="0" w:after="283"/>
              <w:jc w:val="both"/>
              <w:rPr/>
            </w:pPr>
            <w:r>
              <w:rPr/>
              <w:t> </w:t>
            </w:r>
          </w:p>
        </w:tc>
        <w:tc>
          <w:tcPr>
            <w:tcW w:w="560" w:type="dxa"/>
            <w:tcBorders/>
            <w:vAlign w:val="center"/>
          </w:tcPr>
          <w:p>
            <w:pPr>
              <w:pStyle w:val="TableContents"/>
              <w:bidi w:val="0"/>
              <w:spacing w:before="0" w:after="283"/>
              <w:jc w:val="both"/>
              <w:rPr/>
            </w:pPr>
            <w:r>
              <w:rPr/>
              <w:t>12.26</w:t>
            </w:r>
          </w:p>
        </w:tc>
        <w:tc>
          <w:tcPr>
            <w:tcW w:w="6740" w:type="dxa"/>
            <w:tcBorders/>
            <w:vAlign w:val="center"/>
          </w:tcPr>
          <w:p>
            <w:pPr>
              <w:pStyle w:val="TableContents"/>
              <w:bidi w:val="0"/>
              <w:spacing w:before="0" w:after="283"/>
              <w:jc w:val="both"/>
              <w:rPr/>
            </w:pPr>
            <w:r>
              <w:rPr/>
              <w:t>Restatement of Original Credit Agreement</w:t>
            </w:r>
          </w:p>
        </w:tc>
        <w:tc>
          <w:tcPr>
            <w:tcW w:w="755" w:type="dxa"/>
            <w:tcBorders/>
            <w:vAlign w:val="center"/>
          </w:tcPr>
          <w:p>
            <w:pPr>
              <w:pStyle w:val="TableContents"/>
              <w:bidi w:val="0"/>
              <w:spacing w:before="0" w:after="283"/>
              <w:jc w:val="right"/>
              <w:rPr/>
            </w:pPr>
            <w:r>
              <w:rPr/>
              <w:t>107</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EXHIBITS</w:t>
      </w:r>
    </w:p>
    <w:p>
      <w:pPr>
        <w:pStyle w:val="TextBody"/>
        <w:bidi w:val="0"/>
        <w:spacing w:before="0" w:after="0"/>
        <w:ind w:left="0" w:right="0" w:hanging="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15"/>
        <w:gridCol w:w="4310"/>
      </w:tblGrid>
      <w:tr>
        <w:trPr/>
        <w:tc>
          <w:tcPr>
            <w:tcW w:w="215" w:type="dxa"/>
            <w:tcBorders/>
            <w:vAlign w:val="center"/>
          </w:tcPr>
          <w:p>
            <w:pPr>
              <w:pStyle w:val="TableContents"/>
              <w:bidi w:val="0"/>
              <w:spacing w:before="0" w:after="283"/>
              <w:jc w:val="left"/>
              <w:rPr/>
            </w:pPr>
            <w:r>
              <w:rPr/>
              <w:t>A</w:t>
            </w:r>
          </w:p>
        </w:tc>
        <w:tc>
          <w:tcPr>
            <w:tcW w:w="4310" w:type="dxa"/>
            <w:tcBorders/>
            <w:vAlign w:val="center"/>
          </w:tcPr>
          <w:p>
            <w:pPr>
              <w:pStyle w:val="TableContents"/>
              <w:bidi w:val="0"/>
              <w:spacing w:before="0" w:after="283"/>
              <w:jc w:val="left"/>
              <w:rPr/>
            </w:pPr>
            <w:r>
              <w:rPr/>
              <w:t>FORM OF SECURITY AGREEMENT</w:t>
            </w:r>
          </w:p>
        </w:tc>
      </w:tr>
      <w:tr>
        <w:trPr/>
        <w:tc>
          <w:tcPr>
            <w:tcW w:w="215" w:type="dxa"/>
            <w:tcBorders/>
            <w:vAlign w:val="center"/>
          </w:tcPr>
          <w:p>
            <w:pPr>
              <w:pStyle w:val="TableContents"/>
              <w:bidi w:val="0"/>
              <w:spacing w:before="0" w:after="283"/>
              <w:jc w:val="left"/>
              <w:rPr/>
            </w:pPr>
            <w:r>
              <w:rPr/>
              <w:t>B</w:t>
            </w:r>
          </w:p>
        </w:tc>
        <w:tc>
          <w:tcPr>
            <w:tcW w:w="4310" w:type="dxa"/>
            <w:tcBorders/>
            <w:vAlign w:val="center"/>
          </w:tcPr>
          <w:p>
            <w:pPr>
              <w:pStyle w:val="TableContents"/>
              <w:bidi w:val="0"/>
              <w:spacing w:before="0" w:after="283"/>
              <w:jc w:val="left"/>
              <w:rPr/>
            </w:pPr>
            <w:r>
              <w:rPr/>
              <w:t>FORM OF ASSIGNMENT AGREEMENT</w:t>
            </w:r>
          </w:p>
        </w:tc>
      </w:tr>
      <w:tr>
        <w:trPr/>
        <w:tc>
          <w:tcPr>
            <w:tcW w:w="215" w:type="dxa"/>
            <w:tcBorders/>
            <w:vAlign w:val="center"/>
          </w:tcPr>
          <w:p>
            <w:pPr>
              <w:pStyle w:val="TableContents"/>
              <w:bidi w:val="0"/>
              <w:spacing w:before="0" w:after="283"/>
              <w:jc w:val="left"/>
              <w:rPr/>
            </w:pPr>
            <w:r>
              <w:rPr/>
              <w:t>C</w:t>
            </w:r>
          </w:p>
        </w:tc>
        <w:tc>
          <w:tcPr>
            <w:tcW w:w="4310" w:type="dxa"/>
            <w:tcBorders/>
            <w:vAlign w:val="center"/>
          </w:tcPr>
          <w:p>
            <w:pPr>
              <w:pStyle w:val="TableContents"/>
              <w:bidi w:val="0"/>
              <w:spacing w:before="0" w:after="283"/>
              <w:jc w:val="left"/>
              <w:rPr/>
            </w:pPr>
            <w:r>
              <w:rPr/>
              <w:t>FORM OF GUARANTY</w:t>
            </w:r>
          </w:p>
        </w:tc>
      </w:tr>
      <w:tr>
        <w:trPr/>
        <w:tc>
          <w:tcPr>
            <w:tcW w:w="215" w:type="dxa"/>
            <w:tcBorders/>
            <w:vAlign w:val="center"/>
          </w:tcPr>
          <w:p>
            <w:pPr>
              <w:pStyle w:val="TableContents"/>
              <w:bidi w:val="0"/>
              <w:spacing w:before="0" w:after="283"/>
              <w:jc w:val="left"/>
              <w:rPr/>
            </w:pPr>
            <w:r>
              <w:rPr/>
              <w:t>D</w:t>
            </w:r>
          </w:p>
        </w:tc>
        <w:tc>
          <w:tcPr>
            <w:tcW w:w="4310" w:type="dxa"/>
            <w:tcBorders/>
            <w:vAlign w:val="center"/>
          </w:tcPr>
          <w:p>
            <w:pPr>
              <w:pStyle w:val="TableContents"/>
              <w:bidi w:val="0"/>
              <w:spacing w:before="0" w:after="283"/>
              <w:jc w:val="left"/>
              <w:rPr/>
            </w:pPr>
            <w:r>
              <w:rPr/>
              <w:t>FORM OF REQUEST FOR LOAN</w:t>
            </w:r>
          </w:p>
        </w:tc>
      </w:tr>
      <w:tr>
        <w:trPr/>
        <w:tc>
          <w:tcPr>
            <w:tcW w:w="215" w:type="dxa"/>
            <w:tcBorders/>
            <w:vAlign w:val="center"/>
          </w:tcPr>
          <w:p>
            <w:pPr>
              <w:pStyle w:val="TableContents"/>
              <w:bidi w:val="0"/>
              <w:spacing w:before="0" w:after="283"/>
              <w:jc w:val="left"/>
              <w:rPr/>
            </w:pPr>
            <w:r>
              <w:rPr/>
              <w:t>E</w:t>
            </w:r>
          </w:p>
        </w:tc>
        <w:tc>
          <w:tcPr>
            <w:tcW w:w="4310" w:type="dxa"/>
            <w:tcBorders/>
            <w:vAlign w:val="center"/>
          </w:tcPr>
          <w:p>
            <w:pPr>
              <w:pStyle w:val="TableContents"/>
              <w:bidi w:val="0"/>
              <w:spacing w:before="0" w:after="283"/>
              <w:jc w:val="left"/>
              <w:rPr/>
            </w:pPr>
            <w:r>
              <w:rPr/>
              <w:t>FORMS OF U.S. TAX CERTIFICATES</w:t>
            </w:r>
          </w:p>
        </w:tc>
      </w:tr>
      <w:tr>
        <w:trPr/>
        <w:tc>
          <w:tcPr>
            <w:tcW w:w="215" w:type="dxa"/>
            <w:tcBorders/>
            <w:vAlign w:val="center"/>
          </w:tcPr>
          <w:p>
            <w:pPr>
              <w:pStyle w:val="TableContents"/>
              <w:bidi w:val="0"/>
              <w:spacing w:before="0" w:after="283"/>
              <w:jc w:val="left"/>
              <w:rPr/>
            </w:pPr>
            <w:r>
              <w:rPr/>
              <w:t>F</w:t>
            </w:r>
          </w:p>
        </w:tc>
        <w:tc>
          <w:tcPr>
            <w:tcW w:w="4310" w:type="dxa"/>
            <w:tcBorders/>
            <w:vAlign w:val="center"/>
          </w:tcPr>
          <w:p>
            <w:pPr>
              <w:pStyle w:val="TableContents"/>
              <w:bidi w:val="0"/>
              <w:spacing w:before="0" w:after="283"/>
              <w:jc w:val="left"/>
              <w:rPr/>
            </w:pPr>
            <w:r>
              <w:rPr/>
              <w:t>FORM OF NOTE</w:t>
            </w:r>
          </w:p>
        </w:tc>
      </w:tr>
      <w:tr>
        <w:trPr/>
        <w:tc>
          <w:tcPr>
            <w:tcW w:w="215" w:type="dxa"/>
            <w:tcBorders/>
            <w:vAlign w:val="center"/>
          </w:tcPr>
          <w:p>
            <w:pPr>
              <w:pStyle w:val="TableContents"/>
              <w:bidi w:val="0"/>
              <w:spacing w:before="0" w:after="283"/>
              <w:jc w:val="left"/>
              <w:rPr/>
            </w:pPr>
            <w:r>
              <w:rPr/>
              <w:t>G</w:t>
            </w:r>
          </w:p>
        </w:tc>
        <w:tc>
          <w:tcPr>
            <w:tcW w:w="4310" w:type="dxa"/>
            <w:tcBorders/>
            <w:vAlign w:val="center"/>
          </w:tcPr>
          <w:p>
            <w:pPr>
              <w:pStyle w:val="TableContents"/>
              <w:bidi w:val="0"/>
              <w:spacing w:before="0" w:after="283"/>
              <w:jc w:val="left"/>
              <w:rPr/>
            </w:pPr>
            <w:r>
              <w:rPr/>
              <w:t>FORM OF SOFR NOTICE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ANNEXES</w:t>
      </w:r>
    </w:p>
    <w:p>
      <w:pPr>
        <w:pStyle w:val="TextBody"/>
        <w:bidi w:val="0"/>
        <w:spacing w:before="0" w:after="0"/>
        <w:ind w:left="0" w:right="0" w:hanging="0"/>
        <w:jc w:val="left"/>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260"/>
        <w:gridCol w:w="2405"/>
      </w:tblGrid>
      <w:tr>
        <w:trPr/>
        <w:tc>
          <w:tcPr>
            <w:tcW w:w="260" w:type="dxa"/>
            <w:tcBorders/>
            <w:vAlign w:val="center"/>
          </w:tcPr>
          <w:p>
            <w:pPr>
              <w:pStyle w:val="TableContents"/>
              <w:bidi w:val="0"/>
              <w:spacing w:before="0" w:after="283"/>
              <w:jc w:val="left"/>
              <w:rPr/>
            </w:pPr>
            <w:r>
              <w:rPr/>
              <w:t>I</w:t>
            </w:r>
          </w:p>
        </w:tc>
        <w:tc>
          <w:tcPr>
            <w:tcW w:w="2405" w:type="dxa"/>
            <w:tcBorders/>
            <w:vAlign w:val="center"/>
          </w:tcPr>
          <w:p>
            <w:pPr>
              <w:pStyle w:val="TableContents"/>
              <w:bidi w:val="0"/>
              <w:spacing w:before="0" w:after="283"/>
              <w:jc w:val="left"/>
              <w:rPr/>
            </w:pPr>
            <w:r>
              <w:rPr/>
              <w:t>Loans and Commitments</w:t>
            </w:r>
          </w:p>
        </w:tc>
      </w:tr>
      <w:tr>
        <w:trPr/>
        <w:tc>
          <w:tcPr>
            <w:tcW w:w="260" w:type="dxa"/>
            <w:tcBorders/>
            <w:vAlign w:val="center"/>
          </w:tcPr>
          <w:p>
            <w:pPr>
              <w:pStyle w:val="TableContents"/>
              <w:bidi w:val="0"/>
              <w:spacing w:before="0" w:after="283"/>
              <w:jc w:val="left"/>
              <w:rPr/>
            </w:pPr>
            <w:r>
              <w:rPr/>
              <w:t>II</w:t>
            </w:r>
          </w:p>
        </w:tc>
        <w:tc>
          <w:tcPr>
            <w:tcW w:w="2405" w:type="dxa"/>
            <w:tcBorders/>
            <w:vAlign w:val="center"/>
          </w:tcPr>
          <w:p>
            <w:pPr>
              <w:pStyle w:val="TableContents"/>
              <w:bidi w:val="0"/>
              <w:spacing w:before="0" w:after="283"/>
              <w:jc w:val="left"/>
              <w:rPr/>
            </w:pPr>
            <w:r>
              <w:rPr/>
              <w:t>Notices</w:t>
            </w:r>
          </w:p>
        </w:tc>
      </w:tr>
      <w:tr>
        <w:trPr/>
        <w:tc>
          <w:tcPr>
            <w:tcW w:w="260" w:type="dxa"/>
            <w:tcBorders/>
            <w:vAlign w:val="center"/>
          </w:tcPr>
          <w:p>
            <w:pPr>
              <w:pStyle w:val="TableContents"/>
              <w:bidi w:val="0"/>
              <w:spacing w:before="0" w:after="283"/>
              <w:jc w:val="left"/>
              <w:rPr/>
            </w:pPr>
            <w:r>
              <w:rPr/>
              <w:t>III</w:t>
            </w:r>
          </w:p>
        </w:tc>
        <w:tc>
          <w:tcPr>
            <w:tcW w:w="2405" w:type="dxa"/>
            <w:tcBorders/>
            <w:vAlign w:val="center"/>
          </w:tcPr>
          <w:p>
            <w:pPr>
              <w:pStyle w:val="TableContents"/>
              <w:bidi w:val="0"/>
              <w:spacing w:before="0" w:after="283"/>
              <w:jc w:val="left"/>
              <w:rPr/>
            </w:pPr>
            <w:r>
              <w:rPr/>
              <w:t>Principal Office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SCHEDULES</w:t>
      </w:r>
    </w:p>
    <w:p>
      <w:pPr>
        <w:pStyle w:val="TextBody"/>
        <w:bidi w:val="0"/>
        <w:spacing w:before="0" w:after="0"/>
        <w:ind w:left="0"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920"/>
        <w:gridCol w:w="3260"/>
      </w:tblGrid>
      <w:tr>
        <w:trPr/>
        <w:tc>
          <w:tcPr>
            <w:tcW w:w="920" w:type="dxa"/>
            <w:tcBorders/>
            <w:vAlign w:val="center"/>
          </w:tcPr>
          <w:p>
            <w:pPr>
              <w:pStyle w:val="TableContents"/>
              <w:bidi w:val="0"/>
              <w:spacing w:before="0" w:after="283"/>
              <w:jc w:val="left"/>
              <w:rPr/>
            </w:pPr>
            <w:r>
              <w:rPr/>
              <w:t>1.1</w:t>
            </w:r>
          </w:p>
        </w:tc>
        <w:tc>
          <w:tcPr>
            <w:tcW w:w="3260" w:type="dxa"/>
            <w:tcBorders/>
            <w:vAlign w:val="center"/>
          </w:tcPr>
          <w:p>
            <w:pPr>
              <w:pStyle w:val="TableContents"/>
              <w:bidi w:val="0"/>
              <w:spacing w:before="0" w:after="283"/>
              <w:jc w:val="left"/>
              <w:rPr/>
            </w:pPr>
            <w:r>
              <w:rPr/>
              <w:t>Compliance Information</w:t>
            </w:r>
          </w:p>
        </w:tc>
      </w:tr>
      <w:tr>
        <w:trPr/>
        <w:tc>
          <w:tcPr>
            <w:tcW w:w="920" w:type="dxa"/>
            <w:tcBorders/>
            <w:vAlign w:val="center"/>
          </w:tcPr>
          <w:p>
            <w:pPr>
              <w:pStyle w:val="TableContents"/>
              <w:bidi w:val="0"/>
              <w:spacing w:before="0" w:after="283"/>
              <w:jc w:val="left"/>
              <w:rPr/>
            </w:pPr>
            <w:r>
              <w:rPr/>
              <w:t>4.1(b)</w:t>
            </w:r>
          </w:p>
        </w:tc>
        <w:tc>
          <w:tcPr>
            <w:tcW w:w="3260" w:type="dxa"/>
            <w:tcBorders/>
            <w:vAlign w:val="center"/>
          </w:tcPr>
          <w:p>
            <w:pPr>
              <w:pStyle w:val="TableContents"/>
              <w:bidi w:val="0"/>
              <w:spacing w:before="0" w:after="283"/>
              <w:jc w:val="left"/>
              <w:rPr/>
            </w:pPr>
            <w:r>
              <w:rPr/>
              <w:t>Qualified Jurisdictions</w:t>
            </w:r>
          </w:p>
        </w:tc>
      </w:tr>
      <w:tr>
        <w:trPr/>
        <w:tc>
          <w:tcPr>
            <w:tcW w:w="920" w:type="dxa"/>
            <w:tcBorders/>
            <w:vAlign w:val="center"/>
          </w:tcPr>
          <w:p>
            <w:pPr>
              <w:pStyle w:val="TableContents"/>
              <w:bidi w:val="0"/>
              <w:spacing w:before="0" w:after="283"/>
              <w:jc w:val="left"/>
              <w:rPr/>
            </w:pPr>
            <w:r>
              <w:rPr/>
              <w:t>4.1(c)(iii)</w:t>
            </w:r>
          </w:p>
        </w:tc>
        <w:tc>
          <w:tcPr>
            <w:tcW w:w="3260" w:type="dxa"/>
            <w:tcBorders/>
            <w:vAlign w:val="center"/>
          </w:tcPr>
          <w:p>
            <w:pPr>
              <w:pStyle w:val="TableContents"/>
              <w:bidi w:val="0"/>
              <w:spacing w:before="0" w:after="283"/>
              <w:jc w:val="left"/>
              <w:rPr/>
            </w:pPr>
            <w:r>
              <w:rPr/>
              <w:t>UCC Filing Jurisdictions</w:t>
            </w:r>
          </w:p>
        </w:tc>
      </w:tr>
      <w:tr>
        <w:trPr/>
        <w:tc>
          <w:tcPr>
            <w:tcW w:w="920" w:type="dxa"/>
            <w:tcBorders/>
            <w:vAlign w:val="center"/>
          </w:tcPr>
          <w:p>
            <w:pPr>
              <w:pStyle w:val="TableContents"/>
              <w:bidi w:val="0"/>
              <w:spacing w:before="0" w:after="283"/>
              <w:jc w:val="left"/>
              <w:rPr/>
            </w:pPr>
            <w:r>
              <w:rPr/>
              <w:t>5.3(b)</w:t>
            </w:r>
          </w:p>
        </w:tc>
        <w:tc>
          <w:tcPr>
            <w:tcW w:w="3260" w:type="dxa"/>
            <w:tcBorders/>
            <w:vAlign w:val="center"/>
          </w:tcPr>
          <w:p>
            <w:pPr>
              <w:pStyle w:val="TableContents"/>
              <w:bidi w:val="0"/>
              <w:spacing w:before="0" w:after="283"/>
              <w:jc w:val="left"/>
              <w:rPr/>
            </w:pPr>
            <w:r>
              <w:rPr/>
              <w:t>Real Property</w:t>
            </w:r>
          </w:p>
        </w:tc>
      </w:tr>
      <w:tr>
        <w:trPr/>
        <w:tc>
          <w:tcPr>
            <w:tcW w:w="920" w:type="dxa"/>
            <w:tcBorders/>
            <w:vAlign w:val="center"/>
          </w:tcPr>
          <w:p>
            <w:pPr>
              <w:pStyle w:val="TableContents"/>
              <w:bidi w:val="0"/>
              <w:spacing w:before="0" w:after="283"/>
              <w:jc w:val="left"/>
              <w:rPr/>
            </w:pPr>
            <w:r>
              <w:rPr/>
              <w:t>5.7</w:t>
            </w:r>
          </w:p>
        </w:tc>
        <w:tc>
          <w:tcPr>
            <w:tcW w:w="3260" w:type="dxa"/>
            <w:tcBorders/>
            <w:vAlign w:val="center"/>
          </w:tcPr>
          <w:p>
            <w:pPr>
              <w:pStyle w:val="TableContents"/>
              <w:bidi w:val="0"/>
              <w:spacing w:before="0" w:after="283"/>
              <w:jc w:val="left"/>
              <w:rPr/>
            </w:pPr>
            <w:r>
              <w:rPr/>
              <w:t>Compliance with Laws</w:t>
            </w:r>
          </w:p>
        </w:tc>
      </w:tr>
      <w:tr>
        <w:trPr/>
        <w:tc>
          <w:tcPr>
            <w:tcW w:w="920" w:type="dxa"/>
            <w:tcBorders/>
            <w:vAlign w:val="center"/>
          </w:tcPr>
          <w:p>
            <w:pPr>
              <w:pStyle w:val="TableContents"/>
              <w:bidi w:val="0"/>
              <w:spacing w:before="0" w:after="283"/>
              <w:jc w:val="left"/>
              <w:rPr/>
            </w:pPr>
            <w:r>
              <w:rPr/>
              <w:t>5.9</w:t>
            </w:r>
          </w:p>
        </w:tc>
        <w:tc>
          <w:tcPr>
            <w:tcW w:w="3260" w:type="dxa"/>
            <w:tcBorders/>
            <w:vAlign w:val="center"/>
          </w:tcPr>
          <w:p>
            <w:pPr>
              <w:pStyle w:val="TableContents"/>
              <w:bidi w:val="0"/>
              <w:spacing w:before="0" w:after="283"/>
              <w:jc w:val="left"/>
              <w:rPr/>
            </w:pPr>
            <w:r>
              <w:rPr/>
              <w:t>Litigation</w:t>
            </w:r>
          </w:p>
        </w:tc>
      </w:tr>
      <w:tr>
        <w:trPr/>
        <w:tc>
          <w:tcPr>
            <w:tcW w:w="920" w:type="dxa"/>
            <w:tcBorders/>
            <w:vAlign w:val="center"/>
          </w:tcPr>
          <w:p>
            <w:pPr>
              <w:pStyle w:val="TableContents"/>
              <w:bidi w:val="0"/>
              <w:spacing w:before="0" w:after="283"/>
              <w:jc w:val="left"/>
              <w:rPr/>
            </w:pPr>
            <w:r>
              <w:rPr/>
              <w:t>5.10</w:t>
            </w:r>
          </w:p>
        </w:tc>
        <w:tc>
          <w:tcPr>
            <w:tcW w:w="3260" w:type="dxa"/>
            <w:tcBorders/>
            <w:vAlign w:val="center"/>
          </w:tcPr>
          <w:p>
            <w:pPr>
              <w:pStyle w:val="TableContents"/>
              <w:bidi w:val="0"/>
              <w:spacing w:before="0" w:after="283"/>
              <w:jc w:val="left"/>
              <w:rPr/>
            </w:pPr>
            <w:r>
              <w:rPr/>
              <w:t>Required Consents</w:t>
            </w:r>
          </w:p>
        </w:tc>
      </w:tr>
      <w:tr>
        <w:trPr/>
        <w:tc>
          <w:tcPr>
            <w:tcW w:w="920" w:type="dxa"/>
            <w:tcBorders/>
            <w:vAlign w:val="center"/>
          </w:tcPr>
          <w:p>
            <w:pPr>
              <w:pStyle w:val="TableContents"/>
              <w:bidi w:val="0"/>
              <w:spacing w:before="0" w:after="283"/>
              <w:jc w:val="left"/>
              <w:rPr/>
            </w:pPr>
            <w:r>
              <w:rPr/>
              <w:t>5.15</w:t>
            </w:r>
          </w:p>
        </w:tc>
        <w:tc>
          <w:tcPr>
            <w:tcW w:w="3260" w:type="dxa"/>
            <w:tcBorders/>
            <w:vAlign w:val="center"/>
          </w:tcPr>
          <w:p>
            <w:pPr>
              <w:pStyle w:val="TableContents"/>
              <w:bidi w:val="0"/>
              <w:spacing w:before="0" w:after="283"/>
              <w:jc w:val="left"/>
              <w:rPr/>
            </w:pPr>
            <w:r>
              <w:rPr/>
              <w:t>Environmental and Safety Matters</w:t>
            </w:r>
          </w:p>
        </w:tc>
      </w:tr>
      <w:tr>
        <w:trPr/>
        <w:tc>
          <w:tcPr>
            <w:tcW w:w="920" w:type="dxa"/>
            <w:tcBorders/>
            <w:vAlign w:val="center"/>
          </w:tcPr>
          <w:p>
            <w:pPr>
              <w:pStyle w:val="TableContents"/>
              <w:bidi w:val="0"/>
              <w:spacing w:before="0" w:after="283"/>
              <w:jc w:val="left"/>
              <w:rPr/>
            </w:pPr>
            <w:r>
              <w:rPr/>
              <w:t>5.16</w:t>
            </w:r>
          </w:p>
        </w:tc>
        <w:tc>
          <w:tcPr>
            <w:tcW w:w="3260" w:type="dxa"/>
            <w:tcBorders/>
            <w:vAlign w:val="center"/>
          </w:tcPr>
          <w:p>
            <w:pPr>
              <w:pStyle w:val="TableContents"/>
              <w:bidi w:val="0"/>
              <w:spacing w:before="0" w:after="283"/>
              <w:jc w:val="left"/>
              <w:rPr/>
            </w:pPr>
            <w:r>
              <w:rPr/>
              <w:t>Subsidiaries</w:t>
            </w:r>
          </w:p>
        </w:tc>
      </w:tr>
      <w:tr>
        <w:trPr/>
        <w:tc>
          <w:tcPr>
            <w:tcW w:w="920" w:type="dxa"/>
            <w:tcBorders/>
            <w:vAlign w:val="center"/>
          </w:tcPr>
          <w:p>
            <w:pPr>
              <w:pStyle w:val="TableContents"/>
              <w:bidi w:val="0"/>
              <w:spacing w:before="0" w:after="283"/>
              <w:jc w:val="left"/>
              <w:rPr/>
            </w:pPr>
            <w:r>
              <w:rPr/>
              <w:t>5.17</w:t>
            </w:r>
          </w:p>
        </w:tc>
        <w:tc>
          <w:tcPr>
            <w:tcW w:w="3260" w:type="dxa"/>
            <w:tcBorders/>
            <w:vAlign w:val="center"/>
          </w:tcPr>
          <w:p>
            <w:pPr>
              <w:pStyle w:val="TableContents"/>
              <w:bidi w:val="0"/>
              <w:spacing w:before="0" w:after="283"/>
              <w:jc w:val="left"/>
              <w:rPr/>
            </w:pPr>
            <w:r>
              <w:rPr/>
              <w:t>Employment Agreements</w:t>
            </w:r>
          </w:p>
        </w:tc>
      </w:tr>
      <w:tr>
        <w:trPr/>
        <w:tc>
          <w:tcPr>
            <w:tcW w:w="920" w:type="dxa"/>
            <w:tcBorders/>
            <w:vAlign w:val="center"/>
          </w:tcPr>
          <w:p>
            <w:pPr>
              <w:pStyle w:val="TableContents"/>
              <w:bidi w:val="0"/>
              <w:spacing w:before="0" w:after="283"/>
              <w:jc w:val="left"/>
              <w:rPr/>
            </w:pPr>
            <w:r>
              <w:rPr/>
              <w:t>5.18</w:t>
            </w:r>
          </w:p>
        </w:tc>
        <w:tc>
          <w:tcPr>
            <w:tcW w:w="3260" w:type="dxa"/>
            <w:tcBorders/>
            <w:vAlign w:val="center"/>
          </w:tcPr>
          <w:p>
            <w:pPr>
              <w:pStyle w:val="TableContents"/>
              <w:bidi w:val="0"/>
              <w:spacing w:before="0" w:after="283"/>
              <w:jc w:val="left"/>
              <w:rPr/>
            </w:pPr>
            <w:r>
              <w:rPr/>
              <w:t>Material Contracts</w:t>
            </w:r>
          </w:p>
        </w:tc>
      </w:tr>
      <w:tr>
        <w:trPr/>
        <w:tc>
          <w:tcPr>
            <w:tcW w:w="920" w:type="dxa"/>
            <w:tcBorders/>
            <w:vAlign w:val="center"/>
          </w:tcPr>
          <w:p>
            <w:pPr>
              <w:pStyle w:val="TableContents"/>
              <w:bidi w:val="0"/>
              <w:spacing w:before="0" w:after="283"/>
              <w:jc w:val="left"/>
              <w:rPr/>
            </w:pPr>
            <w:r>
              <w:rPr/>
              <w:t>5.20</w:t>
            </w:r>
          </w:p>
        </w:tc>
        <w:tc>
          <w:tcPr>
            <w:tcW w:w="3260" w:type="dxa"/>
            <w:tcBorders/>
            <w:vAlign w:val="center"/>
          </w:tcPr>
          <w:p>
            <w:pPr>
              <w:pStyle w:val="TableContents"/>
              <w:bidi w:val="0"/>
              <w:spacing w:before="0" w:after="283"/>
              <w:jc w:val="left"/>
              <w:rPr/>
            </w:pPr>
            <w:r>
              <w:rPr/>
              <w:t>Capital Structure</w:t>
            </w:r>
          </w:p>
        </w:tc>
      </w:tr>
      <w:tr>
        <w:trPr/>
        <w:tc>
          <w:tcPr>
            <w:tcW w:w="920" w:type="dxa"/>
            <w:tcBorders/>
            <w:vAlign w:val="center"/>
          </w:tcPr>
          <w:p>
            <w:pPr>
              <w:pStyle w:val="TableContents"/>
              <w:bidi w:val="0"/>
              <w:spacing w:before="0" w:after="283"/>
              <w:jc w:val="left"/>
              <w:rPr/>
            </w:pPr>
            <w:r>
              <w:rPr/>
              <w:t>5.23</w:t>
            </w:r>
          </w:p>
        </w:tc>
        <w:tc>
          <w:tcPr>
            <w:tcW w:w="3260" w:type="dxa"/>
            <w:tcBorders/>
            <w:vAlign w:val="center"/>
          </w:tcPr>
          <w:p>
            <w:pPr>
              <w:pStyle w:val="TableContents"/>
              <w:bidi w:val="0"/>
              <w:spacing w:before="0" w:after="283"/>
              <w:jc w:val="left"/>
              <w:rPr/>
            </w:pPr>
            <w:r>
              <w:rPr/>
              <w:t>Employment Matters</w:t>
            </w:r>
          </w:p>
        </w:tc>
      </w:tr>
      <w:tr>
        <w:trPr/>
        <w:tc>
          <w:tcPr>
            <w:tcW w:w="920" w:type="dxa"/>
            <w:tcBorders/>
            <w:vAlign w:val="center"/>
          </w:tcPr>
          <w:p>
            <w:pPr>
              <w:pStyle w:val="TableContents"/>
              <w:bidi w:val="0"/>
              <w:spacing w:before="0" w:after="283"/>
              <w:jc w:val="left"/>
              <w:rPr/>
            </w:pPr>
            <w:r>
              <w:rPr/>
              <w:t>5.29</w:t>
            </w:r>
          </w:p>
        </w:tc>
        <w:tc>
          <w:tcPr>
            <w:tcW w:w="3260" w:type="dxa"/>
            <w:tcBorders/>
            <w:vAlign w:val="center"/>
          </w:tcPr>
          <w:p>
            <w:pPr>
              <w:pStyle w:val="TableContents"/>
              <w:bidi w:val="0"/>
              <w:spacing w:before="0" w:after="283"/>
              <w:jc w:val="left"/>
              <w:rPr/>
            </w:pPr>
            <w:r>
              <w:rPr/>
              <w:t>Licenses</w:t>
            </w:r>
          </w:p>
        </w:tc>
      </w:tr>
      <w:tr>
        <w:trPr/>
        <w:tc>
          <w:tcPr>
            <w:tcW w:w="920" w:type="dxa"/>
            <w:tcBorders/>
            <w:vAlign w:val="center"/>
          </w:tcPr>
          <w:p>
            <w:pPr>
              <w:pStyle w:val="TableContents"/>
              <w:bidi w:val="0"/>
              <w:spacing w:before="0" w:after="283"/>
              <w:jc w:val="left"/>
              <w:rPr/>
            </w:pPr>
            <w:r>
              <w:rPr/>
              <w:t>5.33(b)</w:t>
            </w:r>
          </w:p>
        </w:tc>
        <w:tc>
          <w:tcPr>
            <w:tcW w:w="3260" w:type="dxa"/>
            <w:tcBorders/>
            <w:vAlign w:val="center"/>
          </w:tcPr>
          <w:p>
            <w:pPr>
              <w:pStyle w:val="TableContents"/>
              <w:bidi w:val="0"/>
              <w:spacing w:before="0" w:after="283"/>
              <w:jc w:val="left"/>
              <w:rPr/>
            </w:pPr>
            <w:r>
              <w:rPr/>
              <w:t>Credit Party Data</w:t>
            </w:r>
          </w:p>
        </w:tc>
      </w:tr>
      <w:tr>
        <w:trPr/>
        <w:tc>
          <w:tcPr>
            <w:tcW w:w="920" w:type="dxa"/>
            <w:tcBorders/>
            <w:vAlign w:val="center"/>
          </w:tcPr>
          <w:p>
            <w:pPr>
              <w:pStyle w:val="TableContents"/>
              <w:bidi w:val="0"/>
              <w:spacing w:before="0" w:after="283"/>
              <w:jc w:val="left"/>
              <w:rPr/>
            </w:pPr>
            <w:r>
              <w:rPr/>
              <w:t>7.1</w:t>
            </w:r>
          </w:p>
        </w:tc>
        <w:tc>
          <w:tcPr>
            <w:tcW w:w="3260" w:type="dxa"/>
            <w:tcBorders/>
            <w:vAlign w:val="center"/>
          </w:tcPr>
          <w:p>
            <w:pPr>
              <w:pStyle w:val="TableContents"/>
              <w:bidi w:val="0"/>
              <w:spacing w:before="0" w:after="283"/>
              <w:jc w:val="left"/>
              <w:rPr/>
            </w:pPr>
            <w:r>
              <w:rPr/>
              <w:t>Existing Debt</w:t>
            </w:r>
          </w:p>
        </w:tc>
      </w:tr>
      <w:tr>
        <w:trPr/>
        <w:tc>
          <w:tcPr>
            <w:tcW w:w="920" w:type="dxa"/>
            <w:tcBorders/>
            <w:vAlign w:val="center"/>
          </w:tcPr>
          <w:p>
            <w:pPr>
              <w:pStyle w:val="TableContents"/>
              <w:bidi w:val="0"/>
              <w:spacing w:before="0" w:after="283"/>
              <w:jc w:val="left"/>
              <w:rPr/>
            </w:pPr>
            <w:r>
              <w:rPr/>
              <w:t>7.2</w:t>
            </w:r>
          </w:p>
        </w:tc>
        <w:tc>
          <w:tcPr>
            <w:tcW w:w="3260" w:type="dxa"/>
            <w:tcBorders/>
            <w:vAlign w:val="center"/>
          </w:tcPr>
          <w:p>
            <w:pPr>
              <w:pStyle w:val="TableContents"/>
              <w:bidi w:val="0"/>
              <w:spacing w:before="0" w:after="283"/>
              <w:jc w:val="left"/>
              <w:rPr/>
            </w:pPr>
            <w:r>
              <w:rPr/>
              <w:t>Existing Liens</w:t>
            </w:r>
          </w:p>
        </w:tc>
      </w:tr>
      <w:tr>
        <w:trPr/>
        <w:tc>
          <w:tcPr>
            <w:tcW w:w="920" w:type="dxa"/>
            <w:tcBorders/>
            <w:vAlign w:val="center"/>
          </w:tcPr>
          <w:p>
            <w:pPr>
              <w:pStyle w:val="TableContents"/>
              <w:bidi w:val="0"/>
              <w:spacing w:before="0" w:after="283"/>
              <w:jc w:val="left"/>
              <w:rPr/>
            </w:pPr>
            <w:r>
              <w:rPr/>
              <w:t>7.6</w:t>
            </w:r>
          </w:p>
        </w:tc>
        <w:tc>
          <w:tcPr>
            <w:tcW w:w="3260" w:type="dxa"/>
            <w:tcBorders/>
            <w:vAlign w:val="center"/>
          </w:tcPr>
          <w:p>
            <w:pPr>
              <w:pStyle w:val="TableContents"/>
              <w:bidi w:val="0"/>
              <w:spacing w:before="0" w:after="283"/>
              <w:jc w:val="left"/>
              <w:rPr/>
            </w:pPr>
            <w:r>
              <w:rPr/>
              <w:t>Existing Investments</w:t>
            </w:r>
          </w:p>
        </w:tc>
      </w:tr>
      <w:tr>
        <w:trPr/>
        <w:tc>
          <w:tcPr>
            <w:tcW w:w="920" w:type="dxa"/>
            <w:tcBorders/>
            <w:vAlign w:val="center"/>
          </w:tcPr>
          <w:p>
            <w:pPr>
              <w:pStyle w:val="TableContents"/>
              <w:bidi w:val="0"/>
              <w:spacing w:before="0" w:after="283"/>
              <w:jc w:val="left"/>
              <w:rPr/>
            </w:pPr>
            <w:r>
              <w:rPr/>
              <w:t>7.7</w:t>
            </w:r>
          </w:p>
        </w:tc>
        <w:tc>
          <w:tcPr>
            <w:tcW w:w="3260" w:type="dxa"/>
            <w:tcBorders/>
            <w:vAlign w:val="center"/>
          </w:tcPr>
          <w:p>
            <w:pPr>
              <w:pStyle w:val="TableContents"/>
              <w:bidi w:val="0"/>
              <w:spacing w:before="0" w:after="283"/>
              <w:jc w:val="left"/>
              <w:rPr/>
            </w:pPr>
            <w:r>
              <w:rPr/>
              <w:t>Affiliate Transactions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99" w:right="1481"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CREDIT AGREEMENT</w:t>
      </w:r>
    </w:p>
    <w:p>
      <w:pPr>
        <w:pStyle w:val="TextBody"/>
        <w:bidi w:val="0"/>
        <w:spacing w:before="0" w:after="0"/>
        <w:ind w:left="1499" w:right="1481" w:hanging="0"/>
        <w:jc w:val="center"/>
        <w:rPr>
          <w:caps w:val="false"/>
          <w:smallCaps w:val="false"/>
        </w:rPr>
      </w:pPr>
      <w:r>
        <w:rPr>
          <w:caps w:val="false"/>
          <w:smallCaps w:val="false"/>
        </w:rPr>
        <w:t> </w:t>
      </w:r>
    </w:p>
    <w:p>
      <w:pPr>
        <w:pStyle w:val="TextBody"/>
        <w:bidi w:val="0"/>
        <w:spacing w:before="0" w:after="0"/>
        <w:ind w:left="140" w:right="12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Amended and Restated Credit Agreement is made as of October 28, 2025, by and among the lenders from time to time party hereto (individually a “</w:t>
      </w:r>
      <w:r>
        <w:rPr>
          <w:rFonts w:ascii="Times New Roman;Times;Serif" w:hAnsi="Times New Roman;Times;Serif"/>
          <w:b/>
          <w:i w:val="false"/>
          <w:caps w:val="false"/>
          <w:smallCaps w:val="false"/>
          <w:sz w:val="20"/>
        </w:rPr>
        <w:t>Lender</w:t>
      </w:r>
      <w:r>
        <w:rPr>
          <w:rFonts w:ascii="Times New Roman;Times;Serif" w:hAnsi="Times New Roman;Times;Serif"/>
          <w:b w:val="false"/>
          <w:i w:val="false"/>
          <w:caps w:val="false"/>
          <w:smallCaps w:val="false"/>
          <w:sz w:val="20"/>
        </w:rPr>
        <w:t>,” and any and all such lenders collectively the “</w:t>
      </w:r>
      <w:r>
        <w:rPr>
          <w:rFonts w:ascii="Times New Roman;Times;Serif" w:hAnsi="Times New Roman;Times;Serif"/>
          <w:b/>
          <w:i w:val="false"/>
          <w:caps w:val="false"/>
          <w:smallCaps w:val="false"/>
          <w:sz w:val="20"/>
        </w:rPr>
        <w:t>Lenders</w:t>
      </w:r>
      <w:r>
        <w:rPr>
          <w:rFonts w:ascii="Times New Roman;Times;Serif" w:hAnsi="Times New Roman;Times;Serif"/>
          <w:b w:val="false"/>
          <w:i w:val="false"/>
          <w:caps w:val="false"/>
          <w:smallCaps w:val="false"/>
          <w:sz w:val="20"/>
        </w:rPr>
        <w:t>”), CHS (US) Management LLC (“</w:t>
      </w:r>
      <w:r>
        <w:rPr>
          <w:rFonts w:ascii="Times New Roman;Times;Serif" w:hAnsi="Times New Roman;Times;Serif"/>
          <w:b/>
          <w:i w:val="false"/>
          <w:caps w:val="false"/>
          <w:smallCaps w:val="false"/>
          <w:sz w:val="20"/>
        </w:rPr>
        <w:t>CHS</w:t>
      </w:r>
      <w:r>
        <w:rPr>
          <w:rFonts w:ascii="Times New Roman;Times;Serif" w:hAnsi="Times New Roman;Times;Serif"/>
          <w:b w:val="false"/>
          <w:i w:val="false"/>
          <w:caps w:val="false"/>
          <w:smallCaps w:val="false"/>
          <w:sz w:val="20"/>
        </w:rPr>
        <w:t>”), as the administrative agent for the Lenders (in such capacity, together with its successors and assigns in such capacity, the “</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and Rent the Runway, Inc., a Delaware corporation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w:t>
      </w:r>
    </w:p>
    <w:p>
      <w:pPr>
        <w:pStyle w:val="TextBody"/>
        <w:bidi w:val="0"/>
        <w:spacing w:before="0" w:after="0"/>
        <w:ind w:left="140" w:right="124" w:firstLine="720"/>
        <w:jc w:val="both"/>
        <w:rPr>
          <w:caps w:val="false"/>
          <w:smallCaps w:val="false"/>
        </w:rPr>
      </w:pPr>
      <w:r>
        <w:rPr>
          <w:caps w:val="false"/>
          <w:smallCaps w:val="false"/>
        </w:rPr>
        <w:t> </w:t>
      </w:r>
    </w:p>
    <w:p>
      <w:pPr>
        <w:pStyle w:val="TextBody"/>
        <w:bidi w:val="0"/>
        <w:spacing w:before="0" w:after="0"/>
        <w:ind w:left="1498" w:right="1481"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RECITALS</w:t>
      </w:r>
    </w:p>
    <w:p>
      <w:pPr>
        <w:pStyle w:val="TextBody"/>
        <w:bidi w:val="0"/>
        <w:spacing w:before="0" w:after="0"/>
        <w:ind w:left="1498" w:right="1481" w:hanging="0"/>
        <w:jc w:val="center"/>
        <w:rPr>
          <w:caps w:val="false"/>
          <w:smallCaps w:val="false"/>
        </w:rPr>
      </w:pPr>
      <w:r>
        <w:rPr>
          <w:caps w:val="false"/>
          <w:smallCaps w:val="false"/>
        </w:rPr>
        <w:t> </w:t>
      </w:r>
    </w:p>
    <w:p>
      <w:pPr>
        <w:pStyle w:val="TextBody"/>
        <w:bidi w:val="0"/>
        <w:spacing w:before="0" w:after="0"/>
        <w:ind w:left="140" w:right="17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reference is made to that certain Credit Agreement, dated as of July 23, 2018, by and among the lenders from time to time party thereto (individually, an “</w:t>
      </w:r>
      <w:r>
        <w:rPr>
          <w:rFonts w:ascii="Times New Roman;Times;Serif" w:hAnsi="Times New Roman;Times;Serif"/>
          <w:b/>
          <w:i w:val="false"/>
          <w:caps w:val="false"/>
          <w:smallCaps w:val="false"/>
          <w:sz w:val="20"/>
        </w:rPr>
        <w:t>Existing Lender</w:t>
      </w:r>
      <w:r>
        <w:rPr>
          <w:rFonts w:ascii="Times New Roman;Times;Serif" w:hAnsi="Times New Roman;Times;Serif"/>
          <w:b w:val="false"/>
          <w:i w:val="false"/>
          <w:caps w:val="false"/>
          <w:smallCaps w:val="false"/>
          <w:sz w:val="20"/>
        </w:rPr>
        <w:t>” and any and all such lenders collectively, the “</w:t>
      </w:r>
      <w:r>
        <w:rPr>
          <w:rFonts w:ascii="Times New Roman;Times;Serif" w:hAnsi="Times New Roman;Times;Serif"/>
          <w:b/>
          <w:i w:val="false"/>
          <w:caps w:val="false"/>
          <w:smallCaps w:val="false"/>
          <w:sz w:val="20"/>
        </w:rPr>
        <w:t>Existing Lenders</w:t>
      </w:r>
      <w:r>
        <w:rPr>
          <w:rFonts w:ascii="Times New Roman;Times;Serif" w:hAnsi="Times New Roman;Times;Serif"/>
          <w:b w:val="false"/>
          <w:i w:val="false"/>
          <w:caps w:val="false"/>
          <w:smallCaps w:val="false"/>
          <w:sz w:val="20"/>
        </w:rPr>
        <w:t>”; it being understood that each Existing Lender is a Lender hereunder), the Agent and the Borrower (as amended by the First Amendment to Credit Agreement, dated as of December 21, 2018, the Second Amendment to Credit Agreement, dated as of April 24, 2019, the Third Amendment to Credit Agreement and First Amendment to the Security Agreement, dated as of November 26, 2019, the Fourth Amendment to Credit Agreement, dated as of June 2, 2020, the Fifth Amendment to Credit Agreement, dated as of August 18, 2020, the Sixth Amendment to Credit Agreement and Second Amendment to the Security Agreement, dated as of October 26, 2020, the Seventh Amendment to Credit Agreement and Third Amendment to the Security Agreement, dated as of October 18, 2021, the Eighth Amendment to Credit Agreement, dated as of August 15, 2022, the Ninth Amendment to Credit Agreement, dated as of January 31, 2023, the Tenth Amendment to Credit Agreement, dated as of December 1, 2023, the Eleventh Amendment to Credit Agreement, dated as of March 31, 2025, the Twelfth Amendment to Credit Agreement, dated as of May 29, 2025, and as further amended, amended and restated, supplemented or otherwise modified prior to the date hereof, the “</w:t>
      </w:r>
      <w:r>
        <w:rPr>
          <w:rFonts w:ascii="Times New Roman;Times;Serif" w:hAnsi="Times New Roman;Times;Serif"/>
          <w:b/>
          <w:i w:val="false"/>
          <w:caps w:val="false"/>
          <w:smallCaps w:val="false"/>
          <w:sz w:val="20"/>
        </w:rPr>
        <w:t>Original Credit Agreement</w:t>
      </w:r>
      <w:r>
        <w:rPr>
          <w:rFonts w:ascii="Times New Roman;Times;Serif" w:hAnsi="Times New Roman;Times;Serif"/>
          <w:b w:val="false"/>
          <w:i w:val="false"/>
          <w:caps w:val="false"/>
          <w:smallCaps w:val="false"/>
          <w:sz w:val="20"/>
        </w:rPr>
        <w:t>”);</w:t>
      </w:r>
    </w:p>
    <w:p>
      <w:pPr>
        <w:pStyle w:val="TextBody"/>
        <w:bidi w:val="0"/>
        <w:spacing w:before="0" w:after="0"/>
        <w:ind w:left="140" w:right="170" w:firstLine="720"/>
        <w:jc w:val="both"/>
        <w:rPr>
          <w:caps w:val="false"/>
          <w:smallCaps w:val="false"/>
        </w:rPr>
      </w:pPr>
      <w:r>
        <w:rPr>
          <w:caps w:val="false"/>
          <w:smallCaps w:val="false"/>
        </w:rPr>
        <w:t> </w:t>
      </w:r>
    </w:p>
    <w:p>
      <w:pPr>
        <w:pStyle w:val="TextBody"/>
        <w:bidi w:val="0"/>
        <w:spacing w:before="0" w:after="0"/>
        <w:ind w:left="140" w:right="17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Original Credit Agreement, the Existing Lenders extended a credit facility to the Borrower consisting of term loans (the “</w:t>
      </w:r>
      <w:r>
        <w:rPr>
          <w:rFonts w:ascii="Times New Roman;Times;Serif" w:hAnsi="Times New Roman;Times;Serif"/>
          <w:b/>
          <w:i w:val="false"/>
          <w:caps w:val="false"/>
          <w:smallCaps w:val="false"/>
          <w:sz w:val="20"/>
        </w:rPr>
        <w:t>Existing Term Loans</w:t>
      </w:r>
      <w:r>
        <w:rPr>
          <w:rFonts w:ascii="Times New Roman;Times;Serif" w:hAnsi="Times New Roman;Times;Serif"/>
          <w:b w:val="false"/>
          <w:i w:val="false"/>
          <w:caps w:val="false"/>
          <w:smallCaps w:val="false"/>
          <w:sz w:val="20"/>
        </w:rPr>
        <w:t>”);</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40" w:right="17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and the Existing Lenders hereby agree that notwithstanding the terms of the Original Credit Agreement, pursuant to Section 2.1(a), all accrued but unpaid interest on the Existing Term Loans under the Original Credit Agreement shall be deemed to have been paid by capitalizing such interest and adding such capitalized interest to the outstanding principal amount of the Existing Term Loans (the “</w:t>
      </w:r>
      <w:r>
        <w:rPr>
          <w:rFonts w:ascii="Times New Roman;Times;Serif" w:hAnsi="Times New Roman;Times;Serif"/>
          <w:b/>
          <w:i w:val="false"/>
          <w:caps w:val="false"/>
          <w:smallCaps w:val="false"/>
          <w:sz w:val="20"/>
        </w:rPr>
        <w:t>Interest Capitalization</w:t>
      </w:r>
      <w:r>
        <w:rPr>
          <w:rFonts w:ascii="Times New Roman;Times;Serif" w:hAnsi="Times New Roman;Times;Serif"/>
          <w:b w:val="false"/>
          <w:i w:val="false"/>
          <w:caps w:val="false"/>
          <w:smallCaps w:val="false"/>
          <w:sz w:val="20"/>
        </w:rPr>
        <w:t xml:space="preserve">”), and after giving effect to such capitalization, the aggregate principal amount of Existing Term Loans is set forth opposite each Existing Lender’s name in Section 1 of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hereto;</w:t>
      </w:r>
    </w:p>
    <w:p>
      <w:pPr>
        <w:pStyle w:val="TextBody"/>
        <w:bidi w:val="0"/>
        <w:spacing w:before="0" w:after="0"/>
        <w:ind w:left="140" w:right="170" w:firstLine="720"/>
        <w:jc w:val="both"/>
        <w:rPr>
          <w:caps w:val="false"/>
          <w:smallCaps w:val="false"/>
        </w:rPr>
      </w:pPr>
      <w:r>
        <w:rPr>
          <w:caps w:val="false"/>
          <w:smallCaps w:val="false"/>
        </w:rPr>
        <w:t> </w:t>
      </w:r>
    </w:p>
    <w:p>
      <w:pPr>
        <w:pStyle w:val="TextBody"/>
        <w:bidi w:val="0"/>
        <w:spacing w:before="0" w:after="0"/>
        <w:ind w:left="139" w:right="12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immediately after the Interest Capitalization on the Restatement Date (as hereinafter defined), the Existing Lenders exchanged a portion of their Existing Term Loans in an  aggregate principal amount equal to $234,165,275.12 for 26,175,193 shares of Class A Common Stock of the Borrower representing approximately 86% of the issued and outstanding Equity Interests of the Borrower on a fully diluted basis as of the Restatement Date (such exchange, the “</w:t>
      </w:r>
      <w:r>
        <w:rPr>
          <w:rFonts w:ascii="Times New Roman;Times;Serif" w:hAnsi="Times New Roman;Times;Serif"/>
          <w:b/>
          <w:i w:val="false"/>
          <w:caps w:val="false"/>
          <w:smallCaps w:val="false"/>
          <w:sz w:val="20"/>
        </w:rPr>
        <w:t>Debt for Equity Exchange</w:t>
      </w:r>
      <w:r>
        <w:rPr>
          <w:rFonts w:ascii="Times New Roman;Times;Serif" w:hAnsi="Times New Roman;Times;Serif"/>
          <w:b w:val="false"/>
          <w:i w:val="false"/>
          <w:caps w:val="false"/>
          <w:smallCaps w:val="false"/>
          <w:sz w:val="20"/>
        </w:rPr>
        <w:t>”) in accordance with the terms and subject to the conditions in the Exchange Agreement (as hereinafter defined). After giving effect to the Debt for Equity Exchange, the aggregate outstanding principal  amount of Existing Term Loans is $100,000,000;</w:t>
      </w:r>
    </w:p>
    <w:p>
      <w:pPr>
        <w:pStyle w:val="TextBody"/>
        <w:bidi w:val="0"/>
        <w:spacing w:before="0" w:after="0"/>
        <w:ind w:left="139" w:right="124" w:firstLine="720"/>
        <w:jc w:val="both"/>
        <w:rPr>
          <w:caps w:val="false"/>
          <w:smallCaps w:val="false"/>
        </w:rPr>
      </w:pPr>
      <w:r>
        <w:rPr>
          <w:caps w:val="false"/>
          <w:smallCaps w:val="false"/>
        </w:rPr>
        <w:t> </w:t>
      </w:r>
    </w:p>
    <w:p>
      <w:pPr>
        <w:pStyle w:val="TextBody"/>
        <w:bidi w:val="0"/>
        <w:spacing w:before="0" w:after="0"/>
        <w:ind w:left="140" w:right="17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immediately after giving effect to the Debt for Equity Exchange, each Existing Lender is deemed, pursuant to Section 2.1(b) of this Agreement, to have exchanged all of its Existing</w:t>
      </w:r>
    </w:p>
    <w:p>
      <w:pPr>
        <w:pStyle w:val="TextBody"/>
        <w:bidi w:val="0"/>
        <w:spacing w:before="0" w:after="0"/>
        <w:ind w:left="140" w:right="170" w:firstLine="72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7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Loans on a dollar-for-dollar cashless basis for Term Loans under this Agreement (such exchange, the “</w:t>
      </w:r>
      <w:r>
        <w:rPr>
          <w:rFonts w:ascii="Times New Roman;Times;Serif" w:hAnsi="Times New Roman;Times;Serif"/>
          <w:b/>
          <w:i w:val="false"/>
          <w:caps w:val="false"/>
          <w:smallCaps w:val="false"/>
          <w:sz w:val="20"/>
        </w:rPr>
        <w:t>Initial Loan Exchange</w:t>
      </w:r>
      <w:r>
        <w:rPr>
          <w:rFonts w:ascii="Times New Roman;Times;Serif" w:hAnsi="Times New Roman;Times;Serif"/>
          <w:b w:val="false"/>
          <w:i w:val="false"/>
          <w:caps w:val="false"/>
          <w:smallCaps w:val="false"/>
          <w:sz w:val="20"/>
        </w:rPr>
        <w:t>”);</w:t>
      </w:r>
    </w:p>
    <w:p>
      <w:pPr>
        <w:pStyle w:val="TextBody"/>
        <w:bidi w:val="0"/>
        <w:spacing w:before="0" w:after="0"/>
        <w:ind w:left="140" w:right="175" w:hanging="0"/>
        <w:jc w:val="both"/>
        <w:rPr>
          <w:caps w:val="false"/>
          <w:smallCaps w:val="false"/>
        </w:rPr>
      </w:pPr>
      <w:r>
        <w:rPr>
          <w:caps w:val="false"/>
          <w:smallCaps w:val="false"/>
        </w:rPr>
        <w:t> </w:t>
      </w:r>
    </w:p>
    <w:p>
      <w:pPr>
        <w:pStyle w:val="TextBody"/>
        <w:bidi w:val="0"/>
        <w:spacing w:before="0" w:after="0"/>
        <w:ind w:left="140" w:right="1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immediately following the Initial Loan Exchange on the Restatement Date, the Existing Lenders shall (a) assign a portion of their Term Loans in an aggregate principal amount equal to</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ind w:left="139" w:right="17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$30,000,000 to the Restatement Date Assignees (as hereinafter defined) and (b) sell 7,852,558 shares of Class A Common Stock of the Borrower to the Restatement Date Assignees, in each case, in accordance with the terms and subject to the conditions in the Purchase and Sale Agreement (as hereinafter defined) (the “</w:t>
      </w:r>
      <w:r>
        <w:rPr>
          <w:rFonts w:ascii="Times New Roman;Times;Serif" w:hAnsi="Times New Roman;Times;Serif"/>
          <w:b/>
          <w:i w:val="false"/>
          <w:caps w:val="false"/>
          <w:smallCaps w:val="false"/>
          <w:sz w:val="20"/>
        </w:rPr>
        <w:t>Restatement Date Assignment</w:t>
      </w:r>
      <w:r>
        <w:rPr>
          <w:rFonts w:ascii="Times New Roman;Times;Serif" w:hAnsi="Times New Roman;Times;Serif"/>
          <w:b w:val="false"/>
          <w:i w:val="false"/>
          <w:caps w:val="false"/>
          <w:smallCaps w:val="false"/>
          <w:sz w:val="20"/>
        </w:rPr>
        <w:t>”); and</w:t>
      </w:r>
    </w:p>
    <w:p>
      <w:pPr>
        <w:pStyle w:val="TextBody"/>
        <w:bidi w:val="0"/>
        <w:spacing w:before="0" w:after="0"/>
        <w:ind w:left="139" w:right="172" w:hanging="0"/>
        <w:jc w:val="both"/>
        <w:rPr>
          <w:caps w:val="false"/>
          <w:smallCaps w:val="false"/>
        </w:rPr>
      </w:pPr>
      <w:r>
        <w:rPr>
          <w:caps w:val="false"/>
          <w:smallCaps w:val="false"/>
        </w:rPr>
        <w:t> </w:t>
      </w:r>
    </w:p>
    <w:p>
      <w:pPr>
        <w:pStyle w:val="TextBody"/>
        <w:bidi w:val="0"/>
        <w:spacing w:before="0" w:after="0"/>
        <w:ind w:left="140" w:right="1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has requested that, immediately following the Restatement Date Assignment, the Lenders with Restatement Date Term Loan Commitments (as hereinafter defined) extend credit to the Borrower consisting of Term Loans in the original principal amount of $20,000,000 on the Restatement Date in accordance with the terms and subject to the conditions set forth herein.</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ind w:left="140" w:right="139"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are prepared to extend such credit as aforesaid, but only on the terms and conditions set forth in this Agreement.</w:t>
      </w:r>
    </w:p>
    <w:p>
      <w:pPr>
        <w:pStyle w:val="TextBody"/>
        <w:bidi w:val="0"/>
        <w:spacing w:before="0" w:after="0"/>
        <w:ind w:left="140" w:right="139" w:firstLine="720"/>
        <w:jc w:val="both"/>
        <w:rPr>
          <w:caps w:val="false"/>
          <w:smallCaps w:val="false"/>
        </w:rPr>
      </w:pPr>
      <w:r>
        <w:rPr>
          <w:caps w:val="false"/>
          <w:smallCaps w:val="false"/>
        </w:rPr>
        <w:t> </w:t>
      </w:r>
    </w:p>
    <w:p>
      <w:pPr>
        <w:pStyle w:val="TextBody"/>
        <w:bidi w:val="0"/>
        <w:spacing w:before="0" w:after="0"/>
        <w:ind w:left="140" w:right="17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covenants contained herein, the Borrower, the Lenders, and the Agent agree as follows:</w:t>
      </w:r>
    </w:p>
    <w:p>
      <w:pPr>
        <w:pStyle w:val="TextBody"/>
        <w:bidi w:val="0"/>
        <w:spacing w:before="0" w:after="0"/>
        <w:ind w:left="140" w:right="173"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9"/>
        <w:gridCol w:w="1105"/>
        <w:gridCol w:w="8891"/>
      </w:tblGrid>
      <w:tr>
        <w:trPr/>
        <w:tc>
          <w:tcPr>
            <w:tcW w:w="20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pPr>
            <w:r>
              <w:rPr/>
              <w:t>1.</w:t>
            </w:r>
          </w:p>
        </w:tc>
        <w:tc>
          <w:tcPr>
            <w:tcW w:w="8891" w:type="dxa"/>
            <w:tcBorders/>
            <w:vAlign w:val="center"/>
          </w:tcPr>
          <w:p>
            <w:pPr>
              <w:pStyle w:val="TableContents"/>
              <w:bidi w:val="0"/>
              <w:spacing w:before="0" w:after="283"/>
              <w:jc w:val="left"/>
              <w:rPr/>
            </w:pPr>
            <w:r>
              <w:rPr/>
              <w:t>DEFINITIONS.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73"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Certain Defined Terms</w:t>
      </w:r>
      <w:r>
        <w:rPr>
          <w:rFonts w:ascii="Times New Roman;Times;Serif" w:hAnsi="Times New Roman;Times;Serif"/>
          <w:b w:val="false"/>
          <w:i w:val="false"/>
          <w:caps w:val="false"/>
          <w:smallCaps w:val="false"/>
          <w:sz w:val="20"/>
        </w:rPr>
        <w:t>. For the purposes of this Agreement the following terms will have the following meanings:</w:t>
      </w:r>
    </w:p>
    <w:p>
      <w:pPr>
        <w:pStyle w:val="TextBody"/>
        <w:bidi w:val="0"/>
        <w:spacing w:before="0" w:after="0"/>
        <w:ind w:left="140" w:right="173" w:firstLine="720"/>
        <w:jc w:val="left"/>
        <w:rPr>
          <w:caps w:val="false"/>
          <w:smallCaps w:val="false"/>
        </w:rPr>
      </w:pPr>
      <w:r>
        <w:rPr>
          <w:caps w:val="false"/>
          <w:smallCaps w:val="false"/>
        </w:rPr>
        <w:t> </w:t>
      </w:r>
    </w:p>
    <w:p>
      <w:pPr>
        <w:pStyle w:val="TextBody"/>
        <w:bidi w:val="0"/>
        <w:spacing w:before="0" w:after="0"/>
        <w:ind w:left="139"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Account</w:t>
      </w:r>
      <w:r>
        <w:rPr>
          <w:rFonts w:ascii="Times New Roman;Times;Serif" w:hAnsi="Times New Roman;Times;Serif"/>
          <w:b w:val="false"/>
          <w:i w:val="false"/>
          <w:caps w:val="false"/>
          <w:smallCaps w:val="false"/>
          <w:sz w:val="20"/>
        </w:rPr>
        <w:t>” shall mean “accounts” as defined in the UCC, and also means a right to payment of a monetary obligation, whether or not earned by performance, (a) for property that has been or is to be sold, leased, licensed, assigned, or otherwise disposed of or (b) for services rendered or to be rendered.</w:t>
      </w:r>
    </w:p>
    <w:p>
      <w:pPr>
        <w:pStyle w:val="TextBody"/>
        <w:bidi w:val="0"/>
        <w:spacing w:before="0" w:after="0"/>
        <w:ind w:left="139" w:right="173" w:firstLine="720"/>
        <w:jc w:val="both"/>
        <w:rPr>
          <w:caps w:val="false"/>
          <w:smallCaps w:val="false"/>
        </w:rPr>
      </w:pPr>
      <w:r>
        <w:rPr>
          <w:caps w:val="false"/>
          <w:smallCaps w:val="false"/>
        </w:rPr>
        <w:t> </w:t>
      </w:r>
    </w:p>
    <w:p>
      <w:pPr>
        <w:pStyle w:val="TextBody"/>
        <w:bidi w:val="0"/>
        <w:spacing w:before="0" w:after="0"/>
        <w:ind w:left="140" w:right="17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Account Control Agreement(s)</w:t>
      </w:r>
      <w:r>
        <w:rPr>
          <w:rFonts w:ascii="Times New Roman;Times;Serif" w:hAnsi="Times New Roman;Times;Serif"/>
          <w:b w:val="false"/>
          <w:i w:val="false"/>
          <w:caps w:val="false"/>
          <w:smallCaps w:val="false"/>
          <w:sz w:val="20"/>
        </w:rPr>
        <w:t>” shall mean, with respect to any deposit account, any securities account, commodity account, securities entitlement or commodity contract, an agreement, in form and substance reasonably satisfactory to the Agent, among the Agent, the Senior Agent, the financial institution or other Person at which such account is maintained or with which such entitlement or contract is carried and the Borrower or Guarantor maintaining such account, effective to grant “control” (as defined under the applicable UCC) over such account to the Agent.</w:t>
      </w:r>
    </w:p>
    <w:p>
      <w:pPr>
        <w:pStyle w:val="TextBody"/>
        <w:bidi w:val="0"/>
        <w:spacing w:before="0" w:after="0"/>
        <w:ind w:left="140" w:right="170" w:firstLine="72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Adjusted Term SOFR</w:t>
      </w:r>
      <w:r>
        <w:rPr>
          <w:rFonts w:ascii="Times New Roman;Times;Serif" w:hAnsi="Times New Roman;Times;Serif"/>
          <w:b w:val="false"/>
          <w:i w:val="false"/>
          <w:caps w:val="false"/>
          <w:smallCaps w:val="false"/>
          <w:sz w:val="20"/>
        </w:rPr>
        <w:t>” means, for purposes of any calculation, the rate per annum equal to Term SOFR for such calculation; provided that if Adjusted Term SOFR as so determined shall ever be less than the Floor, then Adjusted Term SOFR shall be deemed to be the Floor.</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Affected Lender</w:t>
      </w:r>
      <w:r>
        <w:rPr>
          <w:rFonts w:ascii="Times New Roman;Times;Serif" w:hAnsi="Times New Roman;Times;Serif"/>
          <w:b w:val="false"/>
          <w:i w:val="false"/>
          <w:caps w:val="false"/>
          <w:smallCaps w:val="false"/>
          <w:sz w:val="20"/>
        </w:rPr>
        <w:t>” shall have the meaning set forth in Section 12.11 hereof.</w:t>
      </w:r>
    </w:p>
    <w:p>
      <w:pPr>
        <w:pStyle w:val="TextBody"/>
        <w:bidi w:val="0"/>
        <w:spacing w:before="0" w:after="0"/>
        <w:ind w:left="860" w:right="0" w:hanging="0"/>
        <w:jc w:val="left"/>
        <w:rPr>
          <w:caps w:val="false"/>
          <w:smallCaps w:val="false"/>
        </w:rPr>
      </w:pPr>
      <w:r>
        <w:rPr>
          <w:caps w:val="false"/>
          <w:smallCaps w:val="false"/>
        </w:rPr>
        <w:t> </w:t>
      </w:r>
    </w:p>
    <w:p>
      <w:pPr>
        <w:pStyle w:val="TextBody"/>
        <w:bidi w:val="0"/>
        <w:spacing w:before="0" w:after="0"/>
        <w:ind w:left="139" w:right="149"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shall mean, with respect to any Person, (i) another Person that directly, or indirectly through one or more intermediaries, Controls or is Controlled by or is under common Control with the Person specified, (ii) any director, officer, managing member, partner, trustee, or beneficiary of that Person, (iii) any other Person directly or indirectly holding 25% or more of any class of the Equity Interests of that Person, and (iv) any other Person 25% or more of any class of whose Equity Interests is held directly or indirectly by that Person. Notwithstanding anything herein to the contrary, in no event shall any Agent or any Lender or their respective Affiliates or Related Funds be considered an "Affiliate" of any Credit Party.</w:t>
      </w:r>
    </w:p>
    <w:p>
      <w:pPr>
        <w:pStyle w:val="TextBody"/>
        <w:bidi w:val="0"/>
        <w:spacing w:before="0" w:after="0"/>
        <w:ind w:left="139" w:right="149"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shall have the meaning set forth in the preamble.</w:t>
      </w:r>
    </w:p>
    <w:p>
      <w:pPr>
        <w:pStyle w:val="TextBody"/>
        <w:bidi w:val="0"/>
        <w:spacing w:before="0" w:after="0"/>
        <w:ind w:left="860" w:right="0" w:hanging="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Agent’s Account</w:t>
      </w:r>
      <w:r>
        <w:rPr>
          <w:rFonts w:ascii="Times New Roman;Times;Serif" w:hAnsi="Times New Roman;Times;Serif"/>
          <w:b w:val="false"/>
          <w:i w:val="false"/>
          <w:caps w:val="false"/>
          <w:smallCaps w:val="false"/>
          <w:sz w:val="20"/>
        </w:rPr>
        <w:t>” shall mean an account at a bank designated by the Agent from time to time as the account into which the Credit Parties shall make all payments to the Agent for the benefit of the Agent and the Lenders under this Agreement and the other Loan Documents.</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Aggregate Amounts Due</w:t>
      </w:r>
      <w:r>
        <w:rPr>
          <w:rFonts w:ascii="Times New Roman;Times;Serif" w:hAnsi="Times New Roman;Times;Serif"/>
          <w:b w:val="false"/>
          <w:i w:val="false"/>
          <w:caps w:val="false"/>
          <w:smallCaps w:val="false"/>
          <w:sz w:val="20"/>
        </w:rPr>
        <w:t>” shall have the meaning set forth in Section 9.3 hereof.</w:t>
      </w:r>
    </w:p>
    <w:p>
      <w:pPr>
        <w:pStyle w:val="TextBody"/>
        <w:bidi w:val="0"/>
        <w:spacing w:before="0" w:after="0"/>
        <w:ind w:left="860" w:right="173" w:hanging="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shall mean this Credit Agreement and any annexes, exhibits and schedules attached hereto, as it may be amended, supplemented or otherwise modified from time to time.</w:t>
      </w:r>
    </w:p>
    <w:p>
      <w:pPr>
        <w:pStyle w:val="TextBody"/>
        <w:bidi w:val="0"/>
        <w:spacing w:before="0" w:after="0"/>
        <w:ind w:left="140" w:right="0" w:hanging="0"/>
        <w:jc w:val="left"/>
        <w:rPr>
          <w:caps w:val="false"/>
          <w:smallCaps w:val="false"/>
        </w:rPr>
      </w:pPr>
      <w:r>
        <w:rPr>
          <w:caps w:val="false"/>
          <w:smallCaps w:val="false"/>
        </w:rPr>
        <w:t> </w:t>
      </w:r>
    </w:p>
    <w:p>
      <w:pPr>
        <w:pStyle w:val="TextBody"/>
        <w:bidi w:val="0"/>
        <w:spacing w:before="0" w:after="0"/>
        <w:ind w:left="86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All in Yield</w:t>
      </w:r>
      <w:r>
        <w:rPr>
          <w:rFonts w:ascii="Times New Roman;Times;Serif" w:hAnsi="Times New Roman;Times;Serif"/>
          <w:b w:val="false"/>
          <w:i w:val="false"/>
          <w:caps w:val="false"/>
          <w:smallCaps w:val="false"/>
          <w:sz w:val="20"/>
        </w:rPr>
        <w:t>” shall have the meaning set forth in Section 2.11(b)(v) hereof.</w:t>
      </w:r>
    </w:p>
    <w:p>
      <w:pPr>
        <w:pStyle w:val="TextBody"/>
        <w:bidi w:val="0"/>
        <w:spacing w:before="0" w:after="0"/>
        <w:ind w:left="860" w:right="0" w:hanging="0"/>
        <w:jc w:val="both"/>
        <w:rPr>
          <w:caps w:val="false"/>
          <w:smallCaps w:val="false"/>
        </w:rPr>
      </w:pPr>
      <w:r>
        <w:rPr>
          <w:caps w:val="false"/>
          <w:smallCaps w:val="false"/>
        </w:rPr>
        <w:t> </w:t>
      </w:r>
    </w:p>
    <w:p>
      <w:pPr>
        <w:pStyle w:val="TextBody"/>
        <w:bidi w:val="0"/>
        <w:spacing w:before="0" w:after="0"/>
        <w:ind w:left="140" w:right="16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Anti-Terrorism Laws</w:t>
      </w:r>
      <w:r>
        <w:rPr>
          <w:rFonts w:ascii="Times New Roman;Times;Serif" w:hAnsi="Times New Roman;Times;Serif"/>
          <w:b w:val="false"/>
          <w:i w:val="false"/>
          <w:caps w:val="false"/>
          <w:smallCaps w:val="false"/>
          <w:sz w:val="20"/>
        </w:rPr>
        <w:t>” shall mean any laws relating to terrorism, trade sanctions programs and embargoes, import/export licensing, money laundering, corruption or bribery, and any regulation, order, or directive promulgated, issued or enforced pursuant to such laws, all as amended, supplemented or replaced from time to time.</w:t>
      </w:r>
    </w:p>
    <w:p>
      <w:pPr>
        <w:pStyle w:val="TextBody"/>
        <w:bidi w:val="0"/>
        <w:spacing w:before="0" w:after="0"/>
        <w:ind w:left="140" w:right="163" w:firstLine="720"/>
        <w:jc w:val="both"/>
        <w:rPr>
          <w:caps w:val="false"/>
          <w:smallCaps w:val="false"/>
        </w:rPr>
      </w:pPr>
      <w:r>
        <w:rPr>
          <w:caps w:val="false"/>
          <w:smallCaps w:val="false"/>
        </w:rPr>
        <w:t> </w:t>
      </w:r>
    </w:p>
    <w:p>
      <w:pPr>
        <w:pStyle w:val="TextBody"/>
        <w:bidi w:val="0"/>
        <w:spacing w:before="0" w:after="0"/>
        <w:ind w:left="139" w:right="17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Margin</w:t>
      </w:r>
      <w:r>
        <w:rPr>
          <w:rFonts w:ascii="Times New Roman;Times;Serif" w:hAnsi="Times New Roman;Times;Serif"/>
          <w:b w:val="false"/>
          <w:i w:val="false"/>
          <w:caps w:val="false"/>
          <w:smallCaps w:val="false"/>
          <w:sz w:val="20"/>
        </w:rPr>
        <w:t>” shall mean, as of any date of determination, with respect to the interest rate of (a) any Reference Rate Loan or any portion thereof, 4.00% per annum and (b) any SOFR Loan or any portion thereof, 5.00% per annum.</w:t>
      </w:r>
    </w:p>
    <w:p>
      <w:pPr>
        <w:pStyle w:val="TextBody"/>
        <w:bidi w:val="0"/>
        <w:spacing w:before="0" w:after="0"/>
        <w:ind w:left="139" w:right="172" w:firstLine="720"/>
        <w:jc w:val="both"/>
        <w:rPr>
          <w:caps w:val="false"/>
          <w:smallCaps w:val="false"/>
        </w:rPr>
      </w:pPr>
      <w:r>
        <w:rPr>
          <w:caps w:val="false"/>
          <w:smallCaps w:val="false"/>
        </w:rPr>
        <w:t> </w:t>
      </w:r>
    </w:p>
    <w:p>
      <w:pPr>
        <w:pStyle w:val="TextBody"/>
        <w:bidi w:val="0"/>
        <w:spacing w:before="0" w:after="0"/>
        <w:ind w:left="140" w:right="17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Application Event</w:t>
      </w:r>
      <w:r>
        <w:rPr>
          <w:rFonts w:ascii="Times New Roman;Times;Serif" w:hAnsi="Times New Roman;Times;Serif"/>
          <w:b w:val="false"/>
          <w:i w:val="false"/>
          <w:caps w:val="false"/>
          <w:smallCaps w:val="false"/>
          <w:sz w:val="20"/>
        </w:rPr>
        <w:t>” shall mean the (a) occurrence of an Event of Default and (b) the election by the Agent or the Majority Lenders during the continuance of such Event of Default to require that payments and proceeds of Collateral be applied pursuant to Section 9.2(a).</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ind w:left="139" w:right="139"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Asset Sale</w:t>
      </w:r>
      <w:r>
        <w:rPr>
          <w:rFonts w:ascii="Times New Roman;Times;Serif" w:hAnsi="Times New Roman;Times;Serif"/>
          <w:b w:val="false"/>
          <w:i w:val="false"/>
          <w:caps w:val="false"/>
          <w:smallCaps w:val="false"/>
          <w:sz w:val="20"/>
        </w:rPr>
        <w:t>” shall mean the sale, transfer, license, lease or other disposition (including any sale and leaseback transaction), whether in one transaction or in a series of transactions, of any property (including, without limitation, any Equity Interests, contracts, merchant accounts (or any rights thereto)) by any Person (or the granting of any option or other right to do any of the foregoing), including any sale, assignment, transfer or other disposal, with or without recourse, of any notes or accounts receivable or any rights and claims associated therewith. For purposes of clarification, "Asset Sale" shall include any disposition of property through a "plan of division" under the Delaware Limited Liability Company Act or any comparable transaction under any similar law.</w:t>
      </w:r>
    </w:p>
    <w:p>
      <w:pPr>
        <w:pStyle w:val="TextBody"/>
        <w:bidi w:val="0"/>
        <w:spacing w:before="0" w:after="0"/>
        <w:ind w:left="139" w:right="139" w:firstLine="720"/>
        <w:jc w:val="both"/>
        <w:rPr>
          <w:caps w:val="false"/>
          <w:smallCaps w:val="false"/>
        </w:rPr>
      </w:pPr>
      <w:r>
        <w:rPr>
          <w:caps w:val="false"/>
          <w:smallCaps w:val="false"/>
        </w:rPr>
        <w:t> </w:t>
      </w:r>
    </w:p>
    <w:p>
      <w:pPr>
        <w:pStyle w:val="TextBody"/>
        <w:bidi w:val="0"/>
        <w:spacing w:before="0" w:after="0"/>
        <w:ind w:left="140" w:right="174"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Assignment Agreement</w:t>
      </w:r>
      <w:r>
        <w:rPr>
          <w:rFonts w:ascii="Times New Roman;Times;Serif" w:hAnsi="Times New Roman;Times;Serif"/>
          <w:b w:val="false"/>
          <w:i w:val="false"/>
          <w:caps w:val="false"/>
          <w:smallCaps w:val="false"/>
          <w:sz w:val="20"/>
        </w:rPr>
        <w:t>” shall mean an Assignment Agreement substantially in the form of Exhibit B hereto.</w:t>
      </w:r>
    </w:p>
    <w:p>
      <w:pPr>
        <w:pStyle w:val="TextBody"/>
        <w:bidi w:val="0"/>
        <w:spacing w:before="0" w:after="0"/>
        <w:ind w:left="140" w:right="174" w:firstLine="72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Assignment of Business Interruption Insurance Policy</w:t>
      </w:r>
      <w:r>
        <w:rPr>
          <w:rFonts w:ascii="Times New Roman;Times;Serif" w:hAnsi="Times New Roman;Times;Serif"/>
          <w:b w:val="false"/>
          <w:i w:val="false"/>
          <w:caps w:val="false"/>
          <w:smallCaps w:val="false"/>
          <w:sz w:val="20"/>
        </w:rPr>
        <w:t>” means that certain Assignment of Business Interruption Insurance Policy as Collateral Security, dated as of the Restatement Date, made by the Borrower in favor of the Agent, in form and substance reasonably satisfactory to the Agent.</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40" w:right="139"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Authorized Signer</w:t>
      </w:r>
      <w:r>
        <w:rPr>
          <w:rFonts w:ascii="Times New Roman;Times;Serif" w:hAnsi="Times New Roman;Times;Serif"/>
          <w:b w:val="false"/>
          <w:i w:val="false"/>
          <w:caps w:val="false"/>
          <w:smallCaps w:val="false"/>
          <w:sz w:val="20"/>
        </w:rPr>
        <w:t>” shall mean each person who has been authorized by the Borrower to execute and deliver any Requests for Loans hereunder pursuant to a written authorization delivered to the Agent and whose signature card or incumbency certificate has been received by the Agent.</w:t>
      </w:r>
    </w:p>
    <w:p>
      <w:pPr>
        <w:pStyle w:val="TextBody"/>
        <w:bidi w:val="0"/>
        <w:spacing w:before="0" w:after="0"/>
        <w:ind w:left="140" w:right="139" w:firstLine="720"/>
        <w:jc w:val="both"/>
        <w:rPr>
          <w:caps w:val="false"/>
          <w:smallCaps w:val="false"/>
        </w:rPr>
      </w:pPr>
      <w:r>
        <w:rPr>
          <w:caps w:val="false"/>
          <w:smallCaps w:val="false"/>
        </w:rPr>
        <w:t> </w:t>
      </w:r>
    </w:p>
    <w:p>
      <w:pPr>
        <w:pStyle w:val="TextBody"/>
        <w:bidi w:val="0"/>
        <w:spacing w:before="0" w:after="0"/>
        <w:ind w:left="139" w:right="16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Available Tenor</w:t>
      </w:r>
      <w:r>
        <w:rPr>
          <w:rFonts w:ascii="Times New Roman;Times;Serif" w:hAnsi="Times New Roman;Times;Serif"/>
          <w:b w:val="false"/>
          <w:i w:val="false"/>
          <w:caps w:val="false"/>
          <w:smallCaps w:val="false"/>
          <w:sz w:val="20"/>
        </w:rPr>
        <w:t>” shall mean,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pursuant to this Agreement, in each</w:t>
      </w:r>
    </w:p>
    <w:p>
      <w:pPr>
        <w:pStyle w:val="TextBody"/>
        <w:bidi w:val="0"/>
        <w:spacing w:before="0" w:after="0"/>
        <w:ind w:left="139" w:right="163"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9" w:right="17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case, as of such date and not including, for the avoidance of doubt, any tenor for such Benchmark that is then-removed from the definition of “Interest Period” pursuant to Section 2.12(g)(iv).</w:t>
      </w:r>
    </w:p>
    <w:p>
      <w:pPr>
        <w:pStyle w:val="TextBody"/>
        <w:bidi w:val="0"/>
        <w:spacing w:before="0" w:after="0"/>
        <w:ind w:left="139" w:right="171" w:hanging="0"/>
        <w:jc w:val="left"/>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Bail-In Action</w:t>
      </w:r>
      <w:r>
        <w:rPr>
          <w:rFonts w:ascii="Times New Roman;Times;Serif" w:hAnsi="Times New Roman;Times;Serif"/>
          <w:b w:val="false"/>
          <w:i w:val="false"/>
          <w:caps w:val="false"/>
          <w:smallCaps w:val="false"/>
          <w:sz w:val="20"/>
        </w:rPr>
        <w:t>” shall mean the exercise of any Write-Down and Conversion Powers by the applicable EEA Resolution Authority in respect of any liability of an EEA Financial Institution.</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40" w:right="126"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Bail-In Legislation</w:t>
      </w:r>
      <w:r>
        <w:rPr>
          <w:rFonts w:ascii="Times New Roman;Times;Serif" w:hAnsi="Times New Roman;Times;Serif"/>
          <w:b w:val="false"/>
          <w:i w:val="false"/>
          <w:caps w:val="false"/>
          <w:smallCaps w:val="false"/>
          <w:sz w:val="20"/>
        </w:rPr>
        <w:t>”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140" w:right="126" w:firstLine="72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Bankruptcy Code</w:t>
      </w:r>
      <w:r>
        <w:rPr>
          <w:rFonts w:ascii="Times New Roman;Times;Serif" w:hAnsi="Times New Roman;Times;Serif"/>
          <w:b w:val="false"/>
          <w:i w:val="false"/>
          <w:caps w:val="false"/>
          <w:smallCaps w:val="false"/>
          <w:sz w:val="20"/>
        </w:rPr>
        <w:t>” shall mean Title 11 of the United States Code and the rules promulgated thereunder.</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40" w:right="17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w:t>
      </w:r>
      <w:r>
        <w:rPr>
          <w:rFonts w:ascii="Times New Roman;Times;Serif" w:hAnsi="Times New Roman;Times;Serif"/>
          <w:b w:val="false"/>
          <w:i w:val="false"/>
          <w:caps w:val="false"/>
          <w:smallCaps w:val="false"/>
          <w:sz w:val="20"/>
        </w:rPr>
        <w:t>”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2.12(g)(i).</w:t>
      </w:r>
    </w:p>
    <w:p>
      <w:pPr>
        <w:pStyle w:val="TextBody"/>
        <w:bidi w:val="0"/>
        <w:spacing w:before="0" w:after="0"/>
        <w:ind w:left="140" w:right="170" w:firstLine="720"/>
        <w:jc w:val="both"/>
        <w:rPr>
          <w:caps w:val="false"/>
          <w:smallCaps w:val="false"/>
        </w:rPr>
      </w:pPr>
      <w:r>
        <w:rPr>
          <w:caps w:val="false"/>
          <w:smallCaps w:val="false"/>
        </w:rPr>
        <w:t> </w:t>
      </w:r>
    </w:p>
    <w:p>
      <w:pPr>
        <w:pStyle w:val="TextBody"/>
        <w:bidi w:val="0"/>
        <w:spacing w:before="0" w:after="0"/>
        <w:ind w:left="139" w:right="14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 Replacement</w:t>
      </w:r>
      <w:r>
        <w:rPr>
          <w:rFonts w:ascii="Times New Roman;Times;Serif" w:hAnsi="Times New Roman;Times;Serif"/>
          <w:b w:val="false"/>
          <w:i w:val="false"/>
          <w:caps w:val="false"/>
          <w:smallCaps w:val="false"/>
          <w:sz w:val="20"/>
        </w:rPr>
        <w:t xml:space="preserve">” means, with respect to any Benchmark Transition Event, the sum of: (a) the alternate benchmark rate that has been selected by the Agent in consultation with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the related Benchmark Replacement Adjustment;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Benchmark Replacement as so determined would be less than the Floor, such Benchmark Replacement will be deemed to be the Floor for the purposes of this Agreement and the other Loan Documents.</w:t>
      </w:r>
    </w:p>
    <w:p>
      <w:pPr>
        <w:pStyle w:val="TextBody"/>
        <w:bidi w:val="0"/>
        <w:spacing w:before="0" w:after="0"/>
        <w:ind w:left="139" w:right="140" w:firstLine="720"/>
        <w:jc w:val="both"/>
        <w:rPr>
          <w:caps w:val="false"/>
          <w:smallCaps w:val="false"/>
        </w:rPr>
      </w:pPr>
      <w:r>
        <w:rPr>
          <w:caps w:val="false"/>
          <w:smallCaps w:val="false"/>
        </w:rPr>
        <w:t> </w:t>
      </w:r>
    </w:p>
    <w:p>
      <w:pPr>
        <w:pStyle w:val="TextBody"/>
        <w:bidi w:val="0"/>
        <w:spacing w:before="0" w:after="0"/>
        <w:ind w:left="140" w:right="17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 Replacement Adjustment</w:t>
      </w:r>
      <w:r>
        <w:rPr>
          <w:rFonts w:ascii="Times New Roman;Times;Serif" w:hAnsi="Times New Roman;Times;Serif"/>
          <w:b w:val="false"/>
          <w:i w:val="false"/>
          <w:caps w:val="false"/>
          <w:smallCaps w:val="false"/>
          <w:sz w:val="20"/>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Agent in consultation with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before="0" w:after="0"/>
        <w:ind w:left="140" w:right="170" w:hanging="0"/>
        <w:jc w:val="both"/>
        <w:rPr>
          <w:caps w:val="false"/>
          <w:smallCaps w:val="false"/>
        </w:rPr>
      </w:pPr>
      <w:r>
        <w:rPr>
          <w:caps w:val="false"/>
          <w:smallCaps w:val="false"/>
        </w:rPr>
        <w:t> </w:t>
      </w:r>
    </w:p>
    <w:p>
      <w:pPr>
        <w:pStyle w:val="TextBody"/>
        <w:bidi w:val="0"/>
        <w:spacing w:before="0" w:after="0"/>
        <w:ind w:left="140" w:right="17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 Replacement Date</w:t>
      </w:r>
      <w:r>
        <w:rPr>
          <w:rFonts w:ascii="Times New Roman;Times;Serif" w:hAnsi="Times New Roman;Times;Serif"/>
          <w:b w:val="false"/>
          <w:i w:val="false"/>
          <w:caps w:val="false"/>
          <w:smallCaps w:val="false"/>
          <w:sz w:val="20"/>
        </w:rPr>
        <w:t>” shall mean the earliest to occur of the following events with respect to the then-current Benchmark:</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ind w:left="140" w:right="171"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w:t>
      </w:r>
    </w:p>
    <w:p>
      <w:pPr>
        <w:pStyle w:val="TextBody"/>
        <w:bidi w:val="0"/>
        <w:spacing w:before="0" w:after="0"/>
        <w:ind w:left="140" w:right="171"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thereof) permanently or indefinitely ceases to provide all Available Tenors of such Benchmark (or such component thereof); or</w:t>
      </w:r>
    </w:p>
    <w:p>
      <w:pPr>
        <w:pStyle w:val="TextBody"/>
        <w:bidi w:val="0"/>
        <w:spacing w:before="0" w:after="0"/>
        <w:ind w:left="140" w:right="0" w:hanging="0"/>
        <w:jc w:val="left"/>
        <w:rPr>
          <w:caps w:val="false"/>
          <w:smallCaps w:val="false"/>
        </w:rPr>
      </w:pPr>
      <w:r>
        <w:rPr>
          <w:caps w:val="false"/>
          <w:smallCaps w:val="false"/>
        </w:rPr>
        <w:t> </w:t>
      </w:r>
    </w:p>
    <w:p>
      <w:pPr>
        <w:pStyle w:val="TextBody"/>
        <w:bidi w:val="0"/>
        <w:spacing w:before="0" w:after="0"/>
        <w:ind w:left="140" w:right="13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pStyle w:val="TextBody"/>
        <w:bidi w:val="0"/>
        <w:spacing w:before="0" w:after="0"/>
        <w:ind w:left="140" w:right="136" w:firstLine="720"/>
        <w:jc w:val="both"/>
        <w:rPr>
          <w:caps w:val="false"/>
          <w:smallCaps w:val="false"/>
        </w:rPr>
      </w:pPr>
      <w:r>
        <w:rPr>
          <w:caps w:val="false"/>
          <w:smallCaps w:val="false"/>
        </w:rPr>
        <w:t> </w:t>
      </w:r>
    </w:p>
    <w:p>
      <w:pPr>
        <w:pStyle w:val="TextBody"/>
        <w:bidi w:val="0"/>
        <w:spacing w:before="0" w:after="0"/>
        <w:ind w:left="140" w:right="17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40" w:right="17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 Transition Event</w:t>
      </w:r>
      <w:r>
        <w:rPr>
          <w:rFonts w:ascii="Times New Roman;Times;Serif" w:hAnsi="Times New Roman;Times;Serif"/>
          <w:b w:val="false"/>
          <w:i w:val="false"/>
          <w:caps w:val="false"/>
          <w:smallCaps w:val="false"/>
          <w:sz w:val="20"/>
        </w:rPr>
        <w:t>” shall mean the occurrence of one or more of the following events with respect to the then-current Benchmark:</w:t>
      </w:r>
    </w:p>
    <w:p>
      <w:pPr>
        <w:pStyle w:val="TextBody"/>
        <w:bidi w:val="0"/>
        <w:spacing w:before="0" w:after="0"/>
        <w:ind w:left="140" w:right="170" w:firstLine="720"/>
        <w:jc w:val="both"/>
        <w:rPr>
          <w:caps w:val="false"/>
          <w:smallCaps w:val="false"/>
        </w:rPr>
      </w:pPr>
      <w:r>
        <w:rPr>
          <w:caps w:val="false"/>
          <w:smallCaps w:val="false"/>
        </w:rPr>
        <w:t> </w:t>
      </w:r>
    </w:p>
    <w:p>
      <w:pPr>
        <w:pStyle w:val="TextBody"/>
        <w:bidi w:val="0"/>
        <w:spacing w:before="0" w:after="0"/>
        <w:ind w:left="140" w:right="16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the time of such statement or publication, there is no successor administrator that will continue to provide any Available Tenor of such Benchmark (or such component thereof);</w:t>
      </w:r>
    </w:p>
    <w:p>
      <w:pPr>
        <w:pStyle w:val="TextBody"/>
        <w:bidi w:val="0"/>
        <w:spacing w:before="0" w:after="0"/>
        <w:ind w:left="140" w:right="165" w:firstLine="720"/>
        <w:jc w:val="both"/>
        <w:rPr>
          <w:caps w:val="false"/>
          <w:smallCaps w:val="false"/>
        </w:rPr>
      </w:pPr>
      <w:r>
        <w:rPr>
          <w:caps w:val="false"/>
          <w:smallCaps w:val="false"/>
        </w:rPr>
        <w:t> </w:t>
      </w:r>
    </w:p>
    <w:p>
      <w:pPr>
        <w:pStyle w:val="TextBody"/>
        <w:bidi w:val="0"/>
        <w:spacing w:before="0" w:after="0"/>
        <w:ind w:left="140" w:right="1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the time of such statement or publication, there is no successor administrator that will continue to provide any Available Tenor of such Benchmark (or such component thereof); or</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ind w:left="140" w:right="17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40" w:right="1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ind w:left="140" w:right="145"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 Transition Start Date</w:t>
      </w:r>
      <w:r>
        <w:rPr>
          <w:rFonts w:ascii="Times New Roman;Times;Serif" w:hAnsi="Times New Roman;Times;Serif"/>
          <w:b w:val="false"/>
          <w:i w:val="false"/>
          <w:caps w:val="false"/>
          <w:smallCaps w:val="false"/>
          <w:sz w:val="20"/>
        </w:rPr>
        <w:t>” means, in the case of a Benchmark Transition Event, the earlier of (a) the applicable Benchmark Replacement Date and (b) if such Benchmark Transition Event is a public statement or publication of information of a prospective event, the 90th day prior to the expected</w:t>
      </w:r>
    </w:p>
    <w:p>
      <w:pPr>
        <w:pStyle w:val="TextBody"/>
        <w:bidi w:val="0"/>
        <w:spacing w:before="0" w:after="0"/>
        <w:ind w:left="140" w:right="145"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7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such event as of such public statement or publication of information (or if the expected date of such prospective event is fewer than 90 days after such statement or publication, the date of such statement or publication).</w:t>
      </w:r>
    </w:p>
    <w:p>
      <w:pPr>
        <w:pStyle w:val="TextBody"/>
        <w:bidi w:val="0"/>
        <w:spacing w:before="0" w:after="0"/>
        <w:ind w:left="140" w:right="173" w:hanging="0"/>
        <w:jc w:val="both"/>
        <w:rPr>
          <w:caps w:val="false"/>
          <w:smallCaps w:val="false"/>
        </w:rPr>
      </w:pPr>
      <w:r>
        <w:rPr>
          <w:caps w:val="false"/>
          <w:smallCaps w:val="false"/>
        </w:rPr>
        <w:t> </w:t>
      </w:r>
    </w:p>
    <w:p>
      <w:pPr>
        <w:pStyle w:val="TextBody"/>
        <w:bidi w:val="0"/>
        <w:spacing w:before="0" w:after="0"/>
        <w:ind w:left="140" w:right="146"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 Unavailability Period</w:t>
      </w:r>
      <w:r>
        <w:rPr>
          <w:rFonts w:ascii="Times New Roman;Times;Serif" w:hAnsi="Times New Roman;Times;Serif"/>
          <w:b w:val="false"/>
          <w:i w:val="false"/>
          <w:caps w:val="false"/>
          <w:smallCaps w:val="false"/>
          <w:sz w:val="20"/>
        </w:rPr>
        <w:t>” means, the period (if any) (a) beginning at the time that a Benchmark Replacement Date has occurred if, at such time, no Benchmark Replacement has replaced the then-current Benchmark for all purposes hereunder and under any Loan Document in accordance with Section 2.12(g) and (b) ending at the time that a Benchmark Replacement has replaced the then-current Benchmark for all purposes hereunder and under any Loan Document in accordance with Section 2.12(g).</w:t>
      </w:r>
    </w:p>
    <w:p>
      <w:pPr>
        <w:pStyle w:val="TextBody"/>
        <w:bidi w:val="0"/>
        <w:spacing w:before="0" w:after="0"/>
        <w:ind w:left="140" w:right="146" w:firstLine="720"/>
        <w:jc w:val="both"/>
        <w:rPr>
          <w:caps w:val="false"/>
          <w:smallCaps w:val="false"/>
        </w:rPr>
      </w:pPr>
      <w:r>
        <w:rPr>
          <w:caps w:val="false"/>
          <w:smallCaps w:val="false"/>
        </w:rPr>
        <w:t> </w:t>
      </w:r>
    </w:p>
    <w:p>
      <w:pPr>
        <w:pStyle w:val="TextBody"/>
        <w:bidi w:val="0"/>
        <w:spacing w:before="0" w:after="0"/>
        <w:ind w:left="140" w:right="146"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Observer</w:t>
      </w:r>
      <w:r>
        <w:rPr>
          <w:rFonts w:ascii="Times New Roman;Times;Serif" w:hAnsi="Times New Roman;Times;Serif"/>
          <w:b w:val="false"/>
          <w:i w:val="false"/>
          <w:caps w:val="false"/>
          <w:smallCaps w:val="false"/>
          <w:sz w:val="20"/>
        </w:rPr>
        <w:t>” shall have the meaning specified therefor in Section 6.9.</w:t>
      </w:r>
    </w:p>
    <w:p>
      <w:pPr>
        <w:pStyle w:val="TextBody"/>
        <w:bidi w:val="0"/>
        <w:spacing w:before="0" w:after="0"/>
        <w:ind w:left="860" w:right="1577" w:hanging="0"/>
        <w:jc w:val="left"/>
        <w:rPr>
          <w:caps w:val="false"/>
          <w:smallCaps w:val="false"/>
        </w:rPr>
      </w:pPr>
      <w:r>
        <w:rPr>
          <w:caps w:val="false"/>
          <w:smallCaps w:val="false"/>
        </w:rPr>
        <w:t> </w:t>
      </w:r>
    </w:p>
    <w:p>
      <w:pPr>
        <w:pStyle w:val="TextBody"/>
        <w:bidi w:val="0"/>
        <w:spacing w:before="0" w:after="0"/>
        <w:ind w:left="140" w:right="146"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BOD Meeting</w:t>
      </w:r>
      <w:r>
        <w:rPr>
          <w:rFonts w:ascii="Times New Roman;Times;Serif" w:hAnsi="Times New Roman;Times;Serif"/>
          <w:b w:val="false"/>
          <w:i w:val="false"/>
          <w:caps w:val="false"/>
          <w:smallCaps w:val="false"/>
          <w:sz w:val="20"/>
        </w:rPr>
        <w:t>” shall have the meaning specified therefor in Section 6.9.</w:t>
      </w:r>
    </w:p>
    <w:p>
      <w:pPr>
        <w:pStyle w:val="TextBody"/>
        <w:bidi w:val="0"/>
        <w:spacing w:before="0" w:after="0"/>
        <w:ind w:left="140" w:right="146" w:firstLine="720"/>
        <w:jc w:val="both"/>
        <w:rPr>
          <w:caps w:val="false"/>
          <w:smallCaps w:val="false"/>
        </w:rPr>
      </w:pPr>
      <w:r>
        <w:rPr>
          <w:caps w:val="false"/>
          <w:smallCaps w:val="false"/>
        </w:rPr>
        <w:t> </w:t>
      </w:r>
    </w:p>
    <w:p>
      <w:pPr>
        <w:pStyle w:val="TextBody"/>
        <w:bidi w:val="0"/>
        <w:spacing w:before="0" w:after="0"/>
        <w:ind w:left="140" w:right="146"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shall have the meaning set forth in the preamble to this Agreement.</w:t>
      </w:r>
    </w:p>
    <w:p>
      <w:pPr>
        <w:pStyle w:val="TextBody"/>
        <w:bidi w:val="0"/>
        <w:spacing w:before="0" w:after="0"/>
        <w:ind w:left="860" w:right="1577" w:hanging="0"/>
        <w:jc w:val="left"/>
        <w:rPr>
          <w:caps w:val="false"/>
          <w:smallCaps w:val="false"/>
        </w:rPr>
      </w:pPr>
      <w:r>
        <w:rPr>
          <w:caps w:val="false"/>
          <w:smallCaps w:val="false"/>
        </w:rPr>
        <w:t> </w:t>
      </w:r>
    </w:p>
    <w:p>
      <w:pPr>
        <w:pStyle w:val="TextBody"/>
        <w:bidi w:val="0"/>
        <w:spacing w:before="0" w:after="0"/>
        <w:ind w:left="140" w:right="171"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shall mean any day other than a Saturday or a Sunday on which commercial banks are open for domestic and international business (including dealings in foreign exchange) in New York, New York.</w:t>
      </w:r>
    </w:p>
    <w:p>
      <w:pPr>
        <w:pStyle w:val="TextBody"/>
        <w:bidi w:val="0"/>
        <w:spacing w:before="0" w:after="0"/>
        <w:ind w:left="140" w:right="171" w:firstLine="720"/>
        <w:jc w:val="both"/>
        <w:rPr>
          <w:caps w:val="false"/>
          <w:smallCaps w:val="false"/>
        </w:rPr>
      </w:pPr>
      <w:r>
        <w:rPr>
          <w:caps w:val="false"/>
          <w:smallCaps w:val="false"/>
        </w:rPr>
        <w:t> </w:t>
      </w:r>
    </w:p>
    <w:p>
      <w:pPr>
        <w:pStyle w:val="TextBody"/>
        <w:bidi w:val="0"/>
        <w:spacing w:before="0" w:after="0"/>
        <w:ind w:left="140" w:right="17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Capitalized Lease</w:t>
      </w:r>
      <w:r>
        <w:rPr>
          <w:rFonts w:ascii="Times New Roman;Times;Serif" w:hAnsi="Times New Roman;Times;Serif"/>
          <w:b w:val="false"/>
          <w:i w:val="false"/>
          <w:caps w:val="false"/>
          <w:smallCaps w:val="false"/>
          <w:sz w:val="20"/>
        </w:rPr>
        <w:t>” shall mean, as applied to any Person, any lease of any property (whether real, personal or mixed) with respect to which the discounted present value of the rental obligations of such Person as lessee thereunder, in conformity with GAAP, is required to be capitalized on the balance sheet of that Person and to be treated as a finance lease in accordance with GAAP.</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Cash Secured L/C</w:t>
      </w:r>
      <w:r>
        <w:rPr>
          <w:rFonts w:ascii="Times New Roman;Times;Serif" w:hAnsi="Times New Roman;Times;Serif"/>
          <w:b w:val="false"/>
          <w:i w:val="false"/>
          <w:caps w:val="false"/>
          <w:smallCaps w:val="false"/>
          <w:sz w:val="20"/>
        </w:rPr>
        <w:t>” shall mean, a letter of credit issued for the account of the Borrower or a Guarantor and for which the Borrower or Guarantor, as applicable, has provided cash collateral to the financial institution that is the issuer of such letter of credit.</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CFC</w:t>
      </w:r>
      <w:r>
        <w:rPr>
          <w:rFonts w:ascii="Times New Roman;Times;Serif" w:hAnsi="Times New Roman;Times;Serif"/>
          <w:b w:val="false"/>
          <w:i w:val="false"/>
          <w:caps w:val="false"/>
          <w:smallCaps w:val="false"/>
          <w:sz w:val="20"/>
        </w:rPr>
        <w:t>” shall mean a Person that is a controlled foreign corporation under Section 957 of the Internal Revenue Code.</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40" w:right="128"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CFC Holding Company</w:t>
      </w:r>
      <w:r>
        <w:rPr>
          <w:rFonts w:ascii="Times New Roman;Times;Serif" w:hAnsi="Times New Roman;Times;Serif"/>
          <w:b w:val="false"/>
          <w:i w:val="false"/>
          <w:caps w:val="false"/>
          <w:smallCaps w:val="false"/>
          <w:sz w:val="20"/>
        </w:rPr>
        <w:t>” shall mean any Domestic Subsidiary substantially all the assets of which consist (directly or indirectly) of equity interests (including, for this purpose, any debt or other instrument treated as equity for U.S. federal income tax purposes) and/or, if applicable, debt and equity interests in one or more (a) Foreign Subsidiaries that are CFCs and/or (b) other Subsidiaries substantially all the assets of which consist (directly or indirectly) of equity interests (including, for this purpose, any debt or other instrument treated as equity for U.S. federal income tax purposes) and/or, if applicable, debt and equity interests in one or more Foreign Subsidiaries that are CFCs.</w:t>
      </w:r>
    </w:p>
    <w:p>
      <w:pPr>
        <w:pStyle w:val="TextBody"/>
        <w:bidi w:val="0"/>
        <w:spacing w:before="0" w:after="0"/>
        <w:ind w:left="140" w:right="128" w:firstLine="720"/>
        <w:jc w:val="both"/>
        <w:rPr>
          <w:caps w:val="false"/>
          <w:smallCaps w:val="false"/>
        </w:rPr>
      </w:pPr>
      <w:r>
        <w:rPr>
          <w:caps w:val="false"/>
          <w:smallCaps w:val="false"/>
        </w:rPr>
        <w:t> </w:t>
      </w:r>
    </w:p>
    <w:p>
      <w:pPr>
        <w:pStyle w:val="TextBody"/>
        <w:bidi w:val="0"/>
        <w:spacing w:before="0" w:after="0"/>
        <w:ind w:left="140" w:right="147"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in Law</w:t>
      </w:r>
      <w:r>
        <w:rPr>
          <w:rFonts w:ascii="Times New Roman;Times;Serif" w:hAnsi="Times New Roman;Times;Serif"/>
          <w:b w:val="false"/>
          <w:i w:val="false"/>
          <w:caps w:val="false"/>
          <w:smallCaps w:val="false"/>
          <w:sz w:val="20"/>
        </w:rPr>
        <w:t>” shall mean the occurrence, after the Restatement Date, of any of the following: (i) the adoption or introduction of, or any change in any applicable law, treaty, rule or regulation (whether domestic or foreign) now or hereafter in effect and whether or not applicable to any Lender or Agent on such date, or (ii) any change in interpretation, administration or implementation of any such law, treaty, rule or regulation by any Governmental Authority, or (iii) the issuance, making or implementation by any Governmental Authority of any interpretation, administration, request, regulation, guideline, or directive (whether or not having the force of law), including any risk-based capital guidelines. For purposes of this definition, (x) a change in law, treaty, rule, regulation, interpretation, administration or implementation shall include, without limitation, any change made or which becomes effective on the basis of a law, treaty, rule, regulation, interpretation administration or implementation</w:t>
      </w:r>
    </w:p>
    <w:p>
      <w:pPr>
        <w:pStyle w:val="TextBody"/>
        <w:bidi w:val="0"/>
        <w:spacing w:before="0" w:after="0"/>
        <w:ind w:left="140" w:right="147"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9" w:right="15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in force, the effective date of which change is delayed by the terms of such law, treaty, rule, regulation, interpretation, administration or implementation, (y) the </w:t>
      </w:r>
      <w:r>
        <w:rPr>
          <w:rFonts w:ascii="Times New Roman;Times;Serif" w:hAnsi="Times New Roman;Times;Serif"/>
          <w:b w:val="false"/>
          <w:i w:val="false"/>
          <w:caps w:val="false"/>
          <w:smallCaps w:val="false"/>
          <w:sz w:val="20"/>
          <w:u w:val="single"/>
        </w:rPr>
        <w:t>Dodd-Frank Wall Street Reform and Consumer Protection Act</w:t>
      </w:r>
      <w:r>
        <w:rPr>
          <w:rFonts w:ascii="Times New Roman;Times;Serif" w:hAnsi="Times New Roman;Times;Serif"/>
          <w:b w:val="false"/>
          <w:i w:val="false"/>
          <w:caps w:val="false"/>
          <w:smallCaps w:val="false"/>
          <w:sz w:val="20"/>
        </w:rPr>
        <w:t xml:space="preserve"> (Pub. L. 111-203, H.R. 4173) and all requests, rules, regulations, guidelines, interpretations or directives promulgated thereunder or issued in connection therewith shall be deemed to be a “Change in “Law”, regardless of the date enacted, adopted, issued or promulgated, and (z) all requests, rules, guidelines or directives promulgated by the Bank for International Settlements, the Basel Committee on Banking Supervision (or any successor or similar authority) or the United States regulatory authorities, in each case pursuant to Basel III, shall each be deemed to be a “Change in Law”, regardless of the date enacted, adopted, issued or implemented.</w:t>
      </w:r>
    </w:p>
    <w:p>
      <w:pPr>
        <w:pStyle w:val="TextBody"/>
        <w:bidi w:val="0"/>
        <w:spacing w:before="0" w:after="0"/>
        <w:ind w:left="139" w:right="158" w:hanging="0"/>
        <w:jc w:val="both"/>
        <w:rPr>
          <w:caps w:val="false"/>
          <w:smallCaps w:val="false"/>
        </w:rPr>
      </w:pPr>
      <w:r>
        <w:rPr>
          <w:caps w:val="false"/>
          <w:smallCaps w:val="false"/>
        </w:rPr>
        <w:t> </w:t>
      </w:r>
    </w:p>
    <w:p>
      <w:pPr>
        <w:pStyle w:val="TextBody"/>
        <w:bidi w:val="0"/>
        <w:spacing w:before="0" w:after="0"/>
        <w:ind w:left="139" w:right="16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xml:space="preserve">” shall mean an event or series of events by which (a) a transaction in which any “person” or “group” (within the meaning of Section 13(d) or 14(d) of the Securities Exchange Act of 1934, as amended) (other than one or more Permitted Holders) becomes the “beneficial owner” (as defined in Rule 13d-3 of the Securities Exchange Act of 1934, as amended), directly or indirectly, of a sufficient number of shares of all classes of stock then outstanding of the Borrower ordinarily entitled to vote in the election of directors of the Borrower, empowering such “person” or “group” to elect a majority of the board of directors of the Borrower, who did not have such power before such transaction, </w:t>
      </w:r>
    </w:p>
    <w:p>
      <w:pPr>
        <w:pStyle w:val="TextBody"/>
        <w:bidi w:val="0"/>
        <w:spacing w:before="0" w:after="0"/>
        <w:ind w:left="139" w:right="117"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“person” or “group” (within the meaning of Section 13(d) or 14(d)  of the Securities Exchange Act of 1934, as amended) (other than one or more Permitted Holders) shall obtain “beneficial ownership” (as defined in Rule 13d-3 of the Securities Exchange Act of 1934, as amended), either directly or indirectly, of more than 34% of all classes of stock then outstanding of the Borrower ordinarily entitled  to vote in the election of directors of the Borrower, (c) the occurrence of an event or series of events that would trigger a violation of any change of control or change in control provision in any of the Subordinated Debt Documents or the Senior Loan Documents, (d) [reserved], (e) either of the individuals holding the offices of chief executive officer or chief financial officer as of the Restatement Date shall  for any reason cease to hold such office or be actively engaged in day-to-day management of the Borrower, unless a successor or an interim officer is appointed by the board of directors of the Borrower within 90 days of such cessation (and in the case of a chief executive officer, such successor or interim officer shall be reasonably acceptable to the Agent and the Majority Lenders), or (f) other than pursuant  to a transaction expressly permitted under Section 7.4, the Borrower fails at any time to own, directly or indirectly, 100% of the Equity Interests of the other Credit Parties. For the avoidance of doubt, it shall be deemed a Change of Control if an entity is interposed directly above Borrower following the Restatement Date without the Agent’s consent or such direct parent entity does not become a Guarantor at the time of such formation, in accordance with Section 6.19(d). For the avoidance of doubt, no Change of Control will be deemed to have occurred by virtue of the Restatement Date Transactions.</w:t>
      </w:r>
    </w:p>
    <w:p>
      <w:pPr>
        <w:pStyle w:val="TextBody"/>
        <w:bidi w:val="0"/>
        <w:spacing w:before="0" w:after="0"/>
        <w:ind w:left="139" w:right="117" w:hanging="0"/>
        <w:jc w:val="both"/>
        <w:rPr>
          <w:caps w:val="false"/>
          <w:smallCaps w:val="false"/>
        </w:rPr>
      </w:pPr>
      <w:r>
        <w:rPr>
          <w:caps w:val="false"/>
          <w:smallCaps w:val="false"/>
        </w:rPr>
        <w:t> </w:t>
      </w:r>
    </w:p>
    <w:p>
      <w:pPr>
        <w:pStyle w:val="TextBody"/>
        <w:bidi w:val="0"/>
        <w:spacing w:before="0" w:after="0"/>
        <w:ind w:left="139" w:right="16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CHS</w:t>
      </w:r>
      <w:r>
        <w:rPr>
          <w:rFonts w:ascii="Times New Roman;Times;Serif" w:hAnsi="Times New Roman;Times;Serif"/>
          <w:b w:val="false"/>
          <w:i w:val="false"/>
          <w:caps w:val="false"/>
          <w:smallCaps w:val="false"/>
          <w:sz w:val="20"/>
        </w:rPr>
        <w:t>” has the meaning specified therefor in the preamble of this Agreement.</w:t>
      </w:r>
    </w:p>
    <w:p>
      <w:pPr>
        <w:pStyle w:val="TextBody"/>
        <w:bidi w:val="0"/>
        <w:spacing w:before="0" w:after="0"/>
        <w:ind w:left="860" w:right="0" w:hanging="0"/>
        <w:jc w:val="both"/>
        <w:rPr>
          <w:caps w:val="false"/>
          <w:smallCaps w:val="false"/>
        </w:rPr>
      </w:pPr>
      <w:r>
        <w:rPr>
          <w:caps w:val="false"/>
          <w:smallCaps w:val="false"/>
        </w:rPr>
        <w:t> </w:t>
      </w:r>
    </w:p>
    <w:p>
      <w:pPr>
        <w:pStyle w:val="TextBody"/>
        <w:bidi w:val="0"/>
        <w:spacing w:before="0" w:after="0"/>
        <w:ind w:left="139" w:right="16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CHS Investments</w:t>
      </w:r>
      <w:r>
        <w:rPr>
          <w:rFonts w:ascii="Times New Roman;Times;Serif" w:hAnsi="Times New Roman;Times;Serif"/>
          <w:b w:val="false"/>
          <w:i w:val="false"/>
          <w:caps w:val="false"/>
          <w:smallCaps w:val="false"/>
          <w:sz w:val="20"/>
        </w:rPr>
        <w:t>” means CHS US Investments LLC and its Controlled Investment Affiliates.</w:t>
      </w:r>
    </w:p>
    <w:p>
      <w:pPr>
        <w:pStyle w:val="TextBody"/>
        <w:bidi w:val="0"/>
        <w:spacing w:before="0" w:after="0"/>
        <w:ind w:left="139" w:right="163" w:firstLine="720"/>
        <w:jc w:val="both"/>
        <w:rPr>
          <w:caps w:val="false"/>
          <w:smallCaps w:val="false"/>
        </w:rPr>
      </w:pPr>
      <w:r>
        <w:rPr>
          <w:caps w:val="false"/>
          <w:smallCaps w:val="false"/>
        </w:rPr>
        <w:t> </w:t>
      </w:r>
    </w:p>
    <w:p>
      <w:pPr>
        <w:pStyle w:val="TextBody"/>
        <w:bidi w:val="0"/>
        <w:spacing w:before="0" w:after="0"/>
        <w:ind w:left="139" w:right="16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Class</w:t>
      </w:r>
      <w:r>
        <w:rPr>
          <w:rFonts w:ascii="Times New Roman;Times;Serif" w:hAnsi="Times New Roman;Times;Serif"/>
          <w:b w:val="false"/>
          <w:i w:val="false"/>
          <w:caps w:val="false"/>
          <w:smallCaps w:val="false"/>
          <w:sz w:val="20"/>
        </w:rPr>
        <w:t>” shall mean (a) with respect to Lenders, each of the following classes of Lenders: (i) Lenders having Term Loan Exposure and (ii) Lenders having Incremental Term Loan Exposure of each applicable tranche, and (b) with respect to Loans, each of the following classes of Loans: (i) Term Loan and (ii) each tranche of Incremental Term Loans.</w:t>
      </w:r>
    </w:p>
    <w:p>
      <w:pPr>
        <w:pStyle w:val="TextBody"/>
        <w:bidi w:val="0"/>
        <w:spacing w:before="0" w:after="0"/>
        <w:ind w:left="140" w:right="172" w:hanging="0"/>
        <w:jc w:val="both"/>
        <w:rPr>
          <w:caps w:val="false"/>
          <w:smallCaps w:val="false"/>
        </w:rPr>
      </w:pPr>
      <w:r>
        <w:rPr>
          <w:caps w:val="false"/>
          <w:smallCaps w:val="false"/>
        </w:rPr>
        <w:t> </w:t>
      </w:r>
    </w:p>
    <w:p>
      <w:pPr>
        <w:pStyle w:val="TextBody"/>
        <w:bidi w:val="0"/>
        <w:spacing w:before="0" w:after="0"/>
        <w:ind w:left="139" w:right="15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Collateral</w:t>
      </w:r>
      <w:r>
        <w:rPr>
          <w:rFonts w:ascii="Times New Roman;Times;Serif" w:hAnsi="Times New Roman;Times;Serif"/>
          <w:b w:val="false"/>
          <w:i w:val="false"/>
          <w:caps w:val="false"/>
          <w:smallCaps w:val="false"/>
          <w:sz w:val="20"/>
        </w:rPr>
        <w:t>” shall mean all property or rights in which a security interest, mortgage, lien or other encumbrance in favor of the Agent for the benefit of the Agent and the Lenders is or has been granted or arises or has arisen, under or in connection with this Agreement, the other Loan Documents, or otherwise to secure the Indebtedness.</w:t>
      </w:r>
    </w:p>
    <w:p>
      <w:pPr>
        <w:pStyle w:val="TextBody"/>
        <w:bidi w:val="0"/>
        <w:spacing w:before="0" w:after="0"/>
        <w:ind w:left="139" w:right="15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7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Collateral Access Agreement</w:t>
      </w:r>
      <w:r>
        <w:rPr>
          <w:rFonts w:ascii="Times New Roman;Times;Serif" w:hAnsi="Times New Roman;Times;Serif"/>
          <w:b w:val="false"/>
          <w:i w:val="false"/>
          <w:caps w:val="false"/>
          <w:smallCaps w:val="false"/>
          <w:sz w:val="20"/>
        </w:rPr>
        <w:t>” shall mean an agreement in form and substance satisfactory to the Agent in its reasonable discretion, pursuant to which a mortgagee or lessor of real property on which Collateral is stored or otherwise located, or a warehouseman, processor or other bailee of inventory or other property owned by the Borrower or any Guarantor, that acknowledges the Liens under the Collateral Documents and subordinates or waives any Liens held by such Person on such property and, includes such other agreements with respect to the Collateral as the Agent may require in its reasonable discretion, as the same may be amended, restated or otherwise modified from time to time.</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Collateral Documents</w:t>
      </w:r>
      <w:r>
        <w:rPr>
          <w:rFonts w:ascii="Times New Roman;Times;Serif" w:hAnsi="Times New Roman;Times;Serif"/>
          <w:b w:val="false"/>
          <w:i w:val="false"/>
          <w:caps w:val="false"/>
          <w:smallCaps w:val="false"/>
          <w:sz w:val="20"/>
        </w:rPr>
        <w:t>” shall mean the Security Agreement, the Pledge Agreements, the Mortgages, the Account Control Agreements, the Collateral Access Agreements, the Assignment of Business Interruption Insurance Policy, the Reaffirmation Agreement, and all other security documents (and any joinders thereto) executed by any Credit Party in favor of the Agent on or after the Original Effective Date, in connection with any of the foregoing collateral documents, in each case, as such collateral documents may be amended or otherwise modified from time to time.</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Commitments</w:t>
      </w:r>
      <w:r>
        <w:rPr>
          <w:rFonts w:ascii="Times New Roman;Times;Serif" w:hAnsi="Times New Roman;Times;Serif"/>
          <w:b w:val="false"/>
          <w:i w:val="false"/>
          <w:caps w:val="false"/>
          <w:smallCaps w:val="false"/>
          <w:sz w:val="20"/>
        </w:rPr>
        <w:t>” shall mean Term Loan Commitments.</w:t>
      </w:r>
    </w:p>
    <w:p>
      <w:pPr>
        <w:pStyle w:val="TextBody"/>
        <w:bidi w:val="0"/>
        <w:spacing w:before="0" w:after="0"/>
        <w:ind w:left="860" w:right="0" w:hanging="0"/>
        <w:jc w:val="left"/>
        <w:rPr>
          <w:caps w:val="false"/>
          <w:smallCaps w:val="false"/>
        </w:rPr>
      </w:pPr>
      <w:r>
        <w:rPr>
          <w:caps w:val="false"/>
          <w:smallCaps w:val="false"/>
        </w:rPr>
        <w:t> </w:t>
      </w:r>
    </w:p>
    <w:p>
      <w:pPr>
        <w:pStyle w:val="TextBody"/>
        <w:bidi w:val="0"/>
        <w:spacing w:before="0" w:after="0"/>
        <w:ind w:left="140" w:right="129"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Conforming Changes</w:t>
      </w:r>
      <w:r>
        <w:rPr>
          <w:rFonts w:ascii="Times New Roman;Times;Serif" w:hAnsi="Times New Roman;Times;Serif"/>
          <w:b w:val="false"/>
          <w:i w:val="false"/>
          <w:caps w:val="false"/>
          <w:smallCaps w:val="false"/>
          <w:sz w:val="20"/>
        </w:rPr>
        <w:t>” shall mean, with respect to either the use or administration of Term SOFR or the use, administration, adoption or implementation of any Benchmark Replacement, any technical, administrative or operational changes (including changes to the definition of “Reference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2.13 and other technical, administrative or operational matters) that the Agent decides may be necessary or appropriate to reflect the adoption and implementation of any such rate or to permit the use and administration thereof by the Agent in a manner substantially consistent with market practice (or, if the Agent decides that adoption of  any portion of such market practice is not administratively feasible or if the Agent determines that no market practice  for the administration of any such rate exists, in such other manner of administration as the Agent  decides is reasonably necessary in connection with the administration of this Agreement and the other Loan Documents).</w:t>
      </w:r>
    </w:p>
    <w:p>
      <w:pPr>
        <w:pStyle w:val="TextBody"/>
        <w:bidi w:val="0"/>
        <w:spacing w:before="0" w:after="0"/>
        <w:ind w:left="140" w:right="129" w:firstLine="720"/>
        <w:jc w:val="both"/>
        <w:rPr>
          <w:caps w:val="false"/>
          <w:smallCaps w:val="false"/>
        </w:rPr>
      </w:pPr>
      <w:r>
        <w:rPr>
          <w:caps w:val="false"/>
          <w:smallCaps w:val="false"/>
        </w:rPr>
        <w:t> </w:t>
      </w:r>
    </w:p>
    <w:p>
      <w:pPr>
        <w:pStyle w:val="TextBody"/>
        <w:bidi w:val="0"/>
        <w:spacing w:before="0" w:after="0"/>
        <w:ind w:left="140" w:right="12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consolidated</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Consolidating</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consolidating</w:t>
      </w:r>
      <w:r>
        <w:rPr>
          <w:rFonts w:ascii="Times New Roman;Times;Serif" w:hAnsi="Times New Roman;Times;Serif"/>
          <w:b w:val="false"/>
          <w:i w:val="false"/>
          <w:caps w:val="false"/>
          <w:smallCaps w:val="false"/>
          <w:sz w:val="20"/>
        </w:rPr>
        <w:t>”) shall mean, when used with reference to any financial term in this Agreement, the aggregate for two or more Persons of the amounts signified by such term for all such Persons determined on a consolidated (or consolidating) basis in accordance with GAAP, applied on a consistent basis. Unless otherwise specified herein, “Consolidated” and “Consolidating” shall refer to the Borrower and its Subsidiaries, determined on a Consolidated or Consolidating basis.</w:t>
      </w:r>
    </w:p>
    <w:p>
      <w:pPr>
        <w:pStyle w:val="TextBody"/>
        <w:bidi w:val="0"/>
        <w:spacing w:before="0" w:after="0"/>
        <w:ind w:left="140" w:right="120" w:firstLine="720"/>
        <w:jc w:val="both"/>
        <w:rPr>
          <w:caps w:val="false"/>
          <w:smallCaps w:val="false"/>
        </w:rPr>
      </w:pPr>
      <w:r>
        <w:rPr>
          <w:caps w:val="false"/>
          <w:smallCaps w:val="false"/>
        </w:rPr>
        <w:t> </w:t>
      </w:r>
    </w:p>
    <w:p>
      <w:pPr>
        <w:pStyle w:val="TextBody"/>
        <w:bidi w:val="0"/>
        <w:spacing w:before="0" w:after="0"/>
        <w:ind w:left="139" w:right="169"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Contractual Obligation</w:t>
      </w:r>
      <w:r>
        <w:rPr>
          <w:rFonts w:ascii="Times New Roman;Times;Serif" w:hAnsi="Times New Roman;Times;Serif"/>
          <w:b w:val="false"/>
          <w:i w:val="false"/>
          <w:caps w:val="false"/>
          <w:smallCaps w:val="false"/>
          <w:sz w:val="20"/>
        </w:rPr>
        <w:t>” shall mean, as to any Person, any provision of any security issued by such Person or of any material agreement, instrument or other undertaking to which such Person is a party or by which it or any of its property is bound.</w:t>
      </w:r>
    </w:p>
    <w:p>
      <w:pPr>
        <w:pStyle w:val="TextBody"/>
        <w:bidi w:val="0"/>
        <w:spacing w:before="0" w:after="0"/>
        <w:ind w:left="139" w:right="169" w:firstLine="720"/>
        <w:jc w:val="both"/>
        <w:rPr>
          <w:caps w:val="false"/>
          <w:smallCaps w:val="false"/>
        </w:rPr>
      </w:pPr>
      <w:r>
        <w:rPr>
          <w:caps w:val="false"/>
          <w:smallCaps w:val="false"/>
        </w:rPr>
        <w:t> </w:t>
      </w:r>
    </w:p>
    <w:p>
      <w:pPr>
        <w:pStyle w:val="TextBody"/>
        <w:bidi w:val="0"/>
        <w:spacing w:before="0" w:after="0"/>
        <w:ind w:left="140" w:right="17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shall mean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pStyle w:val="TextBody"/>
        <w:bidi w:val="0"/>
        <w:spacing w:before="0" w:after="0"/>
        <w:ind w:left="140" w:right="170" w:firstLine="720"/>
        <w:jc w:val="both"/>
        <w:rPr>
          <w:caps w:val="false"/>
          <w:smallCaps w:val="false"/>
        </w:rPr>
      </w:pPr>
      <w:r>
        <w:rPr>
          <w:caps w:val="false"/>
          <w:smallCaps w:val="false"/>
        </w:rPr>
        <w:t> </w:t>
      </w:r>
    </w:p>
    <w:p>
      <w:pPr>
        <w:pStyle w:val="TextBody"/>
        <w:bidi w:val="0"/>
        <w:spacing w:before="0" w:after="0"/>
        <w:ind w:left="140" w:right="161"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Controlled Investment Affiliate</w:t>
      </w:r>
      <w:r>
        <w:rPr>
          <w:rFonts w:ascii="Times New Roman;Times;Serif" w:hAnsi="Times New Roman;Times;Serif"/>
          <w:b w:val="false"/>
          <w:i w:val="false"/>
          <w:caps w:val="false"/>
          <w:smallCaps w:val="false"/>
          <w:sz w:val="20"/>
        </w:rPr>
        <w:t>” means, as to any Person, any other Person that (a) directly or indirectly, is in Control of, is Controlled by, or is under common Control with, such Person and (b) is</w:t>
      </w:r>
    </w:p>
    <w:p>
      <w:pPr>
        <w:pStyle w:val="TextBody"/>
        <w:bidi w:val="0"/>
        <w:spacing w:before="0" w:after="0"/>
        <w:ind w:left="140" w:right="161"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organized by such Person primarily for the purpose of making equity or debt investments in one or more companies.</w:t>
      </w:r>
    </w:p>
    <w:p>
      <w:pPr>
        <w:pStyle w:val="TextBody"/>
        <w:bidi w:val="0"/>
        <w:spacing w:before="0" w:after="0"/>
        <w:ind w:left="140" w:right="0" w:hanging="0"/>
        <w:jc w:val="left"/>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Covered Entity</w:t>
      </w:r>
      <w:r>
        <w:rPr>
          <w:rFonts w:ascii="Times New Roman;Times;Serif" w:hAnsi="Times New Roman;Times;Serif"/>
          <w:b w:val="false"/>
          <w:i w:val="false"/>
          <w:caps w:val="false"/>
          <w:smallCaps w:val="false"/>
          <w:sz w:val="20"/>
        </w:rPr>
        <w:t>” shall mean (a) each Credit Party, any other Persons that guaranty the Indebtedness and/or pledge collateral to secure the Indebtedness, (b) each Person that, directly or indirectly, is in control of a Person described in clause (a) above, and (c) all brokers or other agents of any Credit Party acting in any capacity in connection with this Agreement. For purposes of this definition, control of a Person shall mean the direct or indirect (x) ownership of, or power to vote, 25% or more of the issued and outstanding equity interests having ordinary voting power for the election of directors of such Person or other Persons performing similar functions for such Person, or (y) power to direct or cause the direction of the management and policies of such Person whether by ownership of equity interests, contract or otherwise.</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40" w:right="17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Credit Dat</w:t>
      </w:r>
      <w:r>
        <w:rPr>
          <w:rFonts w:ascii="Times New Roman;Times;Serif" w:hAnsi="Times New Roman;Times;Serif"/>
          <w:b w:val="false"/>
          <w:i w:val="false"/>
          <w:caps w:val="false"/>
          <w:smallCaps w:val="false"/>
          <w:sz w:val="20"/>
        </w:rPr>
        <w:t>e” shall mean, with respect to each Term Loan, the date such Term Loan is made by the Lenders.</w:t>
      </w:r>
    </w:p>
    <w:p>
      <w:pPr>
        <w:pStyle w:val="TextBody"/>
        <w:bidi w:val="0"/>
        <w:spacing w:before="0" w:after="0"/>
        <w:ind w:left="140" w:right="170" w:firstLine="720"/>
        <w:jc w:val="both"/>
        <w:rPr>
          <w:caps w:val="false"/>
          <w:smallCaps w:val="false"/>
        </w:rPr>
      </w:pPr>
      <w:r>
        <w:rPr>
          <w:caps w:val="false"/>
          <w:smallCaps w:val="false"/>
        </w:rPr>
        <w:t> </w:t>
      </w:r>
    </w:p>
    <w:p>
      <w:pPr>
        <w:pStyle w:val="TextBody"/>
        <w:bidi w:val="0"/>
        <w:spacing w:before="0" w:after="0"/>
        <w:ind w:left="139"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Credit Parties</w:t>
      </w:r>
      <w:r>
        <w:rPr>
          <w:rFonts w:ascii="Times New Roman;Times;Serif" w:hAnsi="Times New Roman;Times;Serif"/>
          <w:b w:val="false"/>
          <w:i w:val="false"/>
          <w:caps w:val="false"/>
          <w:smallCaps w:val="false"/>
          <w:sz w:val="20"/>
        </w:rPr>
        <w:t>” shall mean the Borrower and its Subsidiaries, if any, and “</w:t>
      </w:r>
      <w:r>
        <w:rPr>
          <w:rFonts w:ascii="Times New Roman;Times;Serif" w:hAnsi="Times New Roman;Times;Serif"/>
          <w:b/>
          <w:i w:val="false"/>
          <w:caps w:val="false"/>
          <w:smallCaps w:val="false"/>
          <w:sz w:val="20"/>
        </w:rPr>
        <w:t>Credit Party</w:t>
      </w:r>
      <w:r>
        <w:rPr>
          <w:rFonts w:ascii="Times New Roman;Times;Serif" w:hAnsi="Times New Roman;Times;Serif"/>
          <w:b w:val="false"/>
          <w:i w:val="false"/>
          <w:caps w:val="false"/>
          <w:smallCaps w:val="false"/>
          <w:sz w:val="20"/>
        </w:rPr>
        <w:t>” shall mean any one of them, as the context indicates or otherwise requires.</w:t>
      </w:r>
    </w:p>
    <w:p>
      <w:pPr>
        <w:pStyle w:val="TextBody"/>
        <w:bidi w:val="0"/>
        <w:spacing w:before="0" w:after="0"/>
        <w:ind w:left="139" w:right="173" w:firstLine="720"/>
        <w:jc w:val="both"/>
        <w:rPr>
          <w:caps w:val="false"/>
          <w:smallCaps w:val="false"/>
        </w:rPr>
      </w:pPr>
      <w:r>
        <w:rPr>
          <w:caps w:val="false"/>
          <w:smallCaps w:val="false"/>
        </w:rPr>
        <w:t> </w:t>
      </w:r>
    </w:p>
    <w:p>
      <w:pPr>
        <w:pStyle w:val="TextBody"/>
        <w:bidi w:val="0"/>
        <w:spacing w:before="0" w:after="0"/>
        <w:ind w:left="140" w:right="126"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Data Security Requirements</w:t>
      </w:r>
      <w:r>
        <w:rPr>
          <w:rFonts w:ascii="Times New Roman;Times;Serif" w:hAnsi="Times New Roman;Times;Serif"/>
          <w:b w:val="false"/>
          <w:i w:val="false"/>
          <w:caps w:val="false"/>
          <w:smallCaps w:val="false"/>
          <w:sz w:val="20"/>
        </w:rPr>
        <w:t>” means, collectively, all of the following to the extent relating to confidential or sensitive information, payment card data, Personal Data, or other protected information relating to individuals or otherwise relating to privacy, security, Processing, marketing, or security breach notification requirements and applicable to the Credit Parties: (i) each Credit Party’s own rules, policies, and procedures (whether physical or technical in nature, or otherwise), (ii) all applicable laws and all industry standards applicable to the Credit Parties’ industry (including the Payment Card Industry Data Security Standard), and (iii) agreements the Credit Parties have entered into or by which any of them is bound.</w:t>
      </w:r>
    </w:p>
    <w:p>
      <w:pPr>
        <w:pStyle w:val="TextBody"/>
        <w:bidi w:val="0"/>
        <w:spacing w:before="0" w:after="0"/>
        <w:ind w:left="140" w:right="126" w:firstLine="720"/>
        <w:jc w:val="both"/>
        <w:rPr>
          <w:caps w:val="false"/>
          <w:smallCaps w:val="false"/>
        </w:rPr>
      </w:pPr>
      <w:r>
        <w:rPr>
          <w:caps w:val="false"/>
          <w:smallCaps w:val="false"/>
        </w:rPr>
        <w:t> </w:t>
      </w:r>
    </w:p>
    <w:p>
      <w:pPr>
        <w:pStyle w:val="TextBody"/>
        <w:bidi w:val="0"/>
        <w:spacing w:before="0" w:after="0"/>
        <w:ind w:left="139" w:right="168"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Debt</w:t>
      </w:r>
      <w:r>
        <w:rPr>
          <w:rFonts w:ascii="Times New Roman;Times;Serif" w:hAnsi="Times New Roman;Times;Serif"/>
          <w:b w:val="false"/>
          <w:i w:val="false"/>
          <w:caps w:val="false"/>
          <w:smallCaps w:val="false"/>
          <w:sz w:val="20"/>
        </w:rPr>
        <w:t>” shall mean as to any Person, without duplication, (a) all Funded Debt of such Person, (b) all obligations of such Person under conditional sale or other title retention agreements relating to property or assets purchased by such Person, (c) all indebtedness of such Person arising in connection with any Hedging Transaction entered into by such Person, (d) all recourse Debt of any partnership or joint venture (other than a joint venture that is itself a corporation or limited liability company) of which such Person is the general partner, (e) all Off Balance Sheet Liabilities of such Person, (f) all Guarantee Obligations of such Person in respect of any of the types of obligations described in the preceding  clauses (a) through (e), and (g) all liabilities of the type described in the preceding clauses (a) through (f) that are secured by any Liens on any property owned by such Person as of such date even though such Person has not assumed or otherwise become liable for the payment thereof, the amount of which is determined in accordance with GAAP; provided however that so long as such Person is not personally liable for any such liability, the amount of such liability shall be deemed to be the lesser of the fair market value at such date of the property subject to the Lien securing such liability and the amount of the liability secured.</w:t>
      </w:r>
    </w:p>
    <w:p>
      <w:pPr>
        <w:pStyle w:val="TextBody"/>
        <w:bidi w:val="0"/>
        <w:spacing w:before="0" w:after="0"/>
        <w:ind w:left="139" w:right="168" w:firstLine="72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Debt for Equity Exchange</w:t>
      </w:r>
      <w:r>
        <w:rPr>
          <w:rFonts w:ascii="Times New Roman;Times;Serif" w:hAnsi="Times New Roman;Times;Serif"/>
          <w:b w:val="false"/>
          <w:i w:val="false"/>
          <w:caps w:val="false"/>
          <w:smallCaps w:val="false"/>
          <w:sz w:val="20"/>
        </w:rPr>
        <w:t>” has the meaning specified therefor in the recitals to this Agreement.</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40" w:right="17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Debtor Relief Laws</w:t>
      </w:r>
      <w:r>
        <w:rPr>
          <w:rFonts w:ascii="Times New Roman;Times;Serif" w:hAnsi="Times New Roman;Times;Serif"/>
          <w:b w:val="false"/>
          <w:i w:val="false"/>
          <w:caps w:val="false"/>
          <w:smallCaps w:val="false"/>
          <w:sz w:val="20"/>
        </w:rPr>
        <w:t>” shall mean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7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shall mean any event that with the giving of notice or the passage of time, or both, would constitute an Event of Default under this Agreement.</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ind w:left="139" w:right="16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Defaulting Lender</w:t>
      </w:r>
      <w:r>
        <w:rPr>
          <w:rFonts w:ascii="Times New Roman;Times;Serif" w:hAnsi="Times New Roman;Times;Serif"/>
          <w:b w:val="false"/>
          <w:i w:val="false"/>
          <w:caps w:val="false"/>
          <w:smallCaps w:val="false"/>
          <w:sz w:val="20"/>
        </w:rPr>
        <w:t>” shall mean any Lender that (a) has failed to (i) fund all or any portion of  its Loans within two (2) Business Days of the date such Loans were required to be funded hereunder unless such Lender notifies the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Agent or any other Lender any other amount required to be paid by it hereunder within two (2) Business Days of the date when due, (b) has notified the Borrower or the Agent in writing that it does not intend to comply with its funding obligations hereunder, or has made a public statement to that effect (unless such writing or public statement is based on such Lender’s good faith determination that a condition precedent to funding (which condition precedent, together with any applicable default, shall be specifically identified in such writing or public statement) has not been satisfied), (c) has failed, within three Business Days after written request by the Agent or the Borrower, to confirm in writing to the Agent and the Borrower that it will comply with its prospective funding obligations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Lender shall cease to be a Defaulting Lender pursuant to this clause (c) upon receipt of such written confirmation by the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Agent that a Lender is a Defaulting Lender under any one or more of clauses (a) through (d) above shall be conclusive and binding absent manifest error, and such Lender shall be deemed to be a Defaulting Lender upon delivery of written notice of such determination to the Borrower and each Lender; provided, that notwithstanding anything to the contrary contained in this Agreement, (x) the Agent shall not be responsible or have any liability for, or have any duty to ascertain, inquire into, monitor or enforce, compliance with the provisions hereof relating to a Defaulting Lender and (y) the Borrower and the Lenders acknowledge and agree that the Agent shall have no responsibility or obligation to determine whether any Lender is a Defaulting Lender.</w:t>
      </w:r>
    </w:p>
    <w:p>
      <w:pPr>
        <w:pStyle w:val="TextBody"/>
        <w:bidi w:val="0"/>
        <w:spacing w:before="0" w:after="0"/>
        <w:ind w:left="139" w:right="162" w:firstLine="72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Disbursement Letter</w:t>
      </w:r>
      <w:r>
        <w:rPr>
          <w:rFonts w:ascii="Times New Roman;Times;Serif" w:hAnsi="Times New Roman;Times;Serif"/>
          <w:b w:val="false"/>
          <w:i w:val="false"/>
          <w:caps w:val="false"/>
          <w:smallCaps w:val="false"/>
          <w:sz w:val="20"/>
        </w:rPr>
        <w:t>” shall mean a flow of funds agreement, in form and substance satisfactory to the Agent, by and among the Borrower, the Agent and the Lenders, and the related funds flow memorandum describing the sources and uses of all cash payments in connection with the transactions contemplated to occur on the Restatement Date.</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Distribution</w:t>
      </w:r>
      <w:r>
        <w:rPr>
          <w:rFonts w:ascii="Times New Roman;Times;Serif" w:hAnsi="Times New Roman;Times;Serif"/>
          <w:b w:val="false"/>
          <w:i w:val="false"/>
          <w:caps w:val="false"/>
          <w:smallCaps w:val="false"/>
          <w:sz w:val="20"/>
        </w:rPr>
        <w:t>” is defined in Section 7.5 hereof.</w:t>
      </w:r>
    </w:p>
    <w:p>
      <w:pPr>
        <w:pStyle w:val="TextBody"/>
        <w:bidi w:val="0"/>
        <w:spacing w:before="0" w:after="0"/>
        <w:ind w:left="86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Dollars</w:t>
      </w:r>
      <w:r>
        <w:rPr>
          <w:rFonts w:ascii="Times New Roman;Times;Serif" w:hAnsi="Times New Roman;Times;Serif"/>
          <w:b w:val="false"/>
          <w:i w:val="false"/>
          <w:caps w:val="false"/>
          <w:smallCaps w:val="false"/>
          <w:sz w:val="20"/>
        </w:rPr>
        <w:t>” and the sign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shall mean lawful money of the United States of America.</w:t>
      </w:r>
    </w:p>
    <w:p>
      <w:pPr>
        <w:pStyle w:val="TextBody"/>
        <w:bidi w:val="0"/>
        <w:spacing w:before="0" w:after="0"/>
        <w:ind w:left="860" w:right="0" w:hanging="0"/>
        <w:jc w:val="left"/>
        <w:rPr>
          <w:caps w:val="false"/>
          <w:smallCaps w:val="false"/>
        </w:rPr>
      </w:pPr>
      <w:r>
        <w:rPr>
          <w:caps w:val="false"/>
          <w:smallCaps w:val="false"/>
        </w:rPr>
        <w:t> </w:t>
      </w:r>
    </w:p>
    <w:p>
      <w:pPr>
        <w:pStyle w:val="TextBody"/>
        <w:bidi w:val="0"/>
        <w:spacing w:before="0" w:after="0"/>
        <w:ind w:left="140" w:right="146"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Domestic Subsidiary</w:t>
      </w:r>
      <w:r>
        <w:rPr>
          <w:rFonts w:ascii="Times New Roman;Times;Serif" w:hAnsi="Times New Roman;Times;Serif"/>
          <w:b w:val="false"/>
          <w:i w:val="false"/>
          <w:caps w:val="false"/>
          <w:smallCaps w:val="false"/>
          <w:sz w:val="20"/>
        </w:rPr>
        <w:t>” shall mean any Subsidiary that is organized under the laws of the United States of America, any State thereof or the District of Columbia (excluding, for the avoidance of doubt,</w:t>
      </w:r>
    </w:p>
    <w:p>
      <w:pPr>
        <w:pStyle w:val="TextBody"/>
        <w:bidi w:val="0"/>
        <w:spacing w:before="0" w:after="0"/>
        <w:ind w:left="140" w:right="146"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Subsidiary organized under the laws of Puerto Rico or any other territory), and “</w:t>
      </w:r>
      <w:r>
        <w:rPr>
          <w:rFonts w:ascii="Times New Roman;Times;Serif" w:hAnsi="Times New Roman;Times;Serif"/>
          <w:b/>
          <w:i w:val="false"/>
          <w:caps w:val="false"/>
          <w:smallCaps w:val="false"/>
          <w:sz w:val="20"/>
        </w:rPr>
        <w:t>Domestic Subsidiaries</w:t>
      </w:r>
      <w:r>
        <w:rPr>
          <w:rFonts w:ascii="Times New Roman;Times;Serif" w:hAnsi="Times New Roman;Times;Serif"/>
          <w:b w:val="false"/>
          <w:i w:val="false"/>
          <w:caps w:val="false"/>
          <w:smallCaps w:val="false"/>
          <w:sz w:val="20"/>
        </w:rPr>
        <w:t>” shall mean any or all of them.</w:t>
      </w:r>
    </w:p>
    <w:p>
      <w:pPr>
        <w:pStyle w:val="TextBody"/>
        <w:bidi w:val="0"/>
        <w:spacing w:before="0" w:after="0"/>
        <w:ind w:left="140" w:right="0" w:hanging="0"/>
        <w:jc w:val="left"/>
        <w:rPr>
          <w:caps w:val="false"/>
          <w:smallCaps w:val="false"/>
        </w:rPr>
      </w:pPr>
      <w:r>
        <w:rPr>
          <w:caps w:val="false"/>
          <w:smallCaps w:val="false"/>
        </w:rPr>
        <w:t> </w:t>
      </w:r>
    </w:p>
    <w:p>
      <w:pPr>
        <w:pStyle w:val="TextBody"/>
        <w:bidi w:val="0"/>
        <w:spacing w:before="0" w:after="0"/>
        <w:ind w:left="139" w:right="17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EEA Financial Institution</w:t>
      </w:r>
      <w:r>
        <w:rPr>
          <w:rFonts w:ascii="Times New Roman;Times;Serif" w:hAnsi="Times New Roman;Times;Serif"/>
          <w:b w:val="false"/>
          <w:i w:val="false"/>
          <w:caps w:val="false"/>
          <w:smallCaps w:val="false"/>
          <w:sz w:val="20"/>
        </w:rPr>
        <w:t>”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0"/>
        <w:ind w:left="139" w:right="173" w:hanging="0"/>
        <w:jc w:val="both"/>
        <w:rPr>
          <w:caps w:val="false"/>
          <w:smallCaps w:val="false"/>
        </w:rPr>
      </w:pPr>
      <w:r>
        <w:rPr>
          <w:caps w:val="false"/>
          <w:smallCaps w:val="false"/>
        </w:rPr>
        <w:t> </w:t>
      </w:r>
    </w:p>
    <w:p>
      <w:pPr>
        <w:pStyle w:val="TextBody"/>
        <w:bidi w:val="0"/>
        <w:spacing w:before="0" w:after="0"/>
        <w:ind w:left="140" w:right="17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EEA Member Country</w:t>
      </w:r>
      <w:r>
        <w:rPr>
          <w:rFonts w:ascii="Times New Roman;Times;Serif" w:hAnsi="Times New Roman;Times;Serif"/>
          <w:b w:val="false"/>
          <w:i w:val="false"/>
          <w:caps w:val="false"/>
          <w:smallCaps w:val="false"/>
          <w:sz w:val="20"/>
        </w:rPr>
        <w:t>” shall mean any of the member states of the European Union, Iceland, Liechtenstein, and Norway.</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ind w:left="140" w:right="17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EEA Resolution Authority</w:t>
      </w:r>
      <w:r>
        <w:rPr>
          <w:rFonts w:ascii="Times New Roman;Times;Serif" w:hAnsi="Times New Roman;Times;Serif"/>
          <w:b w:val="false"/>
          <w:i w:val="false"/>
          <w:caps w:val="false"/>
          <w:smallCaps w:val="false"/>
          <w:sz w:val="20"/>
        </w:rPr>
        <w:t>” shall mean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ind w:left="140" w:right="17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Electronic Transmission</w:t>
      </w:r>
      <w:r>
        <w:rPr>
          <w:rFonts w:ascii="Times New Roman;Times;Serif" w:hAnsi="Times New Roman;Times;Serif"/>
          <w:b w:val="false"/>
          <w:i w:val="false"/>
          <w:caps w:val="false"/>
          <w:smallCaps w:val="false"/>
          <w:sz w:val="20"/>
        </w:rPr>
        <w:t>” shall mean each document, instruction, authorization, file, information and any other communication transmitted, posted or otherwise made or communicated by e-mail or E-Fax, or otherwise to or from an E-System or other equivalent service.</w:t>
      </w:r>
    </w:p>
    <w:p>
      <w:pPr>
        <w:pStyle w:val="TextBody"/>
        <w:bidi w:val="0"/>
        <w:spacing w:before="0" w:after="0"/>
        <w:ind w:left="140" w:right="170" w:firstLine="720"/>
        <w:jc w:val="both"/>
        <w:rPr>
          <w:caps w:val="false"/>
          <w:smallCaps w:val="false"/>
        </w:rPr>
      </w:pPr>
      <w:r>
        <w:rPr>
          <w:caps w:val="false"/>
          <w:smallCaps w:val="false"/>
        </w:rPr>
        <w:t> </w:t>
      </w:r>
    </w:p>
    <w:p>
      <w:pPr>
        <w:pStyle w:val="TextBody"/>
        <w:bidi w:val="0"/>
        <w:spacing w:before="0" w:after="0"/>
        <w:ind w:left="139" w:right="169" w:firstLine="720"/>
        <w:jc w:val="both"/>
        <w:rPr>
          <w:caps w:val="false"/>
          <w:smallCaps w:val="false"/>
        </w:rPr>
      </w:pPr>
      <w:r>
        <w:rPr>
          <w:caps w:val="false"/>
          <w:smallCaps w:val="false"/>
        </w:rPr>
        <w:drawing>
          <wp:inline distT="0" distB="0" distL="0" distR="0">
            <wp:extent cx="28575" cy="146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 cy="14605"/>
                    </a:xfrm>
                    <a:prstGeom prst="rect">
                      <a:avLst/>
                    </a:prstGeom>
                  </pic:spPr>
                </pic:pic>
              </a:graphicData>
            </a:graphic>
          </wp:inline>
        </w:drawing>
      </w:r>
      <w:r>
        <w:rPr>
          <w:caps w:val="false"/>
          <w:smallCaps w:val="false"/>
        </w:rPr>
        <w:t>“</w:t>
      </w:r>
      <w:r>
        <w:rPr>
          <w:rFonts w:ascii="Times New Roman;Times;Serif" w:hAnsi="Times New Roman;Times;Serif"/>
          <w:b/>
          <w:i w:val="false"/>
          <w:caps w:val="false"/>
          <w:smallCaps w:val="false"/>
          <w:sz w:val="20"/>
        </w:rPr>
        <w:t>Eligible Assignee</w:t>
      </w:r>
      <w:r>
        <w:rPr>
          <w:rFonts w:ascii="Times New Roman;Times;Serif" w:hAnsi="Times New Roman;Times;Serif"/>
          <w:b w:val="false"/>
          <w:i w:val="false"/>
          <w:caps w:val="false"/>
          <w:smallCaps w:val="false"/>
          <w:sz w:val="20"/>
        </w:rPr>
        <w:t xml:space="preserve">” shall mean (a) a Lender; (b) any Affiliate of the Agent or any Lender or any Related Fund of the Agent or any Lender; or (c) any other Person (other than a natural person) approved by (i) the Agent and (ii) the Borrower (not to be unreasonably withheld, conditioned or delayed);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the Borrower’s consent shall not be required (1) after the occurrence and during the continuance of an Event of Default under Section 8.1(a), 8.1(b), 8.1(c) (solely as a result of a breach of Section 6.1</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color w:val="0000FF"/>
          <w:sz w:val="20"/>
          <w:u w:val="single"/>
        </w:rPr>
        <w:t>or</w:t>
      </w:r>
      <w:r>
        <w:rPr>
          <w:rFonts w:ascii="Times New Roman;Times;Serif" w:hAnsi="Times New Roman;Times;Serif"/>
          <w:b w:val="false"/>
          <w:i w:val="false"/>
          <w:caps w:val="false"/>
          <w:smallCaps w:val="false"/>
          <w:sz w:val="20"/>
        </w:rPr>
        <w:t xml:space="preserve"> 6.2 </w:t>
      </w:r>
      <w:r>
        <w:rPr>
          <w:rFonts w:ascii="Times New Roman;Times;Serif" w:hAnsi="Times New Roman;Times;Serif"/>
          <w:b w:val="false"/>
          <w:i w:val="false"/>
          <w:caps w:val="false"/>
          <w:smallCaps w:val="false"/>
          <w:strike/>
          <w:color w:val="FF0000"/>
          <w:sz w:val="20"/>
        </w:rPr>
        <w:t>or 7.14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or</w:t>
      </w:r>
      <w:r>
        <w:rPr>
          <w:rFonts w:ascii="Times New Roman;Times;Serif" w:hAnsi="Times New Roman;Times;Serif"/>
          <w:b w:val="false"/>
          <w:i w:val="false"/>
          <w:caps w:val="false"/>
          <w:smallCaps w:val="false"/>
          <w:sz w:val="20"/>
        </w:rPr>
        <w:t xml:space="preserve"> or 8.1(i), (2) if such assignment is in connection with any sale, transfer, or other disposition of all or any substantial portion of the loan portfolio of such Lender or (3) if the Majority Lenders hold more than 50% of the outstanding voting stock of the Borrower and (B) the Borrower shall be deemed to have consented to any such assignment unless it shall object thereto by written notice to the Agent within five (5) Business Days after having received notice thereof;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notwithstanding the foregoing, (i) “Eligible Assignee” shall not include the Borrower or any of the Borrower’s Affiliates or Subsidiaries and (ii) no assignment shall be made to a Defaulting Lender (or any Person who would be a Defaulting Lender if such Person was a Lender hereunder) without the consent of the Agent.</w:t>
      </w:r>
    </w:p>
    <w:p>
      <w:pPr>
        <w:pStyle w:val="TextBody"/>
        <w:bidi w:val="0"/>
        <w:spacing w:before="0" w:after="0"/>
        <w:ind w:left="139" w:right="169" w:firstLine="72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Eligible Incremental Lenders</w:t>
      </w:r>
      <w:r>
        <w:rPr>
          <w:rFonts w:ascii="Times New Roman;Times;Serif" w:hAnsi="Times New Roman;Times;Serif"/>
          <w:b w:val="false"/>
          <w:i w:val="false"/>
          <w:caps w:val="false"/>
          <w:smallCaps w:val="false"/>
          <w:sz w:val="20"/>
        </w:rPr>
        <w:t>” shall mean any bank, trust company, savings and loan association, savings bank or other financial institution that (a) regularly engages in the business of extending loans or credit, and whose reported capital and surplus equal at least $250,000,000 and (b) is approved by the Agent and the Majority Lenders.</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39" w:right="141"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Equity Interest</w:t>
      </w:r>
      <w:r>
        <w:rPr>
          <w:rFonts w:ascii="Times New Roman;Times;Serif" w:hAnsi="Times New Roman;Times;Serif"/>
          <w:b w:val="false"/>
          <w:i w:val="false"/>
          <w:caps w:val="false"/>
          <w:smallCaps w:val="false"/>
          <w:sz w:val="20"/>
        </w:rPr>
        <w:t>” shall mean (i) in the case of any corporation, all capital stock and any securities exchangeable for or convertible into capital stock, (ii) in the case of an association or business entity, any and all shares, interests, participations, rights or other equivalents of corporate stock (however designated) in or to such association or entity, (iii) in the case of a partnership or limited liability company, partnership or membership interests (whether general or limited) and (iv) any other interest or participation that confers on a Person the right to receive a share of the profits and losses of, or distribution of assets of, the issuing Person, and including, in all of the foregoing cases described in clauses (i), (ii), (iii) or (iv), any warrants, rights or other options to purchase or otherwise acquire any of the interests described in any of the foregoing cases, but excluding, in all of the foregoing cases</w:t>
      </w:r>
    </w:p>
    <w:p>
      <w:pPr>
        <w:pStyle w:val="TextBody"/>
        <w:bidi w:val="0"/>
        <w:spacing w:before="0" w:after="0"/>
        <w:ind w:left="139" w:right="141"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7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described in clauses (i), (ii), (iii) and (iv), any Debt that is convertible into or exchangeable for Equity Interests but only prior to any such conversion.</w:t>
      </w:r>
    </w:p>
    <w:p>
      <w:pPr>
        <w:pStyle w:val="TextBody"/>
        <w:bidi w:val="0"/>
        <w:spacing w:before="0" w:after="0"/>
        <w:ind w:left="140" w:right="170" w:hanging="0"/>
        <w:jc w:val="both"/>
        <w:rPr>
          <w:caps w:val="false"/>
          <w:smallCaps w:val="false"/>
        </w:rPr>
      </w:pPr>
      <w:r>
        <w:rPr>
          <w:caps w:val="false"/>
          <w:smallCaps w:val="false"/>
        </w:rPr>
        <w:t> </w:t>
      </w:r>
    </w:p>
    <w:p>
      <w:pPr>
        <w:pStyle w:val="TextBody"/>
        <w:bidi w:val="0"/>
        <w:spacing w:before="0" w:after="0"/>
        <w:ind w:left="140" w:right="145"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shall mean the Employee Retirement Income Security Act of 1974, as amended, or any successor act or code and the regulations in effect from time to time thereunder.</w:t>
      </w:r>
    </w:p>
    <w:p>
      <w:pPr>
        <w:pStyle w:val="TextBody"/>
        <w:bidi w:val="0"/>
        <w:spacing w:before="0" w:after="0"/>
        <w:ind w:left="140" w:right="145" w:firstLine="720"/>
        <w:jc w:val="both"/>
        <w:rPr>
          <w:caps w:val="false"/>
          <w:smallCaps w:val="false"/>
        </w:rPr>
      </w:pPr>
      <w:r>
        <w:rPr>
          <w:caps w:val="false"/>
          <w:smallCaps w:val="false"/>
        </w:rPr>
        <w:t> </w:t>
      </w:r>
    </w:p>
    <w:p>
      <w:pPr>
        <w:pStyle w:val="TextBody"/>
        <w:bidi w:val="0"/>
        <w:spacing w:before="0" w:after="0"/>
        <w:ind w:left="139" w:right="17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 Affiliate</w:t>
      </w:r>
      <w:r>
        <w:rPr>
          <w:rFonts w:ascii="Times New Roman;Times;Serif" w:hAnsi="Times New Roman;Times;Serif"/>
          <w:b w:val="false"/>
          <w:i w:val="false"/>
          <w:caps w:val="false"/>
          <w:smallCaps w:val="false"/>
          <w:sz w:val="20"/>
        </w:rPr>
        <w:t>” shall mean, with respect to any Person, any trade or business (whether or not incorporated) which is a member of a group of which such Person is a member and which would be deemed to be a “controlled group” or under “common control” within the meaning of Sections 414(b), (c), (m) or (o) of the Internal Revenue Code or Sections 4001(a)(14) or 4001(b)(1) of ERISA.</w:t>
      </w:r>
    </w:p>
    <w:p>
      <w:pPr>
        <w:pStyle w:val="TextBody"/>
        <w:bidi w:val="0"/>
        <w:spacing w:before="0" w:after="0"/>
        <w:ind w:left="139" w:right="172" w:firstLine="720"/>
        <w:jc w:val="both"/>
        <w:rPr>
          <w:caps w:val="false"/>
          <w:smallCaps w:val="false"/>
        </w:rPr>
      </w:pPr>
      <w:r>
        <w:rPr>
          <w:caps w:val="false"/>
          <w:smallCaps w:val="false"/>
        </w:rPr>
        <w:t> </w:t>
      </w:r>
    </w:p>
    <w:p>
      <w:pPr>
        <w:pStyle w:val="TextBody"/>
        <w:bidi w:val="0"/>
        <w:spacing w:before="0" w:after="0"/>
        <w:ind w:left="139" w:right="136"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 Event</w:t>
      </w:r>
      <w:r>
        <w:rPr>
          <w:rFonts w:ascii="Times New Roman;Times;Serif" w:hAnsi="Times New Roman;Times;Serif"/>
          <w:b w:val="false"/>
          <w:i w:val="false"/>
          <w:caps w:val="false"/>
          <w:smallCaps w:val="false"/>
          <w:sz w:val="20"/>
        </w:rPr>
        <w:t>” shall mean (a) the occurrence of a Reportable Event with respect to any Pension Plan; (b) the failure to meet the minimum funding standards of Section 412 or 430 of the Internal Revenue Code or Section 302 or 303 of ERISA with respect to any Pension Plan (whether or not waived in accordance with Section 412(c) of the Internal Revenue Code or Section 302(c) of ERISA) or the failure to make a contribution or installment required under Section 412 or Section 430(j) of the Internal Revenue Code with respect to any Pension Plan or the failure to make any required contribution to a Multiemployer Plan; (c) a determination that any Pension Plan is, or is expected to be, in “at risk” status (as defined in Section 430 of the Internal Revenue Code or Section 303 of ERISA); (d) a determination that any Multiemployer Plan is, or is expected to be, in “critical” or “endangered” status under Section 432 of the Internal Revenue Code or Section 305 of ERISA; (e) the filing of a notice of intent to terminate a Pension Plan or the treatment of an amendment to a Pension Plan as a termination under Section 4041 of ERISA; (f) the withdrawal by any Credit Party or any of its ERISA Affiliates from any Pension Plan with two or more contributing sponsors or the termination of any such Pension Plan resulting in liability to any Credit Party or any of its ERISA Affiliates pursuant to Section 4063 or 4064 of ERISA; (g) the institution by the PBGC of proceedings to terminate any Pension Plan, or the occurrence of any event or condition that might constitute grounds under ERISA for the termination of,  or the appointment of a trustee to administer, any Pension Plan; (h) the imposition of liability on any Credit Party or any of its ERISA Affiliates pursuant to Section 4062(e) or 4069(a) of ERISA or by reason of the application of Section 4212(c) of ERISA; (i) the withdrawal of any Credit Party or any of its ERISA Affiliates in a complete or partial withdrawal (within the meaning of Sections 4203 and 4205 of ERISA) from any Multiemployer Plan or the receipt by any Credit Party or any of its ERISA Affiliates of notice from any Multiemployer Plan that it is insolvent pursuant to Section 4245 of ERISA, or that it intends to terminate or has terminated under Section 4041A or 4042 of ERISA; (j) the occurrence of an act or omission which could give rise to the imposition on any Credit Party or any of its ERISA Affiliates of fines, penalties, taxes or related charges under Sections 4975 or 4971 of the Internal Revenue Code or under Section 409, Section 502(c), (i) or (l), or Section 4071 of ERISA in respect of any Employee Plan; (k) the imposition of any liability under Title IV of ERISA, other than for PBGC premiums due but not delinquent, upon any Credit Party or any of its ERISA Affiliates; or (l) the imposition of a Lien pursuant to Section 430(k) of the Internal Revenue Code or pursuant to ERISA with respect to any Pension Plan.</w:t>
      </w:r>
    </w:p>
    <w:p>
      <w:pPr>
        <w:pStyle w:val="TextBody"/>
        <w:bidi w:val="0"/>
        <w:spacing w:before="0" w:after="0"/>
        <w:ind w:left="140" w:right="176" w:hanging="0"/>
        <w:jc w:val="both"/>
        <w:rPr>
          <w:caps w:val="false"/>
          <w:smallCaps w:val="false"/>
        </w:rPr>
      </w:pPr>
      <w:r>
        <w:rPr>
          <w:caps w:val="false"/>
          <w:smallCaps w:val="false"/>
        </w:rPr>
        <w:t> </w:t>
      </w:r>
    </w:p>
    <w:p>
      <w:pPr>
        <w:pStyle w:val="TextBody"/>
        <w:bidi w:val="0"/>
        <w:spacing w:before="0" w:after="0"/>
        <w:ind w:left="140" w:right="17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E-System</w:t>
      </w:r>
      <w:r>
        <w:rPr>
          <w:rFonts w:ascii="Times New Roman;Times;Serif" w:hAnsi="Times New Roman;Times;Serif"/>
          <w:b w:val="false"/>
          <w:i w:val="false"/>
          <w:caps w:val="false"/>
          <w:smallCaps w:val="false"/>
          <w:sz w:val="20"/>
        </w:rPr>
        <w:t>” shall mean any electronic system and any other Internet or extranet-based site, whether such electronic system is owned, operated, hosted or utilized by the Agent, any of its Affiliates or any other Person, providing for access to data protected by passcodes or other security system.</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ind w:left="140" w:right="17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EU Bail-In Legislation Schedule</w:t>
      </w:r>
      <w:r>
        <w:rPr>
          <w:rFonts w:ascii="Times New Roman;Times;Serif" w:hAnsi="Times New Roman;Times;Serif"/>
          <w:b w:val="false"/>
          <w:i w:val="false"/>
          <w:caps w:val="false"/>
          <w:smallCaps w:val="false"/>
          <w:sz w:val="20"/>
        </w:rPr>
        <w:t>” shall mean the EU Bail-In Legislation Schedule published by the Loan Market Association (or any successor person), as in effect from time to time.</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shall mean each of the conditions or events set forth in Section 8.1 hereof.</w:t>
      </w:r>
    </w:p>
    <w:p>
      <w:pPr>
        <w:pStyle w:val="TextBody"/>
        <w:bidi w:val="0"/>
        <w:spacing w:before="0" w:after="0"/>
        <w:ind w:left="86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68"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Exchange Agreement” </w:t>
      </w:r>
      <w:r>
        <w:rPr>
          <w:rFonts w:ascii="Times New Roman;Times;Serif" w:hAnsi="Times New Roman;Times;Serif"/>
          <w:b w:val="false"/>
          <w:i w:val="false"/>
          <w:caps w:val="false"/>
          <w:smallCaps w:val="false"/>
          <w:sz w:val="20"/>
        </w:rPr>
        <w:t>shall mean that certain Exchange Agreement, dated as of August 20, 2025, by and between CHS Investments and Borrower, as amended, restated or otherwise modified from time to time.</w:t>
      </w:r>
    </w:p>
    <w:p>
      <w:pPr>
        <w:pStyle w:val="TextBody"/>
        <w:bidi w:val="0"/>
        <w:spacing w:before="0" w:after="0"/>
        <w:ind w:left="140" w:right="168" w:firstLine="720"/>
        <w:jc w:val="both"/>
        <w:rPr>
          <w:caps w:val="false"/>
          <w:smallCaps w:val="false"/>
        </w:rPr>
      </w:pPr>
      <w:r>
        <w:rPr>
          <w:caps w:val="false"/>
          <w:smallCaps w:val="false"/>
        </w:rPr>
        <w:t> </w:t>
      </w:r>
    </w:p>
    <w:p>
      <w:pPr>
        <w:pStyle w:val="TextBody"/>
        <w:bidi w:val="0"/>
        <w:spacing w:before="0" w:after="0"/>
        <w:ind w:left="140" w:right="115"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Exchanged Term Loans</w:t>
      </w:r>
      <w:r>
        <w:rPr>
          <w:rFonts w:ascii="Times New Roman;Times;Serif" w:hAnsi="Times New Roman;Times;Serif"/>
          <w:b w:val="false"/>
          <w:i w:val="false"/>
          <w:caps w:val="false"/>
          <w:smallCaps w:val="false"/>
          <w:sz w:val="20"/>
        </w:rPr>
        <w:t>” shall mean term loans received by an Existing Lender in exchange for such Lender’s Existing Term Loans as described in the recitals hereto or all of the term loans received by the Existing Lenders in exchange for the Existing Lenders’ Existing Term Loans as described in the recitals hereto, as the context requires.</w:t>
      </w:r>
    </w:p>
    <w:p>
      <w:pPr>
        <w:pStyle w:val="TextBody"/>
        <w:bidi w:val="0"/>
        <w:spacing w:before="0" w:after="0"/>
        <w:ind w:left="140" w:right="115" w:firstLine="720"/>
        <w:jc w:val="both"/>
        <w:rPr>
          <w:caps w:val="false"/>
          <w:smallCaps w:val="false"/>
        </w:rPr>
      </w:pPr>
      <w:r>
        <w:rPr>
          <w:caps w:val="false"/>
          <w:smallCaps w:val="false"/>
        </w:rPr>
        <w:t> </w:t>
      </w:r>
    </w:p>
    <w:p>
      <w:pPr>
        <w:pStyle w:val="TextBody"/>
        <w:bidi w:val="0"/>
        <w:spacing w:before="0" w:after="0"/>
        <w:ind w:left="140" w:right="17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Account</w:t>
      </w:r>
      <w:r>
        <w:rPr>
          <w:rFonts w:ascii="Times New Roman;Times;Serif" w:hAnsi="Times New Roman;Times;Serif"/>
          <w:b w:val="false"/>
          <w:i w:val="false"/>
          <w:caps w:val="false"/>
          <w:smallCaps w:val="false"/>
          <w:sz w:val="20"/>
        </w:rPr>
        <w:t>” shall mean (a) any account which is a payroll, withholding, disbursement, zero balance (in which all funds in such zero balance account are transferred on a daily basis to an account subject to an Account Control Agreement) or trust account, (b) any Excluded L/C Account and (c) the Permitted Account.</w:t>
      </w:r>
    </w:p>
    <w:p>
      <w:pPr>
        <w:pStyle w:val="TextBody"/>
        <w:bidi w:val="0"/>
        <w:spacing w:before="0" w:after="0"/>
        <w:ind w:left="140" w:right="0" w:hanging="0"/>
        <w:jc w:val="both"/>
        <w:rPr>
          <w:caps w:val="false"/>
          <w:smallCaps w:val="false"/>
        </w:rPr>
      </w:pPr>
      <w:r>
        <w:rPr>
          <w:caps w:val="false"/>
          <w:smallCaps w:val="false"/>
        </w:rPr>
        <w:t> </w:t>
      </w:r>
    </w:p>
    <w:p>
      <w:pPr>
        <w:pStyle w:val="TextBody"/>
        <w:bidi w:val="0"/>
        <w:spacing w:before="0" w:after="0"/>
        <w:ind w:left="859" w:right="173"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L/C Account</w:t>
      </w:r>
      <w:r>
        <w:rPr>
          <w:rFonts w:ascii="Times New Roman;Times;Serif" w:hAnsi="Times New Roman;Times;Serif"/>
          <w:b w:val="false"/>
          <w:i w:val="false"/>
          <w:caps w:val="false"/>
          <w:smallCaps w:val="false"/>
          <w:sz w:val="20"/>
        </w:rPr>
        <w:t>” shall have the meaning specified therefore in Section 7.2(f).</w:t>
      </w:r>
    </w:p>
    <w:p>
      <w:pPr>
        <w:pStyle w:val="TextBody"/>
        <w:bidi w:val="0"/>
        <w:spacing w:before="0" w:after="0"/>
        <w:ind w:left="859" w:right="173" w:hanging="0"/>
        <w:jc w:val="both"/>
        <w:rPr>
          <w:caps w:val="false"/>
          <w:smallCaps w:val="false"/>
        </w:rPr>
      </w:pPr>
      <w:r>
        <w:rPr>
          <w:caps w:val="false"/>
          <w:smallCaps w:val="false"/>
        </w:rPr>
        <w:t> </w:t>
      </w:r>
    </w:p>
    <w:p>
      <w:pPr>
        <w:pStyle w:val="TextBody"/>
        <w:bidi w:val="0"/>
        <w:spacing w:before="0" w:after="0"/>
        <w:ind w:left="140" w:right="115"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Taxes</w:t>
      </w:r>
      <w:r>
        <w:rPr>
          <w:rFonts w:ascii="Times New Roman;Times;Serif" w:hAnsi="Times New Roman;Times;Serif"/>
          <w:b w:val="false"/>
          <w:i w:val="false"/>
          <w:caps w:val="false"/>
          <w:smallCaps w:val="false"/>
          <w:sz w:val="20"/>
        </w:rPr>
        <w:t>” shall mean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12.11) or (ii) such Lender changes its lending office, except in each case to the extent that pursuant to Section 10.4, amounts with respect to such Taxes were payable either to such Lender’s assignor immediately before such Lender became a party hereto or to such Lender immediately before it changed its lending office, (c) Taxes attributable to such Recipient’s failure to comply with Section 12.12 and (d) any U.S. federal withholding Taxes imposed under FATCA.</w:t>
      </w:r>
    </w:p>
    <w:p>
      <w:pPr>
        <w:pStyle w:val="TextBody"/>
        <w:bidi w:val="0"/>
        <w:spacing w:before="0" w:after="0"/>
        <w:ind w:left="140" w:right="155" w:hanging="0"/>
        <w:jc w:val="both"/>
        <w:rPr>
          <w:caps w:val="false"/>
          <w:smallCaps w:val="false"/>
        </w:rPr>
      </w:pPr>
      <w:r>
        <w:rPr>
          <w:caps w:val="false"/>
          <w:smallCaps w:val="false"/>
        </w:rPr>
        <w:t> </w:t>
      </w:r>
    </w:p>
    <w:p>
      <w:pPr>
        <w:pStyle w:val="TextBody"/>
        <w:bidi w:val="0"/>
        <w:spacing w:before="0" w:after="0"/>
        <w:ind w:left="140" w:right="115"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Lender</w:t>
      </w:r>
      <w:r>
        <w:rPr>
          <w:rFonts w:ascii="Times New Roman;Times;Serif" w:hAnsi="Times New Roman;Times;Serif"/>
          <w:b w:val="false"/>
          <w:i w:val="false"/>
          <w:caps w:val="false"/>
          <w:smallCaps w:val="false"/>
          <w:sz w:val="20"/>
        </w:rPr>
        <w:t>” has the meaning specified therefor in the recitals to this Agreement.</w:t>
      </w:r>
    </w:p>
    <w:p>
      <w:pPr>
        <w:pStyle w:val="TextBody"/>
        <w:bidi w:val="0"/>
        <w:spacing w:before="0" w:after="0"/>
        <w:ind w:left="140" w:right="115" w:firstLine="720"/>
        <w:jc w:val="both"/>
        <w:rPr>
          <w:caps w:val="false"/>
          <w:smallCaps w:val="false"/>
        </w:rPr>
      </w:pPr>
      <w:r>
        <w:rPr>
          <w:caps w:val="false"/>
          <w:smallCaps w:val="false"/>
        </w:rPr>
        <w:t> </w:t>
      </w:r>
    </w:p>
    <w:p>
      <w:pPr>
        <w:pStyle w:val="TextBody"/>
        <w:bidi w:val="0"/>
        <w:spacing w:before="0" w:after="0"/>
        <w:ind w:left="140" w:right="115"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Term Loans</w:t>
      </w:r>
      <w:r>
        <w:rPr>
          <w:rFonts w:ascii="Times New Roman;Times;Serif" w:hAnsi="Times New Roman;Times;Serif"/>
          <w:b w:val="false"/>
          <w:i w:val="false"/>
          <w:caps w:val="false"/>
          <w:smallCaps w:val="false"/>
          <w:sz w:val="20"/>
        </w:rPr>
        <w:t>” has the meaning specified therefor in the recitals to this Agreement.</w:t>
      </w:r>
    </w:p>
    <w:p>
      <w:pPr>
        <w:pStyle w:val="TextBody"/>
        <w:bidi w:val="0"/>
        <w:spacing w:before="0" w:after="0"/>
        <w:ind w:left="140" w:right="115" w:firstLine="720"/>
        <w:jc w:val="both"/>
        <w:rPr>
          <w:caps w:val="false"/>
          <w:smallCaps w:val="false"/>
        </w:rPr>
      </w:pPr>
      <w:r>
        <w:rPr>
          <w:caps w:val="false"/>
          <w:smallCaps w:val="false"/>
        </w:rPr>
        <w:t> </w:t>
      </w:r>
    </w:p>
    <w:p>
      <w:pPr>
        <w:pStyle w:val="TextBody"/>
        <w:bidi w:val="0"/>
        <w:spacing w:before="0" w:after="0"/>
        <w:ind w:left="140" w:right="115"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FATCA</w:t>
      </w:r>
      <w:r>
        <w:rPr>
          <w:rFonts w:ascii="Times New Roman;Times;Serif" w:hAnsi="Times New Roman;Times;Serif"/>
          <w:b w:val="false"/>
          <w:i w:val="false"/>
          <w:caps w:val="false"/>
          <w:smallCaps w:val="false"/>
          <w:sz w:val="20"/>
        </w:rPr>
        <w:t>” shall mean sections 1471 through 1474 of the Internal Revenue Code as of the date of this Agreement (or any amended or successor version that is substantively comparable and not materially more onerous to comply with), and any current or future regulations or official interpretations thereof, any agreement entered into pursuant to Section 1471(b)(1) of the Internal Revenue Code, any intergovernmental agreement entered into in connection with the implementation of such Sections of the Internal Revenue Code and any fiscal or regulatory legislation, rules or practices adopted pursuant to such intergovernmental agreement.</w:t>
      </w:r>
    </w:p>
    <w:p>
      <w:pPr>
        <w:pStyle w:val="TextBody"/>
        <w:bidi w:val="0"/>
        <w:spacing w:before="0" w:after="0"/>
        <w:ind w:left="139" w:right="170" w:hanging="0"/>
        <w:jc w:val="both"/>
        <w:rPr>
          <w:caps w:val="false"/>
          <w:smallCaps w:val="false"/>
        </w:rPr>
      </w:pPr>
      <w:r>
        <w:rPr>
          <w:caps w:val="false"/>
          <w:smallCaps w:val="false"/>
        </w:rPr>
        <w:t> </w:t>
      </w:r>
    </w:p>
    <w:p>
      <w:pPr>
        <w:pStyle w:val="TextBody"/>
        <w:bidi w:val="0"/>
        <w:spacing w:before="0" w:after="0"/>
        <w:ind w:left="140" w:right="146"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Federal Funds Rate</w:t>
      </w:r>
      <w:r>
        <w:rPr>
          <w:rFonts w:ascii="Times New Roman;Times;Serif" w:hAnsi="Times New Roman;Times;Serif"/>
          <w:b w:val="false"/>
          <w:i w:val="false"/>
          <w:caps w:val="false"/>
          <w:smallCaps w:val="false"/>
          <w:sz w:val="20"/>
        </w:rPr>
        <w:t>” means, for any day, the greater of (a)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and (b) 0%.</w:t>
      </w:r>
    </w:p>
    <w:p>
      <w:pPr>
        <w:pStyle w:val="TextBody"/>
        <w:bidi w:val="0"/>
        <w:spacing w:before="0" w:after="0"/>
        <w:ind w:left="140" w:right="146"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71"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Fee Letter</w:t>
      </w:r>
      <w:r>
        <w:rPr>
          <w:rFonts w:ascii="Times New Roman;Times;Serif" w:hAnsi="Times New Roman;Times;Serif"/>
          <w:b w:val="false"/>
          <w:i w:val="false"/>
          <w:caps w:val="false"/>
          <w:smallCaps w:val="false"/>
          <w:sz w:val="20"/>
        </w:rPr>
        <w:t>” shall mean the third amended and restated fee letter by and between Borrower and Agent, dated as of the Restatement Date, as amended, restated, replaced or otherwise modified from time to time.</w:t>
      </w:r>
    </w:p>
    <w:p>
      <w:pPr>
        <w:pStyle w:val="TextBody"/>
        <w:bidi w:val="0"/>
        <w:spacing w:before="0" w:after="0"/>
        <w:ind w:left="140" w:right="171" w:firstLine="720"/>
        <w:jc w:val="both"/>
        <w:rPr>
          <w:caps w:val="false"/>
          <w:smallCaps w:val="false"/>
        </w:rPr>
      </w:pPr>
      <w:r>
        <w:rPr>
          <w:caps w:val="false"/>
          <w:smallCaps w:val="false"/>
        </w:rPr>
        <w:t> </w:t>
      </w:r>
    </w:p>
    <w:p>
      <w:pPr>
        <w:pStyle w:val="TextBody"/>
        <w:bidi w:val="0"/>
        <w:spacing w:before="0" w:after="0"/>
        <w:ind w:left="140" w:right="174"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Fees</w:t>
      </w:r>
      <w:r>
        <w:rPr>
          <w:rFonts w:ascii="Times New Roman;Times;Serif" w:hAnsi="Times New Roman;Times;Serif"/>
          <w:b w:val="false"/>
          <w:i w:val="false"/>
          <w:caps w:val="false"/>
          <w:smallCaps w:val="false"/>
          <w:sz w:val="20"/>
        </w:rPr>
        <w:t>” shall mean the fees and charges payable by the Borrower to the Lenders or the Agent hereunder or under the Fee Letter.</w:t>
      </w:r>
    </w:p>
    <w:p>
      <w:pPr>
        <w:pStyle w:val="TextBody"/>
        <w:bidi w:val="0"/>
        <w:spacing w:before="0" w:after="0"/>
        <w:ind w:left="140" w:right="174" w:firstLine="720"/>
        <w:jc w:val="both"/>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Financial Statements</w:t>
      </w:r>
      <w:r>
        <w:rPr>
          <w:rFonts w:ascii="Times New Roman;Times;Serif" w:hAnsi="Times New Roman;Times;Serif"/>
          <w:b w:val="false"/>
          <w:i w:val="false"/>
          <w:caps w:val="false"/>
          <w:smallCaps w:val="false"/>
          <w:sz w:val="20"/>
        </w:rPr>
        <w:t>” shall have the meaning specified therefor in Section 4.1(h).</w:t>
      </w:r>
    </w:p>
    <w:p>
      <w:pPr>
        <w:pStyle w:val="TextBody"/>
        <w:bidi w:val="0"/>
        <w:spacing w:before="0" w:after="0"/>
        <w:ind w:left="860" w:right="0" w:hanging="0"/>
        <w:jc w:val="left"/>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Fiscal Quarter</w:t>
      </w:r>
      <w:r>
        <w:rPr>
          <w:rFonts w:ascii="Times New Roman;Times;Serif" w:hAnsi="Times New Roman;Times;Serif"/>
          <w:b w:val="false"/>
          <w:i w:val="false"/>
          <w:caps w:val="false"/>
          <w:smallCaps w:val="false"/>
          <w:sz w:val="20"/>
        </w:rPr>
        <w:t>” shall mean the fiscal quarter of the Borrower and its Subsidiaries ending on January 31, April 30, July 31 and October 31 of each year.</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40" w:right="169"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Fiscal Year</w:t>
      </w:r>
      <w:r>
        <w:rPr>
          <w:rFonts w:ascii="Times New Roman;Times;Serif" w:hAnsi="Times New Roman;Times;Serif"/>
          <w:b w:val="false"/>
          <w:i w:val="false"/>
          <w:caps w:val="false"/>
          <w:smallCaps w:val="false"/>
          <w:sz w:val="20"/>
        </w:rPr>
        <w:t>” shall mean the fiscal year of the Borrower and its Subsidiaries ending on January 31 of each year.</w:t>
      </w:r>
    </w:p>
    <w:p>
      <w:pPr>
        <w:pStyle w:val="TextBody"/>
        <w:bidi w:val="0"/>
        <w:spacing w:before="0" w:after="0"/>
        <w:ind w:left="140" w:right="169" w:firstLine="720"/>
        <w:jc w:val="both"/>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Floor</w:t>
      </w:r>
      <w:r>
        <w:rPr>
          <w:rFonts w:ascii="Times New Roman;Times;Serif" w:hAnsi="Times New Roman;Times;Serif"/>
          <w:b w:val="false"/>
          <w:i w:val="false"/>
          <w:caps w:val="false"/>
          <w:smallCaps w:val="false"/>
          <w:sz w:val="20"/>
        </w:rPr>
        <w:t>” shall mean a rate of interest equal to 1.00% per annum.</w:t>
      </w:r>
    </w:p>
    <w:p>
      <w:pPr>
        <w:pStyle w:val="TextBody"/>
        <w:bidi w:val="0"/>
        <w:spacing w:before="0" w:after="0"/>
        <w:ind w:left="860" w:right="0" w:hanging="0"/>
        <w:jc w:val="left"/>
        <w:rPr>
          <w:caps w:val="false"/>
          <w:smallCaps w:val="false"/>
        </w:rPr>
      </w:pPr>
      <w:r>
        <w:rPr>
          <w:caps w:val="false"/>
          <w:smallCaps w:val="false"/>
        </w:rPr>
        <w:t> </w:t>
      </w:r>
    </w:p>
    <w:p>
      <w:pPr>
        <w:pStyle w:val="TextBody"/>
        <w:bidi w:val="0"/>
        <w:spacing w:before="0" w:after="0"/>
        <w:ind w:left="139" w:right="17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Benefit Event</w:t>
      </w:r>
      <w:r>
        <w:rPr>
          <w:rFonts w:ascii="Times New Roman;Times;Serif" w:hAnsi="Times New Roman;Times;Serif"/>
          <w:b w:val="false"/>
          <w:i w:val="false"/>
          <w:caps w:val="false"/>
          <w:smallCaps w:val="false"/>
          <w:sz w:val="20"/>
        </w:rPr>
        <w:t>” shall mean, with respect to any Foreign Plan, (a) the existence of unfunded liabilities in excess of the amount permitted under any Requirement of Law, or in excess of the amount that would be permitted absent a waiver from a Governmental Authority, (b) the failure to make the required contributions or payments, under any Requirement of Law, on or before the due date for such contributions or payments, (c) the receipt of a notice from a Governmental Authority relating to the intention to terminate any such Foreign Plan or to appoint a trustee or similar official to administer any such Foreign Plan, or alleging the insolvency of any such Foreign Plan, or (d) the occurrence of any transaction that is prohibited under any Requirement of Law and that could reasonably be expected to result in the incurrence of any liability by a Credit Party, or the imposition on a Credit Party of, any fine, excise tax or penalty resulting from any noncompliance with any Requirement of Law.</w:t>
      </w:r>
    </w:p>
    <w:p>
      <w:pPr>
        <w:pStyle w:val="TextBody"/>
        <w:bidi w:val="0"/>
        <w:spacing w:before="0" w:after="0"/>
        <w:ind w:left="139" w:right="170" w:firstLine="720"/>
        <w:jc w:val="both"/>
        <w:rPr>
          <w:caps w:val="false"/>
          <w:smallCaps w:val="false"/>
        </w:rPr>
      </w:pPr>
      <w:r>
        <w:rPr>
          <w:caps w:val="false"/>
          <w:smallCaps w:val="false"/>
        </w:rPr>
        <w:t> </w:t>
      </w:r>
    </w:p>
    <w:p>
      <w:pPr>
        <w:pStyle w:val="TextBody"/>
        <w:bidi w:val="0"/>
        <w:spacing w:before="0" w:after="0"/>
        <w:ind w:left="140" w:right="17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Lender</w:t>
      </w:r>
      <w:r>
        <w:rPr>
          <w:rFonts w:ascii="Times New Roman;Times;Serif" w:hAnsi="Times New Roman;Times;Serif"/>
          <w:b w:val="false"/>
          <w:i w:val="false"/>
          <w:caps w:val="false"/>
          <w:smallCaps w:val="false"/>
          <w:sz w:val="20"/>
        </w:rPr>
        <w:t>” shall mean a Lender that is not a “United States person,” within the meaning of Section 7701(a)(30) of the Internal Revenue Code.</w:t>
      </w:r>
    </w:p>
    <w:p>
      <w:pPr>
        <w:pStyle w:val="TextBody"/>
        <w:bidi w:val="0"/>
        <w:spacing w:before="0" w:after="0"/>
        <w:ind w:left="140" w:right="170" w:firstLine="720"/>
        <w:jc w:val="both"/>
        <w:rPr>
          <w:caps w:val="false"/>
          <w:smallCaps w:val="false"/>
        </w:rPr>
      </w:pPr>
      <w:r>
        <w:rPr>
          <w:caps w:val="false"/>
          <w:smallCaps w:val="false"/>
        </w:rPr>
        <w:t> </w:t>
      </w:r>
    </w:p>
    <w:p>
      <w:pPr>
        <w:pStyle w:val="TextBody"/>
        <w:bidi w:val="0"/>
        <w:spacing w:before="0" w:after="0"/>
        <w:ind w:left="140" w:right="17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Plan</w:t>
      </w:r>
      <w:r>
        <w:rPr>
          <w:rFonts w:ascii="Times New Roman;Times;Serif" w:hAnsi="Times New Roman;Times;Serif"/>
          <w:b w:val="false"/>
          <w:i w:val="false"/>
          <w:caps w:val="false"/>
          <w:smallCaps w:val="false"/>
          <w:sz w:val="20"/>
        </w:rPr>
        <w:t>” shall mean any employee pension benefit plan (within the meaning of Section 3(2) of ERISA, whether or not subject to ERISA) that is maintained or contributed to by a Credit Party with respect to workers employed outside the United States.</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Subsidiary</w:t>
      </w:r>
      <w:r>
        <w:rPr>
          <w:rFonts w:ascii="Times New Roman;Times;Serif" w:hAnsi="Times New Roman;Times;Serif"/>
          <w:b w:val="false"/>
          <w:i w:val="false"/>
          <w:caps w:val="false"/>
          <w:smallCaps w:val="false"/>
          <w:sz w:val="20"/>
        </w:rPr>
        <w:t>” shall mean any Subsidiary of the Borrower that is not a Domestic Subsidiary, and “Foreign Subsidiaries” shall mean any or all of them.</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40" w:right="126"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Funded Debt</w:t>
      </w:r>
      <w:r>
        <w:rPr>
          <w:rFonts w:ascii="Times New Roman;Times;Serif" w:hAnsi="Times New Roman;Times;Serif"/>
          <w:b w:val="false"/>
          <w:i w:val="false"/>
          <w:caps w:val="false"/>
          <w:smallCaps w:val="false"/>
          <w:sz w:val="20"/>
        </w:rPr>
        <w:t>” of any Person shall mean, without duplication, (a) all indebtedness of such Person for borrowed money or for the deferred purchase price of property or services as of such date (other than (i) operating leases and (ii) trade payables not outstanding for more than 90 days after the  date such payable was due, in each case, incurred in the ordinary course of business and payable in accordance with customary practices) or which is evidenced by a note, bond, debenture or similar instrument, (b) the principal component of all obligations of such Person under Capitalized Leases, (c) all reimbursement obligations (actual, contingent or otherwise) of such Person in respect of letters of credit, bankers acceptances or similar obligations issued or created for the account of such Person, and (d) all Guarantee Obligations in respect of any liability which constitutes Funded Debt under the preceding clauses (a) through (c); provided, however that Funded Debt shall not include any indebtedness under  any Hedging Transaction prior to the occurrence of a termination event with respect thereto.</w:t>
      </w:r>
    </w:p>
    <w:p>
      <w:pPr>
        <w:pStyle w:val="TextBody"/>
        <w:bidi w:val="0"/>
        <w:spacing w:before="0" w:after="0"/>
        <w:ind w:left="140" w:right="126"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shall mean, as in effect from time to time, generally accepted accounting principles in the United States of America that are applicable to the circumstances as of the date of determination.</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40" w:right="14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shall mean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without limitation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w:t>
      </w:r>
    </w:p>
    <w:p>
      <w:pPr>
        <w:pStyle w:val="TextBody"/>
        <w:bidi w:val="0"/>
        <w:spacing w:before="0" w:after="0"/>
        <w:ind w:left="140" w:right="140" w:firstLine="720"/>
        <w:jc w:val="both"/>
        <w:rPr>
          <w:caps w:val="false"/>
          <w:smallCaps w:val="false"/>
        </w:rPr>
      </w:pPr>
      <w:r>
        <w:rPr>
          <w:caps w:val="false"/>
          <w:smallCaps w:val="false"/>
        </w:rPr>
        <w:t> </w:t>
      </w:r>
    </w:p>
    <w:p>
      <w:pPr>
        <w:pStyle w:val="TextBody"/>
        <w:bidi w:val="0"/>
        <w:spacing w:before="0" w:after="0"/>
        <w:ind w:left="140" w:right="17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Obligations</w:t>
      </w:r>
      <w:r>
        <w:rPr>
          <w:rFonts w:ascii="Times New Roman;Times;Serif" w:hAnsi="Times New Roman;Times;Serif"/>
          <w:b w:val="false"/>
          <w:i w:val="false"/>
          <w:caps w:val="false"/>
          <w:smallCaps w:val="false"/>
          <w:sz w:val="20"/>
        </w:rPr>
        <w:t>” shall mean noncallable direct general obligations of the United States of America or obligations the payment of principal of and interest on which is unconditionally guaranteed by the United States of America.</w:t>
      </w:r>
    </w:p>
    <w:p>
      <w:pPr>
        <w:pStyle w:val="TextBody"/>
        <w:bidi w:val="0"/>
        <w:spacing w:before="0" w:after="0"/>
        <w:ind w:left="140" w:right="170" w:firstLine="720"/>
        <w:jc w:val="both"/>
        <w:rPr>
          <w:caps w:val="false"/>
          <w:smallCaps w:val="false"/>
        </w:rPr>
      </w:pPr>
      <w:r>
        <w:rPr>
          <w:caps w:val="false"/>
          <w:smallCaps w:val="false"/>
        </w:rPr>
        <w:t> </w:t>
      </w:r>
    </w:p>
    <w:p>
      <w:pPr>
        <w:pStyle w:val="TextBody"/>
        <w:bidi w:val="0"/>
        <w:spacing w:before="0" w:after="0"/>
        <w:ind w:left="139" w:right="148"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Guarantee Obligation</w:t>
      </w:r>
      <w:r>
        <w:rPr>
          <w:rFonts w:ascii="Times New Roman;Times;Serif" w:hAnsi="Times New Roman;Times;Serif"/>
          <w:b w:val="false"/>
          <w:i w:val="false"/>
          <w:caps w:val="false"/>
          <w:smallCaps w:val="false"/>
          <w:sz w:val="20"/>
        </w:rPr>
        <w:t>” shall mean as to any Person (the “guaranteeing person”) any obligation of the guaranteeing Person in respect of any obligation of another Person (the “primary obligor”) (including, without limitation, any bank under any letter of credit), the creation of which was induced by a reimbursement agreement, guaranty agreement, keepwell agreement, purchase agreement, counterindemnity or similar obligation issued by the guaranteeing person, in either case guaranteeing or in effect guaranteeing any Debt, leases, dividends or other obligations (the “primary obligations”) of the primary obligor in any manner, whether directly or indirectly, including, without limitation,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provided, however,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applicable Person in good faith.</w:t>
      </w:r>
    </w:p>
    <w:p>
      <w:pPr>
        <w:pStyle w:val="TextBody"/>
        <w:bidi w:val="0"/>
        <w:spacing w:before="0" w:after="0"/>
        <w:ind w:left="140" w:right="170" w:hanging="0"/>
        <w:jc w:val="both"/>
        <w:rPr>
          <w:caps w:val="false"/>
          <w:smallCaps w:val="false"/>
        </w:rPr>
      </w:pPr>
      <w:r>
        <w:rPr>
          <w:caps w:val="false"/>
          <w:smallCaps w:val="false"/>
        </w:rPr>
        <w:t> </w:t>
      </w:r>
    </w:p>
    <w:p>
      <w:pPr>
        <w:pStyle w:val="TextBody"/>
        <w:bidi w:val="0"/>
        <w:spacing w:before="0" w:after="0"/>
        <w:ind w:left="140" w:right="151"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Guarantor(s)</w:t>
      </w:r>
      <w:r>
        <w:rPr>
          <w:rFonts w:ascii="Times New Roman;Times;Serif" w:hAnsi="Times New Roman;Times;Serif"/>
          <w:b w:val="false"/>
          <w:i w:val="false"/>
          <w:caps w:val="false"/>
          <w:smallCaps w:val="false"/>
          <w:sz w:val="20"/>
        </w:rPr>
        <w:t>” shall mean each Subsidiary of the Borrower (and, to the extent the Lenders have agreed to the formation of a direct parent holding entity, such parent entity of the Borrower, in accordance with Section 6.19(d)) which has executed and delivered to the Agent a Guaranty (or a joinder to a Guaranty), and a Security Agreement (or a joinder to the Security Agreement). It is understood and agreed that any Subsidiary or Affiliate of the Borrower that is a guarantor under the Senior Loan Documents (or any Permitted Refinancing Debt in respect of such Debt) shall be required to be a Guarantor hereunder. Notwithstanding anything to the contrary contained herein or in any other Loan Document, a Subsidiary shall not cease to be a Guarantor hereunder solely by virtue of such Subsidiary no longer being a wholly-owned Subsidiary of a Credit Party unless all of the Equity Interests of such</w:t>
      </w:r>
    </w:p>
    <w:p>
      <w:pPr>
        <w:pStyle w:val="TextBody"/>
        <w:bidi w:val="0"/>
        <w:spacing w:before="0" w:after="0"/>
        <w:ind w:left="140" w:right="151"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7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Subsidiary held by any Credit Party are sold or otherwise transferred to any transferee other than the Borrower, an Affiliate of the Borrower, or a Subsidiary of the Borrower as part of or in connection with any disposition (whether by sale, by merger or by any other form of transaction) permitted in accordance with the terms of this Agreement.</w:t>
      </w:r>
    </w:p>
    <w:p>
      <w:pPr>
        <w:pStyle w:val="TextBody"/>
        <w:bidi w:val="0"/>
        <w:spacing w:before="0" w:after="0"/>
        <w:ind w:left="140" w:right="172" w:hanging="0"/>
        <w:jc w:val="both"/>
        <w:rPr>
          <w:caps w:val="false"/>
          <w:smallCaps w:val="false"/>
        </w:rPr>
      </w:pPr>
      <w:r>
        <w:rPr>
          <w:caps w:val="false"/>
          <w:smallCaps w:val="false"/>
        </w:rPr>
        <w:t> </w:t>
      </w:r>
    </w:p>
    <w:p>
      <w:pPr>
        <w:pStyle w:val="TextBody"/>
        <w:bidi w:val="0"/>
        <w:spacing w:before="0" w:after="0"/>
        <w:ind w:left="140" w:right="169"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Guaranty</w:t>
      </w:r>
      <w:r>
        <w:rPr>
          <w:rFonts w:ascii="Times New Roman;Times;Serif" w:hAnsi="Times New Roman;Times;Serif"/>
          <w:b w:val="false"/>
          <w:i w:val="false"/>
          <w:caps w:val="false"/>
          <w:smallCaps w:val="false"/>
          <w:sz w:val="20"/>
        </w:rPr>
        <w:t>” shall mean, collectively, those guaranty agreements executed and delivered from time to time after the Restatement Date (whether by execution of joinder agreements or otherwise) pursuant to Section 6.13 hereof or otherwise, in each case in the form attached hereto as Exhibit C, as amended, restated or otherwise modified from time to time.</w:t>
      </w:r>
    </w:p>
    <w:p>
      <w:pPr>
        <w:pStyle w:val="TextBody"/>
        <w:bidi w:val="0"/>
        <w:spacing w:before="0" w:after="0"/>
        <w:ind w:left="140" w:right="169" w:firstLine="720"/>
        <w:jc w:val="both"/>
        <w:rPr>
          <w:caps w:val="false"/>
          <w:smallCaps w:val="false"/>
        </w:rPr>
      </w:pPr>
      <w:r>
        <w:rPr>
          <w:caps w:val="false"/>
          <w:smallCaps w:val="false"/>
        </w:rPr>
        <w:t> </w:t>
      </w:r>
    </w:p>
    <w:p>
      <w:pPr>
        <w:pStyle w:val="TextBody"/>
        <w:bidi w:val="0"/>
        <w:spacing w:before="0" w:after="0"/>
        <w:ind w:left="140" w:right="17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Hazardous Material</w:t>
      </w:r>
      <w:r>
        <w:rPr>
          <w:rFonts w:ascii="Times New Roman;Times;Serif" w:hAnsi="Times New Roman;Times;Serif"/>
          <w:b w:val="false"/>
          <w:i w:val="false"/>
          <w:caps w:val="false"/>
          <w:smallCaps w:val="false"/>
          <w:sz w:val="20"/>
        </w:rPr>
        <w:t>” shall mean any hazardous or toxic waste, substance or material defined or regulated as such in or for purposes of the Hazardous Material Laws.</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ind w:left="140" w:right="17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Hazardous Material Law(s)</w:t>
      </w:r>
      <w:r>
        <w:rPr>
          <w:rFonts w:ascii="Times New Roman;Times;Serif" w:hAnsi="Times New Roman;Times;Serif"/>
          <w:b w:val="false"/>
          <w:i w:val="false"/>
          <w:caps w:val="false"/>
          <w:smallCaps w:val="false"/>
          <w:sz w:val="20"/>
        </w:rPr>
        <w:t>” shall mean all laws, codes, ordinances, rules, regulations and other governmental restrictions and Requirements of Law issued by any federal, state, local or other governmental or quasi-governmental authority or body (or any agency, instrumentality or political subdivision thereof) pertaining to any substance or material which is regulated for reasons of health, safety or the environment and which is present or alleged to be present on or about or used in any facilities owned, leased or operated by any Credit Party, or any portion thereof including, without limitation, those relating to soil, surface, subsurface ground water conditions and the condition of the indoor and outdoor ambient air; any so-called “superfund” or “superlien” law; and any other United States federal, state or local statute, law, ordinance, code, rule, regulation, order or decree regulating, relating to, or imposing liability or standards of conduct concerning, any Hazardous Material, as now or at any time during the term of the Agreement in effect.</w:t>
      </w:r>
    </w:p>
    <w:p>
      <w:pPr>
        <w:pStyle w:val="TextBody"/>
        <w:bidi w:val="0"/>
        <w:spacing w:before="0" w:after="0"/>
        <w:ind w:left="140" w:right="170" w:firstLine="720"/>
        <w:jc w:val="both"/>
        <w:rPr>
          <w:caps w:val="false"/>
          <w:smallCaps w:val="false"/>
        </w:rPr>
      </w:pPr>
      <w:r>
        <w:rPr>
          <w:caps w:val="false"/>
          <w:smallCaps w:val="false"/>
        </w:rPr>
        <w:t> </w:t>
      </w:r>
    </w:p>
    <w:p>
      <w:pPr>
        <w:pStyle w:val="TextBody"/>
        <w:bidi w:val="0"/>
        <w:spacing w:before="0" w:after="0"/>
        <w:ind w:left="140" w:right="17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Hedging Transaction</w:t>
      </w:r>
      <w:r>
        <w:rPr>
          <w:rFonts w:ascii="Times New Roman;Times;Serif" w:hAnsi="Times New Roman;Times;Serif"/>
          <w:b w:val="false"/>
          <w:i w:val="false"/>
          <w:caps w:val="false"/>
          <w:smallCaps w:val="false"/>
          <w:sz w:val="20"/>
        </w:rPr>
        <w:t>” shall mean each interest rate swap transaction, basis swap transaction, forward rate transaction, equity transaction, equity index transaction, foreign exchange transaction, cap transaction, floor transaction (including any option with respect to any of these transactions and any combination of any of the foregoing).</w:t>
      </w:r>
    </w:p>
    <w:p>
      <w:pPr>
        <w:pStyle w:val="TextBody"/>
        <w:bidi w:val="0"/>
        <w:spacing w:before="0" w:after="0"/>
        <w:ind w:left="140" w:right="170" w:firstLine="720"/>
        <w:jc w:val="both"/>
        <w:rPr>
          <w:caps w:val="false"/>
          <w:smallCaps w:val="false"/>
        </w:rPr>
      </w:pPr>
      <w:r>
        <w:rPr>
          <w:caps w:val="false"/>
          <w:smallCaps w:val="false"/>
        </w:rPr>
        <w:t> </w:t>
      </w:r>
    </w:p>
    <w:p>
      <w:pPr>
        <w:pStyle w:val="TextBody"/>
        <w:bidi w:val="0"/>
        <w:spacing w:before="0" w:after="0"/>
        <w:ind w:left="140" w:right="169"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Hereof</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hereto</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hereunder</w:t>
      </w:r>
      <w:r>
        <w:rPr>
          <w:rFonts w:ascii="Times New Roman;Times;Serif" w:hAnsi="Times New Roman;Times;Serif"/>
          <w:b w:val="false"/>
          <w:i w:val="false"/>
          <w:caps w:val="false"/>
          <w:smallCaps w:val="false"/>
          <w:sz w:val="20"/>
        </w:rPr>
        <w:t>” and similar terms shall refer to this Agreement and not to any particular paragraph or provision of this Agreement.</w:t>
      </w:r>
    </w:p>
    <w:p>
      <w:pPr>
        <w:pStyle w:val="TextBody"/>
        <w:bidi w:val="0"/>
        <w:spacing w:before="0" w:after="0"/>
        <w:ind w:left="140" w:right="169" w:firstLine="720"/>
        <w:jc w:val="both"/>
        <w:rPr>
          <w:caps w:val="false"/>
          <w:smallCaps w:val="false"/>
        </w:rPr>
      </w:pPr>
      <w:r>
        <w:rPr>
          <w:caps w:val="false"/>
          <w:smallCaps w:val="false"/>
        </w:rPr>
        <w:t> </w:t>
      </w:r>
    </w:p>
    <w:p>
      <w:pPr>
        <w:pStyle w:val="TextBody"/>
        <w:bidi w:val="0"/>
        <w:spacing w:before="0" w:after="0"/>
        <w:ind w:left="139" w:right="17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Highest Lawful Rate</w:t>
      </w:r>
      <w:r>
        <w:rPr>
          <w:rFonts w:ascii="Times New Roman;Times;Serif" w:hAnsi="Times New Roman;Times;Serif"/>
          <w:b w:val="false"/>
          <w:i w:val="false"/>
          <w:caps w:val="false"/>
          <w:smallCaps w:val="false"/>
          <w:sz w:val="20"/>
        </w:rPr>
        <w:t>” shall mean the maximum lawful interest rate, if any, that at any time or from time to time may be contracted for, charged, or received under the laws applicable to any Lender which are presently in effect or, to the extent allowed by law, under such applicable laws which may hereafter be in effect and which allow a higher maximum non-usurious interest rate than applicable laws now allow.</w:t>
      </w:r>
    </w:p>
    <w:p>
      <w:pPr>
        <w:pStyle w:val="TextBody"/>
        <w:bidi w:val="0"/>
        <w:spacing w:before="0" w:after="0"/>
        <w:ind w:left="139" w:right="170" w:firstLine="720"/>
        <w:jc w:val="both"/>
        <w:rPr>
          <w:caps w:val="false"/>
          <w:smallCaps w:val="false"/>
        </w:rPr>
      </w:pPr>
      <w:r>
        <w:rPr>
          <w:caps w:val="false"/>
          <w:smallCaps w:val="false"/>
        </w:rPr>
        <w:t> </w:t>
      </w:r>
    </w:p>
    <w:p>
      <w:pPr>
        <w:pStyle w:val="TextBody"/>
        <w:bidi w:val="0"/>
        <w:spacing w:before="0" w:after="0"/>
        <w:ind w:left="139" w:right="17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Increased Amount Date</w:t>
      </w:r>
      <w:r>
        <w:rPr>
          <w:rFonts w:ascii="Times New Roman;Times;Serif" w:hAnsi="Times New Roman;Times;Serif"/>
          <w:b w:val="false"/>
          <w:i w:val="false"/>
          <w:caps w:val="false"/>
          <w:smallCaps w:val="false"/>
          <w:sz w:val="20"/>
        </w:rPr>
        <w:t>” has the meaning specified in Section 2.11.</w:t>
      </w:r>
    </w:p>
    <w:p>
      <w:pPr>
        <w:pStyle w:val="TextBody"/>
        <w:bidi w:val="0"/>
        <w:spacing w:before="0" w:after="0"/>
        <w:ind w:left="859" w:right="0" w:hanging="0"/>
        <w:jc w:val="left"/>
        <w:rPr>
          <w:caps w:val="false"/>
          <w:smallCaps w:val="false"/>
        </w:rPr>
      </w:pPr>
      <w:r>
        <w:rPr>
          <w:caps w:val="false"/>
          <w:smallCaps w:val="false"/>
        </w:rPr>
        <w:t> </w:t>
      </w:r>
    </w:p>
    <w:p>
      <w:pPr>
        <w:pStyle w:val="TextBody"/>
        <w:bidi w:val="0"/>
        <w:spacing w:before="0" w:after="0"/>
        <w:ind w:left="139" w:right="17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Term Loan Commitments</w:t>
      </w:r>
      <w:r>
        <w:rPr>
          <w:rFonts w:ascii="Times New Roman;Times;Serif" w:hAnsi="Times New Roman;Times;Serif"/>
          <w:b w:val="false"/>
          <w:i w:val="false"/>
          <w:caps w:val="false"/>
          <w:smallCaps w:val="false"/>
          <w:sz w:val="20"/>
        </w:rPr>
        <w:t>” has the meaning specified in Section 2.11.</w:t>
      </w:r>
    </w:p>
    <w:p>
      <w:pPr>
        <w:pStyle w:val="TextBody"/>
        <w:bidi w:val="0"/>
        <w:spacing w:before="0" w:after="0"/>
        <w:ind w:left="860" w:right="0" w:hanging="0"/>
        <w:jc w:val="left"/>
        <w:rPr>
          <w:caps w:val="false"/>
          <w:smallCaps w:val="false"/>
        </w:rPr>
      </w:pPr>
      <w:r>
        <w:rPr>
          <w:caps w:val="false"/>
          <w:smallCaps w:val="false"/>
        </w:rPr>
        <w:t> </w:t>
      </w:r>
    </w:p>
    <w:p>
      <w:pPr>
        <w:pStyle w:val="TextBody"/>
        <w:bidi w:val="0"/>
        <w:spacing w:before="0" w:after="0"/>
        <w:ind w:left="139" w:right="17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Term Loan Exposure</w:t>
      </w:r>
      <w:r>
        <w:rPr>
          <w:rFonts w:ascii="Times New Roman;Times;Serif" w:hAnsi="Times New Roman;Times;Serif"/>
          <w:b w:val="false"/>
          <w:i w:val="false"/>
          <w:caps w:val="false"/>
          <w:smallCaps w:val="false"/>
          <w:sz w:val="20"/>
        </w:rPr>
        <w:t>” shall mean, with respect to any Lender, as of any date of determination, the sum of (a) such Lender’s undrawn Incremental Term Loan Commitment and (b) the aggregate outstanding principal amount of the Incremental Term Loans of such Lender.</w:t>
      </w:r>
    </w:p>
    <w:p>
      <w:pPr>
        <w:pStyle w:val="TextBody"/>
        <w:bidi w:val="0"/>
        <w:spacing w:before="0" w:after="0"/>
        <w:ind w:left="140" w:right="0" w:hanging="0"/>
        <w:jc w:val="left"/>
        <w:rPr>
          <w:caps w:val="false"/>
          <w:smallCaps w:val="false"/>
        </w:rPr>
      </w:pPr>
      <w:r>
        <w:rPr>
          <w:caps w:val="false"/>
          <w:smallCaps w:val="false"/>
        </w:rPr>
        <w:t> </w:t>
      </w:r>
    </w:p>
    <w:p>
      <w:pPr>
        <w:pStyle w:val="TextBody"/>
        <w:bidi w:val="0"/>
        <w:spacing w:before="0" w:after="0"/>
        <w:ind w:left="139" w:right="17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Term Loan Lender</w:t>
      </w:r>
      <w:r>
        <w:rPr>
          <w:rFonts w:ascii="Times New Roman;Times;Serif" w:hAnsi="Times New Roman;Times;Serif"/>
          <w:b w:val="false"/>
          <w:i w:val="false"/>
          <w:caps w:val="false"/>
          <w:smallCaps w:val="false"/>
          <w:sz w:val="20"/>
        </w:rPr>
        <w:t>” has the meaning specified in Section 2.11.</w:t>
      </w:r>
    </w:p>
    <w:p>
      <w:pPr>
        <w:pStyle w:val="TextBody"/>
        <w:bidi w:val="0"/>
        <w:spacing w:before="0" w:after="0"/>
        <w:ind w:left="139" w:right="170" w:firstLine="720"/>
        <w:jc w:val="both"/>
        <w:rPr>
          <w:caps w:val="false"/>
          <w:smallCaps w:val="false"/>
        </w:rPr>
      </w:pPr>
      <w:r>
        <w:rPr>
          <w:caps w:val="false"/>
          <w:smallCaps w:val="false"/>
        </w:rPr>
        <w:t> </w:t>
      </w:r>
    </w:p>
    <w:p>
      <w:pPr>
        <w:pStyle w:val="TextBody"/>
        <w:bidi w:val="0"/>
        <w:spacing w:before="0" w:after="0"/>
        <w:ind w:left="139" w:right="17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Term Loans</w:t>
      </w:r>
      <w:r>
        <w:rPr>
          <w:rFonts w:ascii="Times New Roman;Times;Serif" w:hAnsi="Times New Roman;Times;Serif"/>
          <w:b w:val="false"/>
          <w:i w:val="false"/>
          <w:caps w:val="false"/>
          <w:smallCaps w:val="false"/>
          <w:sz w:val="20"/>
        </w:rPr>
        <w:t>” has the meaning specified in Section 2.11.</w:t>
      </w:r>
    </w:p>
    <w:p>
      <w:pPr>
        <w:pStyle w:val="TextBody"/>
        <w:bidi w:val="0"/>
        <w:spacing w:before="0" w:after="0"/>
        <w:ind w:left="860" w:right="1577"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26"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shall mean all indebtedness and liabilities (including without limitation  principal, interest (including without limitation interest accruing at the then applicable rate provided in this Agreement or any other applicable Loan Document after an applicable maturity date and interest accruing at the then applicable rate provided in this Agreement or any other applicable Loan Document after the filing of any petition in bankruptcy, or the commencement of any insolvency, reorganization or like proceeding, relating to the Credit Parties whether or not a claim for post-filing or post-petition interest is allowed in such proceeding), fees, prepayment premiums (including the Prepayment Premium), expenses, indemnification and other charges) arising under this Agreement or any of the other Loan Documents, whether direct or indirect, absolute or contingent, of any Credit Party to any of the Lenders or Affiliates thereof or to the Agent, in any manner and at any time, whether arising under this Agreement, the Guaranty or any of the other Loan Documents due or hereafter  to become due, now owing or that may hereafter be incurred by any Credit Party to any of the Lenders or Affiliates thereof or to the Agent, in each case whether or not reduced to judgment, with interest according to the rates and terms specified, and any and all consolidations, amendments, renewals, replacements, substitutions or extensions of any of the foregoing; provided, however that for purposes of calculating the Indebtedness outstanding under this Agreement or any of the other Loan Documents, the direct and indirect and absolute and contingent obligations of the Credit Parties (whether direct or contingent) shall be determined without duplication. Without limiting the generality of the foregoing, the Indebtedness of  each Credit Party under the Loan Documents includes the obligation of such Person to reimburse any amount in respect of any of the foregoing that any Agent or any Lender (in its sole discretion) may elect to pay or advance on behalf of such Person.</w:t>
      </w:r>
    </w:p>
    <w:p>
      <w:pPr>
        <w:pStyle w:val="TextBody"/>
        <w:bidi w:val="0"/>
        <w:spacing w:before="0" w:after="0"/>
        <w:ind w:left="140" w:right="126" w:firstLine="720"/>
        <w:jc w:val="both"/>
        <w:rPr>
          <w:caps w:val="false"/>
          <w:smallCaps w:val="false"/>
        </w:rPr>
      </w:pPr>
      <w:r>
        <w:rPr>
          <w:caps w:val="false"/>
          <w:smallCaps w:val="false"/>
        </w:rPr>
        <w:t> </w:t>
      </w:r>
    </w:p>
    <w:p>
      <w:pPr>
        <w:pStyle w:val="TextBody"/>
        <w:bidi w:val="0"/>
        <w:spacing w:before="0" w:after="0"/>
        <w:ind w:left="140" w:right="17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Indemnified Liabilities</w:t>
      </w:r>
      <w:r>
        <w:rPr>
          <w:rFonts w:ascii="Times New Roman;Times;Serif" w:hAnsi="Times New Roman;Times;Serif"/>
          <w:b w:val="false"/>
          <w:i w:val="false"/>
          <w:caps w:val="false"/>
          <w:smallCaps w:val="false"/>
          <w:sz w:val="20"/>
        </w:rPr>
        <w:t>” shall mean, collectively, any and all liabilities, obligations, losses, damages, penalties, claims, costs, expenses and disbursements of any kind or nature whatsoever (including the reasonable fees and disbursements of (i) one outside counsel for the Agent and (ii) one outside counsel for the Lenders taken as a whole (absent a conflict of interest (in which case, each group of similarly situated and conflicted Lenders may engage and be reimbursed for an additional firm of outside counsel) and if necessary, one local counsel in each relevant jurisdiction and such specialist counsel as the Agent or the Lenders may reasonably determine (and in the case of a conflict of interest, one additional local counsel or specialist counsel for the Agent or each group of similarly situated and conflicted Lenders)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the use or proposed use of the proceeds therefrom; (iii) any actual or alleged presence or release of Hazardous Materials on or from any property owned or operated by the Borrower or any of its Subsidiaries, or any environmental liability related in any way to the Borrower or any of its Subsidiaries; (iv) any actual or prospective claim, litigation, investigation or proceeding relating to any of the foregoing, whether based on contract, tort or any other theory, whether brought by a third party or by the Borrower, and regardless of whether any Indemnitee is a party thereto; and (v) any fees or expenses incurred by Indemnitees in enforcing this indemnity), whether direct, indirect or consequential and whether based on any federal, state or foreign laws, statutes, rules or regulations, on common law or equitable cause or on contract or otherwise, that may be imposed on, incurred by, or asserted against any such Indemnitee, in any manner relating to or arising out of this Agreement or the other Loan Documents or the transactions contemplated hereby or thereby (including the Lenders’ agreement to make Loans or the use or intended use of the proceeds thereof, or any enforcement of any of the Loan Documents (including any sale of, collection from, or other realization upon any of the Collateral or the enforcement of the Guaranty)).</w:t>
      </w:r>
    </w:p>
    <w:p>
      <w:pPr>
        <w:pStyle w:val="TextBody"/>
        <w:bidi w:val="0"/>
        <w:spacing w:before="0" w:after="0"/>
        <w:ind w:left="140" w:right="17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7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Indemnified Taxes</w:t>
      </w:r>
      <w:r>
        <w:rPr>
          <w:rFonts w:ascii="Times New Roman;Times;Serif" w:hAnsi="Times New Roman;Times;Serif"/>
          <w:b w:val="false"/>
          <w:i w:val="false"/>
          <w:caps w:val="false"/>
          <w:smallCaps w:val="false"/>
          <w:sz w:val="20"/>
        </w:rPr>
        <w:t>” shall mean (a) Taxes, other than Excluded Taxes, imposed on or with respect to any payment made by or on account of any obligation of any Credit Party under any Loan Document and (b) to the extent not otherwise described in (a), Other Taxes.</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Indemnitee</w:t>
      </w:r>
      <w:r>
        <w:rPr>
          <w:rFonts w:ascii="Times New Roman;Times;Serif" w:hAnsi="Times New Roman;Times;Serif"/>
          <w:b w:val="false"/>
          <w:i w:val="false"/>
          <w:caps w:val="false"/>
          <w:smallCaps w:val="false"/>
          <w:sz w:val="20"/>
        </w:rPr>
        <w:t>” shall have the meaning assigned to such term in Section 12.4(b).</w:t>
      </w:r>
    </w:p>
    <w:p>
      <w:pPr>
        <w:pStyle w:val="TextBody"/>
        <w:bidi w:val="0"/>
        <w:spacing w:before="0" w:after="0"/>
        <w:ind w:left="860" w:right="0" w:hanging="0"/>
        <w:jc w:val="left"/>
        <w:rPr>
          <w:caps w:val="false"/>
          <w:smallCaps w:val="false"/>
        </w:rPr>
      </w:pPr>
      <w:r>
        <w:rPr>
          <w:caps w:val="false"/>
          <w:smallCaps w:val="false"/>
        </w:rPr>
        <w:t> </w:t>
      </w:r>
    </w:p>
    <w:p>
      <w:pPr>
        <w:pStyle w:val="TextBody"/>
        <w:bidi w:val="0"/>
        <w:spacing w:before="0" w:after="0"/>
        <w:ind w:left="140" w:right="13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Initial Loan Exchange</w:t>
      </w:r>
      <w:r>
        <w:rPr>
          <w:rFonts w:ascii="Times New Roman;Times;Serif" w:hAnsi="Times New Roman;Times;Serif"/>
          <w:b w:val="false"/>
          <w:i w:val="false"/>
          <w:caps w:val="false"/>
          <w:smallCaps w:val="false"/>
          <w:sz w:val="20"/>
        </w:rPr>
        <w:t>” has the meaning specified therefor in the recitals to this Agreement.</w:t>
      </w:r>
    </w:p>
    <w:p>
      <w:pPr>
        <w:pStyle w:val="TextBody"/>
        <w:bidi w:val="0"/>
        <w:spacing w:before="0" w:after="0"/>
        <w:ind w:left="860" w:right="0" w:hanging="0"/>
        <w:jc w:val="left"/>
        <w:rPr>
          <w:caps w:val="false"/>
          <w:smallCaps w:val="false"/>
        </w:rPr>
      </w:pPr>
      <w:r>
        <w:rPr>
          <w:caps w:val="false"/>
          <w:smallCaps w:val="false"/>
        </w:rPr>
        <w:t> </w:t>
      </w:r>
    </w:p>
    <w:p>
      <w:pPr>
        <w:pStyle w:val="TextBody"/>
        <w:bidi w:val="0"/>
        <w:spacing w:before="0" w:after="0"/>
        <w:ind w:left="140" w:right="13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Insolvency Proceeding</w:t>
      </w:r>
      <w:r>
        <w:rPr>
          <w:rFonts w:ascii="Times New Roman;Times;Serif" w:hAnsi="Times New Roman;Times;Serif"/>
          <w:b w:val="false"/>
          <w:i w:val="false"/>
          <w:caps w:val="false"/>
          <w:smallCaps w:val="false"/>
          <w:sz w:val="20"/>
        </w:rPr>
        <w:t>” shall mean any proceeding commenced by or against any Person under any provision of any Debtor Relief Law.</w:t>
      </w:r>
    </w:p>
    <w:p>
      <w:pPr>
        <w:pStyle w:val="TextBody"/>
        <w:bidi w:val="0"/>
        <w:spacing w:before="0" w:after="0"/>
        <w:ind w:left="140" w:right="0" w:hanging="0"/>
        <w:jc w:val="left"/>
        <w:rPr>
          <w:caps w:val="false"/>
          <w:smallCaps w:val="false"/>
        </w:rPr>
      </w:pPr>
      <w:r>
        <w:rPr>
          <w:caps w:val="false"/>
          <w:smallCaps w:val="false"/>
        </w:rPr>
        <w:t> </w:t>
      </w:r>
    </w:p>
    <w:p>
      <w:pPr>
        <w:pStyle w:val="TextBody"/>
        <w:bidi w:val="0"/>
        <w:spacing w:before="0" w:after="0"/>
        <w:ind w:left="140" w:right="17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shall have the meaning assigned to such term in the Security Agreement.</w:t>
      </w:r>
    </w:p>
    <w:p>
      <w:pPr>
        <w:pStyle w:val="TextBody"/>
        <w:bidi w:val="0"/>
        <w:spacing w:before="0" w:after="0"/>
        <w:ind w:left="140" w:right="170" w:firstLine="720"/>
        <w:jc w:val="both"/>
        <w:rPr>
          <w:caps w:val="false"/>
          <w:smallCaps w:val="false"/>
        </w:rPr>
      </w:pPr>
      <w:r>
        <w:rPr>
          <w:caps w:val="false"/>
          <w:smallCaps w:val="false"/>
        </w:rPr>
        <w:t> </w:t>
      </w:r>
    </w:p>
    <w:p>
      <w:pPr>
        <w:pStyle w:val="TextBody"/>
        <w:bidi w:val="0"/>
        <w:spacing w:before="0" w:after="0"/>
        <w:ind w:left="140" w:right="139"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Intercompany License Agreement</w:t>
      </w:r>
      <w:r>
        <w:rPr>
          <w:rFonts w:ascii="Times New Roman;Times;Serif" w:hAnsi="Times New Roman;Times;Serif"/>
          <w:b w:val="false"/>
          <w:i w:val="false"/>
          <w:caps w:val="false"/>
          <w:smallCaps w:val="false"/>
          <w:sz w:val="20"/>
        </w:rPr>
        <w:t>” shall mean that certain License Agreement entered into on September 12, 2019, between the Borrower and Rent the Runway Limited.</w:t>
      </w:r>
    </w:p>
    <w:p>
      <w:pPr>
        <w:pStyle w:val="TextBody"/>
        <w:bidi w:val="0"/>
        <w:spacing w:before="0" w:after="0"/>
        <w:ind w:left="140" w:right="139" w:firstLine="720"/>
        <w:jc w:val="both"/>
        <w:rPr>
          <w:caps w:val="false"/>
          <w:smallCaps w:val="false"/>
        </w:rPr>
      </w:pPr>
      <w:r>
        <w:rPr>
          <w:caps w:val="false"/>
          <w:smallCaps w:val="false"/>
        </w:rPr>
        <w:t> </w:t>
      </w:r>
    </w:p>
    <w:p>
      <w:pPr>
        <w:pStyle w:val="TextBody"/>
        <w:bidi w:val="0"/>
        <w:spacing w:before="0" w:after="0"/>
        <w:ind w:left="140" w:right="13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Intercompany Note</w:t>
      </w:r>
      <w:r>
        <w:rPr>
          <w:rFonts w:ascii="Times New Roman;Times;Serif" w:hAnsi="Times New Roman;Times;Serif"/>
          <w:b w:val="false"/>
          <w:i w:val="false"/>
          <w:caps w:val="false"/>
          <w:smallCaps w:val="false"/>
          <w:sz w:val="20"/>
        </w:rPr>
        <w:t>” shall mean any promissory note issued or to be issued by any Credit Party to evidence an intercompany loan in form and substance satisfactory to the Agent.</w:t>
      </w:r>
    </w:p>
    <w:p>
      <w:pPr>
        <w:pStyle w:val="TextBody"/>
        <w:bidi w:val="0"/>
        <w:spacing w:before="0" w:after="0"/>
        <w:ind w:left="140" w:right="133" w:firstLine="720"/>
        <w:jc w:val="both"/>
        <w:rPr>
          <w:caps w:val="false"/>
          <w:smallCaps w:val="false"/>
        </w:rPr>
      </w:pPr>
      <w:r>
        <w:rPr>
          <w:caps w:val="false"/>
          <w:smallCaps w:val="false"/>
        </w:rPr>
        <w:t> </w:t>
      </w:r>
    </w:p>
    <w:p>
      <w:pPr>
        <w:pStyle w:val="TextBody"/>
        <w:bidi w:val="0"/>
        <w:spacing w:before="0" w:after="0"/>
        <w:ind w:left="140" w:right="13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 Capitalization</w:t>
      </w:r>
      <w:r>
        <w:rPr>
          <w:rFonts w:ascii="Times New Roman;Times;Serif" w:hAnsi="Times New Roman;Times;Serif"/>
          <w:b w:val="false"/>
          <w:i w:val="false"/>
          <w:caps w:val="false"/>
          <w:smallCaps w:val="false"/>
          <w:sz w:val="20"/>
        </w:rPr>
        <w:t>” has the meaning specified therefor in the recitals to this Agreement.</w:t>
      </w:r>
    </w:p>
    <w:p>
      <w:pPr>
        <w:pStyle w:val="TextBody"/>
        <w:bidi w:val="0"/>
        <w:spacing w:before="0" w:after="0"/>
        <w:ind w:left="140" w:right="133" w:firstLine="720"/>
        <w:jc w:val="both"/>
        <w:rPr>
          <w:caps w:val="false"/>
          <w:smallCaps w:val="false"/>
        </w:rPr>
      </w:pPr>
      <w:r>
        <w:rPr>
          <w:caps w:val="false"/>
          <w:smallCaps w:val="false"/>
        </w:rPr>
        <w:t> </w:t>
      </w:r>
    </w:p>
    <w:p>
      <w:pPr>
        <w:pStyle w:val="TextBody"/>
        <w:bidi w:val="0"/>
        <w:spacing w:before="0" w:after="0"/>
        <w:ind w:left="140" w:right="13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 Payment Date</w:t>
      </w:r>
      <w:r>
        <w:rPr>
          <w:rFonts w:ascii="Times New Roman;Times;Serif" w:hAnsi="Times New Roman;Times;Serif"/>
          <w:b w:val="false"/>
          <w:i w:val="false"/>
          <w:caps w:val="false"/>
          <w:smallCaps w:val="false"/>
          <w:sz w:val="20"/>
        </w:rPr>
        <w:t>” shall mean with respect to (a) any Loan that is a Reference Rate Loan, the first  Business  Day occurring after  the end of  each Fiscal  Quarter  and (b) any Loan that is a SOFR Loan, the first Business Day following the last day of each Interest Period applicable to such Loan.</w:t>
      </w:r>
    </w:p>
    <w:p>
      <w:pPr>
        <w:pStyle w:val="TextBody"/>
        <w:bidi w:val="0"/>
        <w:spacing w:before="0" w:after="0"/>
        <w:ind w:left="140" w:right="0" w:hanging="0"/>
        <w:jc w:val="left"/>
        <w:rPr>
          <w:caps w:val="false"/>
          <w:smallCaps w:val="false"/>
        </w:rPr>
      </w:pPr>
      <w:r>
        <w:rPr>
          <w:caps w:val="false"/>
          <w:smallCaps w:val="false"/>
        </w:rPr>
        <w:t> </w:t>
      </w:r>
    </w:p>
    <w:p>
      <w:pPr>
        <w:pStyle w:val="TextBody"/>
        <w:bidi w:val="0"/>
        <w:spacing w:before="0" w:after="0"/>
        <w:ind w:left="139" w:right="148"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 Period</w:t>
      </w:r>
      <w:r>
        <w:rPr>
          <w:rFonts w:ascii="Times New Roman;Times;Serif" w:hAnsi="Times New Roman;Times;Serif"/>
          <w:b w:val="false"/>
          <w:i w:val="false"/>
          <w:caps w:val="false"/>
          <w:smallCaps w:val="false"/>
          <w:sz w:val="20"/>
        </w:rPr>
        <w:t>” shall mean, with respect to each SOFR Loan, a period commencing on the date of the making of such SOFR Loan (or the continuation of a SOFR Loan or the conversion of a Reference Rate Loan to a SOFR Loan) and ending three (3) months thereafter (in each case, subject to  the availability thereof); provided, however, that (a) if any Interest Period would end on a day that is not  a Business Day, such Interest Period shall be extended (subject to clauses (c)-(e) below) to the next succeeding Business Day, (b) interest shall accrue at the applicable rate based upon Adjusted Term  SOFR from and including the first day of each Interest Period to, but excluding, the day on which any Interest Period expires, (c) any Interest Period that would end on a day that is not a Business Day shall be extended to the next succeeding Business Day unless such Business Day falls in another calendar month, in which case such Interest Period shall end on the next preceding Business Day, (d) with respect to an Interest Period that begins on the last Business Day of a calendar month (or on a day for which there is  no numerically corresponding day in the calendar month at the end of such Interest Period), the Interest Period shall end on the last Business Day of the calendar month that is three (3) months after the date on which the Interest Period began, as applicable, (e) the Borrower may not elect an Interest Period which will end after the Maturity Date and (f) no tenor that has been removed from this definition pursuant to Section 2.12(g)(iv) shall be available for specification in such Request for Loan or SOFR Notice.</w:t>
      </w:r>
    </w:p>
    <w:p>
      <w:pPr>
        <w:pStyle w:val="TextBody"/>
        <w:bidi w:val="0"/>
        <w:spacing w:before="0" w:after="0"/>
        <w:ind w:left="139" w:right="148" w:firstLine="72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Internal Revenue Code</w:t>
      </w:r>
      <w:r>
        <w:rPr>
          <w:rFonts w:ascii="Times New Roman;Times;Serif" w:hAnsi="Times New Roman;Times;Serif"/>
          <w:b w:val="false"/>
          <w:i w:val="false"/>
          <w:caps w:val="false"/>
          <w:smallCaps w:val="false"/>
          <w:sz w:val="20"/>
        </w:rPr>
        <w:t>” shall mean the Internal Revenue Code of 1986 of the United States of America, as amended from time to time, and the regulations promulgated thereunder.</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Inventory</w:t>
      </w:r>
      <w:r>
        <w:rPr>
          <w:rFonts w:ascii="Times New Roman;Times;Serif" w:hAnsi="Times New Roman;Times;Serif"/>
          <w:b w:val="false"/>
          <w:i w:val="false"/>
          <w:caps w:val="false"/>
          <w:smallCaps w:val="false"/>
          <w:sz w:val="20"/>
        </w:rPr>
        <w:t>” shall mean any inventory as defined under the UCC.</w:t>
      </w:r>
    </w:p>
    <w:p>
      <w:pPr>
        <w:pStyle w:val="TextBody"/>
        <w:bidi w:val="0"/>
        <w:spacing w:before="0" w:after="0"/>
        <w:ind w:left="860" w:right="0" w:hanging="0"/>
        <w:jc w:val="left"/>
        <w:rPr>
          <w:caps w:val="false"/>
          <w:smallCaps w:val="false"/>
        </w:rPr>
      </w:pPr>
      <w:r>
        <w:rPr>
          <w:caps w:val="false"/>
          <w:smallCaps w:val="false"/>
        </w:rPr>
        <w:t> </w:t>
      </w:r>
    </w:p>
    <w:p>
      <w:pPr>
        <w:pStyle w:val="TextBody"/>
        <w:bidi w:val="0"/>
        <w:spacing w:before="0" w:after="0"/>
        <w:ind w:left="140" w:right="17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Investment</w:t>
      </w:r>
      <w:r>
        <w:rPr>
          <w:rFonts w:ascii="Times New Roman;Times;Serif" w:hAnsi="Times New Roman;Times;Serif"/>
          <w:b w:val="false"/>
          <w:i w:val="false"/>
          <w:caps w:val="false"/>
          <w:smallCaps w:val="false"/>
          <w:sz w:val="20"/>
        </w:rPr>
        <w:t>” shall mean, when used with respect to any Person, (a) any loan, investment or advance made by such Person to any other Person (including, without limitation, any Guarantee Obligation) in respect of any Equity Interest, Debt, obligation or liability of such other Person, (b) the purchase or other acquisition by such Person, or other obligation for the purchase of, all or substantially</w:t>
      </w:r>
    </w:p>
    <w:p>
      <w:pPr>
        <w:pStyle w:val="TextBody"/>
        <w:bidi w:val="0"/>
        <w:spacing w:before="0" w:after="0"/>
        <w:ind w:left="140" w:right="17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5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or any material portion of the assets or business interests or a division or line of business or other business unit of any Person or any business or going concern, and (c) any other investment made by such Person (however acquired) in Equity Interests in any other Person, including, without limitation, any investment made in exchange for the issuance of Equity Interest of such Person and any investment made as a capital contribution to such other Person.</w:t>
      </w:r>
    </w:p>
    <w:p>
      <w:pPr>
        <w:pStyle w:val="TextBody"/>
        <w:bidi w:val="0"/>
        <w:spacing w:before="0" w:after="0"/>
        <w:ind w:left="140" w:right="154" w:hanging="0"/>
        <w:jc w:val="both"/>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Joinder Agreement</w:t>
      </w:r>
      <w:r>
        <w:rPr>
          <w:rFonts w:ascii="Times New Roman;Times;Serif" w:hAnsi="Times New Roman;Times;Serif"/>
          <w:b w:val="false"/>
          <w:i w:val="false"/>
          <w:caps w:val="false"/>
          <w:smallCaps w:val="false"/>
          <w:sz w:val="20"/>
        </w:rPr>
        <w:t>” shall have the meaning set forth in Section 2.11.</w:t>
      </w:r>
    </w:p>
    <w:p>
      <w:pPr>
        <w:pStyle w:val="TextBody"/>
        <w:bidi w:val="0"/>
        <w:spacing w:before="0" w:after="0"/>
        <w:ind w:left="860" w:right="0" w:hanging="0"/>
        <w:jc w:val="left"/>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Lenders</w:t>
      </w:r>
      <w:r>
        <w:rPr>
          <w:rFonts w:ascii="Times New Roman;Times;Serif" w:hAnsi="Times New Roman;Times;Serif"/>
          <w:b w:val="false"/>
          <w:i w:val="false"/>
          <w:caps w:val="false"/>
          <w:smallCaps w:val="false"/>
          <w:sz w:val="20"/>
        </w:rPr>
        <w:t>” shall have the meaning set forth in the preamble and any assignee which becomes a Lender pursuant to Section 12.7 hereof.</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40" w:right="12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shall mean any security interest in or lien on or against any property arising from any pledge, assignment, hypothecation, mortgage, security interest, deposit arrangement, trust receipt, conditional sale or title retaining contract, sale and leaseback transaction, Capitalized Lease, consignment or bailment for security, or any other type of lien, charge, encumbrance, title exception, preferential or priority arrangement affecting property (including with respect to stock, any stockholder agreements, voting rights agreements, buy-back agreements and all similar arrangements), whether based on common law or statute.</w:t>
      </w:r>
    </w:p>
    <w:p>
      <w:pPr>
        <w:pStyle w:val="TextBody"/>
        <w:bidi w:val="0"/>
        <w:spacing w:before="0" w:after="0"/>
        <w:ind w:left="140" w:right="120" w:firstLine="720"/>
        <w:jc w:val="both"/>
        <w:rPr>
          <w:caps w:val="false"/>
          <w:smallCaps w:val="false"/>
        </w:rPr>
      </w:pPr>
      <w:r>
        <w:rPr>
          <w:caps w:val="false"/>
          <w:smallCaps w:val="false"/>
        </w:rPr>
        <w:t> </w:t>
      </w:r>
    </w:p>
    <w:p>
      <w:pPr>
        <w:pStyle w:val="TextBody"/>
        <w:bidi w:val="0"/>
        <w:spacing w:before="0" w:after="0"/>
        <w:ind w:left="140" w:right="122" w:firstLine="720"/>
        <w:jc w:val="both"/>
        <w:rPr>
          <w:caps w:val="false"/>
          <w:smallCaps w:val="false"/>
          <w:strike/>
          <w:color w:val="FF0000"/>
        </w:rPr>
      </w:pPr>
      <w:r>
        <w:rPr>
          <w:caps w:val="false"/>
          <w:smallCaps w:val="false"/>
          <w:strike/>
          <w:color w:val="FF0000"/>
        </w:rPr>
        <w:t>“</w:t>
      </w:r>
      <w:r>
        <w:rPr>
          <w:rFonts w:ascii="Times New Roman;Times;Serif" w:hAnsi="Times New Roman;Times;Serif"/>
          <w:b/>
          <w:i w:val="false"/>
          <w:caps w:val="false"/>
          <w:smallCaps w:val="false"/>
          <w:strike/>
          <w:color w:val="FF0000"/>
          <w:sz w:val="20"/>
        </w:rPr>
        <w:t>Liquidity</w:t>
      </w:r>
      <w:r>
        <w:rPr>
          <w:rFonts w:ascii="Times New Roman;Times;Serif" w:hAnsi="Times New Roman;Times;Serif"/>
          <w:b w:val="false"/>
          <w:i w:val="false"/>
          <w:caps w:val="false"/>
          <w:smallCaps w:val="false"/>
          <w:strike/>
          <w:color w:val="FF0000"/>
          <w:sz w:val="20"/>
        </w:rPr>
        <w:t>” shall mean an amount equal to the sum of (a) Qualified Cash plus (b) Qualified Cash Equivalents plus (c) availability under the Senior Credit Agreement.</w:t>
      </w:r>
    </w:p>
    <w:p>
      <w:pPr>
        <w:pStyle w:val="TextBody"/>
        <w:bidi w:val="0"/>
        <w:spacing w:before="0" w:after="0"/>
        <w:ind w:left="140" w:right="122" w:firstLine="720"/>
        <w:jc w:val="both"/>
        <w:rPr>
          <w:caps w:val="false"/>
          <w:smallCaps w:val="false"/>
          <w:color w:val="FF0000"/>
        </w:rPr>
      </w:pPr>
      <w:r>
        <w:rPr>
          <w:caps w:val="false"/>
          <w:smallCaps w:val="false"/>
          <w:color w:val="FF0000"/>
        </w:rPr>
        <w:t> </w:t>
      </w:r>
    </w:p>
    <w:p>
      <w:pPr>
        <w:pStyle w:val="TextBody"/>
        <w:bidi w:val="0"/>
        <w:spacing w:before="0" w:after="0"/>
        <w:ind w:left="86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Loan</w:t>
      </w:r>
      <w:r>
        <w:rPr>
          <w:rFonts w:ascii="Times New Roman;Times;Serif" w:hAnsi="Times New Roman;Times;Serif"/>
          <w:b w:val="false"/>
          <w:i w:val="false"/>
          <w:caps w:val="false"/>
          <w:smallCaps w:val="false"/>
          <w:sz w:val="20"/>
        </w:rPr>
        <w:t>” shall mean a Term Loan.</w:t>
      </w:r>
    </w:p>
    <w:p>
      <w:pPr>
        <w:pStyle w:val="TextBody"/>
        <w:bidi w:val="0"/>
        <w:spacing w:before="0" w:after="0"/>
        <w:ind w:left="860" w:right="0" w:hanging="0"/>
        <w:jc w:val="left"/>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Loan Account</w:t>
      </w:r>
      <w:r>
        <w:rPr>
          <w:rFonts w:ascii="Times New Roman;Times;Serif" w:hAnsi="Times New Roman;Times;Serif"/>
          <w:b w:val="false"/>
          <w:i w:val="false"/>
          <w:caps w:val="false"/>
          <w:smallCaps w:val="false"/>
          <w:sz w:val="20"/>
        </w:rPr>
        <w:t>” shall mean an account maintained hereunder by the Agent on its books of account at the Principal Office and with respect to the Borrower, in which it will be charged with all Loans made to, and all other Indebtedness incurred by the Credit Parties.</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40" w:right="17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Loan Documents</w:t>
      </w:r>
      <w:r>
        <w:rPr>
          <w:rFonts w:ascii="Times New Roman;Times;Serif" w:hAnsi="Times New Roman;Times;Serif"/>
          <w:b w:val="false"/>
          <w:i w:val="false"/>
          <w:caps w:val="false"/>
          <w:smallCaps w:val="false"/>
          <w:sz w:val="20"/>
        </w:rPr>
        <w:t>” shall mean, collectively, this Agreement, the Fee Letter, the Notes (if issued), the Disbursement Letter, the Guaranty, the Specified Subordination Agreement (if any), the Subordination Agreements, the Collateral Documents, the Perfection Certificate and any other documents, certificates or agreements that are executed and required to be delivered pursuant to any of the foregoing documents, as such documents may be amended, restated or otherwise modified from time to time.</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ind w:left="140" w:right="17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Majority Lenders</w:t>
      </w:r>
      <w:r>
        <w:rPr>
          <w:rFonts w:ascii="Times New Roman;Times;Serif" w:hAnsi="Times New Roman;Times;Serif"/>
          <w:b w:val="false"/>
          <w:i w:val="false"/>
          <w:caps w:val="false"/>
          <w:smallCaps w:val="false"/>
          <w:sz w:val="20"/>
        </w:rPr>
        <w:t>” shall mean, collectively, Lenders whose Pro Rata Share (calculated in accordance with clause (b) of the definition thereof) aggregate at least 50.1%. The Commitments of, and portion of the Indebtedness attributable to, any Defaulting Lender shall be excluded for purposes of making a determination of “Majority Lenders”.</w:t>
      </w:r>
    </w:p>
    <w:p>
      <w:pPr>
        <w:pStyle w:val="TextBody"/>
        <w:bidi w:val="0"/>
        <w:spacing w:before="0" w:after="0"/>
        <w:ind w:left="140" w:right="170" w:firstLine="720"/>
        <w:jc w:val="both"/>
        <w:rPr>
          <w:caps w:val="false"/>
          <w:smallCaps w:val="false"/>
        </w:rPr>
      </w:pPr>
      <w:r>
        <w:rPr>
          <w:caps w:val="false"/>
          <w:smallCaps w:val="false"/>
        </w:rPr>
        <w:t> </w:t>
      </w:r>
    </w:p>
    <w:p>
      <w:pPr>
        <w:pStyle w:val="TextBody"/>
        <w:bidi w:val="0"/>
        <w:spacing w:before="0" w:after="0"/>
        <w:ind w:left="139" w:right="146"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xml:space="preserve">” shall mean a material adverse effect on and/or material adverse developments with respect to (i) business, operations, assets or financial condition of the Credit Parties taken as a whole, (ii) the prospect of repayment of all or any portion of the Indebtedness or in otherwise timely performing any Credit Party’s obligations under the Loan Documents, (iii) the validity, perfection, value or priority of the Agent’s security interests in the Collateral, (iv) the legality, validity or enforceability of this Agreement and any other Loan Document, or (v) the rights and remedies of Agent or any Lender under any Loan Document;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any determination of Material Adverse Effect to be made on the Restatement Date in connection with the Restatement Date Transactions, “Material Adverse Effect” shall be limited to (1) a “Company Material Adverse Effect” (as</w:t>
      </w:r>
    </w:p>
    <w:p>
      <w:pPr>
        <w:pStyle w:val="TextBody"/>
        <w:bidi w:val="0"/>
        <w:spacing w:before="0" w:after="0"/>
        <w:ind w:left="139" w:right="146"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defined in the Exchange Agreement) and (2) a Material Adverse Effect pursuant to clauses (iii), (iv) or</w:t>
      </w:r>
    </w:p>
    <w:p>
      <w:pPr>
        <w:pStyle w:val="TextBody"/>
        <w:bidi w:val="0"/>
        <w:spacing w:before="0" w:after="0"/>
        <w:ind w:left="14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1021"/>
        <w:gridCol w:w="9051"/>
      </w:tblGrid>
      <w:tr>
        <w:trPr/>
        <w:tc>
          <w:tcPr>
            <w:tcW w:w="13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pPr>
            <w:r>
              <w:rPr/>
              <w:t>(v)</w:t>
            </w:r>
          </w:p>
        </w:tc>
        <w:tc>
          <w:tcPr>
            <w:tcW w:w="9051" w:type="dxa"/>
            <w:tcBorders/>
            <w:vAlign w:val="center"/>
          </w:tcPr>
          <w:p>
            <w:pPr>
              <w:pStyle w:val="TableContents"/>
              <w:bidi w:val="0"/>
              <w:spacing w:before="0" w:after="283"/>
              <w:jc w:val="left"/>
              <w:rPr/>
            </w:pPr>
            <w:r>
              <w:rPr/>
              <w:t>of the foregoing definition.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Contract</w:t>
      </w:r>
      <w:r>
        <w:rPr>
          <w:rFonts w:ascii="Times New Roman;Times;Serif" w:hAnsi="Times New Roman;Times;Serif"/>
          <w:b w:val="false"/>
          <w:i w:val="false"/>
          <w:caps w:val="false"/>
          <w:smallCaps w:val="false"/>
          <w:sz w:val="20"/>
        </w:rPr>
        <w:t>” shall mean any agreement or contract the loss of which would be reasonably likely to result in a Material Adverse Effect; provided that Material Contracts shall not be deemed to include any Pension Plans, collective bargaining agreements, or casualty or liability or other insurance policies maintained in the ordinary course of business.</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39"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shall mean the earlier to occur of (i) October 28, 2029 (or if such date is not a Business Day, the immediately preceding Business Day), and (ii) the date that the Term Loans shall become due and payable in full hereunder, whether by acceleration or otherwise, and all Commitments have been terminated.</w:t>
      </w:r>
    </w:p>
    <w:p>
      <w:pPr>
        <w:pStyle w:val="TextBody"/>
        <w:bidi w:val="0"/>
        <w:spacing w:before="0" w:after="0"/>
        <w:ind w:left="139" w:right="173" w:firstLine="720"/>
        <w:jc w:val="both"/>
        <w:rPr>
          <w:caps w:val="false"/>
          <w:smallCaps w:val="false"/>
        </w:rPr>
      </w:pPr>
      <w:r>
        <w:rPr>
          <w:caps w:val="false"/>
          <w:smallCaps w:val="false"/>
        </w:rPr>
        <w:t> </w:t>
      </w:r>
    </w:p>
    <w:p>
      <w:pPr>
        <w:pStyle w:val="TextBody"/>
        <w:bidi w:val="0"/>
        <w:spacing w:before="0" w:after="0"/>
        <w:ind w:left="140" w:right="17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Mortgages</w:t>
      </w:r>
      <w:r>
        <w:rPr>
          <w:rFonts w:ascii="Times New Roman;Times;Serif" w:hAnsi="Times New Roman;Times;Serif"/>
          <w:b w:val="false"/>
          <w:i w:val="false"/>
          <w:caps w:val="false"/>
          <w:smallCaps w:val="false"/>
          <w:sz w:val="20"/>
        </w:rPr>
        <w:t>” shall mean the mortgages, deeds of trust and any other similar documents related thereto or required thereby executed and delivered after the Restatement Date by the Borrower or a Guarantor pursuant to Section 6.13 hereof or otherwise, each in form and substance satisfactory to the Agent, and “</w:t>
      </w:r>
      <w:r>
        <w:rPr>
          <w:rFonts w:ascii="Times New Roman;Times;Serif" w:hAnsi="Times New Roman;Times;Serif"/>
          <w:b/>
          <w:i w:val="false"/>
          <w:caps w:val="false"/>
          <w:smallCaps w:val="false"/>
          <w:sz w:val="20"/>
        </w:rPr>
        <w:t>Mortgage</w:t>
      </w:r>
      <w:r>
        <w:rPr>
          <w:rFonts w:ascii="Times New Roman;Times;Serif" w:hAnsi="Times New Roman;Times;Serif"/>
          <w:b w:val="false"/>
          <w:i w:val="false"/>
          <w:caps w:val="false"/>
          <w:smallCaps w:val="false"/>
          <w:sz w:val="20"/>
        </w:rPr>
        <w:t>” shall mean any such document, as such documents may be amended, restated or otherwise modified from time to time.</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ind w:left="140" w:right="17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Multiemployer Plan</w:t>
      </w:r>
      <w:r>
        <w:rPr>
          <w:rFonts w:ascii="Times New Roman;Times;Serif" w:hAnsi="Times New Roman;Times;Serif"/>
          <w:b w:val="false"/>
          <w:i w:val="false"/>
          <w:caps w:val="false"/>
          <w:smallCaps w:val="false"/>
          <w:sz w:val="20"/>
        </w:rPr>
        <w:t>” shall mean an employee benefit plan which is a multiemployer plan as defined in Section 4001(a)(3) of ERISA, to which a Credit Party or any of its ERISA Affiliates makes or is obligated to make contributions or with respect to which a Credit Party or any of its ERISA Affiliates has any liability.</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ind w:left="139" w:right="118"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Net Cash Proceeds</w:t>
      </w:r>
      <w:r>
        <w:rPr>
          <w:rFonts w:ascii="Times New Roman;Times;Serif" w:hAnsi="Times New Roman;Times;Serif"/>
          <w:b w:val="false"/>
          <w:i w:val="false"/>
          <w:caps w:val="false"/>
          <w:smallCaps w:val="false"/>
          <w:sz w:val="20"/>
        </w:rPr>
        <w:t xml:space="preserve">” shall mean (a) with respect to any Asset Sale, an amount equal to: (i) cash payments received by any Credit Party from such Asset Sale,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(ii) any documented direct costs incurred in connection with such Asset Sale to the extent paid or payable to non-Affiliates, including (A) income or gains taxes payable by the seller as a result of any gain recognized in connection with such Asset Sale, (B) payment of the outstanding principal amount of, premium or penalty, if any, and interest on any Debt (other than the Indebtedness) that is secured by a Lien on the stock or assets in question and that is required to be repaid under the terms thereof as a result of such Asset Sale, and (C) a reasonable reserve for any indemnification payments (fixed or contingent) attributable to seller’s indemnities and representations and warranties to purchaser in respect of such Asset Sale undertaken by such Credit Party in connection with such Asset Sale;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upon release of any such reserve, the amount released shall be considered Net Cash Proceeds; and (b) with respect to any insurance, condemnation, taking or other casualty proceeds, an amount equal to: (i) any cash payments or proceeds received by any Credit Party (A) under any casualty or business interruption insurance policies in respect of any covered loss thereunder, or (B) as a result of the condemnation or taking of any assets of such Credit Party by any Person pursuant to the power of eminent domain, condemnation or otherwise, or pursuant to a sale of any such assets to a purchaser with such power under threat of such a taking,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(ii) (A) any documented costs incurred by such Credit Party in connection with the adjustment or settlement of any claims of such Credit Party in respect thereof, and (B) any documented direct costs incurred in connection with any sale of such assets as referred to in </w:t>
      </w:r>
      <w:r>
        <w:rPr>
          <w:rFonts w:ascii="Times New Roman;Times;Serif" w:hAnsi="Times New Roman;Times;Serif"/>
          <w:b w:val="false"/>
          <w:i w:val="false"/>
          <w:caps w:val="false"/>
          <w:smallCaps w:val="false"/>
          <w:sz w:val="20"/>
          <w:u w:val="single"/>
        </w:rPr>
        <w:t>clause (b)(i)(B)</w:t>
      </w:r>
      <w:r>
        <w:rPr>
          <w:rFonts w:ascii="Times New Roman;Times;Serif" w:hAnsi="Times New Roman;Times;Serif"/>
          <w:b w:val="false"/>
          <w:i w:val="false"/>
          <w:caps w:val="false"/>
          <w:smallCaps w:val="false"/>
          <w:sz w:val="20"/>
        </w:rPr>
        <w:t xml:space="preserve"> of this definition to the extent paid or payable to non-Affiliates, including income taxes payable as a result of any gain recognized in connection therewith.</w:t>
      </w:r>
    </w:p>
    <w:p>
      <w:pPr>
        <w:pStyle w:val="TextBody"/>
        <w:bidi w:val="0"/>
        <w:spacing w:before="0" w:after="0"/>
        <w:ind w:left="139" w:right="118" w:firstLine="720"/>
        <w:jc w:val="both"/>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Nexus</w:t>
      </w:r>
      <w:r>
        <w:rPr>
          <w:rFonts w:ascii="Times New Roman;Times;Serif" w:hAnsi="Times New Roman;Times;Serif"/>
          <w:b w:val="false"/>
          <w:i w:val="false"/>
          <w:caps w:val="false"/>
          <w:smallCaps w:val="false"/>
          <w:sz w:val="20"/>
        </w:rPr>
        <w:t>” shall mean Nexus Capital Management, L.P.</w:t>
      </w:r>
    </w:p>
    <w:p>
      <w:pPr>
        <w:pStyle w:val="TextBody"/>
        <w:bidi w:val="0"/>
        <w:spacing w:before="0" w:after="0"/>
        <w:ind w:left="86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Non-Consenting Lender</w:t>
      </w:r>
      <w:r>
        <w:rPr>
          <w:rFonts w:ascii="Times New Roman;Times;Serif" w:hAnsi="Times New Roman;Times;Serif"/>
          <w:b w:val="false"/>
          <w:i w:val="false"/>
          <w:caps w:val="false"/>
          <w:smallCaps w:val="false"/>
          <w:sz w:val="20"/>
        </w:rPr>
        <w:t>” shall have the meaning set forth in Section 12.11.</w:t>
      </w:r>
    </w:p>
    <w:p>
      <w:pPr>
        <w:pStyle w:val="TextBody"/>
        <w:bidi w:val="0"/>
        <w:spacing w:before="0" w:after="0"/>
        <w:ind w:left="86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Non-Defaulting Lender</w:t>
      </w:r>
      <w:r>
        <w:rPr>
          <w:rFonts w:ascii="Times New Roman;Times;Serif" w:hAnsi="Times New Roman;Times;Serif"/>
          <w:b w:val="false"/>
          <w:i w:val="false"/>
          <w:caps w:val="false"/>
          <w:smallCaps w:val="false"/>
          <w:sz w:val="20"/>
        </w:rPr>
        <w:t>” shall mean any Lender that is not, as of the date of relevance, a Defaulting Lender.</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40" w:right="137"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shall mean the notes described in Section 2.2 hereof, made by the Borrower to each of the Lenders in the form attached hereto as Exhibit F, as such notes may be amended or supplemented from time to time, and any other notes issued in substitution, replacement or renewal thereof from time to time.</w:t>
      </w:r>
    </w:p>
    <w:p>
      <w:pPr>
        <w:pStyle w:val="TextBody"/>
        <w:bidi w:val="0"/>
        <w:spacing w:before="0" w:after="0"/>
        <w:ind w:left="140" w:right="137" w:firstLine="720"/>
        <w:jc w:val="both"/>
        <w:rPr>
          <w:caps w:val="false"/>
          <w:smallCaps w:val="false"/>
        </w:rPr>
      </w:pPr>
      <w:r>
        <w:rPr>
          <w:caps w:val="false"/>
          <w:smallCaps w:val="false"/>
        </w:rPr>
        <w:t> </w:t>
      </w:r>
    </w:p>
    <w:p>
      <w:pPr>
        <w:pStyle w:val="TextBody"/>
        <w:bidi w:val="0"/>
        <w:spacing w:before="0" w:after="0"/>
        <w:ind w:left="140" w:right="137"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shall mean the U.S. Department of the Treasury’s Office of Foreign Assets Control.</w:t>
      </w:r>
    </w:p>
    <w:p>
      <w:pPr>
        <w:pStyle w:val="TextBody"/>
        <w:bidi w:val="0"/>
        <w:spacing w:before="0" w:after="0"/>
        <w:ind w:left="140" w:right="137" w:firstLine="720"/>
        <w:jc w:val="both"/>
        <w:rPr>
          <w:caps w:val="false"/>
          <w:smallCaps w:val="false"/>
        </w:rPr>
      </w:pPr>
      <w:r>
        <w:rPr>
          <w:caps w:val="false"/>
          <w:smallCaps w:val="false"/>
        </w:rPr>
        <w:t> </w:t>
      </w:r>
    </w:p>
    <w:p>
      <w:pPr>
        <w:pStyle w:val="TextBody"/>
        <w:bidi w:val="0"/>
        <w:spacing w:before="0" w:after="0"/>
        <w:ind w:left="140" w:right="137"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 Balance Sheet Liability(ies)</w:t>
      </w:r>
      <w:r>
        <w:rPr>
          <w:rFonts w:ascii="Times New Roman;Times;Serif" w:hAnsi="Times New Roman;Times;Serif"/>
          <w:b w:val="false"/>
          <w:i w:val="false"/>
          <w:caps w:val="false"/>
          <w:smallCaps w:val="false"/>
          <w:sz w:val="20"/>
        </w:rPr>
        <w:t>” of a Person shall mean (i) any repurchase obligation or liability of such Person with respect to accounts or notes receivables sold by such Person, (ii) any liability under any sale and leaseback transaction which is not a Capitalized Lease, (iii) any liability  under any so-called “synthetic lease” transaction entered into by such Person, or (iv) any obligation arising with respect to any other transaction which is the functional equivalent of Debt or any of the liabilities set forth in subsections (i)-(iii) of this definition, but which does not constitute a liability on the balance sheets of such Person.</w:t>
      </w:r>
    </w:p>
    <w:p>
      <w:pPr>
        <w:pStyle w:val="TextBody"/>
        <w:bidi w:val="0"/>
        <w:spacing w:before="0" w:after="0"/>
        <w:ind w:left="140" w:right="133" w:hanging="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Original Credit Agreement</w:t>
      </w:r>
      <w:r>
        <w:rPr>
          <w:rFonts w:ascii="Times New Roman;Times;Serif" w:hAnsi="Times New Roman;Times;Serif"/>
          <w:b w:val="false"/>
          <w:i w:val="false"/>
          <w:caps w:val="false"/>
          <w:smallCaps w:val="false"/>
          <w:sz w:val="20"/>
        </w:rPr>
        <w:t>” shall have the meaning specified therefor in the recitals to this Agreement.</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40" w:right="174"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Original Effective Date</w:t>
      </w:r>
      <w:r>
        <w:rPr>
          <w:rFonts w:ascii="Times New Roman;Times;Serif" w:hAnsi="Times New Roman;Times;Serif"/>
          <w:b w:val="false"/>
          <w:i w:val="false"/>
          <w:caps w:val="false"/>
          <w:smallCaps w:val="false"/>
          <w:sz w:val="20"/>
        </w:rPr>
        <w:t>” shall mean July 23, 2018, the “Effective Date” under the Original Credit Agreement.</w:t>
      </w:r>
    </w:p>
    <w:p>
      <w:pPr>
        <w:pStyle w:val="TextBody"/>
        <w:bidi w:val="0"/>
        <w:spacing w:before="0" w:after="0"/>
        <w:ind w:left="140" w:right="174" w:firstLine="720"/>
        <w:jc w:val="both"/>
        <w:rPr>
          <w:caps w:val="false"/>
          <w:smallCaps w:val="false"/>
        </w:rPr>
      </w:pPr>
      <w:r>
        <w:rPr>
          <w:caps w:val="false"/>
          <w:smallCaps w:val="false"/>
        </w:rPr>
        <w:t> </w:t>
      </w:r>
    </w:p>
    <w:p>
      <w:pPr>
        <w:pStyle w:val="TextBody"/>
        <w:bidi w:val="0"/>
        <w:spacing w:before="0" w:after="0"/>
        <w:ind w:left="140" w:right="12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Other Connection Taxes</w:t>
      </w:r>
      <w:r>
        <w:rPr>
          <w:rFonts w:ascii="Times New Roman;Times;Serif" w:hAnsi="Times New Roman;Times;Serif"/>
          <w:b w:val="false"/>
          <w:i w:val="false"/>
          <w:caps w:val="false"/>
          <w:smallCaps w:val="false"/>
          <w:sz w:val="20"/>
        </w:rPr>
        <w:t>” 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0"/>
        <w:ind w:left="140" w:right="122" w:firstLine="720"/>
        <w:jc w:val="both"/>
        <w:rPr>
          <w:caps w:val="false"/>
          <w:smallCaps w:val="false"/>
        </w:rPr>
      </w:pPr>
      <w:r>
        <w:rPr>
          <w:caps w:val="false"/>
          <w:smallCaps w:val="false"/>
        </w:rPr>
        <w:t> </w:t>
      </w:r>
    </w:p>
    <w:p>
      <w:pPr>
        <w:pStyle w:val="TextBody"/>
        <w:bidi w:val="0"/>
        <w:spacing w:before="0" w:after="0"/>
        <w:ind w:left="140" w:right="169"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Other Taxes</w:t>
      </w:r>
      <w:r>
        <w:rPr>
          <w:rFonts w:ascii="Times New Roman;Times;Serif" w:hAnsi="Times New Roman;Times;Serif"/>
          <w:b w:val="false"/>
          <w:i w:val="false"/>
          <w:caps w:val="false"/>
          <w:smallCaps w:val="false"/>
          <w:sz w:val="20"/>
        </w:rPr>
        <w:t>” shall mean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12.11).</w:t>
      </w:r>
    </w:p>
    <w:p>
      <w:pPr>
        <w:pStyle w:val="TextBody"/>
        <w:bidi w:val="0"/>
        <w:spacing w:before="0" w:after="0"/>
        <w:ind w:left="140" w:right="169" w:firstLine="720"/>
        <w:jc w:val="both"/>
        <w:rPr>
          <w:caps w:val="false"/>
          <w:smallCaps w:val="false"/>
        </w:rPr>
      </w:pPr>
      <w:r>
        <w:rPr>
          <w:caps w:val="false"/>
          <w:smallCaps w:val="false"/>
        </w:rPr>
        <w:t> </w:t>
      </w:r>
    </w:p>
    <w:p>
      <w:pPr>
        <w:pStyle w:val="TextBody"/>
        <w:bidi w:val="0"/>
        <w:spacing w:before="0" w:after="0"/>
        <w:ind w:left="86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Participant Register</w:t>
      </w:r>
      <w:r>
        <w:rPr>
          <w:rFonts w:ascii="Times New Roman;Times;Serif" w:hAnsi="Times New Roman;Times;Serif"/>
          <w:b w:val="false"/>
          <w:i w:val="false"/>
          <w:caps w:val="false"/>
          <w:smallCaps w:val="false"/>
          <w:sz w:val="20"/>
        </w:rPr>
        <w:t>” has the meaning specified in Section 12.7(f).</w:t>
      </w:r>
    </w:p>
    <w:p>
      <w:pPr>
        <w:pStyle w:val="TextBody"/>
        <w:bidi w:val="0"/>
        <w:spacing w:before="0" w:after="0"/>
        <w:ind w:left="860" w:right="0" w:hanging="0"/>
        <w:jc w:val="both"/>
        <w:rPr>
          <w:caps w:val="false"/>
          <w:smallCaps w:val="false"/>
        </w:rPr>
      </w:pPr>
      <w:r>
        <w:rPr>
          <w:caps w:val="false"/>
          <w:smallCaps w:val="false"/>
        </w:rPr>
        <w:t> </w:t>
      </w:r>
    </w:p>
    <w:p>
      <w:pPr>
        <w:pStyle w:val="TextBody"/>
        <w:bidi w:val="0"/>
        <w:spacing w:before="0" w:after="0"/>
        <w:ind w:left="140" w:right="137"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PBGC</w:t>
      </w:r>
      <w:r>
        <w:rPr>
          <w:rFonts w:ascii="Times New Roman;Times;Serif" w:hAnsi="Times New Roman;Times;Serif"/>
          <w:b w:val="false"/>
          <w:i w:val="false"/>
          <w:caps w:val="false"/>
          <w:smallCaps w:val="false"/>
          <w:sz w:val="20"/>
        </w:rPr>
        <w:t>” shall mean the Pension Benefit Guaranty Corporation or any successor thereto.</w:t>
      </w:r>
    </w:p>
    <w:p>
      <w:pPr>
        <w:pStyle w:val="TextBody"/>
        <w:bidi w:val="0"/>
        <w:spacing w:before="0" w:after="0"/>
        <w:ind w:left="859" w:right="174" w:hanging="0"/>
        <w:jc w:val="both"/>
        <w:rPr>
          <w:caps w:val="false"/>
          <w:smallCaps w:val="false"/>
        </w:rPr>
      </w:pPr>
      <w:r>
        <w:rPr>
          <w:caps w:val="false"/>
          <w:smallCaps w:val="false"/>
        </w:rPr>
        <w:t> </w:t>
      </w:r>
    </w:p>
    <w:p>
      <w:pPr>
        <w:pStyle w:val="TextBody"/>
        <w:bidi w:val="0"/>
        <w:spacing w:before="0" w:after="0"/>
        <w:ind w:left="140" w:right="137"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Pension Plan</w:t>
      </w:r>
      <w:r>
        <w:rPr>
          <w:rFonts w:ascii="Times New Roman;Times;Serif" w:hAnsi="Times New Roman;Times;Serif"/>
          <w:b w:val="false"/>
          <w:i w:val="false"/>
          <w:caps w:val="false"/>
          <w:smallCaps w:val="false"/>
          <w:sz w:val="20"/>
        </w:rPr>
        <w:t>” shall mean any “employee benefit plan” (within the meaning of Section 3(3) of ERISA) maintained, sponsored or contributed to by a Credit Party or any of its ERISA Affiliates, or to which there is an obligation to contribute by a Credit Party or any of its ERISA Affiliates, or with  respect to which a Credit Party or any of its ERISA Affiliates has any liability, which is subject to the minimum funding standards of Section 412 of the Internal Revenue Code, Section 302 of ERISA or Title IV of ERISA, other than a Multiemployer Plan.</w:t>
      </w:r>
    </w:p>
    <w:p>
      <w:pPr>
        <w:pStyle w:val="TextBody"/>
        <w:bidi w:val="0"/>
        <w:spacing w:before="0" w:after="0"/>
        <w:ind w:left="140" w:right="172" w:hanging="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Perfection Certificate</w:t>
      </w:r>
      <w:r>
        <w:rPr>
          <w:rFonts w:ascii="Times New Roman;Times;Serif" w:hAnsi="Times New Roman;Times;Serif"/>
          <w:b w:val="false"/>
          <w:i w:val="false"/>
          <w:caps w:val="false"/>
          <w:smallCaps w:val="false"/>
          <w:sz w:val="20"/>
        </w:rPr>
        <w:t>” shall mean a certificate in form satisfactory to the Agent that provides information with respect to the assets of the Borrower and the Guarantors.</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Periodic Term SOFR Determination Day</w:t>
      </w:r>
      <w:r>
        <w:rPr>
          <w:rFonts w:ascii="Times New Roman;Times;Serif" w:hAnsi="Times New Roman;Times;Serif"/>
          <w:b w:val="false"/>
          <w:i w:val="false"/>
          <w:caps w:val="false"/>
          <w:smallCaps w:val="false"/>
          <w:sz w:val="20"/>
        </w:rPr>
        <w:t>” has the meaning specified therefor in the definition of “Term SOFR”.</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Account</w:t>
      </w:r>
      <w:r>
        <w:rPr>
          <w:rFonts w:ascii="Times New Roman;Times;Serif" w:hAnsi="Times New Roman;Times;Serif"/>
          <w:b w:val="false"/>
          <w:i w:val="false"/>
          <w:caps w:val="false"/>
          <w:smallCaps w:val="false"/>
          <w:sz w:val="20"/>
        </w:rPr>
        <w:t>” shall mean a deposit account maintained by the Borrower at Comerica Bank, in which such deposits are restricted cash in favor of Comerica Bank.</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40" w:right="171"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Acquisition</w:t>
      </w:r>
      <w:r>
        <w:rPr>
          <w:rFonts w:ascii="Times New Roman;Times;Serif" w:hAnsi="Times New Roman;Times;Serif"/>
          <w:b w:val="false"/>
          <w:i w:val="false"/>
          <w:caps w:val="false"/>
          <w:smallCaps w:val="false"/>
          <w:sz w:val="20"/>
        </w:rPr>
        <w:t>” shall mean any acquisition by the Borrower or any Guarantor of all or substantially all of the assets of another Person, or of a division or line of business of another Person, or any Equity Interests of another Person which satisfies and/or is conducted in accordance with the following requirements:</w:t>
      </w:r>
    </w:p>
    <w:p>
      <w:pPr>
        <w:pStyle w:val="TextBody"/>
        <w:bidi w:val="0"/>
        <w:spacing w:before="0" w:after="0"/>
        <w:ind w:left="140" w:right="171"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(a)</w:t>
            </w:r>
          </w:p>
        </w:tc>
        <w:tc>
          <w:tcPr>
            <w:tcW w:w="9933" w:type="dxa"/>
            <w:tcBorders/>
            <w:vAlign w:val="center"/>
          </w:tcPr>
          <w:p>
            <w:pPr>
              <w:pStyle w:val="TableContents"/>
              <w:bidi w:val="0"/>
              <w:spacing w:before="0" w:after="283"/>
              <w:jc w:val="both"/>
              <w:rPr/>
            </w:pPr>
            <w:r>
              <w:rPr/>
              <w:t>Such acquisition is of a business or Person engaged in a line of business which is compatible with, or complementary to, the business of the Borrower or such Guarantor or a reasonable extension therefrom;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(b)</w:t>
            </w:r>
          </w:p>
        </w:tc>
        <w:tc>
          <w:tcPr>
            <w:tcW w:w="9931" w:type="dxa"/>
            <w:tcBorders/>
            <w:vAlign w:val="center"/>
          </w:tcPr>
          <w:p>
            <w:pPr>
              <w:pStyle w:val="TableContents"/>
              <w:bidi w:val="0"/>
              <w:spacing w:before="0" w:after="283"/>
              <w:jc w:val="both"/>
              <w:rPr/>
            </w:pPr>
            <w:r>
              <w:rPr/>
              <w:t>If such acquisition is structured as an acquisition of the Equity Interests of any Person, then the Person so acquired shall (X) become a wholly-owned direct Domestic Subsidiary of the Borrower or of a Guarantor and the Borrower or the applicable Guarantor shall cause such acquired Person to comply with Section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2300" w:right="16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 hereof or (Y) provided that the Credit Parties continue to comply with Section 6.4(a) hereof, be merged with and into the Borrower or such a Guarantor (and, in the case of the Borrower, with the Borrower being the surviving entity);</w:t>
      </w:r>
    </w:p>
    <w:p>
      <w:pPr>
        <w:pStyle w:val="TextBody"/>
        <w:bidi w:val="0"/>
        <w:spacing w:before="0" w:after="0"/>
        <w:ind w:left="2300" w:right="162"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(c)</w:t>
            </w:r>
          </w:p>
        </w:tc>
        <w:tc>
          <w:tcPr>
            <w:tcW w:w="9927" w:type="dxa"/>
            <w:tcBorders/>
            <w:vAlign w:val="center"/>
          </w:tcPr>
          <w:p>
            <w:pPr>
              <w:pStyle w:val="TableContents"/>
              <w:bidi w:val="0"/>
              <w:spacing w:before="0" w:after="283"/>
              <w:jc w:val="both"/>
              <w:rPr/>
            </w:pPr>
            <w:r>
              <w:rPr/>
              <w:t>If such acquisition is structured as the acquisition of assets, such assets shall be acquired directly by the Borrower or a Guarantor (subject to compliance with Section 6.4(a) 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(d)</w:t>
            </w:r>
          </w:p>
        </w:tc>
        <w:tc>
          <w:tcPr>
            <w:tcW w:w="9945" w:type="dxa"/>
            <w:tcBorders/>
            <w:vAlign w:val="center"/>
          </w:tcPr>
          <w:p>
            <w:pPr>
              <w:pStyle w:val="TableContents"/>
              <w:bidi w:val="0"/>
              <w:spacing w:before="0" w:after="283"/>
              <w:jc w:val="both"/>
              <w:rPr/>
            </w:pPr>
            <w:r>
              <w:rPr/>
              <w:t>The Borrower shall have delivered to the Agent not less than ten (10) (or such shorter period of time agreed to in writing by the Agent) nor more than ninety (90) days prior to the date of such acquisition, notice of such acquisition together with Pro Forma Projected Financial Information, copies of all material documents relating to such acquisition (including then-current drafts of the acquisition agreement and any related document), and historical financial information (including income statements, balance sheets and cash flows) covering at least three (3) complete fiscal years of the acquisition target, if available, prior to the effective date of the acquisition or the entire operating existence of the acquisition target, whichever period is shorter, in each case in form and substance reasonably satisfactory to the Agent;</w:t>
            </w:r>
          </w:p>
        </w:tc>
      </w:tr>
    </w:tbl>
    <w:p>
      <w:pPr>
        <w:pStyle w:val="TextBody"/>
        <w:bidi w:val="0"/>
        <w:spacing w:before="0" w:after="0"/>
        <w:ind w:left="2300" w:right="129"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(e)</w:t>
            </w:r>
          </w:p>
        </w:tc>
        <w:tc>
          <w:tcPr>
            <w:tcW w:w="9935" w:type="dxa"/>
            <w:tcBorders/>
            <w:vAlign w:val="center"/>
          </w:tcPr>
          <w:p>
            <w:pPr>
              <w:pStyle w:val="TableContents"/>
              <w:bidi w:val="0"/>
              <w:spacing w:before="0" w:after="283"/>
              <w:jc w:val="both"/>
              <w:rPr/>
            </w:pPr>
            <w:r>
              <w:rPr/>
              <w:t>Both immediately before and after the consummation of such acquisition and after giving effect to the Pro Forma Projected Financial Information, no Default or Event of Default shall have occurred and be continuing;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(f)</w:t>
            </w:r>
          </w:p>
        </w:tc>
        <w:tc>
          <w:tcPr>
            <w:tcW w:w="9965" w:type="dxa"/>
            <w:tcBorders/>
            <w:vAlign w:val="center"/>
          </w:tcPr>
          <w:p>
            <w:pPr>
              <w:pStyle w:val="TableContents"/>
              <w:bidi w:val="0"/>
              <w:spacing w:before="0" w:after="283"/>
              <w:jc w:val="both"/>
              <w:rPr/>
            </w:pPr>
            <w:r>
              <w:rPr/>
              <w:t>The acquisition shall be consensual and the board of directors (or other Person(s) exercising similar functions) of the seller of the assets or issuer of the Equity Interests being acquired shall have approved such transaction;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(g)</w:t>
            </w:r>
          </w:p>
        </w:tc>
        <w:tc>
          <w:tcPr>
            <w:tcW w:w="9931" w:type="dxa"/>
            <w:tcBorders/>
            <w:vAlign w:val="center"/>
          </w:tcPr>
          <w:p>
            <w:pPr>
              <w:pStyle w:val="TableContents"/>
              <w:bidi w:val="0"/>
              <w:spacing w:before="0" w:after="283"/>
              <w:jc w:val="both"/>
              <w:rPr/>
            </w:pPr>
            <w:r>
              <w:rPr/>
              <w:t>All governmental, quasi-governmental, agency, regulatory or similar licenses, authorizations, exemptions, qualifications, consents and approvals necessary under any laws applicable to the Borrower or Guarantor making the acquisition, or the acquisition target (if applicable) for or in connection with the proposed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300" w:right="1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and all necessary non-governmental and other third-party approvals which, in each case, are material to such acquisition shall have been obtained, and all necessary or appropriate declarations, registrations or other filings with any court, governmental or regulatory authority, securities exchange or any other Person, which in each case, are material to the consummation of such acquisition or to the acquisition target, if applicable, have been made, and evidence thereof reasonably satisfactory in form and substance to the Agent shall have been delivered, or caused to have been delivered, by the Borrower to the Agent;</w:t>
      </w:r>
    </w:p>
    <w:p>
      <w:pPr>
        <w:pStyle w:val="TextBody"/>
        <w:bidi w:val="0"/>
        <w:spacing w:before="0" w:after="0"/>
        <w:ind w:left="2300" w:right="14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(h)</w:t>
            </w:r>
          </w:p>
        </w:tc>
        <w:tc>
          <w:tcPr>
            <w:tcW w:w="9947" w:type="dxa"/>
            <w:tcBorders/>
            <w:vAlign w:val="center"/>
          </w:tcPr>
          <w:p>
            <w:pPr>
              <w:pStyle w:val="TableContents"/>
              <w:bidi w:val="0"/>
              <w:spacing w:before="0" w:after="283"/>
              <w:jc w:val="both"/>
              <w:rPr/>
            </w:pPr>
            <w:r>
              <w:rPr/>
              <w:t>There shall be no actions, suits or proceedings pending or, to the knowledge of any Credit Party threatened against or affecting the acquisition target in any  court or before or by any governmental department, agency or instrumentality, which could reasonably be expected to be decided adversely to the acquisition target and which, if decided adversely, could reasonably be expected to have a material adverse effect on the business, operations, properties or financial condition of the acquisition target and its subsidiaries (taken as a whole) or would materially adversely affect the ability of the acquisition target to enter into or perform its obligations in connection with the proposed acquisition, nor shall there be any actions, suits, or proceedings pending, or to the knowledge of any Credit Party threatened against the Credit Party that is making the acquisition which would materially adversely affect the ability of such Credit Party to enter into or perform its obligations in connection with the proposed acquisition;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(i)</w:t>
            </w:r>
          </w:p>
        </w:tc>
        <w:tc>
          <w:tcPr>
            <w:tcW w:w="10005" w:type="dxa"/>
            <w:tcBorders/>
            <w:vAlign w:val="center"/>
          </w:tcPr>
          <w:p>
            <w:pPr>
              <w:pStyle w:val="TableContents"/>
              <w:bidi w:val="0"/>
              <w:spacing w:before="0" w:after="283"/>
              <w:jc w:val="both"/>
              <w:rPr/>
            </w:pPr>
            <w:r>
              <w:rPr/>
              <w:t xml:space="preserve">(A)The aggregate Purchase Price for acquisitions of assets that are not located within the United States or Equity Interests of Persons that are not organized in a jurisdiction located within the United States shall not exceed $5,000,000 in the aggregate for all such acquisitions during any Fiscal Year; </w:t>
            </w:r>
            <w:r>
              <w:rPr>
                <w:u w:val="single"/>
              </w:rPr>
              <w:t>provided</w:t>
            </w:r>
            <w:r>
              <w:rPr/>
              <w:t>, that, this clause (A) shall not apply to acquisitions of assets and Equity Interests that are located within (or organized in) a jurisdiction in which the Agent reasonably determines a perfected Lien may be granted on such assets and Equity Interests in form and substance reasonably acceptable to the Agent (such determination to be evidenced in writing), and (B) such assets and Equity Interests described in clause (A) above shall be pledged to the Agent for the benefit of the Agent and the Lenders in accordance with Section 6.13(b);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4"/>
        <w:gridCol w:w="10004"/>
      </w:tblGrid>
      <w:tr>
        <w:trPr/>
        <w:tc>
          <w:tcPr>
            <w:tcW w:w="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t>(j)</w:t>
            </w:r>
          </w:p>
        </w:tc>
        <w:tc>
          <w:tcPr>
            <w:tcW w:w="10004" w:type="dxa"/>
            <w:tcBorders/>
            <w:vAlign w:val="center"/>
          </w:tcPr>
          <w:p>
            <w:pPr>
              <w:pStyle w:val="TableContents"/>
              <w:bidi w:val="0"/>
              <w:spacing w:before="0" w:after="283"/>
              <w:jc w:val="both"/>
              <w:rPr/>
            </w:pPr>
            <w:r>
              <w:rPr/>
              <w:t>The Purchase Price of such proposed new acquisition, computed on the basis of total acquisition consideration paid or incurred, or required to be paid or incurred, with respect thereto, when added to the Purchase Price of each other acquisition consummated hereunder as a Permitted Acquisition during the same Fiscal Year as the applicable acquisition does not exceed Five Million Dollars ($5,000,000); provided, that, with respect to any Fiscal Year ending on or after January 31, 2027, any unused amounts from such Fiscal Year may be carried forward into the immediately succeeding Fiscal Year; provided, further, that the aggregate amount carried forward to the immediately succeeding Fiscal Year shall not exceed Five Million Dollars ($5,000,000).</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Permitted Holder</w:t>
      </w:r>
      <w:r>
        <w:rPr>
          <w:rFonts w:ascii="Times New Roman;Times;Serif" w:hAnsi="Times New Roman;Times;Serif"/>
          <w:b w:val="false"/>
          <w:i w:val="false"/>
          <w:caps w:val="false"/>
          <w:smallCaps w:val="false"/>
          <w:sz w:val="20"/>
        </w:rPr>
        <w:t>” shall mean each of CHS Investments, STORY3, Nexus or any Controlled Investment Affiliate of the foregoing.</w:t>
      </w:r>
    </w:p>
    <w:p>
      <w:pPr>
        <w:pStyle w:val="TextBody"/>
        <w:bidi w:val="0"/>
        <w:spacing w:before="0" w:after="0"/>
        <w:ind w:left="140" w:right="0" w:firstLine="72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Permitted Investments</w:t>
      </w:r>
      <w:r>
        <w:rPr>
          <w:rFonts w:ascii="Times New Roman;Times;Serif" w:hAnsi="Times New Roman;Times;Serif"/>
          <w:b w:val="false"/>
          <w:i w:val="false"/>
          <w:caps w:val="false"/>
          <w:smallCaps w:val="false"/>
          <w:sz w:val="20"/>
        </w:rPr>
        <w:t>” shall mean with respect to any Person:</w:t>
      </w:r>
    </w:p>
    <w:p>
      <w:pPr>
        <w:pStyle w:val="TextBody"/>
        <w:bidi w:val="0"/>
        <w:spacing w:before="0" w:after="0"/>
        <w:ind w:left="860" w:right="0" w:hanging="0"/>
        <w:jc w:val="left"/>
        <w:rPr>
          <w:caps w:val="false"/>
          <w:smallCaps w:val="false"/>
        </w:rPr>
      </w:pPr>
      <w:r>
        <w:rPr>
          <w:caps w:val="false"/>
          <w:smallCaps w:val="false"/>
        </w:rPr>
        <w:t> </w:t>
      </w:r>
    </w:p>
    <w:p>
      <w:pPr>
        <w:pStyle w:val="TextBody"/>
        <w:bidi w:val="0"/>
        <w:spacing w:before="0" w:after="0"/>
        <w:ind w:left="140" w:right="171"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Governmental Obligations;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71"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obligations of a state or commonwealth of the United States or the obligations of the District of Columbia or any possession of the United States, or any political subdivision of any of the foregoing, which are described in Section 103(a) of the Internal Revenue Code and are graded in any of the highest three (3) major grades as determined by at least one Rating Agency or secured, as to payments of principal and interest, by a letter of credit provided by a financial institution or insurance provided by a bond insurance company which in each case is itself or its debt is rated in one of the highest three (3) major grades as determined by at least one Rating Agency;</w:t>
      </w:r>
    </w:p>
    <w:p>
      <w:pPr>
        <w:pStyle w:val="TextBody"/>
        <w:bidi w:val="0"/>
        <w:spacing w:before="0" w:after="0"/>
        <w:ind w:left="140" w:right="171" w:firstLine="1440"/>
        <w:jc w:val="both"/>
        <w:rPr>
          <w:caps w:val="false"/>
          <w:smallCaps w:val="false"/>
        </w:rPr>
      </w:pPr>
      <w:r>
        <w:rPr>
          <w:caps w:val="false"/>
          <w:smallCaps w:val="false"/>
        </w:rPr>
        <w:t> </w:t>
      </w:r>
    </w:p>
    <w:p>
      <w:pPr>
        <w:pStyle w:val="TextBody"/>
        <w:bidi w:val="0"/>
        <w:spacing w:before="0" w:after="0"/>
        <w:ind w:left="139" w:right="13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banker’s acceptances, commercial accounts, demand deposit accounts, certificates of deposit, other time deposits or depository receipts issued by or maintained with any Lender or any Affiliate thereof, or any bank, trust company, savings and loan association, savings bank or other financial institution whose deposits are insured by the Federal Deposit Insurance Corporation and whose reported capital and surplus equal at least $250,000,000, provided that such minimum capital and surplus requirement shall not apply to demand deposit accounts maintained by any Credit Party in the ordinary course of business;</w:t>
      </w:r>
    </w:p>
    <w:p>
      <w:pPr>
        <w:pStyle w:val="TextBody"/>
        <w:bidi w:val="0"/>
        <w:spacing w:before="0" w:after="0"/>
        <w:ind w:left="139" w:right="132" w:firstLine="1440"/>
        <w:jc w:val="both"/>
        <w:rPr>
          <w:caps w:val="false"/>
          <w:smallCaps w:val="false"/>
        </w:rPr>
      </w:pPr>
      <w:r>
        <w:rPr>
          <w:caps w:val="false"/>
          <w:smallCaps w:val="false"/>
        </w:rPr>
        <w:t> </w:t>
      </w:r>
    </w:p>
    <w:p>
      <w:pPr>
        <w:pStyle w:val="TextBody"/>
        <w:bidi w:val="0"/>
        <w:spacing w:before="0" w:after="0"/>
        <w:ind w:left="140" w:right="124"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commercial paper rated at the time of purchase within the two highest classifications established by not less than two Rating Agencies, and which matures within 270 days after the date of issue;</w:t>
      </w:r>
    </w:p>
    <w:p>
      <w:pPr>
        <w:pStyle w:val="TextBody"/>
        <w:bidi w:val="0"/>
        <w:spacing w:before="0" w:after="0"/>
        <w:ind w:left="140" w:right="124" w:firstLine="1440"/>
        <w:jc w:val="both"/>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secured repurchase agreements against obligations itemized in paragraph (a) above, and executed by a bank or trust company or by members of the association of primary dealers or other recognized dealers in United States government securities, the market value of which must be maintained at levels at least equal to the amounts advanced; and</w:t>
      </w:r>
    </w:p>
    <w:p>
      <w:pPr>
        <w:pStyle w:val="TextBody"/>
        <w:bidi w:val="0"/>
        <w:spacing w:before="0" w:after="0"/>
        <w:ind w:left="140" w:right="173" w:firstLine="1440"/>
        <w:jc w:val="both"/>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fund or other pooling arrangement which exclusively purchases and holds the investments itemized in (a) through (e) above.</w:t>
      </w:r>
    </w:p>
    <w:p>
      <w:pPr>
        <w:pStyle w:val="TextBody"/>
        <w:bidi w:val="0"/>
        <w:spacing w:before="0" w:after="0"/>
        <w:ind w:left="140" w:right="173" w:firstLine="1440"/>
        <w:jc w:val="both"/>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shall mean with respect to any Person:</w:t>
      </w:r>
    </w:p>
    <w:p>
      <w:pPr>
        <w:pStyle w:val="TextBody"/>
        <w:bidi w:val="0"/>
        <w:spacing w:before="0" w:after="0"/>
        <w:ind w:left="860" w:right="0" w:hanging="0"/>
        <w:jc w:val="left"/>
        <w:rPr>
          <w:caps w:val="false"/>
          <w:smallCaps w:val="false"/>
        </w:rPr>
      </w:pPr>
      <w:r>
        <w:rPr>
          <w:caps w:val="false"/>
          <w:smallCaps w:val="false"/>
        </w:rPr>
        <w:t> </w:t>
      </w:r>
    </w:p>
    <w:p>
      <w:pPr>
        <w:pStyle w:val="TextBody"/>
        <w:bidi w:val="0"/>
        <w:spacing w:before="0" w:after="0"/>
        <w:ind w:left="140" w:right="16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Liens for (i) taxes or governmental assessments or charges the payment of which is not required under Section 6.3(a) or (ii) customs duties in connection with the importation of goods to the extent such Liens attach to the imported goods that are the subject of the duties (x) to the extent not yet due, (y) as to which the period of grace, if any, related thereto has not expired or (z) which are being contested in good faith by appropriate proceedings, provided that in the case of any such contest, any proceedings for the enforcement of such liens have been suspended and adequate reserves with respect thereto are maintained on the books of such Person in conformity with GAAP;</w:t>
      </w:r>
    </w:p>
    <w:p>
      <w:pPr>
        <w:pStyle w:val="TextBody"/>
        <w:bidi w:val="0"/>
        <w:spacing w:before="0" w:after="0"/>
        <w:ind w:left="140" w:right="162" w:firstLine="1440"/>
        <w:jc w:val="both"/>
        <w:rPr>
          <w:caps w:val="false"/>
          <w:smallCaps w:val="false"/>
        </w:rPr>
      </w:pPr>
      <w:r>
        <w:rPr>
          <w:caps w:val="false"/>
          <w:smallCaps w:val="false"/>
        </w:rPr>
        <w:t> </w:t>
      </w:r>
    </w:p>
    <w:p>
      <w:pPr>
        <w:pStyle w:val="TextBody"/>
        <w:bidi w:val="0"/>
        <w:spacing w:before="0" w:after="0"/>
        <w:ind w:left="140" w:right="149"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carriers’, warehousemen’s, mechanics’, materialmen’s, repairmen’s, processor’s, landlord’s liens or other like liens arising in the ordinary course of business which secure obligations that are not overdue for a period of more than 30 days or which are being contested in good faith by appropriate proceedings, provided that in the case of any such contest, (x) any proceedings commenced</w:t>
      </w:r>
    </w:p>
    <w:p>
      <w:pPr>
        <w:pStyle w:val="TextBody"/>
        <w:bidi w:val="0"/>
        <w:spacing w:before="0" w:after="0"/>
        <w:ind w:left="140" w:right="149"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0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enforcement of such Liens have been suspended and (y) appropriate reserves with respect thereto are maintained on the books of such Person in conformity with GAAP;</w:t>
      </w:r>
    </w:p>
    <w:p>
      <w:pPr>
        <w:pStyle w:val="TextBody"/>
        <w:bidi w:val="0"/>
        <w:spacing w:before="0" w:after="0"/>
        <w:ind w:left="140" w:right="102" w:hanging="0"/>
        <w:jc w:val="left"/>
        <w:rPr>
          <w:caps w:val="false"/>
          <w:smallCaps w:val="false"/>
        </w:rPr>
      </w:pPr>
      <w:r>
        <w:rPr>
          <w:caps w:val="false"/>
          <w:smallCaps w:val="false"/>
        </w:rPr>
        <w:t> </w:t>
      </w:r>
    </w:p>
    <w:p>
      <w:pPr>
        <w:pStyle w:val="TextBody"/>
        <w:bidi w:val="0"/>
        <w:spacing w:before="0" w:after="0"/>
        <w:ind w:left="139" w:right="1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Liens incurred in the ordinary course of business to secure the performance of statutory obligations arising in connection with progress payments or advance payments due under contracts with the United States government or any agency thereof entered into in the ordinary course of business and (ii) Liens incurred or deposits made in the ordinary course of business to secure the performance of statutory obligations, bids, leases, fee and expense arrangements with trustees and fiscal agents, trade contracts, surety and appeal bonds, performance bonds and other similar obligations (exclusive of obligations incurred in connection with the borrowing of money, any lease-purchase arrangements or the payment of the deferred purchase price of property), whether by means of a letter of credit, guarantee, escrow or otherwise, provided that in each case full provision for the payment of all such obligations has been made on the books of such Person as may be required by GAAP;</w:t>
      </w:r>
    </w:p>
    <w:p>
      <w:pPr>
        <w:pStyle w:val="TextBody"/>
        <w:bidi w:val="0"/>
        <w:spacing w:before="0" w:after="0"/>
        <w:ind w:left="139" w:right="140" w:firstLine="1440"/>
        <w:jc w:val="both"/>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judgment liens securing judgments and other proceedings not constituting an Event of Default under Section 8.1(g);</w:t>
      </w:r>
    </w:p>
    <w:p>
      <w:pPr>
        <w:pStyle w:val="TextBody"/>
        <w:bidi w:val="0"/>
        <w:spacing w:before="0" w:after="0"/>
        <w:ind w:left="140" w:right="173" w:firstLine="1440"/>
        <w:jc w:val="both"/>
        <w:rPr>
          <w:caps w:val="false"/>
          <w:smallCaps w:val="false"/>
        </w:rPr>
      </w:pPr>
      <w:r>
        <w:rPr>
          <w:caps w:val="false"/>
          <w:smallCaps w:val="false"/>
        </w:rPr>
        <w:t> </w:t>
      </w:r>
    </w:p>
    <w:p>
      <w:pPr>
        <w:pStyle w:val="TextBody"/>
        <w:bidi w:val="0"/>
        <w:spacing w:before="0" w:after="0"/>
        <w:ind w:left="140"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minor survey exceptions or minor encumbrances, easements or reservations, or rights of others for rights-of-way, utilities and other similar purposes, or zoning or other restrictions as to the use of real properties, or any interest of any lessor or sublessor under any lease permitted hereunder which, in each case, does not materially interfere with the business of such Person;</w:t>
      </w:r>
    </w:p>
    <w:p>
      <w:pPr>
        <w:pStyle w:val="TextBody"/>
        <w:bidi w:val="0"/>
        <w:spacing w:before="0" w:after="0"/>
        <w:ind w:left="140" w:right="172" w:firstLine="1440"/>
        <w:jc w:val="both"/>
        <w:rPr>
          <w:caps w:val="false"/>
          <w:smallCaps w:val="false"/>
        </w:rPr>
      </w:pPr>
      <w:r>
        <w:rPr>
          <w:caps w:val="false"/>
          <w:smallCaps w:val="false"/>
        </w:rPr>
        <w:t> </w:t>
      </w:r>
    </w:p>
    <w:p>
      <w:pPr>
        <w:pStyle w:val="TextBody"/>
        <w:bidi w:val="0"/>
        <w:spacing w:before="0" w:after="0"/>
        <w:ind w:left="140"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precautionary Liens arising pursuant to a transaction permitted under Section 7.8 hereof;</w:t>
      </w:r>
    </w:p>
    <w:p>
      <w:pPr>
        <w:pStyle w:val="TextBody"/>
        <w:bidi w:val="0"/>
        <w:spacing w:before="0" w:after="0"/>
        <w:ind w:left="140" w:right="0" w:hanging="0"/>
        <w:jc w:val="left"/>
        <w:rPr>
          <w:caps w:val="false"/>
          <w:smallCaps w:val="false"/>
        </w:rPr>
      </w:pPr>
      <w:r>
        <w:rPr>
          <w:caps w:val="false"/>
          <w:smallCaps w:val="false"/>
        </w:rPr>
        <w:t> </w:t>
      </w:r>
    </w:p>
    <w:p>
      <w:pPr>
        <w:pStyle w:val="TextBody"/>
        <w:bidi w:val="0"/>
        <w:spacing w:before="0" w:after="0"/>
        <w:ind w:left="140" w:right="12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Liens arising in connection with worker’s compensation, unemployment insurance, old age pensions and social security benefits and similar statutory obligations (excluding Liens arising under ERISA), provided that no enforcement proceedings in respect of such Liens are pending  and provisions have been made for the payment of such liens on the books of such Person as may be required by GAAP; and</w:t>
      </w:r>
    </w:p>
    <w:p>
      <w:pPr>
        <w:pStyle w:val="TextBody"/>
        <w:bidi w:val="0"/>
        <w:spacing w:before="0" w:after="0"/>
        <w:ind w:left="140" w:right="122" w:firstLine="1440"/>
        <w:jc w:val="both"/>
        <w:rPr>
          <w:caps w:val="false"/>
          <w:smallCaps w:val="false"/>
        </w:rPr>
      </w:pPr>
      <w:r>
        <w:rPr>
          <w:caps w:val="false"/>
          <w:smallCaps w:val="false"/>
        </w:rPr>
        <w:t> </w:t>
      </w:r>
    </w:p>
    <w:p>
      <w:pPr>
        <w:pStyle w:val="TextBody"/>
        <w:bidi w:val="0"/>
        <w:spacing w:before="0" w:after="0"/>
        <w:ind w:left="140"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continuations of Liens that are permitted under subsections (a)-(f) hereof, provided such continuations do not violate the specific time periods set forth in subsections (b) and (d) and provided further that such Liens do not extend to any additional property or assets of any Credit Party or secure any additional obligations of any Credit Party.</w:t>
      </w:r>
    </w:p>
    <w:p>
      <w:pPr>
        <w:pStyle w:val="TextBody"/>
        <w:bidi w:val="0"/>
        <w:spacing w:before="0" w:after="0"/>
        <w:ind w:left="140" w:right="172" w:firstLine="1440"/>
        <w:jc w:val="both"/>
        <w:rPr>
          <w:caps w:val="false"/>
          <w:smallCaps w:val="false"/>
        </w:rPr>
      </w:pPr>
      <w:r>
        <w:rPr>
          <w:caps w:val="false"/>
          <w:smallCaps w:val="false"/>
        </w:rPr>
        <w:t> </w:t>
      </w:r>
    </w:p>
    <w:p>
      <w:pPr>
        <w:pStyle w:val="TextBody"/>
        <w:bidi w:val="0"/>
        <w:spacing w:before="0" w:after="0"/>
        <w:ind w:left="140" w:right="212"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Permitted Refinancing Debt</w:t>
      </w:r>
      <w:r>
        <w:rPr>
          <w:rFonts w:ascii="Times New Roman;Times;Serif" w:hAnsi="Times New Roman;Times;Serif"/>
          <w:b w:val="false"/>
          <w:i w:val="false"/>
          <w:caps w:val="false"/>
          <w:smallCaps w:val="false"/>
          <w:sz w:val="20"/>
        </w:rPr>
        <w:t>” shall mean the extension of maturity, refinancing or modification of the terms of Debt so long as:</w:t>
      </w:r>
    </w:p>
    <w:p>
      <w:pPr>
        <w:pStyle w:val="TextBody"/>
        <w:bidi w:val="0"/>
        <w:spacing w:before="0" w:after="0"/>
        <w:ind w:left="140" w:right="212" w:firstLine="720"/>
        <w:jc w:val="left"/>
        <w:rPr>
          <w:caps w:val="false"/>
          <w:smallCaps w:val="false"/>
        </w:rPr>
      </w:pPr>
      <w:r>
        <w:rPr>
          <w:caps w:val="false"/>
          <w:smallCaps w:val="false"/>
        </w:rPr>
        <w:t> </w:t>
      </w:r>
    </w:p>
    <w:p>
      <w:pPr>
        <w:pStyle w:val="TextBody"/>
        <w:bidi w:val="0"/>
        <w:spacing w:before="0" w:after="0"/>
        <w:ind w:left="139"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after giving effect to such extension, refinancing or modification, the amount of such Debt is not greater than the amount of Debt outstanding immediately prior to such extension, refinancing or modification (other than by the amount of premiums paid thereon and the fees and expenses incurred in connection therewith, by the amount of accrued interest capitalized in the course of such refinancing, and by the amount of unfunded commitments with respect thereto);</w:t>
      </w:r>
    </w:p>
    <w:p>
      <w:pPr>
        <w:pStyle w:val="TextBody"/>
        <w:bidi w:val="0"/>
        <w:spacing w:before="0" w:after="0"/>
        <w:ind w:left="139" w:right="172" w:firstLine="1440"/>
        <w:jc w:val="both"/>
        <w:rPr>
          <w:caps w:val="false"/>
          <w:smallCaps w:val="false"/>
        </w:rPr>
      </w:pPr>
      <w:r>
        <w:rPr>
          <w:caps w:val="false"/>
          <w:smallCaps w:val="false"/>
        </w:rPr>
        <w:t> </w:t>
      </w:r>
    </w:p>
    <w:p>
      <w:pPr>
        <w:pStyle w:val="TextBody"/>
        <w:bidi w:val="0"/>
        <w:spacing w:before="0" w:after="0"/>
        <w:ind w:left="139"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extension, refinancing or modification does not result in a shortening of the average weighted maturity (measured as of the extension, refinancing or modification) of the Debt so extended, refinanced or modified;</w:t>
      </w:r>
    </w:p>
    <w:p>
      <w:pPr>
        <w:pStyle w:val="TextBody"/>
        <w:bidi w:val="0"/>
        <w:spacing w:before="0" w:after="0"/>
        <w:ind w:left="139" w:right="173" w:firstLine="1440"/>
        <w:jc w:val="both"/>
        <w:rPr>
          <w:caps w:val="false"/>
          <w:smallCaps w:val="false"/>
        </w:rPr>
      </w:pPr>
      <w:r>
        <w:rPr>
          <w:caps w:val="false"/>
          <w:smallCaps w:val="false"/>
        </w:rPr>
        <w:t> </w:t>
      </w:r>
    </w:p>
    <w:p>
      <w:pPr>
        <w:pStyle w:val="TextBody"/>
        <w:bidi w:val="0"/>
        <w:spacing w:before="0" w:after="0"/>
        <w:ind w:left="140" w:right="174"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extension, refinancing or modification is pursuant to terms that are not (when taken as a whole) less favorable to the Credit Parties and the Lenders than the terms of the Debt</w:t>
      </w:r>
    </w:p>
    <w:p>
      <w:pPr>
        <w:pStyle w:val="TextBody"/>
        <w:bidi w:val="0"/>
        <w:spacing w:before="0" w:after="0"/>
        <w:ind w:left="140" w:right="174"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7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(including, without limitation, terms relating to the collateral (if any) and subordination (if any)) being extended, refinanced or modified;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interest rate, original issue discount and other related economic terms of the Debt being extended, refinanced or modified may be set substantially at the applicable then-prevailing market rate available to the Borrower; and</w:t>
      </w:r>
    </w:p>
    <w:p>
      <w:pPr>
        <w:pStyle w:val="TextBody"/>
        <w:bidi w:val="0"/>
        <w:spacing w:before="0" w:after="0"/>
        <w:ind w:left="140" w:right="170" w:hanging="0"/>
        <w:jc w:val="both"/>
        <w:rPr>
          <w:caps w:val="false"/>
          <w:smallCaps w:val="false"/>
        </w:rPr>
      </w:pPr>
      <w:r>
        <w:rPr>
          <w:caps w:val="false"/>
          <w:smallCaps w:val="false"/>
        </w:rPr>
        <w:t> </w:t>
      </w:r>
    </w:p>
    <w:p>
      <w:pPr>
        <w:pStyle w:val="TextBody"/>
        <w:bidi w:val="0"/>
        <w:spacing w:before="0" w:after="0"/>
        <w:ind w:left="140"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Debt that is extended, refinanced or modified is not recourse to any Credit Party that is liable on account of the obligations other than those Persons which were obligated with respect to the Debt that was refinanced, renewed, or extended.</w:t>
      </w:r>
    </w:p>
    <w:p>
      <w:pPr>
        <w:pStyle w:val="TextBody"/>
        <w:bidi w:val="0"/>
        <w:spacing w:before="0" w:after="0"/>
        <w:ind w:left="140" w:right="172" w:firstLine="1440"/>
        <w:jc w:val="both"/>
        <w:rPr>
          <w:caps w:val="false"/>
          <w:smallCaps w:val="false"/>
        </w:rPr>
      </w:pPr>
      <w:r>
        <w:rPr>
          <w:caps w:val="false"/>
          <w:smallCaps w:val="false"/>
        </w:rPr>
        <w:t> </w:t>
      </w:r>
    </w:p>
    <w:p>
      <w:pPr>
        <w:pStyle w:val="TextBody"/>
        <w:bidi w:val="0"/>
        <w:spacing w:before="0" w:after="0"/>
        <w:ind w:left="140" w:right="169"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shall mean a natural person, corporation, limited liability company, partnership, limited liability partnership, trust, incorporated or unincorporated organization, joint venture, joint stock company, firm or association or a government or any agency or political subdivision thereof or other entity of any kind.</w:t>
      </w:r>
    </w:p>
    <w:p>
      <w:pPr>
        <w:pStyle w:val="TextBody"/>
        <w:bidi w:val="0"/>
        <w:spacing w:before="0" w:after="0"/>
        <w:ind w:left="140" w:right="169" w:firstLine="720"/>
        <w:jc w:val="both"/>
        <w:rPr>
          <w:caps w:val="false"/>
          <w:smallCaps w:val="false"/>
        </w:rPr>
      </w:pPr>
      <w:r>
        <w:rPr>
          <w:caps w:val="false"/>
          <w:smallCaps w:val="false"/>
        </w:rPr>
        <w:t> </w:t>
      </w:r>
    </w:p>
    <w:p>
      <w:pPr>
        <w:pStyle w:val="TextBody"/>
        <w:bidi w:val="0"/>
        <w:spacing w:before="0" w:after="0"/>
        <w:ind w:left="140" w:right="17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shall mean all information or data relating to one or more individual(s) that is personally identifying (i.e., data that identifies an individual or, in combination with any other information or data, is capable of identifying an individual), including all information or data regulated  or protected by one or more federal, state, or foreign data privacy or security laws.</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ind w:left="140" w:right="17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Pledge Agreement(s)</w:t>
      </w:r>
      <w:r>
        <w:rPr>
          <w:rFonts w:ascii="Times New Roman;Times;Serif" w:hAnsi="Times New Roman;Times;Serif"/>
          <w:b w:val="false"/>
          <w:i w:val="false"/>
          <w:caps w:val="false"/>
          <w:smallCaps w:val="false"/>
          <w:sz w:val="20"/>
        </w:rPr>
        <w:t>” shall mean any pledge agreement executed and delivered from time to time after the Original Effective Date by the Borrower or a Guarantor pursuant to Section 6.13 hereof, Section 6.13 of the Original Credit Agreement or otherwise, and any agreements, instruments or documents related thereto, in each case in form and substance satisfactory to the Agent, as amended, restated or otherwise modified from time to time.</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ind w:left="140" w:right="17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Post-Default Rate</w:t>
      </w:r>
      <w:r>
        <w:rPr>
          <w:rFonts w:ascii="Times New Roman;Times;Serif" w:hAnsi="Times New Roman;Times;Serif"/>
          <w:b w:val="false"/>
          <w:i w:val="false"/>
          <w:caps w:val="false"/>
          <w:smallCaps w:val="false"/>
          <w:sz w:val="20"/>
        </w:rPr>
        <w:t>” shall have the meaning specified therefor in Section 2.6(d).</w:t>
      </w:r>
    </w:p>
    <w:p>
      <w:pPr>
        <w:pStyle w:val="TextBody"/>
        <w:bidi w:val="0"/>
        <w:spacing w:before="0" w:after="0"/>
        <w:ind w:left="860" w:right="1194" w:hanging="0"/>
        <w:jc w:val="both"/>
        <w:rPr>
          <w:caps w:val="false"/>
          <w:smallCaps w:val="false"/>
        </w:rPr>
      </w:pPr>
      <w:r>
        <w:rPr>
          <w:caps w:val="false"/>
          <w:smallCaps w:val="false"/>
        </w:rPr>
        <w:t> </w:t>
      </w:r>
    </w:p>
    <w:p>
      <w:pPr>
        <w:pStyle w:val="TextBody"/>
        <w:bidi w:val="0"/>
        <w:spacing w:before="0" w:after="0"/>
        <w:ind w:left="140" w:right="17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Prepayment Premium</w:t>
      </w:r>
      <w:r>
        <w:rPr>
          <w:rFonts w:ascii="Times New Roman;Times;Serif" w:hAnsi="Times New Roman;Times;Serif"/>
          <w:b w:val="false"/>
          <w:i w:val="false"/>
          <w:caps w:val="false"/>
          <w:smallCaps w:val="false"/>
          <w:sz w:val="20"/>
        </w:rPr>
        <w:t>” shall have the meaning specified therefor in the Fee Letter.</w:t>
      </w:r>
    </w:p>
    <w:p>
      <w:pPr>
        <w:pStyle w:val="TextBody"/>
        <w:bidi w:val="0"/>
        <w:spacing w:before="0" w:after="0"/>
        <w:ind w:left="860" w:right="1194" w:hanging="0"/>
        <w:jc w:val="both"/>
        <w:rPr>
          <w:caps w:val="false"/>
          <w:smallCaps w:val="false"/>
        </w:rPr>
      </w:pPr>
      <w:r>
        <w:rPr>
          <w:caps w:val="false"/>
          <w:smallCaps w:val="false"/>
        </w:rPr>
        <w:t> </w:t>
      </w:r>
    </w:p>
    <w:p>
      <w:pPr>
        <w:pStyle w:val="TextBody"/>
        <w:bidi w:val="0"/>
        <w:spacing w:before="0" w:after="0"/>
        <w:ind w:left="140" w:right="175"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Principal Office</w:t>
      </w:r>
      <w:r>
        <w:rPr>
          <w:rFonts w:ascii="Times New Roman;Times;Serif" w:hAnsi="Times New Roman;Times;Serif"/>
          <w:b w:val="false"/>
          <w:i w:val="false"/>
          <w:caps w:val="false"/>
          <w:smallCaps w:val="false"/>
          <w:sz w:val="20"/>
        </w:rPr>
        <w:t xml:space="preserve">” shall mean the Agent’s “Principal Office” as set forth on </w:t>
      </w:r>
      <w:r>
        <w:rPr>
          <w:rFonts w:ascii="Times New Roman;Times;Serif" w:hAnsi="Times New Roman;Times;Serif"/>
          <w:b w:val="false"/>
          <w:i w:val="false"/>
          <w:caps w:val="false"/>
          <w:smallCaps w:val="false"/>
          <w:sz w:val="20"/>
          <w:u w:val="single"/>
        </w:rPr>
        <w:t>Annex III</w:t>
      </w:r>
      <w:r>
        <w:rPr>
          <w:rFonts w:ascii="Times New Roman;Times;Serif" w:hAnsi="Times New Roman;Times;Serif"/>
          <w:b w:val="false"/>
          <w:i w:val="false"/>
          <w:caps w:val="false"/>
          <w:smallCaps w:val="false"/>
          <w:sz w:val="20"/>
        </w:rPr>
        <w:t>, or such other office as the Agent may from time to time designate in writing to the Borrower and each Lender.</w:t>
      </w:r>
    </w:p>
    <w:p>
      <w:pPr>
        <w:pStyle w:val="TextBody"/>
        <w:bidi w:val="0"/>
        <w:spacing w:before="0" w:after="0"/>
        <w:ind w:left="140" w:right="175" w:firstLine="720"/>
        <w:jc w:val="both"/>
        <w:rPr>
          <w:caps w:val="false"/>
          <w:smallCaps w:val="false"/>
        </w:rPr>
      </w:pPr>
      <w:r>
        <w:rPr>
          <w:caps w:val="false"/>
          <w:smallCaps w:val="false"/>
        </w:rPr>
        <w:t> </w:t>
      </w:r>
    </w:p>
    <w:p>
      <w:pPr>
        <w:pStyle w:val="TextBody"/>
        <w:bidi w:val="0"/>
        <w:spacing w:before="0" w:after="0"/>
        <w:ind w:left="140" w:right="119"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 Forma Projected Financial Information</w:t>
      </w:r>
      <w:r>
        <w:rPr>
          <w:rFonts w:ascii="Times New Roman;Times;Serif" w:hAnsi="Times New Roman;Times;Serif"/>
          <w:b w:val="false"/>
          <w:i w:val="false"/>
          <w:caps w:val="false"/>
          <w:smallCaps w:val="false"/>
          <w:sz w:val="20"/>
        </w:rPr>
        <w:t>” shall mean, as to any proposed acquisition, a statement prepared by the Borrower (supported by reasonable detail) setting forth the total Purchase Price to be paid or incurred in connection with the proposed acquisition, and pro forma combined projected financial information for the Credit Parties and the acquisition target (if applicable), consisting of projected balance sheets as of the proposed effective date of the acquisition and as of the end of at least the next succeeding three (3) Fiscal Years following the acquisition and projected statements of income and cash flows for each of those years, as projected as of the effective date of the acquisition and as of  the ends of those Fiscal Years and accompanied by (i) a statement in reasonable detail specifying all material assumptions underlying the projections and (ii) such other information as the Agent or the Lenders shall reasonably request.</w:t>
      </w:r>
    </w:p>
    <w:p>
      <w:pPr>
        <w:pStyle w:val="TextBody"/>
        <w:bidi w:val="0"/>
        <w:spacing w:before="0" w:after="0"/>
        <w:ind w:left="140" w:right="119" w:firstLine="720"/>
        <w:jc w:val="both"/>
        <w:rPr>
          <w:caps w:val="false"/>
          <w:smallCaps w:val="false"/>
        </w:rPr>
      </w:pPr>
      <w:r>
        <w:rPr>
          <w:caps w:val="false"/>
          <w:smallCaps w:val="false"/>
        </w:rPr>
        <w:t> </w:t>
      </w:r>
    </w:p>
    <w:p>
      <w:pPr>
        <w:pStyle w:val="TextBody"/>
        <w:bidi w:val="0"/>
        <w:spacing w:before="0" w:after="0"/>
        <w:ind w:left="140" w:right="17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 Rata Share</w:t>
      </w:r>
      <w:r>
        <w:rPr>
          <w:rFonts w:ascii="Times New Roman;Times;Serif" w:hAnsi="Times New Roman;Times;Serif"/>
          <w:b w:val="false"/>
          <w:i w:val="false"/>
          <w:caps w:val="false"/>
          <w:smallCaps w:val="false"/>
          <w:sz w:val="20"/>
        </w:rPr>
        <w:t>” shall mean (a) with respect to all payments, computations, and other matters relating solely to Incremental Term Loan Commitments or Incremental Term Loans, the percentage obtained by dividing (i) the Incremental Term Loan Exposure of that Lender, by (ii) the aggregate Incremental Term Loan Exposure of all Lenders and (b) for all other purposes with respect to each Lender, the percentage obtained by dividing (i) an amount equal to the sum of the Term Loan Exposure and the Incremental Term Loan Exposure of that Lender, by (ii) an amount equal to the sum of the aggregate Term Loan Exposure and the aggregate Incremental Term Loan Exposure of all Lenders.</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70" w:firstLine="720"/>
        <w:jc w:val="both"/>
        <w:rPr>
          <w:caps w:val="false"/>
          <w:smallCaps w:val="false"/>
        </w:rPr>
      </w:pPr>
      <w:r>
        <w:rPr>
          <w:caps w:val="false"/>
          <w:smallCaps w:val="false"/>
        </w:rPr>
        <w:drawing>
          <wp:inline distT="0" distB="0" distL="0" distR="0">
            <wp:extent cx="19050" cy="19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050" cy="19050"/>
                    </a:xfrm>
                    <a:prstGeom prst="rect">
                      <a:avLst/>
                    </a:prstGeom>
                  </pic:spPr>
                </pic:pic>
              </a:graphicData>
            </a:graphic>
          </wp:inline>
        </w:drawing>
      </w:r>
      <w:r>
        <w:rPr>
          <w:caps w:val="false"/>
          <w:smallCaps w:val="false"/>
        </w:rPr>
        <w:drawing>
          <wp:inline distT="0" distB="0" distL="0" distR="0">
            <wp:extent cx="19050" cy="19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050" cy="19050"/>
                    </a:xfrm>
                    <a:prstGeom prst="rect">
                      <a:avLst/>
                    </a:prstGeom>
                  </pic:spPr>
                </pic:pic>
              </a:graphicData>
            </a:graphic>
          </wp:inline>
        </w:drawing>
      </w:r>
      <w:r>
        <w:rPr>
          <w:caps w:val="false"/>
          <w:smallCaps w:val="false"/>
        </w:rPr>
        <w:t>“</w:t>
      </w:r>
      <w:r>
        <w:rPr>
          <w:rFonts w:ascii="Times New Roman;Times;Serif" w:hAnsi="Times New Roman;Times;Serif"/>
          <w:b/>
          <w:i w:val="false"/>
          <w:caps w:val="false"/>
          <w:smallCaps w:val="false"/>
          <w:sz w:val="20"/>
        </w:rPr>
        <w:t>Process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Processing</w:t>
      </w:r>
      <w:r>
        <w:rPr>
          <w:rFonts w:ascii="Times New Roman;Times;Serif" w:hAnsi="Times New Roman;Times;Serif"/>
          <w:b w:val="false"/>
          <w:i w:val="false"/>
          <w:caps w:val="false"/>
          <w:smallCaps w:val="false"/>
          <w:sz w:val="20"/>
        </w:rPr>
        <w:t>” shall mean any operation or set of operations which is performed on Personal Data or on sets of Personal Data, whether or not by automated means, such as the receipt, access, acquisition, collection, recording, organization, compilation, structuring, storage, adaptation or alteration, retrieval, consultation, use, disclosure by transfer, transmission, dissemination or otherwise making available, alignment or combination, restriction, disposal, erasure or destruction.</w:t>
      </w:r>
    </w:p>
    <w:p>
      <w:pPr>
        <w:pStyle w:val="TextBody"/>
        <w:bidi w:val="0"/>
        <w:spacing w:before="0" w:after="0"/>
        <w:ind w:left="140" w:right="170" w:firstLine="72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 and Sale Agreement</w:t>
      </w:r>
      <w:r>
        <w:rPr>
          <w:rFonts w:ascii="Times New Roman;Times;Serif" w:hAnsi="Times New Roman;Times;Serif"/>
          <w:b w:val="false"/>
          <w:i w:val="false"/>
          <w:caps w:val="false"/>
          <w:smallCaps w:val="false"/>
          <w:sz w:val="20"/>
        </w:rPr>
        <w:t>” shall mean that certain Debt and Equity Purchase Agreement, dated as of August 20, 2025, by and among CHS Investments, STORY3, Nexus, the Agent and the Borrower, as amended, restated, amended and restated or otherwise modified from time to time.</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40" w:right="17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shall mean, with respect to any acquisition, an amount equal to the sum of (a) the aggregate consideration paid in cash or cash equivalents by a Credit Party (whether as initial consideration or through the payment or disposition of deferred consideration, including, without limitation, in the form of seller financing, royalty payments, payments allocated towards non-compete covenants, payments to principals for consulting services or other similar payments) in connection with such acquisition, plus (b) the aggregate amount of liabilities of the acquired business (net of current assets of the acquired business) that would be reflected on a balance sheet (if such were to be prepared) of the Credit Parties after giving effect to such acquisition, plus (c) the aggregate amount of all transaction fees, costs and expenses incurred by the Credit Parties in connection with such acquisition.</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ind w:left="140" w:right="172" w:firstLine="720"/>
        <w:jc w:val="both"/>
        <w:rPr>
          <w:caps w:val="false"/>
          <w:smallCaps w:val="false"/>
          <w:strike/>
          <w:color w:val="FF0000"/>
        </w:rPr>
      </w:pPr>
      <w:r>
        <w:rPr>
          <w:caps w:val="false"/>
          <w:smallCaps w:val="false"/>
          <w:strike/>
          <w:color w:val="FF0000"/>
        </w:rPr>
        <w:t>“</w:t>
      </w:r>
      <w:r>
        <w:rPr>
          <w:rFonts w:ascii="Times New Roman;Times;Serif" w:hAnsi="Times New Roman;Times;Serif"/>
          <w:b/>
          <w:i w:val="false"/>
          <w:caps w:val="false"/>
          <w:smallCaps w:val="false"/>
          <w:strike/>
          <w:color w:val="FF0000"/>
          <w:sz w:val="20"/>
        </w:rPr>
        <w:t>Qualified Cash</w:t>
      </w:r>
      <w:r>
        <w:rPr>
          <w:rFonts w:ascii="Times New Roman;Times;Serif" w:hAnsi="Times New Roman;Times;Serif"/>
          <w:b w:val="false"/>
          <w:i w:val="false"/>
          <w:caps w:val="false"/>
          <w:smallCaps w:val="false"/>
          <w:strike/>
          <w:color w:val="FF0000"/>
          <w:sz w:val="20"/>
        </w:rPr>
        <w:t>” means, as of any date of determination, the aggregate amount of unrestricted cash on-hand of the Credit Parties maintained in deposit accounts in the name of a Credit Party in the United States as of such date, which deposit accounts are subject to Account Control Agreements.</w:t>
      </w:r>
    </w:p>
    <w:p>
      <w:pPr>
        <w:pStyle w:val="TextBody"/>
        <w:bidi w:val="0"/>
        <w:spacing w:before="0" w:after="0"/>
        <w:ind w:left="140" w:right="172" w:firstLine="720"/>
        <w:jc w:val="both"/>
        <w:rPr>
          <w:caps w:val="false"/>
          <w:smallCaps w:val="false"/>
          <w:color w:val="FF0000"/>
        </w:rPr>
      </w:pPr>
      <w:r>
        <w:rPr>
          <w:caps w:val="false"/>
          <w:smallCaps w:val="false"/>
          <w:color w:val="FF0000"/>
        </w:rPr>
        <w:t> </w:t>
      </w:r>
    </w:p>
    <w:p>
      <w:pPr>
        <w:pStyle w:val="TextBody"/>
        <w:bidi w:val="0"/>
        <w:spacing w:before="0" w:after="0"/>
        <w:ind w:left="140" w:right="171" w:firstLine="720"/>
        <w:jc w:val="both"/>
        <w:rPr>
          <w:caps w:val="false"/>
          <w:smallCaps w:val="false"/>
          <w:strike/>
          <w:color w:val="FF0000"/>
        </w:rPr>
      </w:pPr>
      <w:r>
        <w:rPr>
          <w:caps w:val="false"/>
          <w:smallCaps w:val="false"/>
          <w:strike/>
          <w:color w:val="FF0000"/>
        </w:rPr>
        <w:t>“</w:t>
      </w:r>
      <w:r>
        <w:rPr>
          <w:rFonts w:ascii="Times New Roman;Times;Serif" w:hAnsi="Times New Roman;Times;Serif"/>
          <w:b/>
          <w:i w:val="false"/>
          <w:caps w:val="false"/>
          <w:smallCaps w:val="false"/>
          <w:strike/>
          <w:color w:val="FF0000"/>
          <w:sz w:val="20"/>
        </w:rPr>
        <w:t>Qualified Cash Equivalents</w:t>
      </w:r>
      <w:r>
        <w:rPr>
          <w:rFonts w:ascii="Times New Roman;Times;Serif" w:hAnsi="Times New Roman;Times;Serif"/>
          <w:b w:val="false"/>
          <w:i w:val="false"/>
          <w:caps w:val="false"/>
          <w:smallCaps w:val="false"/>
          <w:strike/>
          <w:color w:val="FF0000"/>
          <w:sz w:val="20"/>
        </w:rPr>
        <w:t>” means, as of any date of determination, the aggregate amount of Permitted Investments of the Credit Parties that constitute “cash equivalents” (as defined under GAAP) that are maintained in securities accounts in the name of a Credit Party in the United States as of such date, which securities accounts are subject to Account Control Agreements.</w:t>
      </w:r>
    </w:p>
    <w:p>
      <w:pPr>
        <w:pStyle w:val="TextBody"/>
        <w:bidi w:val="0"/>
        <w:spacing w:before="0" w:after="0"/>
        <w:ind w:left="140" w:right="171" w:firstLine="720"/>
        <w:jc w:val="both"/>
        <w:rPr>
          <w:caps w:val="false"/>
          <w:smallCaps w:val="false"/>
          <w:color w:val="FF0000"/>
        </w:rPr>
      </w:pPr>
      <w:r>
        <w:rPr>
          <w:caps w:val="false"/>
          <w:smallCaps w:val="false"/>
          <w:color w:val="FF0000"/>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Rating Agency</w:t>
      </w:r>
      <w:r>
        <w:rPr>
          <w:rFonts w:ascii="Times New Roman;Times;Serif" w:hAnsi="Times New Roman;Times;Serif"/>
          <w:b w:val="false"/>
          <w:i w:val="false"/>
          <w:caps w:val="false"/>
          <w:smallCaps w:val="false"/>
          <w:sz w:val="20"/>
        </w:rPr>
        <w:t>” shall mean Moody’s Investor Services, Inc., Standard and Poor’s Ratings Services, their respective successors or any other nationally recognized statistical rating organization which is acceptable to the Agent.</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Reaffirmation Agreement</w:t>
      </w:r>
      <w:r>
        <w:rPr>
          <w:rFonts w:ascii="Times New Roman;Times;Serif" w:hAnsi="Times New Roman;Times;Serif"/>
          <w:b w:val="false"/>
          <w:i w:val="false"/>
          <w:caps w:val="false"/>
          <w:smallCaps w:val="false"/>
          <w:sz w:val="20"/>
        </w:rPr>
        <w:t>” means that certain Reaffirmation Agreement, dated as of the Restatement Date, made by the Credit Parties in favor of the Agent.</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Recipient</w:t>
      </w:r>
      <w:r>
        <w:rPr>
          <w:rFonts w:ascii="Times New Roman;Times;Serif" w:hAnsi="Times New Roman;Times;Serif"/>
          <w:b w:val="false"/>
          <w:i w:val="false"/>
          <w:caps w:val="false"/>
          <w:smallCaps w:val="false"/>
          <w:sz w:val="20"/>
        </w:rPr>
        <w:t>” shall mean (a) the Agent and (b) any Lender.</w:t>
      </w:r>
    </w:p>
    <w:p>
      <w:pPr>
        <w:pStyle w:val="TextBody"/>
        <w:bidi w:val="0"/>
        <w:spacing w:before="0" w:after="0"/>
        <w:ind w:left="860" w:right="0" w:hanging="0"/>
        <w:jc w:val="left"/>
        <w:rPr>
          <w:caps w:val="false"/>
          <w:smallCaps w:val="false"/>
        </w:rPr>
      </w:pPr>
      <w:r>
        <w:rPr>
          <w:caps w:val="false"/>
          <w:smallCaps w:val="false"/>
        </w:rPr>
        <w:t> </w:t>
      </w:r>
    </w:p>
    <w:p>
      <w:pPr>
        <w:pStyle w:val="TextBody"/>
        <w:bidi w:val="0"/>
        <w:spacing w:before="0" w:after="0"/>
        <w:ind w:left="139" w:right="17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Reference Rate</w:t>
      </w:r>
      <w:r>
        <w:rPr>
          <w:rFonts w:ascii="Times New Roman;Times;Serif" w:hAnsi="Times New Roman;Times;Serif"/>
          <w:b w:val="false"/>
          <w:i w:val="false"/>
          <w:caps w:val="false"/>
          <w:smallCaps w:val="false"/>
          <w:sz w:val="20"/>
        </w:rPr>
        <w:t xml:space="preserve">” means, for any period, the greatest of (a) 2.00% per annum, (b) the Federal Funds Rate plus 0.50% per annum, (c) Adjusted Term SOFR (which rate shall be calculated based upon an Interest Period of three (3) months and shall be determined on a daily basis) plus 1.00% per annum, and (d) the rate last quoted by </w:t>
      </w:r>
      <w:r>
        <w:rPr>
          <w:rFonts w:ascii="Times New Roman;Times;Serif" w:hAnsi="Times New Roman;Times;Serif"/>
          <w:b w:val="false"/>
          <w:i w:val="false"/>
          <w:caps w:val="false"/>
          <w:smallCaps w:val="false"/>
          <w:sz w:val="20"/>
          <w:u w:val="single"/>
        </w:rPr>
        <w:t>The Wall Street Journal</w:t>
      </w:r>
      <w:r>
        <w:rPr>
          <w:rFonts w:ascii="Times New Roman;Times;Serif" w:hAnsi="Times New Roman;Times;Serif"/>
          <w:b w:val="false"/>
          <w:i w:val="false"/>
          <w:caps w:val="false"/>
          <w:smallCaps w:val="false"/>
          <w:sz w:val="20"/>
        </w:rPr>
        <w:t xml:space="preserve"> as the “Prime Rate” in the United States or, if </w:t>
      </w:r>
      <w:r>
        <w:rPr>
          <w:rFonts w:ascii="Times New Roman;Times;Serif" w:hAnsi="Times New Roman;Times;Serif"/>
          <w:b w:val="false"/>
          <w:i w:val="false"/>
          <w:caps w:val="false"/>
          <w:smallCaps w:val="false"/>
          <w:sz w:val="20"/>
          <w:u w:val="single"/>
        </w:rPr>
        <w:t>The Wall Street Journal</w:t>
      </w:r>
      <w:r>
        <w:rPr>
          <w:rFonts w:ascii="Times New Roman;Times;Serif" w:hAnsi="Times New Roman;Times;Serif"/>
          <w:b w:val="false"/>
          <w:i w:val="false"/>
          <w:caps w:val="false"/>
          <w:smallCaps w:val="false"/>
          <w:sz w:val="20"/>
        </w:rPr>
        <w:t xml:space="preserve">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Agent) or any similar release by the Federal Reserve Board (as determined by the Agent). Each change in the Reference Rate shall be effective from and including the date such change is publicly announced as being effective.</w:t>
      </w:r>
    </w:p>
    <w:p>
      <w:pPr>
        <w:pStyle w:val="TextBody"/>
        <w:bidi w:val="0"/>
        <w:spacing w:before="0" w:after="0"/>
        <w:ind w:left="139" w:right="17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7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Reference Rate Loan</w:t>
      </w:r>
      <w:r>
        <w:rPr>
          <w:rFonts w:ascii="Times New Roman;Times;Serif" w:hAnsi="Times New Roman;Times;Serif"/>
          <w:b w:val="false"/>
          <w:i w:val="false"/>
          <w:caps w:val="false"/>
          <w:smallCaps w:val="false"/>
          <w:sz w:val="20"/>
        </w:rPr>
        <w:t>” shall mean each portion of a Loan that bears interest at a rate determined by reference to the Reference Rate.</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Reference Rate Term SOFR Determination Day</w:t>
      </w:r>
      <w:r>
        <w:rPr>
          <w:rFonts w:ascii="Times New Roman;Times;Serif" w:hAnsi="Times New Roman;Times;Serif"/>
          <w:b w:val="false"/>
          <w:i w:val="false"/>
          <w:caps w:val="false"/>
          <w:smallCaps w:val="false"/>
          <w:sz w:val="20"/>
        </w:rPr>
        <w:t>” has the meaning specified therefor in the definition of “Term SOFR”.</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shall have the meaning specified therefor in Section 12.7(h).</w:t>
      </w:r>
    </w:p>
    <w:p>
      <w:pPr>
        <w:pStyle w:val="TextBody"/>
        <w:bidi w:val="0"/>
        <w:spacing w:before="0" w:after="0"/>
        <w:ind w:left="860" w:right="0" w:hanging="0"/>
        <w:jc w:val="left"/>
        <w:rPr>
          <w:caps w:val="false"/>
          <w:smallCaps w:val="false"/>
        </w:rPr>
      </w:pPr>
      <w:r>
        <w:rPr>
          <w:caps w:val="false"/>
          <w:smallCaps w:val="false"/>
        </w:rPr>
        <w:t> </w:t>
      </w:r>
    </w:p>
    <w:p>
      <w:pPr>
        <w:pStyle w:val="TextBody"/>
        <w:bidi w:val="0"/>
        <w:spacing w:before="0" w:after="0"/>
        <w:ind w:left="140" w:right="19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Regulation 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Regulation U</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Regulation X</w:t>
      </w:r>
      <w:r>
        <w:rPr>
          <w:rFonts w:ascii="Times New Roman;Times;Serif" w:hAnsi="Times New Roman;Times;Serif"/>
          <w:b w:val="false"/>
          <w:i w:val="false"/>
          <w:caps w:val="false"/>
          <w:smallCaps w:val="false"/>
          <w:sz w:val="20"/>
        </w:rPr>
        <w:t>” mean, respectively, Regulations T, U and X of the Board or any successor, as the same may be amended or supplemented from time to time.</w:t>
      </w:r>
    </w:p>
    <w:p>
      <w:pPr>
        <w:pStyle w:val="TextBody"/>
        <w:bidi w:val="0"/>
        <w:spacing w:before="0" w:after="0"/>
        <w:ind w:left="140" w:right="192" w:firstLine="720"/>
        <w:jc w:val="both"/>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Reinvestment Amounts</w:t>
      </w:r>
      <w:r>
        <w:rPr>
          <w:rFonts w:ascii="Times New Roman;Times;Serif" w:hAnsi="Times New Roman;Times;Serif"/>
          <w:b w:val="false"/>
          <w:i w:val="false"/>
          <w:caps w:val="false"/>
          <w:smallCaps w:val="false"/>
          <w:sz w:val="20"/>
        </w:rPr>
        <w:t>” shall have the meaning specified therefor in Section 2.8(a).</w:t>
      </w:r>
    </w:p>
    <w:p>
      <w:pPr>
        <w:pStyle w:val="TextBody"/>
        <w:bidi w:val="0"/>
        <w:spacing w:before="0" w:after="0"/>
        <w:ind w:left="860" w:right="0" w:hanging="0"/>
        <w:jc w:val="left"/>
        <w:rPr>
          <w:caps w:val="false"/>
          <w:smallCaps w:val="false"/>
        </w:rPr>
      </w:pPr>
      <w:r>
        <w:rPr>
          <w:caps w:val="false"/>
          <w:smallCaps w:val="false"/>
        </w:rPr>
        <w:t> </w:t>
      </w:r>
    </w:p>
    <w:p>
      <w:pPr>
        <w:pStyle w:val="TextBody"/>
        <w:bidi w:val="0"/>
        <w:spacing w:before="0" w:after="0"/>
        <w:ind w:left="140" w:right="174"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Related Fund</w:t>
      </w:r>
      <w:r>
        <w:rPr>
          <w:rFonts w:ascii="Times New Roman;Times;Serif" w:hAnsi="Times New Roman;Times;Serif"/>
          <w:b w:val="false"/>
          <w:i w:val="false"/>
          <w:caps w:val="false"/>
          <w:smallCaps w:val="false"/>
          <w:sz w:val="20"/>
        </w:rPr>
        <w:t>” means, with respect to any Person, an Affiliate of such Person, or a fund or account managed by such Person or an Affiliate of such Person.</w:t>
      </w:r>
    </w:p>
    <w:p>
      <w:pPr>
        <w:pStyle w:val="TextBody"/>
        <w:bidi w:val="0"/>
        <w:spacing w:before="0" w:after="0"/>
        <w:ind w:left="140" w:right="174" w:firstLine="720"/>
        <w:jc w:val="both"/>
        <w:rPr>
          <w:caps w:val="false"/>
          <w:smallCaps w:val="false"/>
        </w:rPr>
      </w:pPr>
      <w:r>
        <w:rPr>
          <w:caps w:val="false"/>
          <w:smallCaps w:val="false"/>
        </w:rPr>
        <w:t> </w:t>
      </w:r>
    </w:p>
    <w:p>
      <w:pPr>
        <w:pStyle w:val="TextBody"/>
        <w:bidi w:val="0"/>
        <w:spacing w:before="0" w:after="0"/>
        <w:ind w:left="140" w:right="17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Release</w:t>
      </w:r>
      <w:r>
        <w:rPr>
          <w:rFonts w:ascii="Times New Roman;Times;Serif" w:hAnsi="Times New Roman;Times;Serif"/>
          <w:b w:val="false"/>
          <w:i w:val="false"/>
          <w:caps w:val="false"/>
          <w:smallCaps w:val="false"/>
          <w:sz w:val="20"/>
        </w:rPr>
        <w:t>” means any spilling, leaking, pumping, pouring, emitting, emptying, discharging, injecting, escaping, leaching, seeping, migrating, dumping or disposing of any Hazardous Material (including the abandonment or discarding of barrels, containers and other closed receptacles containing any Hazardous Material) into the indoor or outdoor environment, including, without limitation, the movement of Hazardous Materials through or in any environmental media, including the indoor or outdoor air, soil, surface or ground water, sediments or property.</w:t>
      </w:r>
    </w:p>
    <w:p>
      <w:pPr>
        <w:pStyle w:val="TextBody"/>
        <w:bidi w:val="0"/>
        <w:spacing w:before="0" w:after="0"/>
        <w:ind w:left="140" w:right="170" w:firstLine="720"/>
        <w:jc w:val="both"/>
        <w:rPr>
          <w:caps w:val="false"/>
          <w:smallCaps w:val="false"/>
        </w:rPr>
      </w:pPr>
      <w:r>
        <w:rPr>
          <w:caps w:val="false"/>
          <w:smallCaps w:val="false"/>
        </w:rPr>
        <w:t> </w:t>
      </w:r>
    </w:p>
    <w:p>
      <w:pPr>
        <w:pStyle w:val="TextBody"/>
        <w:bidi w:val="0"/>
        <w:spacing w:before="0" w:after="0"/>
        <w:ind w:left="140" w:right="17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Replacement Lender</w:t>
      </w:r>
      <w:r>
        <w:rPr>
          <w:rFonts w:ascii="Times New Roman;Times;Serif" w:hAnsi="Times New Roman;Times;Serif"/>
          <w:b w:val="false"/>
          <w:i w:val="false"/>
          <w:caps w:val="false"/>
          <w:smallCaps w:val="false"/>
          <w:sz w:val="20"/>
        </w:rPr>
        <w:t>” shall have the meaning specified therefor in Section 12.11.  </w:t>
      </w:r>
    </w:p>
    <w:p>
      <w:pPr>
        <w:pStyle w:val="TextBody"/>
        <w:bidi w:val="0"/>
        <w:spacing w:before="0" w:after="0"/>
        <w:ind w:left="860" w:right="172" w:hanging="0"/>
        <w:jc w:val="both"/>
        <w:rPr>
          <w:caps w:val="false"/>
          <w:smallCaps w:val="false"/>
        </w:rPr>
      </w:pPr>
      <w:r>
        <w:rPr>
          <w:caps w:val="false"/>
          <w:smallCaps w:val="false"/>
        </w:rPr>
        <w:t> </w:t>
      </w:r>
    </w:p>
    <w:p>
      <w:pPr>
        <w:pStyle w:val="TextBody"/>
        <w:bidi w:val="0"/>
        <w:spacing w:before="0" w:after="0"/>
        <w:ind w:left="140" w:right="17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Reportable Compliance Event</w:t>
      </w:r>
      <w:r>
        <w:rPr>
          <w:rFonts w:ascii="Times New Roman;Times;Serif" w:hAnsi="Times New Roman;Times;Serif"/>
          <w:b w:val="false"/>
          <w:i w:val="false"/>
          <w:caps w:val="false"/>
          <w:smallCaps w:val="false"/>
          <w:sz w:val="20"/>
        </w:rPr>
        <w:t xml:space="preserve"> shall mean that any Covered Entity becomes a Sanctioned Person, indicted, arraigned, investigated or custodially detained, or receives an inquiry from regulatory or law enforcement officials, in connection with any Anti-Terrorism Law or any predicate crime to any Anti-Terrorism Law, or has knowledge of or self-discovers facts or circumstances implicating any aspect of its operations with the actual or possible violation of any Anti-Terrorism Law.</w:t>
      </w:r>
    </w:p>
    <w:p>
      <w:pPr>
        <w:pStyle w:val="TextBody"/>
        <w:bidi w:val="0"/>
        <w:spacing w:before="0" w:after="0"/>
        <w:ind w:left="140" w:right="173" w:hanging="0"/>
        <w:jc w:val="both"/>
        <w:rPr>
          <w:caps w:val="false"/>
          <w:smallCaps w:val="false"/>
        </w:rPr>
      </w:pPr>
      <w:r>
        <w:rPr>
          <w:caps w:val="false"/>
          <w:smallCaps w:val="false"/>
        </w:rPr>
        <w:t> </w:t>
      </w:r>
    </w:p>
    <w:p>
      <w:pPr>
        <w:pStyle w:val="TextBody"/>
        <w:bidi w:val="0"/>
        <w:spacing w:before="0" w:after="0"/>
        <w:ind w:left="140" w:right="121"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Reportable Event</w:t>
      </w:r>
      <w:r>
        <w:rPr>
          <w:rFonts w:ascii="Times New Roman;Times;Serif" w:hAnsi="Times New Roman;Times;Serif"/>
          <w:b w:val="false"/>
          <w:i w:val="false"/>
          <w:caps w:val="false"/>
          <w:smallCaps w:val="false"/>
          <w:sz w:val="20"/>
        </w:rPr>
        <w:t>” shall mean an event described in Section 4043 of ERISA (other than an event not subject to the provision for 30-day notice to the PBGC under the regulations promulgated under such Section).</w:t>
      </w:r>
    </w:p>
    <w:p>
      <w:pPr>
        <w:pStyle w:val="TextBody"/>
        <w:bidi w:val="0"/>
        <w:spacing w:before="0" w:after="0"/>
        <w:ind w:left="140" w:right="121" w:firstLine="720"/>
        <w:jc w:val="both"/>
        <w:rPr>
          <w:caps w:val="false"/>
          <w:smallCaps w:val="false"/>
        </w:rPr>
      </w:pPr>
      <w:r>
        <w:rPr>
          <w:caps w:val="false"/>
          <w:smallCaps w:val="false"/>
        </w:rPr>
        <w:t> </w:t>
      </w:r>
    </w:p>
    <w:p>
      <w:pPr>
        <w:pStyle w:val="TextBody"/>
        <w:bidi w:val="0"/>
        <w:spacing w:before="0" w:after="0"/>
        <w:ind w:left="140" w:right="121"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Request for Loan</w:t>
      </w:r>
      <w:r>
        <w:rPr>
          <w:rFonts w:ascii="Times New Roman;Times;Serif" w:hAnsi="Times New Roman;Times;Serif"/>
          <w:b w:val="false"/>
          <w:i w:val="false"/>
          <w:caps w:val="false"/>
          <w:smallCaps w:val="false"/>
          <w:sz w:val="20"/>
        </w:rPr>
        <w:t>” shall mean a request for a Loan issued by the Borrower under Section 2.3 in the form attached hereto as Exhibit D hereto.</w:t>
      </w:r>
    </w:p>
    <w:p>
      <w:pPr>
        <w:pStyle w:val="TextBody"/>
        <w:bidi w:val="0"/>
        <w:spacing w:before="0" w:after="0"/>
        <w:ind w:left="140" w:right="132" w:firstLine="720"/>
        <w:jc w:val="both"/>
        <w:rPr>
          <w:caps w:val="false"/>
          <w:smallCaps w:val="false"/>
        </w:rPr>
      </w:pPr>
      <w:r>
        <w:rPr>
          <w:caps w:val="false"/>
          <w:smallCaps w:val="false"/>
        </w:rPr>
        <w:t> </w:t>
      </w:r>
    </w:p>
    <w:p>
      <w:pPr>
        <w:pStyle w:val="TextBody"/>
        <w:bidi w:val="0"/>
        <w:spacing w:before="0" w:after="0"/>
        <w:ind w:left="140" w:right="121"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Prepayment Date</w:t>
      </w:r>
      <w:r>
        <w:rPr>
          <w:rFonts w:ascii="Times New Roman;Times;Serif" w:hAnsi="Times New Roman;Times;Serif"/>
          <w:b w:val="false"/>
          <w:i w:val="false"/>
          <w:caps w:val="false"/>
          <w:smallCaps w:val="false"/>
          <w:sz w:val="20"/>
        </w:rPr>
        <w:t>” shall have the meaning specified therefor in Section 2.9(b).</w:t>
      </w:r>
    </w:p>
    <w:p>
      <w:pPr>
        <w:pStyle w:val="TextBody"/>
        <w:bidi w:val="0"/>
        <w:spacing w:before="0" w:after="0"/>
        <w:ind w:left="860" w:right="171" w:hanging="0"/>
        <w:jc w:val="both"/>
        <w:rPr>
          <w:caps w:val="false"/>
          <w:smallCaps w:val="false"/>
        </w:rPr>
      </w:pPr>
      <w:r>
        <w:rPr>
          <w:caps w:val="false"/>
          <w:smallCaps w:val="false"/>
        </w:rPr>
        <w:t> </w:t>
      </w:r>
    </w:p>
    <w:p>
      <w:pPr>
        <w:pStyle w:val="TextBody"/>
        <w:bidi w:val="0"/>
        <w:spacing w:before="0" w:after="0"/>
        <w:ind w:left="140" w:right="121"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Requirement of Law</w:t>
      </w:r>
      <w:r>
        <w:rPr>
          <w:rFonts w:ascii="Times New Roman;Times;Serif" w:hAnsi="Times New Roman;Times;Serif"/>
          <w:b w:val="false"/>
          <w:i w:val="false"/>
          <w:caps w:val="false"/>
          <w:smallCaps w:val="false"/>
          <w:sz w:val="20"/>
        </w:rPr>
        <w:t>” shall mean as to any Person, the certificate of incorporation and bylaws, the partnership agreement or other organizational or governing documents of such Person and the common law and all federal, state, provincial,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that are applicable to or binding upon such Person or any of its property or to which such Person or any of its property is subject.</w:t>
      </w:r>
    </w:p>
    <w:p>
      <w:pPr>
        <w:pStyle w:val="TextBody"/>
        <w:bidi w:val="0"/>
        <w:spacing w:before="0" w:after="0"/>
        <w:ind w:left="140" w:right="17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9" w:right="17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shall mean, with respect to any Person, the chief executive officer, chief financial officer, treasurer, president, secretary or controller of such Person or any other officer of such Person having substantially the same authority and responsibility.</w:t>
      </w:r>
    </w:p>
    <w:p>
      <w:pPr>
        <w:pStyle w:val="TextBody"/>
        <w:bidi w:val="0"/>
        <w:spacing w:before="0" w:after="0"/>
        <w:ind w:left="139" w:right="172" w:firstLine="72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Restatement Date</w:t>
      </w:r>
      <w:r>
        <w:rPr>
          <w:rFonts w:ascii="Times New Roman;Times;Serif" w:hAnsi="Times New Roman;Times;Serif"/>
          <w:b w:val="false"/>
          <w:i w:val="false"/>
          <w:caps w:val="false"/>
          <w:smallCaps w:val="false"/>
          <w:sz w:val="20"/>
        </w:rPr>
        <w:t>” shall mean the date on which all the conditions precedent set forth in Sections 4.1 and 4.2 have been satisfied.</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39" w:right="12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Restatement Date Assignees</w:t>
      </w:r>
      <w:r>
        <w:rPr>
          <w:rFonts w:ascii="Times New Roman;Times;Serif" w:hAnsi="Times New Roman;Times;Serif"/>
          <w:b w:val="false"/>
          <w:i w:val="false"/>
          <w:caps w:val="false"/>
          <w:smallCaps w:val="false"/>
          <w:sz w:val="20"/>
        </w:rPr>
        <w:t>” shall mean each of STORY3, Nexus and any of their respective Affiliates and Related Funds that are assigned Term Loans pursuant to the Restatement Date Assignment.</w:t>
      </w:r>
    </w:p>
    <w:p>
      <w:pPr>
        <w:pStyle w:val="TextBody"/>
        <w:bidi w:val="0"/>
        <w:spacing w:before="0" w:after="0"/>
        <w:ind w:left="139" w:right="122" w:firstLine="720"/>
        <w:jc w:val="both"/>
        <w:rPr>
          <w:caps w:val="false"/>
          <w:smallCaps w:val="false"/>
        </w:rPr>
      </w:pPr>
      <w:r>
        <w:rPr>
          <w:caps w:val="false"/>
          <w:smallCaps w:val="false"/>
        </w:rPr>
        <w:t> </w:t>
      </w:r>
    </w:p>
    <w:p>
      <w:pPr>
        <w:pStyle w:val="TextBody"/>
        <w:bidi w:val="0"/>
        <w:spacing w:before="0" w:after="0"/>
        <w:ind w:left="139" w:right="166"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Restatement Date Assignment</w:t>
      </w:r>
      <w:r>
        <w:rPr>
          <w:rFonts w:ascii="Times New Roman;Times;Serif" w:hAnsi="Times New Roman;Times;Serif"/>
          <w:b w:val="false"/>
          <w:i w:val="false"/>
          <w:caps w:val="false"/>
          <w:smallCaps w:val="false"/>
          <w:sz w:val="20"/>
        </w:rPr>
        <w:t>” shall have the meaning specified therefor in the recitals to this Agreement.</w:t>
      </w:r>
    </w:p>
    <w:p>
      <w:pPr>
        <w:pStyle w:val="TextBody"/>
        <w:bidi w:val="0"/>
        <w:spacing w:before="0" w:after="0"/>
        <w:ind w:left="139" w:right="166" w:firstLine="72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Restatement Date Term Loan</w:t>
      </w:r>
      <w:r>
        <w:rPr>
          <w:rFonts w:ascii="Times New Roman;Times;Serif" w:hAnsi="Times New Roman;Times;Serif"/>
          <w:b w:val="false"/>
          <w:i w:val="false"/>
          <w:caps w:val="false"/>
          <w:smallCaps w:val="false"/>
          <w:sz w:val="20"/>
        </w:rPr>
        <w:t>” shall mean a term loan made by a Lender to the Borrower pursuant to Section 2.1(c) or all of the term loans made by the Lenders to the Borrower pursuant to Section 2.1(c), as the context requires.</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Restatement Date Term Loan Commitment</w:t>
      </w:r>
      <w:r>
        <w:rPr>
          <w:rFonts w:ascii="Times New Roman;Times;Serif" w:hAnsi="Times New Roman;Times;Serif"/>
          <w:b w:val="false"/>
          <w:i w:val="false"/>
          <w:caps w:val="false"/>
          <w:smallCaps w:val="false"/>
          <w:sz w:val="20"/>
        </w:rPr>
        <w:t>” shall mean the commitment of a Lender to make or otherwise fund a Restatement Date Term Loan and</w:t>
      </w:r>
    </w:p>
    <w:p>
      <w:pPr>
        <w:pStyle w:val="TextBody"/>
        <w:bidi w:val="0"/>
        <w:spacing w:before="0" w:after="0"/>
        <w:ind w:left="140" w:right="116" w:firstLine="72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Restatement Date Term Loan Commitments</w:t>
      </w:r>
      <w:r>
        <w:rPr>
          <w:rFonts w:ascii="Times New Roman;Times;Serif" w:hAnsi="Times New Roman;Times;Serif"/>
          <w:b w:val="false"/>
          <w:i w:val="false"/>
          <w:caps w:val="false"/>
          <w:smallCaps w:val="false"/>
          <w:sz w:val="20"/>
        </w:rPr>
        <w:t xml:space="preserve">” shall mean such commitments of all Lenders in the aggregate. The amount of each Lender’s Restatement Term Loan Commitment, if any, is set forth in Section 2 of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The aggregate amount of Restatement Term Loan Commitments as of the Restatement Date is $20,000,000.</w:t>
      </w:r>
    </w:p>
    <w:p>
      <w:pPr>
        <w:pStyle w:val="TextBody"/>
        <w:bidi w:val="0"/>
        <w:spacing w:before="0" w:after="0"/>
        <w:ind w:left="140" w:right="116" w:firstLine="72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Restatement Date Transactions</w:t>
      </w:r>
      <w:r>
        <w:rPr>
          <w:rFonts w:ascii="Times New Roman;Times;Serif" w:hAnsi="Times New Roman;Times;Serif"/>
          <w:b w:val="false"/>
          <w:i w:val="false"/>
          <w:caps w:val="false"/>
          <w:smallCaps w:val="false"/>
          <w:sz w:val="20"/>
        </w:rPr>
        <w:t>” has the meaning specified therefor in Section 2.1(c).</w:t>
      </w:r>
    </w:p>
    <w:p>
      <w:pPr>
        <w:pStyle w:val="TextBody"/>
        <w:bidi w:val="0"/>
        <w:spacing w:before="0" w:after="0"/>
        <w:ind w:left="860" w:right="172" w:hanging="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shall   mean   any   sanction   administered   or   enforced   by  the   United States Government (including, without limitation, OFAC), the United Nations Security Council, the European Union, Her Majesty’s Treasury or other relevant sanctions authority.</w:t>
      </w:r>
    </w:p>
    <w:p>
      <w:pPr>
        <w:pStyle w:val="TextBody"/>
        <w:bidi w:val="0"/>
        <w:spacing w:before="0" w:after="0"/>
        <w:ind w:left="140" w:right="0" w:hanging="0"/>
        <w:jc w:val="left"/>
        <w:rPr>
          <w:caps w:val="false"/>
          <w:smallCaps w:val="false"/>
        </w:rPr>
      </w:pPr>
      <w:r>
        <w:rPr>
          <w:caps w:val="false"/>
          <w:smallCaps w:val="false"/>
        </w:rPr>
        <w:t> </w:t>
      </w:r>
    </w:p>
    <w:p>
      <w:pPr>
        <w:pStyle w:val="TextBody"/>
        <w:bidi w:val="0"/>
        <w:spacing w:before="0" w:after="0"/>
        <w:ind w:left="140" w:right="175"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Sanctioned Country</w:t>
      </w:r>
      <w:r>
        <w:rPr>
          <w:rFonts w:ascii="Times New Roman;Times;Serif" w:hAnsi="Times New Roman;Times;Serif"/>
          <w:b w:val="false"/>
          <w:i w:val="false"/>
          <w:caps w:val="false"/>
          <w:smallCaps w:val="false"/>
          <w:sz w:val="20"/>
        </w:rPr>
        <w:t>” shall mean a country subject to a sanctions program maintained under any Anti-Terrorism Law.</w:t>
      </w:r>
    </w:p>
    <w:p>
      <w:pPr>
        <w:pStyle w:val="TextBody"/>
        <w:bidi w:val="0"/>
        <w:spacing w:before="0" w:after="0"/>
        <w:ind w:left="140" w:right="175" w:firstLine="720"/>
        <w:jc w:val="both"/>
        <w:rPr>
          <w:caps w:val="false"/>
          <w:smallCaps w:val="false"/>
        </w:rPr>
      </w:pPr>
      <w:r>
        <w:rPr>
          <w:caps w:val="false"/>
          <w:smallCaps w:val="false"/>
        </w:rPr>
        <w:t> </w:t>
      </w:r>
    </w:p>
    <w:p>
      <w:pPr>
        <w:pStyle w:val="TextBody"/>
        <w:bidi w:val="0"/>
        <w:spacing w:before="0" w:after="0"/>
        <w:ind w:left="140" w:right="16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Sanctioned Person</w:t>
      </w:r>
      <w:r>
        <w:rPr>
          <w:rFonts w:ascii="Times New Roman;Times;Serif" w:hAnsi="Times New Roman;Times;Serif"/>
          <w:b w:val="false"/>
          <w:i w:val="false"/>
          <w:caps w:val="false"/>
          <w:smallCaps w:val="false"/>
          <w:sz w:val="20"/>
        </w:rPr>
        <w:t>” shall mean any individual person, group, regime, entity or thing listed or otherwise recognized as a specially designated, prohibited, sanctioned or debarred person, group, regime, entity or thing, or subject to any limitations or prohibitions (including but not limited to the blocking of property or rejection of transactions), under any Anti-Terrorism Law.</w:t>
      </w:r>
    </w:p>
    <w:p>
      <w:pPr>
        <w:pStyle w:val="TextBody"/>
        <w:bidi w:val="0"/>
        <w:spacing w:before="0" w:after="0"/>
        <w:ind w:left="140" w:right="163" w:firstLine="720"/>
        <w:jc w:val="both"/>
        <w:rPr>
          <w:caps w:val="false"/>
          <w:smallCaps w:val="false"/>
        </w:rPr>
      </w:pPr>
      <w:r>
        <w:rPr>
          <w:caps w:val="false"/>
          <w:smallCaps w:val="false"/>
        </w:rPr>
        <w:t> </w:t>
      </w:r>
    </w:p>
    <w:p>
      <w:pPr>
        <w:pStyle w:val="TextBody"/>
        <w:bidi w:val="0"/>
        <w:spacing w:before="0" w:after="0"/>
        <w:ind w:left="140" w:right="179"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Securities and Exchange Commission or any other similar or successor agency of the Federal government administering the Securities Act.</w:t>
      </w:r>
    </w:p>
    <w:p>
      <w:pPr>
        <w:pStyle w:val="TextBody"/>
        <w:bidi w:val="0"/>
        <w:spacing w:before="0" w:after="0"/>
        <w:ind w:left="140" w:right="179" w:firstLine="720"/>
        <w:jc w:val="both"/>
        <w:rPr>
          <w:caps w:val="false"/>
          <w:smallCaps w:val="false"/>
        </w:rPr>
      </w:pPr>
      <w:r>
        <w:rPr>
          <w:caps w:val="false"/>
          <w:smallCaps w:val="false"/>
        </w:rPr>
        <w:t> </w:t>
      </w:r>
    </w:p>
    <w:p>
      <w:pPr>
        <w:pStyle w:val="TextBody"/>
        <w:bidi w:val="0"/>
        <w:spacing w:before="0" w:after="0"/>
        <w:ind w:left="140" w:right="14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Security Agreement</w:t>
      </w:r>
      <w:r>
        <w:rPr>
          <w:rFonts w:ascii="Times New Roman;Times;Serif" w:hAnsi="Times New Roman;Times;Serif"/>
          <w:b w:val="false"/>
          <w:i w:val="false"/>
          <w:caps w:val="false"/>
          <w:smallCaps w:val="false"/>
          <w:sz w:val="20"/>
        </w:rPr>
        <w:t>” shall mean, collectively, the amended and restated security agreement executed and delivered by the Borrower on the Restatement Date pursuant to Section 4.1, and any such agreements executed and delivered by the Guarantors after the Restatement Date (whether by execution of a joinder agreement to any existing security agreement or otherwise) pursuant to Section 6.13 hereof  or otherwise, in the form of the Security Agreement attached hereto as Exhibit A, as amended, restated or otherwise modified from time to time.</w:t>
      </w:r>
    </w:p>
    <w:p>
      <w:pPr>
        <w:pStyle w:val="TextBody"/>
        <w:bidi w:val="0"/>
        <w:spacing w:before="0" w:after="0"/>
        <w:ind w:left="140" w:right="142" w:firstLine="72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Senior Agent</w:t>
      </w:r>
      <w:r>
        <w:rPr>
          <w:rFonts w:ascii="Times New Roman;Times;Serif" w:hAnsi="Times New Roman;Times;Serif"/>
          <w:b w:val="false"/>
          <w:i w:val="false"/>
          <w:caps w:val="false"/>
          <w:smallCaps w:val="false"/>
          <w:sz w:val="20"/>
        </w:rPr>
        <w:t>” shall mean the administrative agent and/or collateral agent under the Senior Credit Agreement and its successors and permitted assigns in such capacity.</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Senior Credit Agreement</w:t>
      </w:r>
      <w:r>
        <w:rPr>
          <w:rFonts w:ascii="Times New Roman;Times;Serif" w:hAnsi="Times New Roman;Times;Serif"/>
          <w:b w:val="false"/>
          <w:i w:val="false"/>
          <w:caps w:val="false"/>
          <w:smallCaps w:val="false"/>
          <w:sz w:val="20"/>
        </w:rPr>
        <w:t>” shall mean a revolver credit agreement, in form and substance reasonably satisfactory to the Agent in all respects (such approval to be evidenced in writing by the</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7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 if executed, to be executed by and among the Senior Agent, the Senior Lenders and the Borrower, as the same may be amended, restated, supplemented or otherwise modified from time to time in a manner not prohibited by the terms of the Specified Subordination Agreement.</w:t>
      </w:r>
    </w:p>
    <w:p>
      <w:pPr>
        <w:pStyle w:val="TextBody"/>
        <w:bidi w:val="0"/>
        <w:spacing w:before="0" w:after="0"/>
        <w:ind w:left="140" w:right="173" w:hanging="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Senior Debt</w:t>
      </w:r>
      <w:r>
        <w:rPr>
          <w:rFonts w:ascii="Times New Roman;Times;Serif" w:hAnsi="Times New Roman;Times;Serif"/>
          <w:b w:val="false"/>
          <w:i w:val="false"/>
          <w:caps w:val="false"/>
          <w:smallCaps w:val="false"/>
          <w:sz w:val="20"/>
        </w:rPr>
        <w:t>” shall mean Debt of the Borrower or any Guarantor under the Senior Loan Documents, if any.</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86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Senior Lenders</w:t>
      </w:r>
      <w:r>
        <w:rPr>
          <w:rFonts w:ascii="Times New Roman;Times;Serif" w:hAnsi="Times New Roman;Times;Serif"/>
          <w:b w:val="false"/>
          <w:i w:val="false"/>
          <w:caps w:val="false"/>
          <w:smallCaps w:val="false"/>
          <w:sz w:val="20"/>
        </w:rPr>
        <w:t>” shall mean the lenders party to the Senior Credit Agreement, if any.</w:t>
      </w:r>
    </w:p>
    <w:p>
      <w:pPr>
        <w:pStyle w:val="TextBody"/>
        <w:bidi w:val="0"/>
        <w:spacing w:before="0" w:after="0"/>
        <w:ind w:left="860" w:right="0" w:hanging="0"/>
        <w:jc w:val="both"/>
        <w:rPr>
          <w:caps w:val="false"/>
          <w:smallCaps w:val="false"/>
        </w:rPr>
      </w:pPr>
      <w:r>
        <w:rPr>
          <w:caps w:val="false"/>
          <w:smallCaps w:val="false"/>
        </w:rPr>
        <w:t> </w:t>
      </w:r>
    </w:p>
    <w:p>
      <w:pPr>
        <w:pStyle w:val="TextBody"/>
        <w:bidi w:val="0"/>
        <w:spacing w:before="0" w:after="0"/>
        <w:ind w:left="140" w:right="12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Senior Loan Documents</w:t>
      </w:r>
      <w:r>
        <w:rPr>
          <w:rFonts w:ascii="Times New Roman;Times;Serif" w:hAnsi="Times New Roman;Times;Serif"/>
          <w:b w:val="false"/>
          <w:i w:val="false"/>
          <w:caps w:val="false"/>
          <w:smallCaps w:val="false"/>
          <w:sz w:val="20"/>
        </w:rPr>
        <w:t>” shall mean, collectively, the Senior Credit Agreement and any and  all other documents, instruments and certificates executed and delivered pursuant thereto, in each case, as the same may be amended, restated, supplemented or otherwise modified from time to time in a manner not prohibited by the terms of the Specified Subordination Agreement. For the avoidance of doubt, no Senior Loan Document is in effect on the Restatement Date.</w:t>
      </w:r>
    </w:p>
    <w:p>
      <w:pPr>
        <w:pStyle w:val="TextBody"/>
        <w:bidi w:val="0"/>
        <w:spacing w:before="0" w:after="0"/>
        <w:ind w:left="140" w:right="120" w:firstLine="72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SOFR</w:t>
      </w:r>
      <w:r>
        <w:rPr>
          <w:rFonts w:ascii="Times New Roman;Times;Serif" w:hAnsi="Times New Roman;Times;Serif"/>
          <w:b w:val="false"/>
          <w:i w:val="false"/>
          <w:caps w:val="false"/>
          <w:smallCaps w:val="false"/>
          <w:sz w:val="20"/>
        </w:rPr>
        <w:t>” shall mean a rate equal to the secured overnight financing rate as administered by the SOFR Administrator.</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SOFR Administrator</w:t>
      </w:r>
      <w:r>
        <w:rPr>
          <w:rFonts w:ascii="Times New Roman;Times;Serif" w:hAnsi="Times New Roman;Times;Serif"/>
          <w:b w:val="false"/>
          <w:i w:val="false"/>
          <w:caps w:val="false"/>
          <w:smallCaps w:val="false"/>
          <w:sz w:val="20"/>
        </w:rPr>
        <w:t>” shall mean the Federal Reserve Bank of New York (or a successor administrator of the secured overnight financing rate).</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860" w:right="274"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SOFR Borrowing</w:t>
      </w:r>
      <w:r>
        <w:rPr>
          <w:rFonts w:ascii="Times New Roman;Times;Serif" w:hAnsi="Times New Roman;Times;Serif"/>
          <w:b w:val="false"/>
          <w:i w:val="false"/>
          <w:caps w:val="false"/>
          <w:smallCaps w:val="false"/>
          <w:sz w:val="20"/>
        </w:rPr>
        <w:t>” shall mean, as to any borrowing, the SOFR Loans comprising such Loans.</w:t>
      </w:r>
    </w:p>
    <w:p>
      <w:pPr>
        <w:pStyle w:val="TextBody"/>
        <w:bidi w:val="0"/>
        <w:spacing w:before="0" w:after="0"/>
        <w:ind w:left="860" w:right="274" w:hanging="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SOFR Deadline</w:t>
      </w:r>
      <w:r>
        <w:rPr>
          <w:rFonts w:ascii="Times New Roman;Times;Serif" w:hAnsi="Times New Roman;Times;Serif"/>
          <w:b w:val="false"/>
          <w:i w:val="false"/>
          <w:caps w:val="false"/>
          <w:smallCaps w:val="false"/>
          <w:sz w:val="20"/>
        </w:rPr>
        <w:t>” has the meaning specified therefor in Section 2.12(a).</w:t>
      </w:r>
    </w:p>
    <w:p>
      <w:pPr>
        <w:pStyle w:val="TextBody"/>
        <w:bidi w:val="0"/>
        <w:spacing w:before="0" w:after="0"/>
        <w:ind w:left="860" w:right="274" w:hanging="0"/>
        <w:jc w:val="both"/>
        <w:rPr>
          <w:caps w:val="false"/>
          <w:smallCaps w:val="false"/>
        </w:rPr>
      </w:pPr>
      <w:r>
        <w:rPr>
          <w:caps w:val="false"/>
          <w:smallCaps w:val="false"/>
        </w:rPr>
        <w:t> </w:t>
      </w:r>
    </w:p>
    <w:p>
      <w:pPr>
        <w:pStyle w:val="TextBody"/>
        <w:bidi w:val="0"/>
        <w:spacing w:before="0" w:after="0"/>
        <w:ind w:left="140" w:right="174"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SOFR Loan</w:t>
      </w:r>
      <w:r>
        <w:rPr>
          <w:rFonts w:ascii="Times New Roman;Times;Serif" w:hAnsi="Times New Roman;Times;Serif"/>
          <w:b w:val="false"/>
          <w:i w:val="false"/>
          <w:caps w:val="false"/>
          <w:smallCaps w:val="false"/>
          <w:sz w:val="20"/>
        </w:rPr>
        <w:t>” shall mean a Loan that bears interest at a rate based on Adjusted Term SOFR, other than pursuant to clause (c) of the definition of “Reference Rate”.</w:t>
      </w:r>
    </w:p>
    <w:p>
      <w:pPr>
        <w:pStyle w:val="TextBody"/>
        <w:bidi w:val="0"/>
        <w:spacing w:before="0" w:after="0"/>
        <w:ind w:left="140" w:right="174" w:firstLine="720"/>
        <w:jc w:val="both"/>
        <w:rPr>
          <w:caps w:val="false"/>
          <w:smallCaps w:val="false"/>
        </w:rPr>
      </w:pPr>
      <w:r>
        <w:rPr>
          <w:caps w:val="false"/>
          <w:smallCaps w:val="false"/>
        </w:rPr>
        <w:t> </w:t>
      </w:r>
    </w:p>
    <w:p>
      <w:pPr>
        <w:pStyle w:val="TextBody"/>
        <w:bidi w:val="0"/>
        <w:spacing w:before="0" w:after="0"/>
        <w:ind w:left="860" w:right="1442"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SOFR Notice</w:t>
      </w:r>
      <w:r>
        <w:rPr>
          <w:rFonts w:ascii="Times New Roman;Times;Serif" w:hAnsi="Times New Roman;Times;Serif"/>
          <w:b w:val="false"/>
          <w:i w:val="false"/>
          <w:caps w:val="false"/>
          <w:smallCaps w:val="false"/>
          <w:sz w:val="20"/>
        </w:rPr>
        <w:t xml:space="preserve">” shall mean a written notice substantially in the form of </w:t>
      </w: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z w:val="20"/>
        </w:rPr>
        <w:t>.</w:t>
      </w:r>
    </w:p>
    <w:p>
      <w:pPr>
        <w:pStyle w:val="TextBody"/>
        <w:bidi w:val="0"/>
        <w:spacing w:before="0" w:after="0"/>
        <w:ind w:left="860" w:right="1442" w:hanging="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SOFR Option</w:t>
      </w:r>
      <w:r>
        <w:rPr>
          <w:rFonts w:ascii="Times New Roman;Times;Serif" w:hAnsi="Times New Roman;Times;Serif"/>
          <w:b w:val="false"/>
          <w:i w:val="false"/>
          <w:caps w:val="false"/>
          <w:smallCaps w:val="false"/>
          <w:sz w:val="20"/>
        </w:rPr>
        <w:t>” has the meaning specified therefor in Section 2.12(a).</w:t>
      </w:r>
    </w:p>
    <w:p>
      <w:pPr>
        <w:pStyle w:val="TextBody"/>
        <w:bidi w:val="0"/>
        <w:spacing w:before="0" w:after="0"/>
        <w:ind w:left="860" w:right="1442" w:hanging="0"/>
        <w:jc w:val="both"/>
        <w:rPr>
          <w:caps w:val="false"/>
          <w:smallCaps w:val="false"/>
        </w:rPr>
      </w:pPr>
      <w:r>
        <w:rPr>
          <w:caps w:val="false"/>
          <w:smallCaps w:val="false"/>
        </w:rPr>
        <w:t> </w:t>
      </w:r>
    </w:p>
    <w:p>
      <w:pPr>
        <w:pStyle w:val="TextBody"/>
        <w:bidi w:val="0"/>
        <w:spacing w:before="0" w:after="0"/>
        <w:ind w:left="140" w:right="171"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Solvent</w:t>
      </w:r>
      <w:r>
        <w:rPr>
          <w:rFonts w:ascii="Times New Roman;Times;Serif" w:hAnsi="Times New Roman;Times;Serif"/>
          <w:b w:val="false"/>
          <w:i w:val="false"/>
          <w:caps w:val="false"/>
          <w:smallCaps w:val="false"/>
          <w:sz w:val="20"/>
        </w:rPr>
        <w:t>” shall mean, with respect to any Person on a particular date, that on such date (a) such Person is able to realize upon its assets and pay its debts and other liabilities, contingent obligations and other commitments as they mature in the normal course of business, (b) such Person does not intend to, and does not believe that it will, incur debts or liabilities beyond such Person’s ability to pay as such debts and liabilities mature, and (c) such Person is not engaged in business or a transaction, and is not about to engage in business or a transaction, for which such Person’s property would constitute unreasonably small capital.</w:t>
      </w:r>
    </w:p>
    <w:p>
      <w:pPr>
        <w:pStyle w:val="TextBody"/>
        <w:bidi w:val="0"/>
        <w:spacing w:before="0" w:after="0"/>
        <w:ind w:left="140" w:right="171" w:firstLine="720"/>
        <w:jc w:val="both"/>
        <w:rPr>
          <w:caps w:val="false"/>
          <w:smallCaps w:val="false"/>
        </w:rPr>
      </w:pPr>
      <w:r>
        <w:rPr>
          <w:caps w:val="false"/>
          <w:smallCaps w:val="false"/>
        </w:rPr>
        <w:t> </w:t>
      </w:r>
    </w:p>
    <w:p>
      <w:pPr>
        <w:pStyle w:val="TextBody"/>
        <w:bidi w:val="0"/>
        <w:spacing w:before="0" w:after="0"/>
        <w:ind w:left="140" w:right="17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Specified Representations</w:t>
      </w:r>
      <w:r>
        <w:rPr>
          <w:rFonts w:ascii="Times New Roman;Times;Serif" w:hAnsi="Times New Roman;Times;Serif"/>
          <w:b w:val="false"/>
          <w:i w:val="false"/>
          <w:caps w:val="false"/>
          <w:smallCaps w:val="false"/>
          <w:sz w:val="20"/>
        </w:rPr>
        <w:t>” means those representations and warranties made in Section 5.1 (limited to the existence of each Credit Party under the laws of the state of its incorporation or formation), Section 5.2(i), Section 5.2(ii), Section 5.2(iii) (limited to contravention of the Borrower’s or any Guarantor’s organizational documents), Section 5.2(iv), Section 5.4, Section 5.6, Section 5.7(b), Section 5.9(ii), Section 5.10, Section 5.12, Section 5.22, and Section 5.31.</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ind w:left="140" w:right="154"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Specified Subordination Agreement</w:t>
      </w:r>
      <w:r>
        <w:rPr>
          <w:rFonts w:ascii="Times New Roman;Times;Serif" w:hAnsi="Times New Roman;Times;Serif"/>
          <w:b w:val="false"/>
          <w:i w:val="false"/>
          <w:caps w:val="false"/>
          <w:smallCaps w:val="false"/>
          <w:sz w:val="20"/>
        </w:rPr>
        <w:t>” shall mean a subordination agreement, in form and substance reasonably satisfactory to the Agent and the Lenders in all respects, if executed, to be executed by and between the Senior Agent and the Agent and to be acknowledged and agreed by the Borrower and the Guarantors, as the same may be amended, restated, supplemented or otherwise modified from time to</w:t>
      </w:r>
    </w:p>
    <w:p>
      <w:pPr>
        <w:pStyle w:val="TextBody"/>
        <w:bidi w:val="0"/>
        <w:spacing w:before="0" w:after="0"/>
        <w:ind w:left="140" w:right="154"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in accordance with the terms thereof. For the avoidance of doubt, no Specified Subordination Agreement is in effect on the Restatement Date.</w:t>
      </w:r>
    </w:p>
    <w:p>
      <w:pPr>
        <w:pStyle w:val="TextBody"/>
        <w:bidi w:val="0"/>
        <w:spacing w:before="0" w:after="0"/>
        <w:ind w:left="14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STORY3</w:t>
      </w:r>
      <w:r>
        <w:rPr>
          <w:rFonts w:ascii="Times New Roman;Times;Serif" w:hAnsi="Times New Roman;Times;Serif"/>
          <w:b w:val="false"/>
          <w:i w:val="false"/>
          <w:caps w:val="false"/>
          <w:smallCaps w:val="false"/>
          <w:sz w:val="20"/>
        </w:rPr>
        <w:t>” shall mean STORY3 Capital Partners LLC.</w:t>
      </w:r>
    </w:p>
    <w:p>
      <w:pPr>
        <w:pStyle w:val="TextBody"/>
        <w:bidi w:val="0"/>
        <w:spacing w:before="0" w:after="0"/>
        <w:ind w:left="860" w:right="0" w:hanging="0"/>
        <w:jc w:val="left"/>
        <w:rPr>
          <w:caps w:val="false"/>
          <w:smallCaps w:val="false"/>
        </w:rPr>
      </w:pPr>
      <w:r>
        <w:rPr>
          <w:caps w:val="false"/>
          <w:smallCaps w:val="false"/>
        </w:rPr>
        <w:t> </w:t>
      </w:r>
    </w:p>
    <w:p>
      <w:pPr>
        <w:pStyle w:val="TextBody"/>
        <w:bidi w:val="0"/>
        <w:spacing w:before="0" w:after="0"/>
        <w:ind w:left="140" w:right="169"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Subordinated Debt</w:t>
      </w:r>
      <w:r>
        <w:rPr>
          <w:rFonts w:ascii="Times New Roman;Times;Serif" w:hAnsi="Times New Roman;Times;Serif"/>
          <w:b w:val="false"/>
          <w:i w:val="false"/>
          <w:caps w:val="false"/>
          <w:smallCaps w:val="false"/>
          <w:sz w:val="20"/>
        </w:rPr>
        <w:t>” shall mean any unsecured Funded Debt of any Credit Party and other obligations under the Subordinated Debt Documents and any other Funded Debt of any Credit Party which has been subordinated in right of payment and priority to the Indebtedness, all on terms and conditions satisfactory to the Agent.</w:t>
      </w:r>
    </w:p>
    <w:p>
      <w:pPr>
        <w:pStyle w:val="TextBody"/>
        <w:bidi w:val="0"/>
        <w:spacing w:before="0" w:after="0"/>
        <w:ind w:left="140" w:right="169" w:firstLine="720"/>
        <w:jc w:val="both"/>
        <w:rPr>
          <w:caps w:val="false"/>
          <w:smallCaps w:val="false"/>
        </w:rPr>
      </w:pPr>
      <w:r>
        <w:rPr>
          <w:caps w:val="false"/>
          <w:smallCaps w:val="false"/>
        </w:rPr>
        <w:t> </w:t>
      </w:r>
    </w:p>
    <w:p>
      <w:pPr>
        <w:pStyle w:val="TextBody"/>
        <w:bidi w:val="0"/>
        <w:spacing w:before="0" w:after="0"/>
        <w:ind w:left="140" w:right="17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Subordinated Debt Documents</w:t>
      </w:r>
      <w:r>
        <w:rPr>
          <w:rFonts w:ascii="Times New Roman;Times;Serif" w:hAnsi="Times New Roman;Times;Serif"/>
          <w:b w:val="false"/>
          <w:i w:val="false"/>
          <w:caps w:val="false"/>
          <w:smallCaps w:val="false"/>
          <w:sz w:val="20"/>
        </w:rPr>
        <w:t>” shall mean and include any documents evidencing any Subordinated Debt, in each case, as the same may be amended, modified, supplemented or otherwise modified from time to time in compliance with the terms of this Agreement.</w:t>
      </w:r>
    </w:p>
    <w:p>
      <w:pPr>
        <w:pStyle w:val="TextBody"/>
        <w:bidi w:val="0"/>
        <w:spacing w:before="0" w:after="0"/>
        <w:ind w:left="140" w:right="170" w:firstLine="720"/>
        <w:jc w:val="both"/>
        <w:rPr>
          <w:caps w:val="false"/>
          <w:smallCaps w:val="false"/>
        </w:rPr>
      </w:pPr>
      <w:r>
        <w:rPr>
          <w:caps w:val="false"/>
          <w:smallCaps w:val="false"/>
        </w:rPr>
        <w:t> </w:t>
      </w:r>
    </w:p>
    <w:p>
      <w:pPr>
        <w:pStyle w:val="TextBody"/>
        <w:bidi w:val="0"/>
        <w:spacing w:before="0" w:after="0"/>
        <w:ind w:left="140" w:right="14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Subordination Agreements</w:t>
      </w:r>
      <w:r>
        <w:rPr>
          <w:rFonts w:ascii="Times New Roman;Times;Serif" w:hAnsi="Times New Roman;Times;Serif"/>
          <w:b w:val="false"/>
          <w:i w:val="false"/>
          <w:caps w:val="false"/>
          <w:smallCaps w:val="false"/>
          <w:sz w:val="20"/>
        </w:rPr>
        <w:t>” shall mean, collectively, any subordination agreements entered into by any Person from time to time in favor of the Agent in connection with any Subordinated Debt, the terms of which are acceptable to the Agent, in each case as the same may be amended, restated or otherwise modified from time to time, and “</w:t>
      </w:r>
      <w:r>
        <w:rPr>
          <w:rFonts w:ascii="Times New Roman;Times;Serif" w:hAnsi="Times New Roman;Times;Serif"/>
          <w:b/>
          <w:i w:val="false"/>
          <w:caps w:val="false"/>
          <w:smallCaps w:val="false"/>
          <w:sz w:val="20"/>
        </w:rPr>
        <w:t>Subordination Agreement</w:t>
      </w:r>
      <w:r>
        <w:rPr>
          <w:rFonts w:ascii="Times New Roman;Times;Serif" w:hAnsi="Times New Roman;Times;Serif"/>
          <w:b w:val="false"/>
          <w:i w:val="false"/>
          <w:caps w:val="false"/>
          <w:smallCaps w:val="false"/>
          <w:sz w:val="20"/>
        </w:rPr>
        <w:t>” shall mean any one of them.</w:t>
      </w:r>
    </w:p>
    <w:p>
      <w:pPr>
        <w:pStyle w:val="TextBody"/>
        <w:bidi w:val="0"/>
        <w:spacing w:before="0" w:after="0"/>
        <w:ind w:left="140" w:right="140" w:firstLine="720"/>
        <w:jc w:val="both"/>
        <w:rPr>
          <w:caps w:val="false"/>
          <w:smallCaps w:val="false"/>
        </w:rPr>
      </w:pPr>
      <w:r>
        <w:rPr>
          <w:caps w:val="false"/>
          <w:smallCaps w:val="false"/>
        </w:rPr>
        <w:t> </w:t>
      </w:r>
    </w:p>
    <w:p>
      <w:pPr>
        <w:pStyle w:val="TextBody"/>
        <w:bidi w:val="0"/>
        <w:spacing w:before="0" w:after="0"/>
        <w:ind w:left="139" w:right="17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Subsidiary(ies)</w:t>
      </w:r>
      <w:r>
        <w:rPr>
          <w:rFonts w:ascii="Times New Roman;Times;Serif" w:hAnsi="Times New Roman;Times;Serif"/>
          <w:b w:val="false"/>
          <w:i w:val="false"/>
          <w:caps w:val="false"/>
          <w:smallCaps w:val="false"/>
          <w:sz w:val="20"/>
        </w:rPr>
        <w:t>” shall mean any other corporation, association, joint stock company, business trust, limited liability company, partnership or any other business entity of which more than fifty percent (50%) of the outstanding voting stock, share capital, membership, partnership or other interests, as the case may be, is owned either directly or indirectly by any Person or one or more of its Subsidiaries. Unless otherwise specified to the contrary herein or the context otherwise requires, Subsidiary(ies) shall refer to the Subsidiary(ies) of the Borrower.</w:t>
      </w:r>
    </w:p>
    <w:p>
      <w:pPr>
        <w:pStyle w:val="TextBody"/>
        <w:bidi w:val="0"/>
        <w:spacing w:before="0" w:after="0"/>
        <w:ind w:left="139" w:right="172" w:firstLine="720"/>
        <w:jc w:val="both"/>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Successor Agent</w:t>
      </w:r>
      <w:r>
        <w:rPr>
          <w:rFonts w:ascii="Times New Roman;Times;Serif" w:hAnsi="Times New Roman;Times;Serif"/>
          <w:b w:val="false"/>
          <w:i w:val="false"/>
          <w:caps w:val="false"/>
          <w:smallCaps w:val="false"/>
          <w:sz w:val="20"/>
        </w:rPr>
        <w:t>” shall have the meaning set forth in Section 11.4(a) hereof.</w:t>
      </w:r>
    </w:p>
    <w:p>
      <w:pPr>
        <w:pStyle w:val="TextBody"/>
        <w:bidi w:val="0"/>
        <w:spacing w:before="0" w:after="0"/>
        <w:ind w:left="860" w:right="0" w:hanging="0"/>
        <w:jc w:val="left"/>
        <w:rPr>
          <w:caps w:val="false"/>
          <w:smallCaps w:val="false"/>
        </w:rPr>
      </w:pPr>
      <w:r>
        <w:rPr>
          <w:caps w:val="false"/>
          <w:smallCaps w:val="false"/>
        </w:rPr>
        <w:t> </w:t>
      </w:r>
    </w:p>
    <w:p>
      <w:pPr>
        <w:pStyle w:val="TextBody"/>
        <w:bidi w:val="0"/>
        <w:spacing w:before="0" w:after="0"/>
        <w:ind w:left="140" w:right="169"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shall mean all present or future taxes, levies, imposts, duties, deductions, withholdings (including backup withholding), assessments, fees or other charges in the nature of a tax imposed by any Governmental Authority, including any interest, additions to tax or penalties applicable thereto.</w:t>
      </w:r>
    </w:p>
    <w:p>
      <w:pPr>
        <w:pStyle w:val="TextBody"/>
        <w:bidi w:val="0"/>
        <w:spacing w:before="0" w:after="0"/>
        <w:ind w:left="140" w:right="169" w:firstLine="720"/>
        <w:jc w:val="both"/>
        <w:rPr>
          <w:caps w:val="false"/>
          <w:smallCaps w:val="false"/>
        </w:rPr>
      </w:pPr>
      <w:r>
        <w:rPr>
          <w:caps w:val="false"/>
          <w:smallCaps w:val="false"/>
        </w:rPr>
        <w:t> </w:t>
      </w:r>
    </w:p>
    <w:p>
      <w:pPr>
        <w:pStyle w:val="TextBody"/>
        <w:bidi w:val="0"/>
        <w:spacing w:before="0" w:after="0"/>
        <w:ind w:left="140" w:right="16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Loan</w:t>
      </w:r>
      <w:r>
        <w:rPr>
          <w:rFonts w:ascii="Times New Roman;Times;Serif" w:hAnsi="Times New Roman;Times;Serif"/>
          <w:b w:val="false"/>
          <w:i w:val="false"/>
          <w:caps w:val="false"/>
          <w:smallCaps w:val="false"/>
          <w:sz w:val="20"/>
        </w:rPr>
        <w:t>” shall mean the Exchanged Term Loans, the Restatement Date Term Loans and the Incremental Term Loans, as the context requires.</w:t>
      </w:r>
    </w:p>
    <w:p>
      <w:pPr>
        <w:pStyle w:val="TextBody"/>
        <w:bidi w:val="0"/>
        <w:spacing w:before="0" w:after="0"/>
        <w:ind w:left="140" w:right="162" w:firstLine="72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Loan Commitment</w:t>
      </w:r>
      <w:r>
        <w:rPr>
          <w:rFonts w:ascii="Times New Roman;Times;Serif" w:hAnsi="Times New Roman;Times;Serif"/>
          <w:b w:val="false"/>
          <w:i w:val="false"/>
          <w:caps w:val="false"/>
          <w:smallCaps w:val="false"/>
          <w:sz w:val="20"/>
        </w:rPr>
        <w:t>” shall mean the Restatement Date Term Loan Commitment or the Incremental Term Loan Commitment (if any) of a Lender, and “</w:t>
      </w:r>
      <w:r>
        <w:rPr>
          <w:rFonts w:ascii="Times New Roman;Times;Serif" w:hAnsi="Times New Roman;Times;Serif"/>
          <w:b/>
          <w:i w:val="false"/>
          <w:caps w:val="false"/>
          <w:smallCaps w:val="false"/>
          <w:sz w:val="20"/>
        </w:rPr>
        <w:t>Term Loan Commitments</w:t>
      </w:r>
      <w:r>
        <w:rPr>
          <w:rFonts w:ascii="Times New Roman;Times;Serif" w:hAnsi="Times New Roman;Times;Serif"/>
          <w:b w:val="false"/>
          <w:i w:val="false"/>
          <w:caps w:val="false"/>
          <w:smallCaps w:val="false"/>
          <w:sz w:val="20"/>
        </w:rPr>
        <w:t>” shall mean such commitments of all Lenders.</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40" w:right="154"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Loan Exposure</w:t>
      </w:r>
      <w:r>
        <w:rPr>
          <w:rFonts w:ascii="Times New Roman;Times;Serif" w:hAnsi="Times New Roman;Times;Serif"/>
          <w:b w:val="false"/>
          <w:i w:val="false"/>
          <w:caps w:val="false"/>
          <w:smallCaps w:val="false"/>
          <w:sz w:val="20"/>
        </w:rPr>
        <w:t>” shall mean, with respect to any Lender, as of any date of determination, the outstanding principal amount of the Term Loan of such Lender.</w:t>
      </w:r>
    </w:p>
    <w:p>
      <w:pPr>
        <w:pStyle w:val="TextBody"/>
        <w:bidi w:val="0"/>
        <w:spacing w:before="0" w:after="0"/>
        <w:ind w:left="140" w:right="154" w:firstLine="720"/>
        <w:jc w:val="both"/>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Term SOFR</w:t>
      </w:r>
      <w:r>
        <w:rPr>
          <w:rFonts w:ascii="Times New Roman;Times;Serif" w:hAnsi="Times New Roman;Times;Serif"/>
          <w:b w:val="false"/>
          <w:i w:val="false"/>
          <w:caps w:val="false"/>
          <w:smallCaps w:val="false"/>
          <w:sz w:val="20"/>
        </w:rPr>
        <w:t>” shall mean,</w:t>
      </w:r>
    </w:p>
    <w:p>
      <w:pPr>
        <w:pStyle w:val="TextBody"/>
        <w:bidi w:val="0"/>
        <w:spacing w:before="0" w:after="0"/>
        <w:ind w:left="860" w:right="0" w:hanging="0"/>
        <w:jc w:val="left"/>
        <w:rPr>
          <w:caps w:val="false"/>
          <w:smallCaps w:val="false"/>
        </w:rPr>
      </w:pPr>
      <w:r>
        <w:rPr>
          <w:caps w:val="false"/>
          <w:smallCaps w:val="false"/>
        </w:rPr>
        <w:t> </w:t>
      </w:r>
    </w:p>
    <w:p>
      <w:pPr>
        <w:pStyle w:val="TextBody"/>
        <w:bidi w:val="0"/>
        <w:spacing w:before="0" w:after="0"/>
        <w:ind w:left="140" w:right="149"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any calculation with respect to a SOFR Loan, the Term SOFR Reference Rate for a tenor comparable to the applicable Interest Period on the day (such day, the “</w:t>
      </w:r>
      <w:r>
        <w:rPr>
          <w:rFonts w:ascii="Times New Roman;Times;Serif" w:hAnsi="Times New Roman;Times;Serif"/>
          <w:b w:val="false"/>
          <w:i w:val="false"/>
          <w:caps w:val="false"/>
          <w:smallCaps w:val="false"/>
          <w:sz w:val="20"/>
          <w:u w:val="single"/>
        </w:rPr>
        <w:t>Periodic Term SOFR Determination Day</w:t>
      </w:r>
      <w:r>
        <w:rPr>
          <w:rFonts w:ascii="Times New Roman;Times;Serif" w:hAnsi="Times New Roman;Times;Serif"/>
          <w:b w:val="false"/>
          <w:i w:val="false"/>
          <w:caps w:val="false"/>
          <w:smallCaps w:val="false"/>
          <w:sz w:val="20"/>
        </w:rPr>
        <w:t>”)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w:t>
      </w:r>
    </w:p>
    <w:p>
      <w:pPr>
        <w:pStyle w:val="TextBody"/>
        <w:bidi w:val="0"/>
        <w:spacing w:before="0" w:after="0"/>
        <w:ind w:left="140" w:right="149"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9" w:right="17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before="0" w:after="0"/>
        <w:ind w:left="140" w:right="0" w:hanging="0"/>
        <w:jc w:val="both"/>
        <w:rPr>
          <w:caps w:val="false"/>
          <w:smallCaps w:val="false"/>
        </w:rPr>
      </w:pPr>
      <w:r>
        <w:rPr>
          <w:caps w:val="false"/>
          <w:smallCaps w:val="false"/>
        </w:rPr>
        <w:t> </w:t>
      </w:r>
    </w:p>
    <w:p>
      <w:pPr>
        <w:pStyle w:val="TextBody"/>
        <w:bidi w:val="0"/>
        <w:spacing w:before="0" w:after="0"/>
        <w:ind w:left="139" w:right="13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any calculation with respect to a Reference Rate Loan on any day, the Term SOFR Reference Rate for a tenor of three months on the day (such day, the “</w:t>
      </w:r>
      <w:r>
        <w:rPr>
          <w:rFonts w:ascii="Times New Roman;Times;Serif" w:hAnsi="Times New Roman;Times;Serif"/>
          <w:b w:val="false"/>
          <w:i w:val="false"/>
          <w:caps w:val="false"/>
          <w:smallCaps w:val="false"/>
          <w:sz w:val="20"/>
          <w:u w:val="single"/>
        </w:rPr>
        <w:t>Reference Rate Term SOFR Determination Day</w:t>
      </w:r>
      <w:r>
        <w:rPr>
          <w:rFonts w:ascii="Times New Roman;Times;Serif" w:hAnsi="Times New Roman;Times;Serif"/>
          <w:b w:val="false"/>
          <w:i w:val="false"/>
          <w:caps w:val="false"/>
          <w:smallCaps w:val="false"/>
          <w:sz w:val="20"/>
        </w:rPr>
        <w:t>”) that is two (2) U.S. Government Securities Business Days prior to such day, as such rate is published by the Term SOFR Administrator; provided, however, that if as of 5:00 p.m. (New York City time) on any Reference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Reference Rate SOFR Determination Day.</w:t>
      </w:r>
    </w:p>
    <w:p>
      <w:pPr>
        <w:pStyle w:val="TextBody"/>
        <w:bidi w:val="0"/>
        <w:spacing w:before="0" w:after="0"/>
        <w:ind w:left="139" w:right="133" w:firstLine="144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SOFR Administrator</w:t>
      </w:r>
      <w:r>
        <w:rPr>
          <w:rFonts w:ascii="Times New Roman;Times;Serif" w:hAnsi="Times New Roman;Times;Serif"/>
          <w:b w:val="false"/>
          <w:i w:val="false"/>
          <w:caps w:val="false"/>
          <w:smallCaps w:val="false"/>
          <w:sz w:val="20"/>
        </w:rPr>
        <w:t>” shall mean CME Group Benchmark Administration Limited (CBA) (or a successor administrator of the Term SOFR Reference Rate selected by the Agent in its reasonable discretion).</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SOFR Reference Rate</w:t>
      </w:r>
      <w:r>
        <w:rPr>
          <w:rFonts w:ascii="Times New Roman;Times;Serif" w:hAnsi="Times New Roman;Times;Serif"/>
          <w:b w:val="false"/>
          <w:i w:val="false"/>
          <w:caps w:val="false"/>
          <w:smallCaps w:val="false"/>
          <w:sz w:val="20"/>
        </w:rPr>
        <w:t>” shall mean the forward-looking term rate based on SOFR.</w:t>
      </w:r>
    </w:p>
    <w:p>
      <w:pPr>
        <w:pStyle w:val="TextBody"/>
        <w:bidi w:val="0"/>
        <w:spacing w:before="0" w:after="0"/>
        <w:ind w:left="860" w:right="174" w:hanging="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Unadjusted Benchmark Replacement</w:t>
      </w:r>
      <w:r>
        <w:rPr>
          <w:rFonts w:ascii="Times New Roman;Times;Serif" w:hAnsi="Times New Roman;Times;Serif"/>
          <w:b w:val="false"/>
          <w:i w:val="false"/>
          <w:caps w:val="false"/>
          <w:smallCaps w:val="false"/>
          <w:sz w:val="20"/>
        </w:rPr>
        <w:t>” shall mean the applicable Benchmark Replacement excluding the related Benchmark Replacement Adjustment.</w:t>
      </w:r>
    </w:p>
    <w:p>
      <w:pPr>
        <w:pStyle w:val="TextBody"/>
        <w:bidi w:val="0"/>
        <w:spacing w:before="0" w:after="0"/>
        <w:ind w:left="140" w:right="0" w:hanging="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Uniform Commercial Code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UCC</w:t>
      </w:r>
      <w:r>
        <w:rPr>
          <w:rFonts w:ascii="Times New Roman;Times;Serif" w:hAnsi="Times New Roman;Times;Serif"/>
          <w:b w:val="false"/>
          <w:i w:val="false"/>
          <w:caps w:val="false"/>
          <w:smallCaps w:val="false"/>
          <w:sz w:val="20"/>
        </w:rPr>
        <w:t>” shall mean the Uniform Commercial Code as in effect in any applicable state; provided that, unless specified otherwise or the context otherwise requires, such terms shall refer to the Uniform Commercial Code as in effect in the State of New York.</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Unit</w:t>
      </w:r>
      <w:r>
        <w:rPr>
          <w:rFonts w:ascii="Times New Roman;Times;Serif" w:hAnsi="Times New Roman;Times;Serif"/>
          <w:b w:val="false"/>
          <w:i w:val="false"/>
          <w:caps w:val="false"/>
          <w:smallCaps w:val="false"/>
          <w:sz w:val="20"/>
        </w:rPr>
        <w:t>” shall mean an individual unit (i.e., wardrobe and similar merchandise) owned by the Borrower and currently available for rent or held for sale.</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40" w:right="126"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 Government Securities Business Day</w:t>
      </w:r>
      <w:r>
        <w:rPr>
          <w:rFonts w:ascii="Times New Roman;Times;Serif" w:hAnsi="Times New Roman;Times;Serif"/>
          <w:b w:val="false"/>
          <w:i w:val="false"/>
          <w:caps w:val="false"/>
          <w:smallCaps w:val="false"/>
          <w:sz w:val="20"/>
        </w:rPr>
        <w:t>” shall mean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140" w:right="126" w:firstLine="720"/>
        <w:jc w:val="both"/>
        <w:rPr>
          <w:caps w:val="false"/>
          <w:smallCaps w:val="false"/>
        </w:rPr>
      </w:pPr>
      <w:r>
        <w:rPr>
          <w:caps w:val="false"/>
          <w:smallCaps w:val="false"/>
        </w:rPr>
        <w:t> </w:t>
      </w:r>
    </w:p>
    <w:p>
      <w:pPr>
        <w:pStyle w:val="TextBody"/>
        <w:bidi w:val="0"/>
        <w:spacing w:before="0" w:after="0"/>
        <w:ind w:left="140" w:right="17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 Person</w:t>
      </w:r>
      <w:r>
        <w:rPr>
          <w:rFonts w:ascii="Times New Roman;Times;Serif" w:hAnsi="Times New Roman;Times;Serif"/>
          <w:b w:val="false"/>
          <w:i w:val="false"/>
          <w:caps w:val="false"/>
          <w:smallCaps w:val="false"/>
          <w:sz w:val="20"/>
        </w:rPr>
        <w:t>” shall mean any Person that is a “United States Person” as defined in Section 7701(a)(30) of the Internal Revenue Code.</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ind w:left="860" w:right="243"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U.S. Tax Compliance Certificate</w:t>
      </w:r>
      <w:r>
        <w:rPr>
          <w:rFonts w:ascii="Times New Roman;Times;Serif" w:hAnsi="Times New Roman;Times;Serif"/>
          <w:b w:val="false"/>
          <w:i w:val="false"/>
          <w:caps w:val="false"/>
          <w:smallCaps w:val="false"/>
          <w:sz w:val="20"/>
        </w:rPr>
        <w:t>” shall have the meaning specified therefor in Section 12.12.</w:t>
      </w:r>
    </w:p>
    <w:p>
      <w:pPr>
        <w:pStyle w:val="TextBody"/>
        <w:bidi w:val="0"/>
        <w:spacing w:before="0" w:after="0"/>
        <w:ind w:left="860" w:right="243" w:hanging="0"/>
        <w:jc w:val="both"/>
        <w:rPr>
          <w:caps w:val="false"/>
          <w:smallCaps w:val="false"/>
        </w:rPr>
      </w:pPr>
      <w:r>
        <w:rPr>
          <w:caps w:val="false"/>
          <w:smallCaps w:val="false"/>
        </w:rPr>
        <w:t> </w:t>
      </w:r>
    </w:p>
    <w:p>
      <w:pPr>
        <w:pStyle w:val="TextBody"/>
        <w:bidi w:val="0"/>
        <w:spacing w:before="0" w:after="0"/>
        <w:ind w:left="140" w:right="173"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USA Patriot Act</w:t>
      </w:r>
      <w:r>
        <w:rPr>
          <w:rFonts w:ascii="Times New Roman;Times;Serif" w:hAnsi="Times New Roman;Times;Serif"/>
          <w:b w:val="false"/>
          <w:i w:val="false"/>
          <w:caps w:val="false"/>
          <w:smallCaps w:val="false"/>
          <w:sz w:val="20"/>
        </w:rPr>
        <w:t>” shall have the meaning specified therefor in Section 5.7.</w:t>
      </w:r>
    </w:p>
    <w:p>
      <w:pPr>
        <w:pStyle w:val="TextBody"/>
        <w:bidi w:val="0"/>
        <w:spacing w:before="0" w:after="0"/>
        <w:ind w:left="860" w:right="243" w:hanging="0"/>
        <w:jc w:val="both"/>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Waivable Mandatory Prepayment” </w:t>
      </w:r>
      <w:r>
        <w:rPr>
          <w:rFonts w:ascii="Times New Roman;Times;Serif" w:hAnsi="Times New Roman;Times;Serif"/>
          <w:b w:val="false"/>
          <w:i w:val="false"/>
          <w:caps w:val="false"/>
          <w:smallCaps w:val="false"/>
          <w:sz w:val="20"/>
        </w:rPr>
        <w:t>shall have the meaning specified therefor in Section 2.9(b).</w:t>
      </w:r>
    </w:p>
    <w:p>
      <w:pPr>
        <w:pStyle w:val="TextBody"/>
        <w:bidi w:val="0"/>
        <w:spacing w:before="0" w:after="0"/>
        <w:ind w:left="14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Withholding Agent</w:t>
      </w:r>
      <w:r>
        <w:rPr>
          <w:rFonts w:ascii="Times New Roman;Times;Serif" w:hAnsi="Times New Roman;Times;Serif"/>
          <w:b w:val="false"/>
          <w:i w:val="false"/>
          <w:caps w:val="false"/>
          <w:smallCaps w:val="false"/>
          <w:sz w:val="20"/>
        </w:rPr>
        <w:t>” shall mean any Credit Party and the Agent.</w:t>
      </w:r>
    </w:p>
    <w:p>
      <w:pPr>
        <w:pStyle w:val="TextBody"/>
        <w:bidi w:val="0"/>
        <w:spacing w:before="0" w:after="0"/>
        <w:ind w:left="86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72"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Write-Down and Conversion Powers</w:t>
      </w:r>
      <w:r>
        <w:rPr>
          <w:rFonts w:ascii="Times New Roman;Times;Serif" w:hAnsi="Times New Roman;Times;Serif"/>
          <w:b w:val="false"/>
          <w:i w:val="false"/>
          <w:caps w:val="false"/>
          <w:smallCaps w:val="false"/>
          <w:sz w:val="20"/>
        </w:rPr>
        <w:t>” shall mean,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ind w:left="140" w:right="173"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Other Interpretive Provisions</w:t>
      </w:r>
      <w:r>
        <w:rPr>
          <w:rFonts w:ascii="Times New Roman;Times;Serif" w:hAnsi="Times New Roman;Times;Serif"/>
          <w:b w:val="false"/>
          <w:i w:val="false"/>
          <w:caps w:val="false"/>
          <w:smallCaps w:val="false"/>
          <w:sz w:val="20"/>
        </w:rPr>
        <w:t>. With reference to this Agreement and each other Loan Document, unless otherwise specified herein or in such other Loan Document:</w:t>
      </w:r>
    </w:p>
    <w:p>
      <w:pPr>
        <w:pStyle w:val="TextBody"/>
        <w:bidi w:val="0"/>
        <w:spacing w:before="0" w:after="0"/>
        <w:ind w:left="140" w:right="173" w:firstLine="720"/>
        <w:jc w:val="left"/>
        <w:rPr>
          <w:caps w:val="false"/>
          <w:smallCaps w:val="false"/>
        </w:rPr>
      </w:pPr>
      <w:r>
        <w:rPr>
          <w:caps w:val="false"/>
          <w:smallCaps w:val="false"/>
        </w:rPr>
        <w:t> </w:t>
      </w:r>
    </w:p>
    <w:p>
      <w:pPr>
        <w:pStyle w:val="TextBody"/>
        <w:bidi w:val="0"/>
        <w:spacing w:before="0" w:after="0"/>
        <w:ind w:left="140" w:right="138"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definitions of terms herein shall apply equally to the singular and plural forms of the terms defined. Whenever the context may require, any pronoun shall include the corresponding masculine, feminine and neuter forms. The words “</w:t>
      </w:r>
      <w:r>
        <w:rPr>
          <w:rFonts w:ascii="Times New Roman;Times;Serif" w:hAnsi="Times New Roman;Times;Serif"/>
          <w:b w:val="false"/>
          <w:i w:val="false"/>
          <w:caps w:val="false"/>
          <w:smallCaps w:val="false"/>
          <w:sz w:val="20"/>
          <w:u w:val="single"/>
        </w:rPr>
        <w:t>include</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includes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including</w:t>
      </w:r>
      <w:r>
        <w:rPr>
          <w:rFonts w:ascii="Times New Roman;Times;Serif" w:hAnsi="Times New Roman;Times;Serif"/>
          <w:b w:val="false"/>
          <w:i w:val="false"/>
          <w:caps w:val="false"/>
          <w:smallCaps w:val="false"/>
          <w:sz w:val="20"/>
        </w:rPr>
        <w:t>” shall be deemed to be followed by the phrase “</w:t>
      </w:r>
      <w:r>
        <w:rPr>
          <w:rFonts w:ascii="Times New Roman;Times;Serif" w:hAnsi="Times New Roman;Times;Serif"/>
          <w:b w:val="false"/>
          <w:i w:val="false"/>
          <w:caps w:val="false"/>
          <w:smallCaps w:val="false"/>
          <w:sz w:val="20"/>
          <w:u w:val="single"/>
        </w:rPr>
        <w:t>without limitation</w:t>
      </w:r>
      <w:r>
        <w:rPr>
          <w:rFonts w:ascii="Times New Roman;Times;Serif" w:hAnsi="Times New Roman;Times;Serif"/>
          <w:b w:val="false"/>
          <w:i w:val="false"/>
          <w:caps w:val="false"/>
          <w:smallCaps w:val="false"/>
          <w:sz w:val="20"/>
        </w:rPr>
        <w:t>.” The word “</w:t>
      </w:r>
      <w:r>
        <w:rPr>
          <w:rFonts w:ascii="Times New Roman;Times;Serif" w:hAnsi="Times New Roman;Times;Serif"/>
          <w:b w:val="false"/>
          <w:i w:val="false"/>
          <w:caps w:val="false"/>
          <w:smallCaps w:val="false"/>
          <w:sz w:val="20"/>
          <w:u w:val="single"/>
        </w:rPr>
        <w:t>will</w:t>
      </w:r>
      <w:r>
        <w:rPr>
          <w:rFonts w:ascii="Times New Roman;Times;Serif" w:hAnsi="Times New Roman;Times;Serif"/>
          <w:b w:val="false"/>
          <w:i w:val="false"/>
          <w:caps w:val="false"/>
          <w:smallCaps w:val="false"/>
          <w:sz w:val="20"/>
        </w:rPr>
        <w:t>” shall be construed to have the same meaning and effect as the word “</w:t>
      </w:r>
      <w:r>
        <w:rPr>
          <w:rFonts w:ascii="Times New Roman;Times;Serif" w:hAnsi="Times New Roman;Times;Serif"/>
          <w:b w:val="false"/>
          <w:i w:val="false"/>
          <w:caps w:val="false"/>
          <w:smallCaps w:val="false"/>
          <w:sz w:val="20"/>
          <w:u w:val="single"/>
        </w:rPr>
        <w:t>shall</w:t>
      </w:r>
      <w:r>
        <w:rPr>
          <w:rFonts w:ascii="Times New Roman;Times;Serif" w:hAnsi="Times New Roman;Times;Serif"/>
          <w:b w:val="false"/>
          <w:i w:val="false"/>
          <w:caps w:val="false"/>
          <w:smallCaps w:val="false"/>
          <w:sz w:val="20"/>
        </w:rPr>
        <w:t>.” Unless the context requires otherwise, (i) any definition of or reference to any agreement, instrument or other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Times New Roman;Times;Serif" w:hAnsi="Times New Roman;Times;Serif"/>
          <w:b w:val="false"/>
          <w:i w:val="false"/>
          <w:caps w:val="false"/>
          <w:smallCaps w:val="false"/>
          <w:sz w:val="20"/>
          <w:u w:val="single"/>
        </w:rPr>
        <w:t>herein</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hereof</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hereunder</w:t>
      </w:r>
      <w:r>
        <w:rPr>
          <w:rFonts w:ascii="Times New Roman;Times;Serif" w:hAnsi="Times New Roman;Times;Serif"/>
          <w:b w:val="false"/>
          <w:i w:val="false"/>
          <w:caps w:val="false"/>
          <w:smallCaps w:val="false"/>
          <w:sz w:val="20"/>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Times New Roman;Times;Serif" w:hAnsi="Times New Roman;Times;Serif"/>
          <w:b w:val="false"/>
          <w:i w:val="false"/>
          <w:caps w:val="false"/>
          <w:smallCaps w:val="false"/>
          <w:sz w:val="20"/>
          <w:u w:val="single"/>
        </w:rPr>
        <w:t>asset</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property</w:t>
      </w:r>
      <w:r>
        <w:rPr>
          <w:rFonts w:ascii="Times New Roman;Times;Serif" w:hAnsi="Times New Roman;Times;Serif"/>
          <w:b w:val="false"/>
          <w:i w:val="false"/>
          <w:caps w:val="false"/>
          <w:smallCaps w:val="false"/>
          <w:sz w:val="20"/>
        </w:rPr>
        <w:t>” shall be construed to have the same meaning and effect and to refer to any and all tangible and intangible assets and properties, including cash, securities, accounts and contract rights.</w:t>
      </w:r>
    </w:p>
    <w:p>
      <w:pPr>
        <w:pStyle w:val="TextBody"/>
        <w:bidi w:val="0"/>
        <w:spacing w:before="0" w:after="0"/>
        <w:ind w:left="140" w:right="173" w:hanging="0"/>
        <w:jc w:val="both"/>
        <w:rPr>
          <w:caps w:val="false"/>
          <w:smallCaps w:val="false"/>
        </w:rPr>
      </w:pPr>
      <w:r>
        <w:rPr>
          <w:caps w:val="false"/>
          <w:smallCaps w:val="false"/>
        </w:rPr>
        <w:t> </w:t>
      </w:r>
    </w:p>
    <w:p>
      <w:pPr>
        <w:pStyle w:val="TextBody"/>
        <w:bidi w:val="0"/>
        <w:spacing w:before="0" w:after="0"/>
        <w:ind w:left="140"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computation of periods of time from a specified date to a later specified date, the word “</w:t>
      </w:r>
      <w:r>
        <w:rPr>
          <w:rFonts w:ascii="Times New Roman;Times;Serif" w:hAnsi="Times New Roman;Times;Serif"/>
          <w:b w:val="false"/>
          <w:i w:val="false"/>
          <w:caps w:val="false"/>
          <w:smallCaps w:val="false"/>
          <w:sz w:val="20"/>
          <w:u w:val="single"/>
        </w:rPr>
        <w:t>from</w:t>
      </w:r>
      <w:r>
        <w:rPr>
          <w:rFonts w:ascii="Times New Roman;Times;Serif" w:hAnsi="Times New Roman;Times;Serif"/>
          <w:b w:val="false"/>
          <w:i w:val="false"/>
          <w:caps w:val="false"/>
          <w:smallCaps w:val="false"/>
          <w:sz w:val="20"/>
        </w:rPr>
        <w:t>” means “</w:t>
      </w:r>
      <w:r>
        <w:rPr>
          <w:rFonts w:ascii="Times New Roman;Times;Serif" w:hAnsi="Times New Roman;Times;Serif"/>
          <w:b w:val="false"/>
          <w:i w:val="false"/>
          <w:caps w:val="false"/>
          <w:smallCaps w:val="false"/>
          <w:sz w:val="20"/>
          <w:u w:val="single"/>
        </w:rPr>
        <w:t>from and including</w:t>
      </w:r>
      <w:r>
        <w:rPr>
          <w:rFonts w:ascii="Times New Roman;Times;Serif" w:hAnsi="Times New Roman;Times;Serif"/>
          <w:b w:val="false"/>
          <w:i w:val="false"/>
          <w:caps w:val="false"/>
          <w:smallCaps w:val="false"/>
          <w:sz w:val="20"/>
        </w:rPr>
        <w:t>;” the words “</w:t>
      </w:r>
      <w:r>
        <w:rPr>
          <w:rFonts w:ascii="Times New Roman;Times;Serif" w:hAnsi="Times New Roman;Times;Serif"/>
          <w:b w:val="false"/>
          <w:i w:val="false"/>
          <w:caps w:val="false"/>
          <w:smallCaps w:val="false"/>
          <w:sz w:val="20"/>
          <w:u w:val="single"/>
        </w:rPr>
        <w:t>to</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until</w:t>
      </w:r>
      <w:r>
        <w:rPr>
          <w:rFonts w:ascii="Times New Roman;Times;Serif" w:hAnsi="Times New Roman;Times;Serif"/>
          <w:b w:val="false"/>
          <w:i w:val="false"/>
          <w:caps w:val="false"/>
          <w:smallCaps w:val="false"/>
          <w:sz w:val="20"/>
        </w:rPr>
        <w:t>” each mean “</w:t>
      </w:r>
      <w:r>
        <w:rPr>
          <w:rFonts w:ascii="Times New Roman;Times;Serif" w:hAnsi="Times New Roman;Times;Serif"/>
          <w:b w:val="false"/>
          <w:i w:val="false"/>
          <w:caps w:val="false"/>
          <w:smallCaps w:val="false"/>
          <w:sz w:val="20"/>
          <w:u w:val="single"/>
        </w:rPr>
        <w:t>to but excluding</w:t>
      </w:r>
      <w:r>
        <w:rPr>
          <w:rFonts w:ascii="Times New Roman;Times;Serif" w:hAnsi="Times New Roman;Times;Serif"/>
          <w:b w:val="false"/>
          <w:i w:val="false"/>
          <w:caps w:val="false"/>
          <w:smallCaps w:val="false"/>
          <w:sz w:val="20"/>
        </w:rPr>
        <w:t>;” and the word “</w:t>
      </w:r>
      <w:r>
        <w:rPr>
          <w:rFonts w:ascii="Times New Roman;Times;Serif" w:hAnsi="Times New Roman;Times;Serif"/>
          <w:b w:val="false"/>
          <w:i w:val="false"/>
          <w:caps w:val="false"/>
          <w:smallCaps w:val="false"/>
          <w:sz w:val="20"/>
          <w:u w:val="single"/>
        </w:rPr>
        <w:t>through</w:t>
      </w:r>
      <w:r>
        <w:rPr>
          <w:rFonts w:ascii="Times New Roman;Times;Serif" w:hAnsi="Times New Roman;Times;Serif"/>
          <w:b w:val="false"/>
          <w:i w:val="false"/>
          <w:caps w:val="false"/>
          <w:smallCaps w:val="false"/>
          <w:sz w:val="20"/>
        </w:rPr>
        <w:t>” means “</w:t>
      </w:r>
      <w:r>
        <w:rPr>
          <w:rFonts w:ascii="Times New Roman;Times;Serif" w:hAnsi="Times New Roman;Times;Serif"/>
          <w:b w:val="false"/>
          <w:i w:val="false"/>
          <w:caps w:val="false"/>
          <w:smallCaps w:val="false"/>
          <w:sz w:val="20"/>
          <w:u w:val="single"/>
        </w:rPr>
        <w:t>to and including</w:t>
      </w:r>
      <w:r>
        <w:rPr>
          <w:rFonts w:ascii="Times New Roman;Times;Serif" w:hAnsi="Times New Roman;Times;Serif"/>
          <w:b w:val="false"/>
          <w:i w:val="false"/>
          <w:caps w:val="false"/>
          <w:smallCaps w:val="false"/>
          <w:sz w:val="20"/>
        </w:rPr>
        <w:t>.”</w:t>
      </w:r>
    </w:p>
    <w:p>
      <w:pPr>
        <w:pStyle w:val="TextBody"/>
        <w:bidi w:val="0"/>
        <w:spacing w:before="0" w:after="0"/>
        <w:ind w:left="140" w:right="172" w:firstLine="1440"/>
        <w:jc w:val="both"/>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Section headings herein and in the other Loan Documents are included for convenience of reference only and shall not affect the interpretation of this Agreement or any other Loan Document.</w:t>
      </w:r>
    </w:p>
    <w:p>
      <w:pPr>
        <w:pStyle w:val="TextBody"/>
        <w:bidi w:val="0"/>
        <w:spacing w:before="0" w:after="0"/>
        <w:ind w:left="140" w:right="173" w:firstLine="1440"/>
        <w:jc w:val="both"/>
        <w:rPr>
          <w:caps w:val="false"/>
          <w:smallCaps w:val="false"/>
        </w:rPr>
      </w:pPr>
      <w:r>
        <w:rPr>
          <w:caps w:val="false"/>
          <w:smallCaps w:val="false"/>
        </w:rPr>
        <w:t> </w:t>
      </w:r>
    </w:p>
    <w:p>
      <w:pPr>
        <w:pStyle w:val="TextBody"/>
        <w:bidi w:val="0"/>
        <w:spacing w:before="0" w:after="0"/>
        <w:ind w:left="140"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reference herein or in any other Loan Document to the satisfaction, repayment, or payment in full of the Indebtedness shall mean the repayment in Dollars in full in cash or immediately available funds of all of the Indebtedness (including the Prepayment Premium) other than unasserted contingent indemnification obligations.</w:t>
      </w:r>
    </w:p>
    <w:p>
      <w:pPr>
        <w:pStyle w:val="TextBody"/>
        <w:bidi w:val="0"/>
        <w:spacing w:before="0" w:after="0"/>
        <w:ind w:left="140" w:right="172" w:firstLine="1440"/>
        <w:jc w:val="both"/>
        <w:rPr>
          <w:caps w:val="false"/>
          <w:smallCaps w:val="false"/>
        </w:rPr>
      </w:pPr>
      <w:r>
        <w:rPr>
          <w:caps w:val="false"/>
          <w:smallCaps w:val="false"/>
        </w:rPr>
        <w:t> </w:t>
      </w:r>
    </w:p>
    <w:p>
      <w:pPr>
        <w:pStyle w:val="TextBody"/>
        <w:bidi w:val="0"/>
        <w:spacing w:before="0" w:after="0"/>
        <w:ind w:left="140" w:right="13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References in this Agreement to “determination” by the Agent include good faith estimates by the Agent (in the case of quantitative determinations) and good faith beliefs by the Agent (in the case of qualitative determinations).  A Default or Event of Default shall be deemed to exist at all  times during the period commencing on the date that such Default or Event of Default occurs to the date on which such Default or Event of Default is waived in writing in accordance with Section 8.5 of this Agreement or, in the case of a Default, is cured within any period of cure expressly provided for in this Agreement; and an Event of Default shall “continue” or be “continuing” until such Event of Default has been waived in writing in accordance with Section 8.5 of this Agreement. Any Lien referred to in this Agreement or any other Loan Document as having been created in favor of the Agent, any agreement</w:t>
      </w:r>
    </w:p>
    <w:p>
      <w:pPr>
        <w:pStyle w:val="TextBody"/>
        <w:bidi w:val="0"/>
        <w:spacing w:before="0" w:after="0"/>
        <w:ind w:left="140" w:right="13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2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entered into by the Agent pursuant to this Agreement or any other Loan Document, any payment made by or to or funds received by the Agent pursuant to or as contemplated by this Agreement or any other Loan Document, or any act taken or omitted to be taken by the Agent, shall, unless otherwise expressly provided, be created, entered into, made or received, or taken or omitted, for the benefit or account of the Agent and the Lenders. Wherever the phrase “to the knowledge of any Credit Party” or words of similar import relating to the knowledge or the awareness of any Credit Party are used in this Agreement or any other Loan Document, such phrase shall mean and refer to (i) the actual knowledge of a senior officer of any Credit Party or (ii) the knowledge that a senior officer would have obtained if such officer had engaged in good faith and diligent performance of such officer’s duties, including the making of such reasonably specific inquiries as may be necessary of the employees or agents of such Credit Party and a good faith attempt to ascertain the existence or accuracy of the matter to which such phrase relates. All covenants hereunder shall be given independent effect so that if a particular action or condition is not permitted by any of such covenants, the fact that it would be permitted by an exception to, or otherwise within the limitations of, another covenant shall not avoid the occurrence of a default if such action is taken or condition exists. In addition, all representations and warranties hereunder shall be given independent effect so that if a particular representation or warranty proves to be incorrect or is breached, the fact that another representation or warranty concerning the same or similar subject matter is correct   or is not breached will not affect the incorrectness of a breach of a representation or warranty hereunder.</w:t>
      </w:r>
    </w:p>
    <w:p>
      <w:pPr>
        <w:pStyle w:val="TextBody"/>
        <w:bidi w:val="0"/>
        <w:spacing w:before="0" w:after="0"/>
        <w:ind w:left="140" w:right="126" w:hanging="0"/>
        <w:jc w:val="both"/>
        <w:rPr>
          <w:caps w:val="false"/>
          <w:smallCaps w:val="false"/>
        </w:rPr>
      </w:pPr>
      <w:r>
        <w:rPr>
          <w:caps w:val="false"/>
          <w:smallCaps w:val="false"/>
        </w:rPr>
        <w:t> </w:t>
      </w:r>
    </w:p>
    <w:p>
      <w:pPr>
        <w:pStyle w:val="TextBody"/>
        <w:bidi w:val="0"/>
        <w:spacing w:before="0" w:after="0"/>
        <w:ind w:left="140" w:right="173"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Accounting Terms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39" w:right="13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Generally</w:t>
      </w:r>
      <w:r>
        <w:rPr>
          <w:rFonts w:ascii="Times New Roman;Times;Serif" w:hAnsi="Times New Roman;Times;Serif"/>
          <w:b w:val="false"/>
          <w:i w:val="false"/>
          <w:caps w:val="false"/>
          <w:smallCaps w:val="false"/>
          <w:sz w:val="20"/>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or as reflected in the management financials provided prior to the Restatement Date to (i) include any proceeds from end-of-life liquidated inventory in revenue and related costs in cost of revenue, which is presented as net gains or losses from sale of end-of-life liquidated inventory on GAAP financials and</w:t>
      </w:r>
    </w:p>
    <w:p>
      <w:pPr>
        <w:pStyle w:val="TextBody"/>
        <w:bidi w:val="0"/>
        <w:spacing w:before="0" w:after="0"/>
        <w:ind w:left="139" w:right="136" w:firstLine="1440"/>
        <w:jc w:val="both"/>
        <w:rPr>
          <w:caps w:val="false"/>
          <w:smallCaps w:val="false"/>
        </w:rPr>
      </w:pPr>
      <w:r>
        <w:rPr>
          <w:caps w:val="false"/>
          <w:smallCaps w:val="false"/>
        </w:rPr>
        <w:t> </w:t>
      </w:r>
    </w:p>
    <w:p>
      <w:pPr>
        <w:pStyle w:val="TextBody"/>
        <w:bidi w:val="0"/>
        <w:spacing w:before="0" w:after="0"/>
        <w:ind w:left="139" w:right="17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 adjust the purchases of property, plant and equipment (“PPE”) and rental product for any unpaid accounts payable balances. Additionally, GAAP financial statements may include more detailed or more summarized line items than what is presented in the management financials.</w:t>
      </w:r>
    </w:p>
    <w:p>
      <w:pPr>
        <w:pStyle w:val="TextBody"/>
        <w:bidi w:val="0"/>
        <w:spacing w:before="0" w:after="0"/>
        <w:ind w:left="139" w:right="172" w:hanging="0"/>
        <w:jc w:val="both"/>
        <w:rPr>
          <w:caps w:val="false"/>
          <w:smallCaps w:val="false"/>
        </w:rPr>
      </w:pPr>
      <w:r>
        <w:rPr>
          <w:caps w:val="false"/>
          <w:smallCaps w:val="false"/>
        </w:rPr>
        <w:t> </w:t>
      </w:r>
    </w:p>
    <w:p>
      <w:pPr>
        <w:pStyle w:val="TextBody"/>
        <w:bidi w:val="0"/>
        <w:spacing w:before="0" w:after="0"/>
        <w:ind w:left="140" w:right="14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Changes in GAAP</w:t>
      </w:r>
      <w:r>
        <w:rPr>
          <w:rFonts w:ascii="Times New Roman;Times;Serif" w:hAnsi="Times New Roman;Times;Serif"/>
          <w:b w:val="false"/>
          <w:i w:val="false"/>
          <w:caps w:val="false"/>
          <w:smallCaps w:val="false"/>
          <w:sz w:val="20"/>
        </w:rPr>
        <w:t xml:space="preserve">. If at any time any change in GAAP would affect the computation of any financial ratio or requirement set forth in any Loan Document, and either the Borrower or the Majority Lenders shall so request, the Agent, the Lenders and the Borrower shall negotiate in good faith to amend such ratio or requirement to preserve the original intent thereof in light of such change in GAAP (subject to the approval of the Majority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until so amended, (i) such ratio or requirement shall continue to be computed in accordance with GAAP prior to such change therein and (ii) the Borrower shall provide to the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pStyle w:val="TextBody"/>
        <w:bidi w:val="0"/>
        <w:spacing w:before="0" w:after="0"/>
        <w:ind w:left="140" w:right="146" w:firstLine="1440"/>
        <w:jc w:val="both"/>
        <w:rPr>
          <w:caps w:val="false"/>
          <w:smallCaps w:val="false"/>
        </w:rPr>
      </w:pPr>
      <w:r>
        <w:rPr>
          <w:caps w:val="false"/>
          <w:smallCaps w:val="false"/>
        </w:rPr>
        <w:t> </w:t>
      </w:r>
    </w:p>
    <w:p>
      <w:pPr>
        <w:pStyle w:val="TextBody"/>
        <w:bidi w:val="0"/>
        <w:spacing w:before="0" w:after="0"/>
        <w:ind w:left="139" w:right="13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pStyle w:val="TextBody"/>
        <w:bidi w:val="0"/>
        <w:spacing w:before="0" w:after="0"/>
        <w:ind w:left="139" w:right="137"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9"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terms used in this Agreement which are defined in Article 8 or Article 9 of the Uniform Commercial Code as in effect from time to time in the State of New York and which are not otherwise defined herein shall have the same meanings herein as set forth therein; provided that terms used herein which are defined in the Uniform Commercial Code as in effect in the State of New York on the date hereof shall continue to have the same meaning notwithstanding any replacement or amendment of such statute, except as the Agent may otherwise determine.</w:t>
      </w:r>
    </w:p>
    <w:p>
      <w:pPr>
        <w:pStyle w:val="TextBody"/>
        <w:bidi w:val="0"/>
        <w:spacing w:before="0" w:after="0"/>
        <w:ind w:left="139" w:right="173" w:firstLine="1440"/>
        <w:jc w:val="both"/>
        <w:rPr>
          <w:caps w:val="false"/>
          <w:smallCaps w:val="false"/>
        </w:rPr>
      </w:pPr>
      <w:r>
        <w:rPr>
          <w:caps w:val="false"/>
          <w:smallCaps w:val="false"/>
        </w:rPr>
        <w:t> </w:t>
      </w:r>
    </w:p>
    <w:p>
      <w:pPr>
        <w:pStyle w:val="TextBody"/>
        <w:bidi w:val="0"/>
        <w:spacing w:before="0" w:after="0"/>
        <w:ind w:left="139" w:right="16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Rounding</w:t>
      </w:r>
      <w:r>
        <w:rPr>
          <w:rFonts w:ascii="Times New Roman;Times;Serif" w:hAnsi="Times New Roman;Times;Serif"/>
          <w:b w:val="false"/>
          <w:i w:val="false"/>
          <w:caps w:val="false"/>
          <w:smallCaps w:val="false"/>
          <w:sz w:val="20"/>
        </w:rPr>
        <w:t>. Any financial ratios required to be maintained by the Borrower or the Guarantors pursuant to this Agreement shall be calculated by dividing the appropriate component by the other component, carrying the result to two places more than the number of places by which such ratio is expressed herein and rounding the result up or down to the nearest number (with a rounding up if there is no nearest number).</w:t>
      </w:r>
    </w:p>
    <w:p>
      <w:pPr>
        <w:pStyle w:val="TextBody"/>
        <w:bidi w:val="0"/>
        <w:spacing w:before="0" w:after="0"/>
        <w:ind w:left="139" w:right="165" w:firstLine="720"/>
        <w:jc w:val="both"/>
        <w:rPr>
          <w:caps w:val="false"/>
          <w:smallCaps w:val="false"/>
        </w:rPr>
      </w:pPr>
      <w:r>
        <w:rPr>
          <w:caps w:val="false"/>
          <w:smallCaps w:val="false"/>
        </w:rPr>
        <w:t> </w:t>
      </w:r>
    </w:p>
    <w:p>
      <w:pPr>
        <w:pStyle w:val="TextBody"/>
        <w:bidi w:val="0"/>
        <w:spacing w:before="0" w:after="0"/>
        <w:ind w:left="139" w:right="17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Times of Day</w:t>
      </w:r>
      <w:r>
        <w:rPr>
          <w:rFonts w:ascii="Times New Roman;Times;Serif" w:hAnsi="Times New Roman;Times;Serif"/>
          <w:b w:val="false"/>
          <w:i w:val="false"/>
          <w:caps w:val="false"/>
          <w:smallCaps w:val="false"/>
          <w:sz w:val="20"/>
        </w:rPr>
        <w:t>. Unless otherwise specified, all references herein to times of day shall be references to Eastern time (daylight or standard, as applicable), as in effect in New York City on such day. For purposes of the computation of a period of time from a specified date to a later specified date, the word “from” means “from and including” and the words “to” and “until” each means “to but excluding”; provided, however, that with respect to a computation of fees or interest payable to any Secured Party, such period shall in any event consist of at least one full day. Whenever any action or delivery to be taken or made under this Agreement or any other Loan Document shall be stated to be due on a day other than a Business Day, such action or delivery shall be deemed to be due on the next succeeding Business Day.</w:t>
      </w:r>
    </w:p>
    <w:p>
      <w:pPr>
        <w:pStyle w:val="TextBody"/>
        <w:bidi w:val="0"/>
        <w:spacing w:before="0" w:after="0"/>
        <w:ind w:left="139" w:right="170" w:firstLine="720"/>
        <w:jc w:val="both"/>
        <w:rPr>
          <w:caps w:val="false"/>
          <w:smallCaps w:val="false"/>
        </w:rPr>
      </w:pPr>
      <w:r>
        <w:rPr>
          <w:caps w:val="false"/>
          <w:smallCaps w:val="false"/>
        </w:rPr>
        <w:t> </w:t>
      </w:r>
    </w:p>
    <w:p>
      <w:pPr>
        <w:pStyle w:val="TextBody"/>
        <w:bidi w:val="0"/>
        <w:spacing w:before="0" w:after="0"/>
        <w:ind w:left="139" w:right="1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Divisions</w:t>
      </w:r>
      <w:r>
        <w:rPr>
          <w:rFonts w:ascii="Times New Roman;Times;Serif" w:hAnsi="Times New Roman;Times;Serif"/>
          <w:b w:val="false"/>
          <w:i w:val="false"/>
          <w:caps w:val="false"/>
          <w:smallCaps w:val="false"/>
          <w:sz w:val="20"/>
        </w:rPr>
        <w:t>. For all purposes under the Loan Documents, in connection with any division or plan of division under Delaware law (or any comparable event under a different jurisdiction’s laws):</w:t>
      </w:r>
    </w:p>
    <w:p>
      <w:pPr>
        <w:pStyle w:val="TextBody"/>
        <w:bidi w:val="0"/>
        <w:spacing w:before="0" w:after="0"/>
        <w:ind w:left="139" w:right="172" w:firstLine="720"/>
        <w:jc w:val="both"/>
        <w:rPr>
          <w:caps w:val="false"/>
          <w:smallCaps w:val="false"/>
        </w:rPr>
      </w:pPr>
      <w:r>
        <w:rPr>
          <w:caps w:val="false"/>
          <w:smallCaps w:val="false"/>
        </w:rPr>
        <w:t> </w:t>
      </w:r>
    </w:p>
    <w:p>
      <w:pPr>
        <w:pStyle w:val="TextBody"/>
        <w:bidi w:val="0"/>
        <w:spacing w:before="0" w:after="0"/>
        <w:ind w:left="140" w:right="169"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0"/>
        <w:ind w:left="140" w:right="169" w:hanging="0"/>
        <w:jc w:val="both"/>
        <w:rPr>
          <w:caps w:val="false"/>
          <w:smallCaps w:val="false"/>
        </w:rPr>
      </w:pPr>
      <w:r>
        <w:rPr>
          <w:caps w:val="false"/>
          <w:smallCaps w:val="false"/>
        </w:rPr>
        <w:t> </w:t>
      </w:r>
    </w:p>
    <w:p>
      <w:pPr>
        <w:pStyle w:val="TextBody"/>
        <w:bidi w:val="0"/>
        <w:spacing w:before="0" w:after="0"/>
        <w:ind w:left="140" w:right="158"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Senior Loan Documents and Specified Subordination Agreement</w:t>
      </w:r>
      <w:r>
        <w:rPr>
          <w:rFonts w:ascii="Times New Roman;Times;Serif" w:hAnsi="Times New Roman;Times;Serif"/>
          <w:b w:val="false"/>
          <w:i w:val="false"/>
          <w:caps w:val="false"/>
          <w:smallCaps w:val="false"/>
          <w:sz w:val="20"/>
        </w:rPr>
        <w:t>. The Borrower agrees and acknowledges that each reference to any Senior Loan Document, Senior Debt, Senior Agent, Senior Lenders, or the Specified Subordination Agreement in any Loan Document (including, without limitation this Agreement and the Security Agreement) shall be disregarded until each of the Senior Credit Agreement and the Specified Subordination Agreement shall have been executed and delivered by the requisite parties thereto (including, in the case of the Specified Subordination Agreement, the Agent) and are in full force and effect.</w:t>
      </w:r>
    </w:p>
    <w:p>
      <w:pPr>
        <w:pStyle w:val="TextBody"/>
        <w:bidi w:val="0"/>
        <w:spacing w:before="0" w:after="0"/>
        <w:ind w:left="140" w:right="158" w:firstLine="720"/>
        <w:jc w:val="both"/>
        <w:rPr>
          <w:caps w:val="false"/>
          <w:smallCaps w:val="false"/>
        </w:rPr>
      </w:pPr>
      <w:r>
        <w:rPr>
          <w:caps w:val="false"/>
          <w:smallCaps w:val="false"/>
        </w:rPr>
        <w:t> </w:t>
      </w:r>
    </w:p>
    <w:p>
      <w:pPr>
        <w:pStyle w:val="TextBody"/>
        <w:bidi w:val="0"/>
        <w:spacing w:before="0" w:after="0"/>
        <w:ind w:left="140" w:right="17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Rates</w:t>
      </w:r>
      <w:r>
        <w:rPr>
          <w:rFonts w:ascii="Times New Roman;Times;Serif" w:hAnsi="Times New Roman;Times;Serif"/>
          <w:b w:val="false"/>
          <w:i w:val="false"/>
          <w:caps w:val="false"/>
          <w:smallCaps w:val="false"/>
          <w:sz w:val="20"/>
        </w:rPr>
        <w:t>. The Agent does not warrant or accept responsibility for, and shall not have any liability with respect to (a) the continuation of, administration of, submission of, calculation of or any other matter related to the Reference Rate,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Reference Rate, the Term SOFR Reference Rate, Adjusted Term SOFR, Term SOFR or any other Benchmark prior to its discontinuance or unavailability, or (b) the effect, implementation or composition of any Conforming Changes. The Agent and its Affiliates or other related entities may engage in transactions that affect the calculation of the Reference Rate, the Term SOFR Reference Rate, Term SOFR, Adjusted Term SOFR, any alternative, successor or replacement rate (including any Benchmark Replacement) or any relevant adjustments</w:t>
      </w:r>
    </w:p>
    <w:p>
      <w:pPr>
        <w:pStyle w:val="TextBody"/>
        <w:bidi w:val="0"/>
        <w:spacing w:before="0" w:after="0"/>
        <w:ind w:left="140" w:right="17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4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thereto, in each case, in a manner adverse to the Borrower. The Agent may select information sources or services in its reasonable discretion to ascertain the Reference Rate, the Term SOFR Reference Rate, Term SOFR, Adjusted Term SOFR or any other Benchmark, in each case pursuant to the terms of this Agreement, and shall have no liability to the Borrower, any Lender or any other Person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ind w:left="140" w:right="148"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4"/>
        <w:gridCol w:w="1078"/>
        <w:gridCol w:w="8923"/>
      </w:tblGrid>
      <w:tr>
        <w:trPr/>
        <w:tc>
          <w:tcPr>
            <w:tcW w:w="20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pPr>
            <w:r>
              <w:rPr/>
              <w:t>2.</w:t>
            </w:r>
          </w:p>
        </w:tc>
        <w:tc>
          <w:tcPr>
            <w:tcW w:w="8923" w:type="dxa"/>
            <w:tcBorders/>
            <w:vAlign w:val="center"/>
          </w:tcPr>
          <w:p>
            <w:pPr>
              <w:pStyle w:val="TableContents"/>
              <w:bidi w:val="0"/>
              <w:spacing w:before="0" w:after="283"/>
              <w:jc w:val="left"/>
              <w:rPr/>
            </w:pPr>
            <w:r>
              <w:rPr/>
              <w:t>TERM LOANS.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49"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Restatement Date Transactions; Loans and Commitments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39" w:right="134"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Interest Capitalization; Debt for Equity Exchange</w:t>
      </w:r>
      <w:r>
        <w:rPr>
          <w:rFonts w:ascii="Times New Roman;Times;Serif" w:hAnsi="Times New Roman;Times;Serif"/>
          <w:b w:val="false"/>
          <w:i w:val="false"/>
          <w:caps w:val="false"/>
          <w:smallCaps w:val="false"/>
          <w:sz w:val="20"/>
        </w:rPr>
        <w:t>. On the Restatement Date, (i) the Interest Capitalization shall be deemed to have occurred and (ii) immediately following the Interest Capitalization, the Debt for Equity Exchange occurred in accordance with the terms and conditions of the Exchange Agreement. Immediately after giving effect to the Debt for Equity Exchange, the aggregate outstanding principal amount of Existing Term Loans was equal to $100,000,000.</w:t>
      </w:r>
    </w:p>
    <w:p>
      <w:pPr>
        <w:pStyle w:val="TextBody"/>
        <w:bidi w:val="0"/>
        <w:spacing w:before="0" w:after="0"/>
        <w:ind w:left="139" w:right="134" w:firstLine="1440"/>
        <w:jc w:val="both"/>
        <w:rPr>
          <w:caps w:val="false"/>
          <w:smallCaps w:val="false"/>
        </w:rPr>
      </w:pPr>
      <w:r>
        <w:rPr>
          <w:caps w:val="false"/>
          <w:smallCaps w:val="false"/>
        </w:rPr>
        <w:t> </w:t>
      </w:r>
    </w:p>
    <w:p>
      <w:pPr>
        <w:pStyle w:val="TextBody"/>
        <w:bidi w:val="0"/>
        <w:spacing w:before="0" w:after="0"/>
        <w:ind w:left="140"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Initial Loan Exchange</w:t>
      </w:r>
      <w:r>
        <w:rPr>
          <w:rFonts w:ascii="Times New Roman;Times;Serif" w:hAnsi="Times New Roman;Times;Serif"/>
          <w:b w:val="false"/>
          <w:i w:val="false"/>
          <w:caps w:val="false"/>
          <w:smallCaps w:val="false"/>
          <w:sz w:val="20"/>
        </w:rPr>
        <w:t>. Immediately after the consummation of the Debt for Equity Exchange, the Initial Loan Exchange is deemed to have occurred. The aggregate outstanding principal amount of the Exchanged Term Loans under this Agreement immediately following the Initial Loan Exchange is equal to $100,000,000. Immediately following the consummation of the Initial Loan Exchange, the Restatement Date Assignment occurred in accordance with the terms of the Purchase and Sale Agreement.</w:t>
      </w:r>
    </w:p>
    <w:p>
      <w:pPr>
        <w:pStyle w:val="TextBody"/>
        <w:bidi w:val="0"/>
        <w:spacing w:before="0" w:after="0"/>
        <w:ind w:left="140" w:right="172" w:firstLine="1440"/>
        <w:jc w:val="both"/>
        <w:rPr>
          <w:caps w:val="false"/>
          <w:smallCaps w:val="false"/>
        </w:rPr>
      </w:pPr>
      <w:r>
        <w:rPr>
          <w:caps w:val="false"/>
          <w:smallCaps w:val="false"/>
        </w:rPr>
        <w:t> </w:t>
      </w:r>
    </w:p>
    <w:p>
      <w:pPr>
        <w:pStyle w:val="TextBody"/>
        <w:bidi w:val="0"/>
        <w:spacing w:before="0" w:after="0"/>
        <w:ind w:left="139" w:right="12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Restatement Date Term Loans</w:t>
      </w:r>
      <w:r>
        <w:rPr>
          <w:rFonts w:ascii="Times New Roman;Times;Serif" w:hAnsi="Times New Roman;Times;Serif"/>
          <w:b w:val="false"/>
          <w:i w:val="false"/>
          <w:caps w:val="false"/>
          <w:smallCaps w:val="false"/>
          <w:sz w:val="20"/>
        </w:rPr>
        <w:t>. Subject to the terms and conditions hereof, each Lender with a Restatement Date Term Loan Commitment severally agrees to make, on the Restatement Date, immediately following the consummation of the Restatement Date Assignment, a term loan to the Borrower in an amount equal to such Lender’s Restatement Date Term Loan Commitment. The Borrower may make only one borrowing under the Restatement Date Term Loan Commitments which shall be on the Restatement Date. Each Lender’s Restatement Date Term Loan Commitment shall terminate immediately and without further action on the Restatement Date after giving effect to the funding of such Restatement Date Term Loan Commitment, if any, on such date.</w:t>
      </w:r>
    </w:p>
    <w:p>
      <w:pPr>
        <w:pStyle w:val="TextBody"/>
        <w:bidi w:val="0"/>
        <w:spacing w:before="0" w:after="0"/>
        <w:ind w:left="139" w:right="125" w:firstLine="1440"/>
        <w:jc w:val="both"/>
        <w:rPr>
          <w:caps w:val="false"/>
          <w:smallCaps w:val="false"/>
        </w:rPr>
      </w:pPr>
      <w:r>
        <w:rPr>
          <w:caps w:val="false"/>
          <w:smallCaps w:val="false"/>
        </w:rPr>
        <w:t> </w:t>
      </w:r>
    </w:p>
    <w:p>
      <w:pPr>
        <w:pStyle w:val="TextBody"/>
        <w:bidi w:val="0"/>
        <w:spacing w:before="0" w:after="0"/>
        <w:ind w:left="140" w:right="171"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the Agent and each Lender hereby acknowledge, confirm and agree that after giving effect to the Debt for Equity Exchange, the Initial Loan Exchange, the Restatement Date Assignment and the funding of the Restatement Date Term Loans (collectively, the “</w:t>
      </w:r>
      <w:r>
        <w:rPr>
          <w:rFonts w:ascii="Times New Roman;Times;Serif" w:hAnsi="Times New Roman;Times;Serif"/>
          <w:b/>
          <w:i w:val="false"/>
          <w:caps w:val="false"/>
          <w:smallCaps w:val="false"/>
          <w:sz w:val="20"/>
        </w:rPr>
        <w:t>Restatement Date Transactions</w:t>
      </w:r>
      <w:r>
        <w:rPr>
          <w:rFonts w:ascii="Times New Roman;Times;Serif" w:hAnsi="Times New Roman;Times;Serif"/>
          <w:b w:val="false"/>
          <w:i w:val="false"/>
          <w:caps w:val="false"/>
          <w:smallCaps w:val="false"/>
          <w:sz w:val="20"/>
        </w:rPr>
        <w:t xml:space="preserve">”), as of the Restatement Date, (i) the aggregate outstanding principal amount of the Term Loans is equal to $120,000,000 and (ii) the principal amount of Term Loans held by each Lender is set forth in Section 3 of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hereto.</w:t>
      </w:r>
    </w:p>
    <w:p>
      <w:pPr>
        <w:pStyle w:val="TextBody"/>
        <w:bidi w:val="0"/>
        <w:spacing w:before="0" w:after="0"/>
        <w:ind w:left="140" w:right="171" w:firstLine="720"/>
        <w:jc w:val="both"/>
        <w:rPr>
          <w:caps w:val="false"/>
          <w:smallCaps w:val="false"/>
        </w:rPr>
      </w:pPr>
      <w:r>
        <w:rPr>
          <w:caps w:val="false"/>
          <w:smallCaps w:val="false"/>
        </w:rPr>
        <w:t> </w:t>
      </w:r>
    </w:p>
    <w:p>
      <w:pPr>
        <w:pStyle w:val="TextBody"/>
        <w:bidi w:val="0"/>
        <w:spacing w:before="0" w:after="0"/>
        <w:ind w:left="140" w:right="17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Term Loan that has been repaid or prepaid may be reborrowed. All amounts owed hereunder with respect to the Term Loan shall be paid in full no later than the Maturity Date.</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40" w:right="149"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Accrual of Interest and Maturity; Evidence of Indebtedness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hereby unconditionally promises to pay to the Agent for the account of each Lender the then unpaid principal amount of each Loan (plus all accrued and unpaid interest) of and any other outstanding Indebtedness hereunder (including the Prepayment Premium) owing to such Lender to the Borrower on the Maturity Date and, subject to the terms of the Specified Subordination Agreement, on such other dates and in such other amounts as may be required from time</w:t>
      </w:r>
    </w:p>
    <w:p>
      <w:pPr>
        <w:pStyle w:val="TextBody"/>
        <w:bidi w:val="0"/>
        <w:spacing w:before="0" w:after="0"/>
        <w:ind w:left="140" w:right="172"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71"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time pursuant to this Agreement. Subject to the terms and conditions hereof, each Loan shall, from time to time from and after the date of such Loan (until paid), bear interest in accordance with Section 2.6.</w:t>
      </w:r>
    </w:p>
    <w:p>
      <w:pPr>
        <w:pStyle w:val="TextBody"/>
        <w:bidi w:val="0"/>
        <w:spacing w:before="0" w:after="0"/>
        <w:ind w:left="140" w:right="171" w:hanging="0"/>
        <w:jc w:val="both"/>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Lender shall maintain in accordance with its usual practice an account or accounts evidencing indebtedness of the Borrower to the appropriate lending office of such Lender resulting from each Loan made by such lending office of such Lender from time to time, including the amounts of principal and interest payable thereon and paid to such Lender from time to time under this Agreement.</w:t>
      </w:r>
    </w:p>
    <w:p>
      <w:pPr>
        <w:pStyle w:val="TextBody"/>
        <w:bidi w:val="0"/>
        <w:spacing w:before="0" w:after="0"/>
        <w:ind w:left="140" w:right="173" w:firstLine="1440"/>
        <w:jc w:val="both"/>
        <w:rPr>
          <w:caps w:val="false"/>
          <w:smallCaps w:val="false"/>
        </w:rPr>
      </w:pPr>
      <w:r>
        <w:rPr>
          <w:caps w:val="false"/>
          <w:smallCaps w:val="false"/>
        </w:rPr>
        <w:t> </w:t>
      </w:r>
    </w:p>
    <w:p>
      <w:pPr>
        <w:pStyle w:val="TextBody"/>
        <w:bidi w:val="0"/>
        <w:spacing w:before="0" w:after="0"/>
        <w:ind w:left="140" w:right="1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Agent shall maintain the Register pursuant to Section 12.7(h), and a subaccount therein for each Lender, in which Register and subaccounts (taken together) shall be recorded</w:t>
      </w:r>
    </w:p>
    <w:p>
      <w:pPr>
        <w:pStyle w:val="TextBody"/>
        <w:bidi w:val="0"/>
        <w:spacing w:before="0" w:after="0"/>
        <w:ind w:left="140" w:right="140" w:firstLine="1440"/>
        <w:jc w:val="left"/>
        <w:rPr>
          <w:caps w:val="false"/>
          <w:smallCaps w:val="false"/>
        </w:rPr>
      </w:pPr>
      <w:r>
        <w:rPr>
          <w:caps w:val="false"/>
          <w:smallCaps w:val="false"/>
        </w:rPr>
        <w:t> </w:t>
      </w:r>
    </w:p>
    <w:p>
      <w:pPr>
        <w:pStyle w:val="TextBody"/>
        <w:bidi w:val="0"/>
        <w:spacing w:before="0" w:after="0"/>
        <w:ind w:left="139" w:right="17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amount of each Loan made hereunder, (ii) the amount of any principal or interest due and payable or to become due and payable from the Borrower to each Lender hereunder in respect of the Loans and</w:t>
      </w:r>
    </w:p>
    <w:p>
      <w:pPr>
        <w:pStyle w:val="TextBody"/>
        <w:bidi w:val="0"/>
        <w:spacing w:before="0" w:after="0"/>
        <w:ind w:left="139" w:right="171" w:hanging="0"/>
        <w:jc w:val="left"/>
        <w:rPr>
          <w:caps w:val="false"/>
          <w:smallCaps w:val="false"/>
        </w:rPr>
      </w:pPr>
      <w:r>
        <w:rPr>
          <w:caps w:val="false"/>
          <w:smallCaps w:val="false"/>
        </w:rPr>
        <w:t> </w:t>
      </w:r>
    </w:p>
    <w:p>
      <w:pPr>
        <w:pStyle w:val="TextBody"/>
        <w:bidi w:val="0"/>
        <w:spacing w:before="0" w:after="0"/>
        <w:ind w:left="140" w:right="10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both the amount of any sum received by the Agent hereunder from the Borrower in respect of the Loans and each Lender’s share thereof.</w:t>
      </w:r>
    </w:p>
    <w:p>
      <w:pPr>
        <w:pStyle w:val="TextBody"/>
        <w:bidi w:val="0"/>
        <w:spacing w:before="0" w:after="0"/>
        <w:ind w:left="140" w:right="102" w:hanging="0"/>
        <w:jc w:val="left"/>
        <w:rPr>
          <w:caps w:val="false"/>
          <w:smallCaps w:val="false"/>
        </w:rPr>
      </w:pPr>
      <w:r>
        <w:rPr>
          <w:caps w:val="false"/>
          <w:smallCaps w:val="false"/>
        </w:rPr>
        <w:t> </w:t>
      </w:r>
    </w:p>
    <w:p>
      <w:pPr>
        <w:pStyle w:val="TextBody"/>
        <w:bidi w:val="0"/>
        <w:spacing w:before="0" w:after="0"/>
        <w:ind w:left="139" w:right="139"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entries made in the Register maintained pursuant to paragraph (c) of this Section 2.2 and Section 12.7(h) shall, absent manifest error, to the extent permitted by applicable law, be prima facie evidence of the existence and amounts of the obligations of the Borrower therein recorded;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failure of any Lender or the Agent to maintain the Register or any account, as applicable, or any error therein, shall not in any manner affect the obligation of the Borrower to repay the Loans (and all other amounts owing with respect thereto) made to the Borrower by the Lenders in accordance with the terms of this Agreement. In the event of any conflict between the accounts and records maintained by any Lender and the accounts and records of the Agent in respect of such matters, the accounts and records of the Agent shall control in the absence of manifest error.</w:t>
      </w:r>
    </w:p>
    <w:p>
      <w:pPr>
        <w:pStyle w:val="TextBody"/>
        <w:bidi w:val="0"/>
        <w:spacing w:before="0" w:after="0"/>
        <w:ind w:left="139" w:right="139" w:firstLine="1440"/>
        <w:jc w:val="both"/>
        <w:rPr>
          <w:caps w:val="false"/>
          <w:smallCaps w:val="false"/>
        </w:rPr>
      </w:pPr>
      <w:r>
        <w:rPr>
          <w:caps w:val="false"/>
          <w:smallCaps w:val="false"/>
        </w:rPr>
        <w:t> </w:t>
      </w:r>
    </w:p>
    <w:p>
      <w:pPr>
        <w:pStyle w:val="TextBody"/>
        <w:bidi w:val="0"/>
        <w:spacing w:before="0" w:after="0"/>
        <w:ind w:left="140" w:right="121"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agrees that, upon written request to the Agent by any Lender, the Borrower will execute and deliver, to such Lender, at the Borrower’s own expense, a Note evidencing the outstanding Loans owing to such Lender.</w:t>
      </w:r>
    </w:p>
    <w:p>
      <w:pPr>
        <w:pStyle w:val="TextBody"/>
        <w:bidi w:val="0"/>
        <w:spacing w:before="0" w:after="0"/>
        <w:ind w:left="140" w:right="121" w:firstLine="1440"/>
        <w:jc w:val="both"/>
        <w:rPr>
          <w:caps w:val="false"/>
          <w:smallCaps w:val="false"/>
        </w:rPr>
      </w:pPr>
      <w:r>
        <w:rPr>
          <w:caps w:val="false"/>
          <w:smallCaps w:val="false"/>
        </w:rPr>
        <w:t> </w:t>
      </w:r>
    </w:p>
    <w:p>
      <w:pPr>
        <w:pStyle w:val="TextBody"/>
        <w:bidi w:val="0"/>
        <w:spacing w:before="0" w:after="0"/>
        <w:ind w:left="140" w:right="149"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Requests for Loans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39" w:right="14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the Restatement Date Term Loan, the Borrower shall deliver to the Agent a Request for Loan fully executed by an Authorized Signer no later than 2 Business Days prior to the Restatement Date (or such shorter period as the Agent may agree in writing in its sole discretion). Following the Restatement Date, whenever the Borrower desires that Lenders make a Term Loan (other than the Restatement Date Term Loan), the Borrower shall deliver to the Agent a fully executed and delivered Request for Loan (which shall specify the principal amount of the proposed Loan and the proposed date of such Loan, which must be a Business Day) no later than 10:00 a.m. (New York City time) at least 10 days in advance of the proposed Credit Date. Except as otherwise provided herein, a Request for Loan for a Term Loan shall be irrevocable on and after the date of receipt by the Agent, and the Borrower shall be bound to make a borrowing in accordance therewith. Promptly upon receipt by the Agent of any Request for Loan, the Agent shall notify each Lender of the proposed borrowing.  The Agent and Lenders (i) may act without liability upon the basis of written or facsimile notice believed by the Agent in good faith to be from the Borrower (or from any Authorized Signer), (ii) shall be entitled to rely conclusively on any Authorized Signer’s authority to request a Term Loan on behalf of the Borrower until the Agent receives written notice to the contrary, and (iii) shall have no duty to verify the authenticity of the signature appearing on any written Request for Loan.</w:t>
      </w:r>
    </w:p>
    <w:p>
      <w:pPr>
        <w:pStyle w:val="TextBody"/>
        <w:bidi w:val="0"/>
        <w:spacing w:before="0" w:after="0"/>
        <w:ind w:left="139" w:right="146"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9"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Lender shall make its Term Loan available to the Agent not later than 12:00 p.m. (New York City time) on the applicable Credit Date, by wire transfer of same day funds in Dollars, at the Agent’s Principal Office. Upon satisfaction or waiver of the conditions  precedent specified herein, the Agent shall make the proceeds of the Term Loans available to the Borrower on the applicable Credit Date by causing an amount of same day funds in Dollars equal to the proceeds of all such Loans received by the Agent from Lenders to be credited to the account of the Borrower designated in writing to the Agent by the Borrower.</w:t>
      </w:r>
    </w:p>
    <w:p>
      <w:pPr>
        <w:pStyle w:val="TextBody"/>
        <w:bidi w:val="0"/>
        <w:spacing w:before="0" w:after="0"/>
        <w:ind w:left="139" w:right="173" w:firstLine="1440"/>
        <w:jc w:val="both"/>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Request for Loan, once delivered to the Agent, shall not be revocable by the Borrower and shall constitute a certification by the Borrower as of the date thereof that:</w:t>
      </w:r>
    </w:p>
    <w:p>
      <w:pPr>
        <w:pStyle w:val="TextBody"/>
        <w:bidi w:val="0"/>
        <w:spacing w:before="0" w:after="0"/>
        <w:ind w:left="140" w:right="173" w:firstLine="1440"/>
        <w:jc w:val="both"/>
        <w:rPr>
          <w:caps w:val="false"/>
          <w:smallCaps w:val="false"/>
        </w:rPr>
      </w:pPr>
      <w:r>
        <w:rPr>
          <w:caps w:val="false"/>
          <w:smallCaps w:val="false"/>
        </w:rPr>
        <w:t> </w:t>
      </w:r>
    </w:p>
    <w:p>
      <w:pPr>
        <w:pStyle w:val="TextBody"/>
        <w:bidi w:val="0"/>
        <w:spacing w:before="0" w:after="0"/>
        <w:ind w:left="140" w:right="131"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conditions to the making of Loans set forth in Sections 4.1 and/or 4.2, as applicable, of this Agreement have been satisfied, and shall remain satisfied to the date of such Loan (both before and immediately after giving effect to such Loan);</w:t>
      </w:r>
    </w:p>
    <w:p>
      <w:pPr>
        <w:pStyle w:val="TextBody"/>
        <w:bidi w:val="0"/>
        <w:spacing w:before="0" w:after="0"/>
        <w:ind w:left="140" w:right="131" w:firstLine="2160"/>
        <w:jc w:val="both"/>
        <w:rPr>
          <w:caps w:val="false"/>
          <w:smallCaps w:val="false"/>
        </w:rPr>
      </w:pPr>
      <w:r>
        <w:rPr>
          <w:caps w:val="false"/>
          <w:smallCaps w:val="false"/>
        </w:rPr>
        <w:t> </w:t>
      </w:r>
    </w:p>
    <w:p>
      <w:pPr>
        <w:pStyle w:val="TextBody"/>
        <w:bidi w:val="0"/>
        <w:spacing w:before="0" w:after="0"/>
        <w:ind w:left="140" w:right="172"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at the time of and after giving effect to the making of such Loan and the application of the proceeds thereof, no Default or Event of Default has occurred and is continuing or would result from the making of the Loan to be made; and</w:t>
      </w:r>
    </w:p>
    <w:p>
      <w:pPr>
        <w:pStyle w:val="TextBody"/>
        <w:bidi w:val="0"/>
        <w:spacing w:before="0" w:after="0"/>
        <w:ind w:left="140" w:right="172" w:firstLine="2160"/>
        <w:jc w:val="both"/>
        <w:rPr>
          <w:caps w:val="false"/>
          <w:smallCaps w:val="false"/>
        </w:rPr>
      </w:pPr>
      <w:r>
        <w:rPr>
          <w:caps w:val="false"/>
          <w:smallCaps w:val="false"/>
        </w:rPr>
        <w:t> </w:t>
      </w:r>
    </w:p>
    <w:p>
      <w:pPr>
        <w:pStyle w:val="TextBody"/>
        <w:bidi w:val="0"/>
        <w:spacing w:before="0" w:after="0"/>
        <w:ind w:left="139" w:right="171"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representations and warranties of the Credit Parties contained in this Agreement and the other Loan Documents are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the date of the making of such Loan to the same extent as though made on and as of that date (both before and immediately after giving effect to such Loan),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w:t>
      </w:r>
    </w:p>
    <w:p>
      <w:pPr>
        <w:pStyle w:val="TextBody"/>
        <w:bidi w:val="0"/>
        <w:spacing w:before="0" w:after="0"/>
        <w:ind w:left="139" w:right="171" w:firstLine="2160"/>
        <w:jc w:val="both"/>
        <w:rPr>
          <w:caps w:val="false"/>
          <w:smallCaps w:val="false"/>
        </w:rPr>
      </w:pPr>
      <w:r>
        <w:rPr>
          <w:caps w:val="false"/>
          <w:smallCaps w:val="false"/>
        </w:rPr>
        <w:t> </w:t>
      </w:r>
    </w:p>
    <w:p>
      <w:pPr>
        <w:pStyle w:val="TextBody"/>
        <w:bidi w:val="0"/>
        <w:spacing w:before="0" w:after="0"/>
        <w:ind w:left="140" w:right="149"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Disbursement of Loans</w:t>
      </w:r>
      <w:r>
        <w:rPr>
          <w:rFonts w:ascii="Times New Roman;Times;Serif" w:hAnsi="Times New Roman;Times;Serif"/>
          <w:b w:val="false"/>
          <w:i w:val="false"/>
          <w:caps w:val="false"/>
          <w:smallCaps w:val="false"/>
          <w:sz w:val="20"/>
        </w:rPr>
        <w:t>. Unless the Agent shall have been notified in writing by any Lender prior to the applicable Credit Date that such Lender does not intend to make available to the Agent the amount of such Lender’s Loan requested on such Credit Date, the Agent may assume that such Lender has made such amount available to the Agent on such Credit Date and the Agent may but shall not be obligated to, make available to the Borrower a corresponding amount on such Credit Date. If such corresponding amount is not in fact made available to the Agent by such Lender, the Agent shall be entitled to recover such corresponding amount on demand from such Lender together with interest thereon, for each day from such Credit Date until the date such amount is paid to the Agent, at the customary rate set by the Agent for the correction of errors among banks for three Business Days and thereafter at the rate specified in Section 2.6(a). If such Lender does not pay such corresponding amount forthwith upon the Agent’s demand therefor, the Agent shall promptly notify the Borrower and the Borrower shall immediately pay such corresponding amount to the Agent together with interest thereon, for each day from such Credit Date until the date such amount is paid to the Agent, at the rate specified  in Section 2.6(a).  Nothing in this Section 2.4 shall be deemed to relieve any Lender from its obligation  to fulfill its Term Loan Commitments hereunder or to prejudice any rights that the Borrower may have against any Lender as a result of any default by such Lender hereunder.</w:t>
      </w:r>
    </w:p>
    <w:p>
      <w:pPr>
        <w:pStyle w:val="TextBody"/>
        <w:bidi w:val="0"/>
        <w:spacing w:before="0" w:after="0"/>
        <w:ind w:left="140" w:right="149"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9" w:right="171"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 The Borrower agrees to pay to the Agent all fees payable by it in the Fee Letter in the amounts and at the times specified therein.</w:t>
      </w:r>
    </w:p>
    <w:p>
      <w:pPr>
        <w:pStyle w:val="TextBody"/>
        <w:bidi w:val="0"/>
        <w:spacing w:before="0" w:after="0"/>
        <w:ind w:left="139" w:right="171" w:firstLine="720"/>
        <w:jc w:val="left"/>
        <w:rPr>
          <w:caps w:val="false"/>
          <w:smallCaps w:val="false"/>
        </w:rPr>
      </w:pPr>
      <w:r>
        <w:rPr>
          <w:caps w:val="false"/>
          <w:smallCaps w:val="false"/>
        </w:rPr>
        <w:t> </w:t>
      </w:r>
    </w:p>
    <w:p>
      <w:pPr>
        <w:pStyle w:val="TextBody"/>
        <w:bidi w:val="0"/>
        <w:spacing w:before="0" w:after="0"/>
        <w:ind w:left="139" w:right="171"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Interest Payments; Default Interest</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68"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of this Agreement, at the option of the Borrower, the Term Loan or any portion thereof shall be either a Reference Rate Loan or a SOFR Loan. Except as otherwise set forth herein, each Class of Loan shall bear interest on the unpaid principal amount thereof from the date made through repayment (whether by acceleration or otherwise) thereof as follows:</w:t>
      </w:r>
    </w:p>
    <w:p>
      <w:pPr>
        <w:pStyle w:val="TextBody"/>
        <w:bidi w:val="0"/>
        <w:spacing w:before="0" w:after="0"/>
        <w:ind w:left="140" w:right="168" w:firstLine="1440"/>
        <w:jc w:val="both"/>
        <w:rPr>
          <w:caps w:val="false"/>
          <w:smallCaps w:val="false"/>
        </w:rPr>
      </w:pPr>
      <w:r>
        <w:rPr>
          <w:caps w:val="false"/>
          <w:smallCaps w:val="false"/>
        </w:rPr>
        <w:t> </w:t>
      </w:r>
    </w:p>
    <w:p>
      <w:pPr>
        <w:pStyle w:val="TextBody"/>
        <w:bidi w:val="0"/>
        <w:spacing w:before="0" w:after="0"/>
        <w:ind w:left="140" w:right="173"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portion of the Term Loan that is a Reference Rate Loan shall bear interest on the principal amount thereof from time to time outstanding, from the date of the Term Loan until repaid, at a rate per annum equal to the Reference Rate plus the Applicable Margin;</w:t>
      </w:r>
    </w:p>
    <w:p>
      <w:pPr>
        <w:pStyle w:val="TextBody"/>
        <w:bidi w:val="0"/>
        <w:spacing w:before="0" w:after="0"/>
        <w:ind w:left="140" w:right="173" w:firstLine="2160"/>
        <w:jc w:val="both"/>
        <w:rPr>
          <w:caps w:val="false"/>
          <w:smallCaps w:val="false"/>
        </w:rPr>
      </w:pPr>
      <w:r>
        <w:rPr>
          <w:caps w:val="false"/>
          <w:smallCaps w:val="false"/>
        </w:rPr>
        <w:t> </w:t>
      </w:r>
    </w:p>
    <w:p>
      <w:pPr>
        <w:pStyle w:val="TextBody"/>
        <w:bidi w:val="0"/>
        <w:spacing w:before="0" w:after="0"/>
        <w:ind w:left="140" w:right="128"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portion of the Term Loan that is a SOFR Loan shall bear interest on the principal amount thereof from time to time outstanding, from the date of the Term Loan until repaid, at a rate per annum equal to Adjusted Term SOFR for the Interest Period in effect for the Term Loan (or such portion thereof) plus the Applicable Margin;</w:t>
      </w:r>
    </w:p>
    <w:p>
      <w:pPr>
        <w:pStyle w:val="TextBody"/>
        <w:bidi w:val="0"/>
        <w:spacing w:before="0" w:after="0"/>
        <w:ind w:left="140" w:right="128" w:firstLine="2160"/>
        <w:jc w:val="both"/>
        <w:rPr>
          <w:caps w:val="false"/>
          <w:smallCaps w:val="false"/>
        </w:rPr>
      </w:pPr>
      <w:r>
        <w:rPr>
          <w:caps w:val="false"/>
          <w:smallCaps w:val="false"/>
        </w:rPr>
        <w:t> </w:t>
      </w:r>
    </w:p>
    <w:p>
      <w:pPr>
        <w:pStyle w:val="TextBody"/>
        <w:bidi w:val="0"/>
        <w:spacing w:before="0" w:after="0"/>
        <w:ind w:left="140" w:right="128"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case of Incremental Term Loans, at the rate set forth in the Joinder Agreement; and</w:t>
      </w:r>
    </w:p>
    <w:p>
      <w:pPr>
        <w:pStyle w:val="TextBody"/>
        <w:bidi w:val="0"/>
        <w:spacing w:before="0" w:after="0"/>
        <w:ind w:left="140" w:right="0" w:hanging="0"/>
        <w:jc w:val="left"/>
        <w:rPr>
          <w:caps w:val="false"/>
          <w:smallCaps w:val="false"/>
        </w:rPr>
      </w:pPr>
      <w:r>
        <w:rPr>
          <w:caps w:val="false"/>
          <w:smallCaps w:val="false"/>
        </w:rPr>
        <w:t> </w:t>
      </w:r>
    </w:p>
    <w:p>
      <w:pPr>
        <w:pStyle w:val="TextBody"/>
        <w:bidi w:val="0"/>
        <w:spacing w:before="0" w:after="0"/>
        <w:ind w:left="140" w:right="171"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interest on each Term Loan shall be due and payable in cash, in arrears, on each Interest Payment Date.</w:t>
      </w:r>
    </w:p>
    <w:p>
      <w:pPr>
        <w:pStyle w:val="TextBody"/>
        <w:bidi w:val="0"/>
        <w:spacing w:before="0" w:after="0"/>
        <w:ind w:left="140" w:right="171" w:firstLine="2160"/>
        <w:jc w:val="left"/>
        <w:rPr>
          <w:caps w:val="false"/>
          <w:smallCaps w:val="false"/>
        </w:rPr>
      </w:pPr>
      <w:r>
        <w:rPr>
          <w:caps w:val="false"/>
          <w:smallCaps w:val="false"/>
        </w:rPr>
        <w:t> </w:t>
      </w:r>
    </w:p>
    <w:p>
      <w:pPr>
        <w:pStyle w:val="TextBody"/>
        <w:bidi w:val="0"/>
        <w:spacing w:before="0" w:after="0"/>
        <w:ind w:left="140" w:right="168"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[Reserved].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39" w:right="151"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Interest on each Loan shall be payable (i) as set forth in clause (a) above; (ii) upon any prepayment of that Loan, whether voluntary or mandatory, to the extent accrued on the amount of principal being prepaid; and (iii) on the Maturity Date. Whenever any payment under this Section 2.6 shall become due on a day which is not a Business Day, the date for payment thereof shall be extended to the next Business Day. Interest shall be computed on the basis of a 360 day year, in each case for the actual number of days elapsed in the period during which it accrues.</w:t>
      </w:r>
    </w:p>
    <w:p>
      <w:pPr>
        <w:pStyle w:val="TextBody"/>
        <w:bidi w:val="0"/>
        <w:spacing w:before="0" w:after="0"/>
        <w:ind w:left="139" w:right="151" w:firstLine="1440"/>
        <w:jc w:val="both"/>
        <w:rPr>
          <w:caps w:val="false"/>
          <w:smallCaps w:val="false"/>
        </w:rPr>
      </w:pPr>
      <w:r>
        <w:rPr>
          <w:caps w:val="false"/>
          <w:smallCaps w:val="false"/>
        </w:rPr>
        <w:t> </w:t>
      </w:r>
    </w:p>
    <w:p>
      <w:pPr>
        <w:pStyle w:val="TextBody"/>
        <w:bidi w:val="0"/>
        <w:spacing w:before="0" w:after="0"/>
        <w:ind w:left="139"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Upon the occurrence and during the continuance of an Event of Default, the principal amount of all Loans outstanding and, to the extent permitted by applicable law, any interest payments on the Loans or any fees or other amounts owed hereunder (including the Prepayment Premium), shall thereafter automatically bear interest (including post-petition interest in any proceeding under the Bankruptcy Code or other applicable bankruptcy laws), from the date such Event of Default  occurred until the date such Event of Default is cured or waived in writing in accordance herewith, payable on demand at a rate that is 2% per annum in excess of the interest rate otherwise payable hereunder with respect to the applicable Loans (“</w:t>
      </w:r>
      <w:r>
        <w:rPr>
          <w:rFonts w:ascii="Times New Roman;Times;Serif" w:hAnsi="Times New Roman;Times;Serif"/>
          <w:b/>
          <w:i w:val="false"/>
          <w:caps w:val="false"/>
          <w:smallCaps w:val="false"/>
          <w:sz w:val="20"/>
        </w:rPr>
        <w:t>Post-Default Rate</w:t>
      </w:r>
      <w:r>
        <w:rPr>
          <w:rFonts w:ascii="Times New Roman;Times;Serif" w:hAnsi="Times New Roman;Times;Serif"/>
          <w:b w:val="false"/>
          <w:i w:val="false"/>
          <w:caps w:val="false"/>
          <w:smallCaps w:val="false"/>
          <w:sz w:val="20"/>
        </w:rPr>
        <w:t>”). Payment or acceptance of the increased rates of interest provided for in this Section 2.6(d) is not a permitted alternative to timely payment and shall not constitute a waiver of any Event of Default or otherwise prejudice or limit any rights or remedies of the Agent or any Lender.</w:t>
      </w:r>
    </w:p>
    <w:p>
      <w:pPr>
        <w:pStyle w:val="TextBody"/>
        <w:bidi w:val="0"/>
        <w:spacing w:before="0" w:after="0"/>
        <w:ind w:left="139" w:right="170" w:firstLine="1440"/>
        <w:jc w:val="both"/>
        <w:rPr>
          <w:caps w:val="false"/>
          <w:smallCaps w:val="false"/>
        </w:rPr>
      </w:pPr>
      <w:r>
        <w:rPr>
          <w:caps w:val="false"/>
          <w:smallCaps w:val="false"/>
        </w:rPr>
        <w:t> </w:t>
      </w:r>
    </w:p>
    <w:p>
      <w:pPr>
        <w:pStyle w:val="TextBody"/>
        <w:bidi w:val="0"/>
        <w:spacing w:before="0" w:after="0"/>
        <w:ind w:left="139" w:right="171"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Optional Prepayments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39" w:right="171"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of the Specified Subordination Agreement, with respect to each Term Loan, the Borrower may prepay such Term Loan on any Business Day, in whole or in part, in an aggregate minimum amount of $5,000,000 and integral multiples of $1,000,000 in excess of that</w:t>
      </w:r>
    </w:p>
    <w:p>
      <w:pPr>
        <w:pStyle w:val="TextBody"/>
        <w:bidi w:val="0"/>
        <w:spacing w:before="0" w:after="0"/>
        <w:ind w:left="139" w:right="171"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subject to the payment of the Prepayment Premium to the extent payable in accordance with the terms of the Fee Letter.</w:t>
      </w:r>
    </w:p>
    <w:p>
      <w:pPr>
        <w:pStyle w:val="TextBody"/>
        <w:bidi w:val="0"/>
        <w:spacing w:before="0" w:after="0"/>
        <w:ind w:left="139" w:right="0" w:hanging="0"/>
        <w:jc w:val="left"/>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such prepayments shall be made upon not less than 10 Business Days’ (or such shorter period as the Agent may agree in writing in its sole discretion) prior written notice to the Agent by 10:00 a.m. (New York time) on the date required. Upon the giving of any such notice, the principal amount of the Term Loan specified in such notice shall become due and payable on the prepayment date specified therein.</w:t>
      </w:r>
    </w:p>
    <w:p>
      <w:pPr>
        <w:pStyle w:val="TextBody"/>
        <w:bidi w:val="0"/>
        <w:spacing w:before="0" w:after="0"/>
        <w:ind w:left="140" w:right="173" w:firstLine="1440"/>
        <w:jc w:val="both"/>
        <w:rPr>
          <w:caps w:val="false"/>
          <w:smallCaps w:val="false"/>
        </w:rPr>
      </w:pPr>
      <w:r>
        <w:rPr>
          <w:caps w:val="false"/>
          <w:smallCaps w:val="false"/>
        </w:rPr>
        <w:t> </w:t>
      </w:r>
    </w:p>
    <w:p>
      <w:pPr>
        <w:pStyle w:val="TextBody"/>
        <w:bidi w:val="0"/>
        <w:spacing w:before="0" w:after="0"/>
        <w:ind w:left="139" w:right="171"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Mandatory Repayment of Loans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21"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Asset Sales</w:t>
      </w:r>
      <w:r>
        <w:rPr>
          <w:rFonts w:ascii="Times New Roman;Times;Serif" w:hAnsi="Times New Roman;Times;Serif"/>
          <w:b w:val="false"/>
          <w:i w:val="false"/>
          <w:caps w:val="false"/>
          <w:smallCaps w:val="false"/>
          <w:sz w:val="20"/>
        </w:rPr>
        <w:t xml:space="preserve">. Subject to the terms of the Specified Subordination Agreement, no later than the third Business Day following the date of receipt by any Credit Party of any Net Cash Proceeds from Asset Sales (excluding Asset Sales permitted under Section 7.4 other than Section 7.4(n)) in excess of $1,000,000 in the aggregate in any Fiscal Year, the Borrower shall prepay the Loans as set forth in Section 2.9(a) in an aggregate amount equal to such Net Cash Proceeds;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so long as (i) no Event of Default shall have occurred and be continuing, (ii) the Borrower has delivered the Agent prior written notice of the Borrower’s intention to apply such monies (the “</w:t>
      </w:r>
      <w:r>
        <w:rPr>
          <w:rFonts w:ascii="Times New Roman;Times;Serif" w:hAnsi="Times New Roman;Times;Serif"/>
          <w:b/>
          <w:i w:val="false"/>
          <w:caps w:val="false"/>
          <w:smallCaps w:val="false"/>
          <w:sz w:val="20"/>
        </w:rPr>
        <w:t>Reinvestment Amounts</w:t>
      </w:r>
      <w:r>
        <w:rPr>
          <w:rFonts w:ascii="Times New Roman;Times;Serif" w:hAnsi="Times New Roman;Times;Serif"/>
          <w:b w:val="false"/>
          <w:i w:val="false"/>
          <w:caps w:val="false"/>
          <w:smallCaps w:val="false"/>
          <w:sz w:val="20"/>
        </w:rPr>
        <w:t>”) to the costs of replacement of the properties or assets that are the subject of such sale or disposition or the cost of purchase or construction of other assets useful in the business of the Borrower, (iii) the monies are held in a deposit account in which the Agent has a perfected security interest, and (iv) the Borrower completes such replacement, purchase, or construction within 180 days after the initial receipt of such monies, the Borrower shall have the option to apply such monies to the costs of replacement of the assets that are the subject of such sale or disposition or the costs of purchase or construction of other assets useful in the business of the Borrower unless and to the extent that such applicable period shall have expired without such replacement, purchase or construction being made or completed, in which case, any amounts remaining in the cash collateral account shall be paid to the Agent and applied in accordance with Section 2.9(a). Nothing contained in this Section 2.8(a) shall permit the Borrower or any of its Subsidiaries to sell or otherwise dispose of any assets other than in accordance with Section 7.4.</w:t>
      </w:r>
    </w:p>
    <w:p>
      <w:pPr>
        <w:pStyle w:val="TextBody"/>
        <w:bidi w:val="0"/>
        <w:spacing w:before="0" w:after="0"/>
        <w:ind w:left="111" w:right="140" w:hanging="0"/>
        <w:jc w:val="both"/>
        <w:rPr>
          <w:caps w:val="false"/>
          <w:smallCaps w:val="false"/>
        </w:rPr>
      </w:pPr>
      <w:r>
        <w:rPr>
          <w:caps w:val="false"/>
          <w:smallCaps w:val="false"/>
        </w:rPr>
        <w:t> </w:t>
      </w:r>
    </w:p>
    <w:p>
      <w:pPr>
        <w:pStyle w:val="TextBody"/>
        <w:bidi w:val="0"/>
        <w:spacing w:before="0" w:after="0"/>
        <w:ind w:left="140" w:right="121"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Insurance/Condemnation Proceeds</w:t>
      </w:r>
      <w:r>
        <w:rPr>
          <w:rFonts w:ascii="Times New Roman;Times;Serif" w:hAnsi="Times New Roman;Times;Serif"/>
          <w:b w:val="false"/>
          <w:i w:val="false"/>
          <w:caps w:val="false"/>
          <w:smallCaps w:val="false"/>
          <w:sz w:val="20"/>
        </w:rPr>
        <w:t xml:space="preserve">. Subject to the terms of the Specified Subordination Agreement, no later than the third Business Day following the date of receipt by any  Credit Party, or the Agent as loss payee, of any Net Cash Proceeds from insurance or any condemnation, taking or other casualty in excess of $1,000,000 in the aggregate in any Fiscal Year, the Borrower shall prepay the Loans in an aggregate amount equal to such Net Cash Proceeds;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so long as (i) no Event of Default shall have occurred and be continuing, (ii) the Borrower has delivered the Agent prior written notice of the Borrower’s intention to apply the Reinvestment Amounts to the costs of replacement of the properties or assets that are the subject of such condemnation, taking or other casualty or the cost  of purchase or construction of other assets useful in the business of the Borrower, (iii) the monies are  held in a deposit account in which the Agent has a perfected security interest, and (iv) the Borrower completes such replacement, purchase, or construction within 180 days after the initial receipt of such monies, the Borrower shall have the option to apply such monies to the costs of replacement of the assets that are the subject of such condemnation, taking or other casualty or the costs of purchase or  construction of other assets useful in the business of the Borrower unless and to the extent that such applicable period shall have expired without such replacement, purchase or construction being made or completed, in which case, any amounts remaining in the cash collateral account shall be paid to the  Agent and applied in accordance with Section 2.9(a).</w:t>
      </w:r>
    </w:p>
    <w:p>
      <w:pPr>
        <w:pStyle w:val="TextBody"/>
        <w:bidi w:val="0"/>
        <w:spacing w:before="0" w:after="0"/>
        <w:ind w:left="140" w:right="121" w:firstLine="1440"/>
        <w:jc w:val="both"/>
        <w:rPr>
          <w:caps w:val="false"/>
          <w:smallCaps w:val="false"/>
        </w:rPr>
      </w:pPr>
      <w:r>
        <w:rPr>
          <w:caps w:val="false"/>
          <w:smallCaps w:val="false"/>
        </w:rPr>
        <w:t> </w:t>
      </w:r>
    </w:p>
    <w:p>
      <w:pPr>
        <w:pStyle w:val="TextBody"/>
        <w:bidi w:val="0"/>
        <w:spacing w:before="0" w:after="0"/>
        <w:ind w:left="140"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Issuance of Debt</w:t>
      </w:r>
      <w:r>
        <w:rPr>
          <w:rFonts w:ascii="Times New Roman;Times;Serif" w:hAnsi="Times New Roman;Times;Serif"/>
          <w:b w:val="false"/>
          <w:i w:val="false"/>
          <w:caps w:val="false"/>
          <w:smallCaps w:val="false"/>
          <w:sz w:val="20"/>
        </w:rPr>
        <w:t>. Subject to the terms of the Specified Subordination Agreement, on the date of receipt by any Credit Party of any cash proceeds from the incurrence of any</w:t>
      </w:r>
    </w:p>
    <w:p>
      <w:pPr>
        <w:pStyle w:val="TextBody"/>
        <w:bidi w:val="0"/>
        <w:spacing w:before="0" w:after="0"/>
        <w:ind w:left="140" w:right="17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7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of any Credit Party (other than with respect to any Debt permitted to be incurred pursuant to Section 7.1), the Borrower shall prepay the Loans in accordance with Section 2.9(a) in an aggregate amount equal to 100% of such proceeds, net of underwriting discounts and commissions and other reasonable costs and expenses associated therewith, in each case, paid to non-Affiliates, including reasonable legal fees and expenses.</w:t>
      </w:r>
    </w:p>
    <w:p>
      <w:pPr>
        <w:pStyle w:val="TextBody"/>
        <w:bidi w:val="0"/>
        <w:spacing w:before="0" w:after="0"/>
        <w:ind w:left="140" w:right="172" w:hanging="0"/>
        <w:jc w:val="both"/>
        <w:rPr>
          <w:caps w:val="false"/>
          <w:smallCaps w:val="false"/>
        </w:rPr>
      </w:pPr>
      <w:r>
        <w:rPr>
          <w:caps w:val="false"/>
          <w:smallCaps w:val="false"/>
        </w:rPr>
        <w:t> </w:t>
      </w:r>
    </w:p>
    <w:p>
      <w:pPr>
        <w:pStyle w:val="TextBody"/>
        <w:bidi w:val="0"/>
        <w:spacing w:before="0" w:after="0"/>
        <w:ind w:left="140"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Prepayment Notice and Certificate</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39" w:right="121"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shall provide written notice to the Agent of the anticipated date of any prepayment of the Loans (which notice is not required to include the amount of such prepayment) pursuant to Sections 2.8(a) through 2.8(c) at least 10 Business Days (or such shorter period as the Borrower and Agent may agree) prior to such prepayment.</w:t>
      </w:r>
    </w:p>
    <w:p>
      <w:pPr>
        <w:pStyle w:val="TextBody"/>
        <w:bidi w:val="0"/>
        <w:spacing w:before="0" w:after="0"/>
        <w:ind w:left="139" w:right="121" w:firstLine="2160"/>
        <w:jc w:val="both"/>
        <w:rPr>
          <w:caps w:val="false"/>
          <w:smallCaps w:val="false"/>
        </w:rPr>
      </w:pPr>
      <w:r>
        <w:rPr>
          <w:caps w:val="false"/>
          <w:smallCaps w:val="false"/>
        </w:rPr>
        <w:t> </w:t>
      </w:r>
    </w:p>
    <w:p>
      <w:pPr>
        <w:pStyle w:val="TextBody"/>
        <w:bidi w:val="0"/>
        <w:spacing w:before="0" w:after="0"/>
        <w:ind w:left="139" w:right="161"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Concurrently with any prepayment of the Loans pursuant to Sections 2.8(a) through 2.8(c), the Borrower shall deliver to the Agent a certificate of a Responsible Officer demonstrating the calculation of the amount of the applicable cash proceeds and compensation owing to Lenders under the Fee Letter. In the event that the Borrower shall subsequently determine that the actual amount received exceeded the amount set forth in such certificate, the Borrower shall promptly make an additional prepayment of the Loans, and the Borrower shall concurrently therewith deliver to the Agent a certificate of a Responsible Officer demonstrating the derivation of such excess.</w:t>
      </w:r>
    </w:p>
    <w:p>
      <w:pPr>
        <w:pStyle w:val="TextBody"/>
        <w:bidi w:val="0"/>
        <w:spacing w:before="0" w:after="0"/>
        <w:ind w:left="139" w:right="161" w:firstLine="2160"/>
        <w:jc w:val="both"/>
        <w:rPr>
          <w:caps w:val="false"/>
          <w:smallCaps w:val="false"/>
        </w:rPr>
      </w:pPr>
      <w:r>
        <w:rPr>
          <w:caps w:val="false"/>
          <w:smallCaps w:val="false"/>
        </w:rPr>
        <w:t> </w:t>
      </w:r>
    </w:p>
    <w:p>
      <w:pPr>
        <w:pStyle w:val="TextBody"/>
        <w:bidi w:val="0"/>
        <w:spacing w:before="0" w:after="0"/>
        <w:ind w:left="139" w:right="171"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val="false"/>
          <w:i w:val="false"/>
          <w:caps w:val="false"/>
          <w:smallCaps w:val="false"/>
          <w:sz w:val="20"/>
          <w:u w:val="single"/>
        </w:rPr>
        <w:t>Application of Payments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Any prepayment of any Term Loan pursuant to Section 2.7 and (ii) except in connection with any Waivable Mandatory Prepayment provided for in Section 2.9(b), so long as no Application Event has occurred and is continuing, any mandatory prepayment of any Loan pursuant to Section 2.8, in each case, shall be applied to ratably prepay the principal of the Term Loan until paid in full.</w:t>
      </w:r>
    </w:p>
    <w:p>
      <w:pPr>
        <w:pStyle w:val="TextBody"/>
        <w:bidi w:val="0"/>
        <w:spacing w:before="0" w:after="0"/>
        <w:ind w:left="140" w:right="170" w:firstLine="1440"/>
        <w:jc w:val="both"/>
        <w:rPr>
          <w:caps w:val="false"/>
          <w:smallCaps w:val="false"/>
        </w:rPr>
      </w:pPr>
      <w:r>
        <w:rPr>
          <w:caps w:val="false"/>
          <w:smallCaps w:val="false"/>
        </w:rPr>
        <w:t> </w:t>
      </w:r>
    </w:p>
    <w:p>
      <w:pPr>
        <w:pStyle w:val="TextBody"/>
        <w:bidi w:val="0"/>
        <w:spacing w:before="0" w:after="0"/>
        <w:ind w:left="140" w:right="12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Anything contained herein to the contrary notwithstanding, in the event the Borrower is required to make any mandatory prepayment (a “</w:t>
      </w:r>
      <w:r>
        <w:rPr>
          <w:rFonts w:ascii="Times New Roman;Times;Serif" w:hAnsi="Times New Roman;Times;Serif"/>
          <w:b/>
          <w:i w:val="false"/>
          <w:caps w:val="false"/>
          <w:smallCaps w:val="false"/>
          <w:sz w:val="20"/>
        </w:rPr>
        <w:t>Waivable Mandatory Prepayment</w:t>
      </w:r>
      <w:r>
        <w:rPr>
          <w:rFonts w:ascii="Times New Roman;Times;Serif" w:hAnsi="Times New Roman;Times;Serif"/>
          <w:b w:val="false"/>
          <w:i w:val="false"/>
          <w:caps w:val="false"/>
          <w:smallCaps w:val="false"/>
          <w:sz w:val="20"/>
        </w:rPr>
        <w:t>”) of the Term Loans, not less than three Business Days prior to the date (the “</w:t>
      </w:r>
      <w:r>
        <w:rPr>
          <w:rFonts w:ascii="Times New Roman;Times;Serif" w:hAnsi="Times New Roman;Times;Serif"/>
          <w:b/>
          <w:i w:val="false"/>
          <w:caps w:val="false"/>
          <w:smallCaps w:val="false"/>
          <w:sz w:val="20"/>
        </w:rPr>
        <w:t>Required Prepayment Date</w:t>
      </w:r>
      <w:r>
        <w:rPr>
          <w:rFonts w:ascii="Times New Roman;Times;Serif" w:hAnsi="Times New Roman;Times;Serif"/>
          <w:b w:val="false"/>
          <w:i w:val="false"/>
          <w:caps w:val="false"/>
          <w:smallCaps w:val="false"/>
          <w:sz w:val="20"/>
        </w:rPr>
        <w:t>”) on which the Borrower is required to make such Waivable Mandatory Prepayment, the Borrower shall notify the Agent in writing of the amount of such prepayment by 2:00 p.m. (New York City time) on such date, and the Agent will promptly thereafter notify each Lender holding an outstanding Term Loan of the amount of such Lender’s Pro Rata Share of such Waivable Mandatory Prepayment and such Lender’s option to decline such amount. Each such Lender may exercise such option by giving written notice to  the Borrower and the Agent of its election to do so on or before 2:00 p.m. (New York City time) on the first Business Day prior to the Required Prepayment Date (it being understood that any Lender which does not notify the Borrower and the Agent of its election to exercise such option on or before 2:00 p.m. (New York City time) on the first Business Day prior to the Required Prepayment Date shall be deemed to have elected, as of such date, not to exercise such option). On the Required Prepayment Date, the Borrower shall pay to the Agent the amount of the Waivable Mandatory Prepayment, which amount shall be applied (i) in an amount equal to that portion of the Waivable Mandatory Prepayment payable to those Lenders that have elected not to exercise such option, to prepay the Term Loans of such Lenders (which prepayment shall be applied in accordance with Section 2.9(a)), and (ii) to the extent of any excess, to the Borrower for working capital and general corporate purposes.</w:t>
      </w:r>
    </w:p>
    <w:p>
      <w:pPr>
        <w:pStyle w:val="TextBody"/>
        <w:bidi w:val="0"/>
        <w:spacing w:before="0" w:after="0"/>
        <w:ind w:left="140" w:right="122" w:firstLine="1440"/>
        <w:jc w:val="both"/>
        <w:rPr>
          <w:caps w:val="false"/>
          <w:smallCaps w:val="false"/>
        </w:rPr>
      </w:pPr>
      <w:r>
        <w:rPr>
          <w:caps w:val="false"/>
          <w:smallCaps w:val="false"/>
        </w:rPr>
        <w:t> </w:t>
      </w:r>
    </w:p>
    <w:p>
      <w:pPr>
        <w:pStyle w:val="TextBody"/>
        <w:bidi w:val="0"/>
        <w:spacing w:before="0" w:after="0"/>
        <w:ind w:left="140" w:right="16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any time an Application Event has occurred and is continuing, all payments shall be applied pursuant to Section 9.2. Nothing contained herein shall modify the provisions of the Fee Letter or Section 9.1(c) regarding the requirement that all prepayments be accompanied by accrued</w:t>
      </w:r>
    </w:p>
    <w:p>
      <w:pPr>
        <w:pStyle w:val="TextBody"/>
        <w:bidi w:val="0"/>
        <w:spacing w:before="0" w:after="0"/>
        <w:ind w:left="140" w:right="166"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7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fees and premiums (including the Prepayment Premium) on the principal amount being prepaid to the date of such prepayment, or any requirement otherwise contained herein to pay all other amounts as the same become due and payable.</w:t>
      </w:r>
    </w:p>
    <w:p>
      <w:pPr>
        <w:pStyle w:val="TextBody"/>
        <w:bidi w:val="0"/>
        <w:spacing w:before="0" w:after="0"/>
        <w:ind w:left="140" w:right="170" w:hanging="0"/>
        <w:jc w:val="both"/>
        <w:rPr>
          <w:caps w:val="false"/>
          <w:smallCaps w:val="false"/>
        </w:rPr>
      </w:pPr>
      <w:r>
        <w:rPr>
          <w:caps w:val="false"/>
          <w:smallCaps w:val="false"/>
        </w:rPr>
        <w:t> </w:t>
      </w:r>
    </w:p>
    <w:p>
      <w:pPr>
        <w:pStyle w:val="TextBody"/>
        <w:bidi w:val="0"/>
        <w:spacing w:before="0" w:after="0"/>
        <w:ind w:left="140" w:right="119"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2.10    </w:t>
      </w:r>
      <w:r>
        <w:rPr>
          <w:rFonts w:ascii="Times New Roman;Times;Serif" w:hAnsi="Times New Roman;Times;Serif"/>
          <w:b w:val="false"/>
          <w:i w:val="false"/>
          <w:caps w:val="false"/>
          <w:smallCaps w:val="false"/>
          <w:sz w:val="20"/>
          <w:u w:val="single"/>
        </w:rPr>
        <w:t>Use of Proceeds of Loans</w:t>
      </w:r>
      <w:r>
        <w:rPr>
          <w:rFonts w:ascii="Times New Roman;Times;Serif" w:hAnsi="Times New Roman;Times;Serif"/>
          <w:b w:val="false"/>
          <w:i w:val="false"/>
          <w:caps w:val="false"/>
          <w:smallCaps w:val="false"/>
          <w:sz w:val="20"/>
        </w:rPr>
        <w:t>. The proceeds of the Restatement Date Term Loan made on  the Restatement Date shall be used by the Borrower for general working capital purposes of the Borrower and to pay fees and expenses related to this Agreement and the Restatement Date Transactions.</w:t>
      </w:r>
    </w:p>
    <w:p>
      <w:pPr>
        <w:pStyle w:val="TextBody"/>
        <w:bidi w:val="0"/>
        <w:spacing w:before="0" w:after="0"/>
        <w:ind w:left="140" w:right="119" w:firstLine="720"/>
        <w:jc w:val="both"/>
        <w:rPr>
          <w:caps w:val="false"/>
          <w:smallCaps w:val="false"/>
        </w:rPr>
      </w:pPr>
      <w:r>
        <w:rPr>
          <w:caps w:val="false"/>
          <w:smallCaps w:val="false"/>
        </w:rPr>
        <w:t> </w:t>
      </w:r>
    </w:p>
    <w:p>
      <w:pPr>
        <w:pStyle w:val="TextBody"/>
        <w:bidi w:val="0"/>
        <w:spacing w:before="0" w:after="0"/>
        <w:ind w:left="140" w:right="119"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w:t>
      </w:r>
      <w:r>
        <w:rPr>
          <w:rFonts w:ascii="Times New Roman;Times;Serif" w:hAnsi="Times New Roman;Times;Serif"/>
          <w:b w:val="false"/>
          <w:i w:val="false"/>
          <w:caps w:val="false"/>
          <w:smallCaps w:val="false"/>
          <w:sz w:val="20"/>
          <w:u w:val="single"/>
        </w:rPr>
        <w:t>Incremental Facilities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5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Section 2.11(b), the Borrower may by written notice to Agent elect to request the establishment of one or more Incremental Term Loan commitments (the “</w:t>
      </w:r>
      <w:r>
        <w:rPr>
          <w:rFonts w:ascii="Times New Roman;Times;Serif" w:hAnsi="Times New Roman;Times;Serif"/>
          <w:b/>
          <w:i w:val="false"/>
          <w:caps w:val="false"/>
          <w:smallCaps w:val="false"/>
          <w:sz w:val="20"/>
        </w:rPr>
        <w:t>Incremental Term Loan Commitments</w:t>
      </w:r>
      <w:r>
        <w:rPr>
          <w:rFonts w:ascii="Times New Roman;Times;Serif" w:hAnsi="Times New Roman;Times;Serif"/>
          <w:b w:val="false"/>
          <w:i w:val="false"/>
          <w:caps w:val="false"/>
          <w:smallCaps w:val="false"/>
          <w:sz w:val="20"/>
        </w:rPr>
        <w:t>”), in an aggregate amount of up to $10,000,000. Each such notice shall specify the date (an “</w:t>
      </w:r>
      <w:r>
        <w:rPr>
          <w:rFonts w:ascii="Times New Roman;Times;Serif" w:hAnsi="Times New Roman;Times;Serif"/>
          <w:b/>
          <w:i w:val="false"/>
          <w:caps w:val="false"/>
          <w:smallCaps w:val="false"/>
          <w:sz w:val="20"/>
        </w:rPr>
        <w:t>Increased Amount Date</w:t>
      </w:r>
      <w:r>
        <w:rPr>
          <w:rFonts w:ascii="Times New Roman;Times;Serif" w:hAnsi="Times New Roman;Times;Serif"/>
          <w:b w:val="false"/>
          <w:i w:val="false"/>
          <w:caps w:val="false"/>
          <w:smallCaps w:val="false"/>
          <w:sz w:val="20"/>
        </w:rPr>
        <w:t>”) on which the Borrower proposes that the Incremental Term Loan Commitments shall be effective, which shall be a date not less than 30 days after the date on which such notice is delivered to the Agent. The opportunity to commit to provide all or a portion of the Incremental Term Loan Commitment shall be offered by the Borrower to any Eligible Incremental Lenders. To the extent any Eligible Incremental Lenders have provided a commitment to provide such Incremental Term Loan Commitment, the Borrower shall provide a copy of such commitment letter to the Agent for distribution to the existing Lenders and offer the existing Lenders the opportunity to provide such Incremental Term Loan Commitment on the same terms as set forth in such commitment letter (the date the Agent receives such commitment letter, the “</w:t>
      </w:r>
      <w:r>
        <w:rPr>
          <w:rFonts w:ascii="Times New Roman;Times;Serif" w:hAnsi="Times New Roman;Times;Serif"/>
          <w:b/>
          <w:i w:val="false"/>
          <w:caps w:val="false"/>
          <w:smallCaps w:val="false"/>
          <w:sz w:val="20"/>
        </w:rPr>
        <w:t>Notice Date</w:t>
      </w:r>
      <w:r>
        <w:rPr>
          <w:rFonts w:ascii="Times New Roman;Times;Serif" w:hAnsi="Times New Roman;Times;Serif"/>
          <w:b w:val="false"/>
          <w:i w:val="false"/>
          <w:caps w:val="false"/>
          <w:smallCaps w:val="false"/>
          <w:sz w:val="20"/>
        </w:rPr>
        <w:t>”). If the existing Lenders have not agreed in writing to provide such Incremental Term Loan Commitment within 15 days of the Notice Date, then the Eligible Incremental Lenders may provide the Incremental Term Loan Commitment on the terms of such commitment letter and subject to this Section 2.11. Any existing Lender approached to provide all or a portion of such Incremental Term Loan Commitments may elect or decline, in its sole discretion, to provide such Incremental Term Loan Commitment.</w:t>
      </w:r>
    </w:p>
    <w:p>
      <w:pPr>
        <w:pStyle w:val="TextBody"/>
        <w:bidi w:val="0"/>
        <w:spacing w:before="0" w:after="0"/>
        <w:ind w:left="140" w:right="156" w:firstLine="1440"/>
        <w:jc w:val="both"/>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Incremental Term Loan Commitments shall become effective, as of such Increased Amount Date, subject to the satisfaction of each of the following conditions:</w:t>
      </w:r>
    </w:p>
    <w:p>
      <w:pPr>
        <w:pStyle w:val="TextBody"/>
        <w:bidi w:val="0"/>
        <w:spacing w:before="0" w:after="0"/>
        <w:ind w:left="140" w:right="173" w:firstLine="1440"/>
        <w:jc w:val="both"/>
        <w:rPr>
          <w:caps w:val="false"/>
          <w:smallCaps w:val="false"/>
        </w:rPr>
      </w:pPr>
      <w:r>
        <w:rPr>
          <w:caps w:val="false"/>
          <w:smallCaps w:val="false"/>
        </w:rPr>
        <w:t> </w:t>
      </w:r>
    </w:p>
    <w:p>
      <w:pPr>
        <w:pStyle w:val="TextBody"/>
        <w:bidi w:val="0"/>
        <w:spacing w:before="0" w:after="0"/>
        <w:ind w:left="140" w:right="171"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[reserved];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71"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Agent has obtained the commitment of one or more Incremental Term Loan Lenders to provide the applicable Incremental Term Loan and any such Incremental Term Loan Lenders, the Borrower and the Agent have signed an amendment to this Agreement pursuant to which such Incremental Term Loan Lenders agree to make, subject to the terms of this Agreement, a term loan to the Borrower (an “</w:t>
      </w:r>
      <w:r>
        <w:rPr>
          <w:rFonts w:ascii="Times New Roman;Times;Serif" w:hAnsi="Times New Roman;Times;Serif"/>
          <w:b/>
          <w:i w:val="false"/>
          <w:caps w:val="false"/>
          <w:smallCaps w:val="false"/>
          <w:sz w:val="20"/>
        </w:rPr>
        <w:t>Incremental Term Loan</w:t>
      </w:r>
      <w:r>
        <w:rPr>
          <w:rFonts w:ascii="Times New Roman;Times;Serif" w:hAnsi="Times New Roman;Times;Serif"/>
          <w:b w:val="false"/>
          <w:i w:val="false"/>
          <w:caps w:val="false"/>
          <w:smallCaps w:val="false"/>
          <w:sz w:val="20"/>
        </w:rPr>
        <w:t>”) in an amount equal to its Incremental Term Loan Commitment and to otherwise evidence such Incremental Term Loan, in form and substance reasonably satisfactory to the Agent (each, a “</w:t>
      </w:r>
      <w:r>
        <w:rPr>
          <w:rFonts w:ascii="Times New Roman;Times;Serif" w:hAnsi="Times New Roman;Times;Serif"/>
          <w:b/>
          <w:i w:val="false"/>
          <w:caps w:val="false"/>
          <w:smallCaps w:val="false"/>
          <w:sz w:val="20"/>
        </w:rPr>
        <w:t>Joinder Agreement</w:t>
      </w:r>
      <w:r>
        <w:rPr>
          <w:rFonts w:ascii="Times New Roman;Times;Serif" w:hAnsi="Times New Roman;Times;Serif"/>
          <w:b w:val="false"/>
          <w:i w:val="false"/>
          <w:caps w:val="false"/>
          <w:smallCaps w:val="false"/>
          <w:sz w:val="20"/>
        </w:rPr>
        <w:t>”);</w:t>
      </w:r>
    </w:p>
    <w:p>
      <w:pPr>
        <w:pStyle w:val="TextBody"/>
        <w:bidi w:val="0"/>
        <w:spacing w:before="0" w:after="0"/>
        <w:ind w:left="140" w:right="171" w:firstLine="2160"/>
        <w:jc w:val="both"/>
        <w:rPr>
          <w:caps w:val="false"/>
          <w:smallCaps w:val="false"/>
        </w:rPr>
      </w:pPr>
      <w:r>
        <w:rPr>
          <w:caps w:val="false"/>
          <w:smallCaps w:val="false"/>
        </w:rPr>
        <w:t> </w:t>
      </w:r>
    </w:p>
    <w:p>
      <w:pPr>
        <w:pStyle w:val="TextBody"/>
        <w:bidi w:val="0"/>
        <w:spacing w:before="0" w:after="0"/>
        <w:ind w:left="140" w:right="171"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Default or Event of Default shall exist on such Increased Amount Date;</w:t>
      </w:r>
    </w:p>
    <w:p>
      <w:pPr>
        <w:pStyle w:val="TextBody"/>
        <w:bidi w:val="0"/>
        <w:spacing w:before="0" w:after="0"/>
        <w:ind w:left="140" w:right="0" w:hanging="0"/>
        <w:jc w:val="left"/>
        <w:rPr>
          <w:caps w:val="false"/>
          <w:smallCaps w:val="false"/>
        </w:rPr>
      </w:pPr>
      <w:r>
        <w:rPr>
          <w:caps w:val="false"/>
          <w:smallCaps w:val="false"/>
        </w:rPr>
        <w:t> </w:t>
      </w:r>
    </w:p>
    <w:p>
      <w:pPr>
        <w:pStyle w:val="TextBody"/>
        <w:bidi w:val="0"/>
        <w:spacing w:before="0" w:after="0"/>
        <w:ind w:left="140" w:right="172"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representations and warranties of the Credit Parties contained in this Agreement and the other Loan Documents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such Increased Amount Date to the same extent as though made on and as of that date (both before and immediately after giving effect to such Loan), except to the extent such representations and warranties</w:t>
      </w:r>
    </w:p>
    <w:p>
      <w:pPr>
        <w:pStyle w:val="TextBody"/>
        <w:bidi w:val="0"/>
        <w:spacing w:before="0" w:after="0"/>
        <w:ind w:left="140" w:right="172"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7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 and</w:t>
      </w:r>
    </w:p>
    <w:p>
      <w:pPr>
        <w:pStyle w:val="TextBody"/>
        <w:bidi w:val="0"/>
        <w:spacing w:before="0" w:after="0"/>
        <w:ind w:left="140" w:right="172" w:hanging="0"/>
        <w:jc w:val="both"/>
        <w:rPr>
          <w:caps w:val="false"/>
          <w:smallCaps w:val="false"/>
        </w:rPr>
      </w:pPr>
      <w:r>
        <w:rPr>
          <w:caps w:val="false"/>
          <w:smallCaps w:val="false"/>
        </w:rPr>
        <w:t> </w:t>
      </w:r>
    </w:p>
    <w:p>
      <w:pPr>
        <w:pStyle w:val="TextBody"/>
        <w:bidi w:val="0"/>
        <w:spacing w:before="0" w:after="0"/>
        <w:ind w:left="140" w:right="161"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Borrower shall have reached agreement with the lenders making the Incremental Term Loan (the “</w:t>
      </w:r>
      <w:r>
        <w:rPr>
          <w:rFonts w:ascii="Times New Roman;Times;Serif" w:hAnsi="Times New Roman;Times;Serif"/>
          <w:b/>
          <w:i w:val="false"/>
          <w:caps w:val="false"/>
          <w:smallCaps w:val="false"/>
          <w:sz w:val="20"/>
        </w:rPr>
        <w:t>Incremental Term Loan Lenders</w:t>
      </w:r>
      <w:r>
        <w:rPr>
          <w:rFonts w:ascii="Times New Roman;Times;Serif" w:hAnsi="Times New Roman;Times;Serif"/>
          <w:b w:val="false"/>
          <w:i w:val="false"/>
          <w:caps w:val="false"/>
          <w:smallCaps w:val="false"/>
          <w:sz w:val="20"/>
        </w:rPr>
        <w:t>”) with respect to the interest margins applicable to such Incremental Term Loan (which interest margins may be higher than, equal to, or lower than the interest margins applicable to the Term Loan set forth in this Agreement immediately prior to  the date of the making of such Incremental Term Loan, as applicable) and shall have communicated the amount of such interest margins to the Agent. Anything to the contrary contained  herein notwithstanding, if the all in yield (including interest margins, interest floors, original issue discount, closing fees or other similar yield related discounts based on an assumed four-year to life maturity, but excluding any arrangement, underwriting or similar fees that are not shared with all of the Lenders or prospective  lenders)  (the “</w:t>
      </w:r>
      <w:r>
        <w:rPr>
          <w:rFonts w:ascii="Times New Roman;Times;Serif" w:hAnsi="Times New Roman;Times;Serif"/>
          <w:b/>
          <w:i w:val="false"/>
          <w:caps w:val="false"/>
          <w:smallCaps w:val="false"/>
          <w:sz w:val="20"/>
        </w:rPr>
        <w:t>All  In Yield</w:t>
      </w:r>
      <w:r>
        <w:rPr>
          <w:rFonts w:ascii="Times New Roman;Times;Serif" w:hAnsi="Times New Roman;Times;Serif"/>
          <w:b w:val="false"/>
          <w:i w:val="false"/>
          <w:caps w:val="false"/>
          <w:smallCaps w:val="false"/>
          <w:sz w:val="20"/>
        </w:rPr>
        <w:t>”) that is to be applicable to such Incremental Term Loan is    50 basis points or more higher than the All In Yield applicable to the Term Loans hereunder immediately prior to the applicable Increased Amount Date (the amount by which the interest margins are higher, the “</w:t>
      </w:r>
      <w:r>
        <w:rPr>
          <w:rFonts w:ascii="Times New Roman;Times;Serif" w:hAnsi="Times New Roman;Times;Serif"/>
          <w:b w:val="false"/>
          <w:i w:val="false"/>
          <w:caps w:val="false"/>
          <w:smallCaps w:val="false"/>
          <w:sz w:val="20"/>
          <w:u w:val="single"/>
        </w:rPr>
        <w:t>Excess</w:t>
      </w:r>
      <w:r>
        <w:rPr>
          <w:rFonts w:ascii="Times New Roman;Times;Serif" w:hAnsi="Times New Roman;Times;Serif"/>
          <w:b w:val="false"/>
          <w:i w:val="false"/>
          <w:caps w:val="false"/>
          <w:smallCaps w:val="false"/>
          <w:sz w:val="20"/>
        </w:rPr>
        <w:t>”), then the All In Yield applicable to each applicable Class of Term Loans immediately prior to the Increased Amount Date shall be increased by the amount of the Excess minus 50 basis points, effective on the applicable Increased Amount Date, and without the necessity of any action by any party hereto.</w:t>
      </w:r>
    </w:p>
    <w:p>
      <w:pPr>
        <w:pStyle w:val="TextBody"/>
        <w:bidi w:val="0"/>
        <w:spacing w:before="0" w:after="0"/>
        <w:ind w:left="140" w:right="161" w:firstLine="2160"/>
        <w:jc w:val="both"/>
        <w:rPr>
          <w:caps w:val="false"/>
          <w:smallCaps w:val="false"/>
        </w:rPr>
      </w:pPr>
      <w:r>
        <w:rPr>
          <w:caps w:val="false"/>
          <w:smallCaps w:val="false"/>
        </w:rPr>
        <w:t> </w:t>
      </w:r>
    </w:p>
    <w:p>
      <w:pPr>
        <w:pStyle w:val="TextBody"/>
        <w:bidi w:val="0"/>
        <w:spacing w:before="0" w:after="0"/>
        <w:ind w:left="140" w:right="17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Incremental Term Loan Lender shall make an Incremental Term Loan subject to the satisfaction of each of the following conditions:</w:t>
      </w:r>
    </w:p>
    <w:p>
      <w:pPr>
        <w:pStyle w:val="TextBody"/>
        <w:bidi w:val="0"/>
        <w:spacing w:before="0" w:after="0"/>
        <w:ind w:left="140" w:right="175" w:firstLine="1440"/>
        <w:jc w:val="both"/>
        <w:rPr>
          <w:caps w:val="false"/>
          <w:smallCaps w:val="false"/>
        </w:rPr>
      </w:pPr>
      <w:r>
        <w:rPr>
          <w:caps w:val="false"/>
          <w:smallCaps w:val="false"/>
        </w:rPr>
        <w:t> </w:t>
      </w:r>
    </w:p>
    <w:p>
      <w:pPr>
        <w:pStyle w:val="TextBody"/>
        <w:bidi w:val="0"/>
        <w:spacing w:before="0" w:after="0"/>
        <w:ind w:left="140" w:right="172"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of the conditions set forth in Section 4.2 shall have been satisfied on the applicable Credit Date; and</w:t>
      </w:r>
    </w:p>
    <w:p>
      <w:pPr>
        <w:pStyle w:val="TextBody"/>
        <w:bidi w:val="0"/>
        <w:spacing w:before="0" w:after="0"/>
        <w:ind w:left="140" w:right="172" w:firstLine="2160"/>
        <w:jc w:val="both"/>
        <w:rPr>
          <w:caps w:val="false"/>
          <w:smallCaps w:val="false"/>
        </w:rPr>
      </w:pPr>
      <w:r>
        <w:rPr>
          <w:caps w:val="false"/>
          <w:smallCaps w:val="false"/>
        </w:rPr>
        <w:t> </w:t>
      </w:r>
    </w:p>
    <w:p>
      <w:pPr>
        <w:pStyle w:val="TextBody"/>
        <w:bidi w:val="0"/>
        <w:spacing w:before="0" w:after="0"/>
        <w:ind w:left="140" w:right="173"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such Incremental Term Loan shall be in an aggregate amount of at least $5,000,000 and integral multiples of $1,000,000 above such amount (except, in each case, such minimum amount and integral multiples amount shall not apply when the Borrower uses all of the Incremental Term Loan Commitments available at such time).</w:t>
      </w:r>
    </w:p>
    <w:p>
      <w:pPr>
        <w:pStyle w:val="TextBody"/>
        <w:bidi w:val="0"/>
        <w:spacing w:before="0" w:after="0"/>
        <w:ind w:left="140" w:right="173" w:firstLine="2160"/>
        <w:jc w:val="both"/>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On any Increased Amount Date on which any Incremental Term Loan Commitments of any tranche are effective, subject to the satisfaction of the foregoing terms and conditions, each Incremental Term Loan Lender shall become a Lender hereunder with respect to the Incremental Term Loan Commitment and the Incremental Term Loans made pursuant thereto. Any Incremental Term Loans made on an Increased Amount Date shall be designated a separate Class for all purposes of this Agreement.</w:t>
      </w:r>
    </w:p>
    <w:p>
      <w:pPr>
        <w:pStyle w:val="TextBody"/>
        <w:bidi w:val="0"/>
        <w:spacing w:before="0" w:after="0"/>
        <w:ind w:left="140" w:right="173" w:firstLine="1440"/>
        <w:jc w:val="both"/>
        <w:rPr>
          <w:caps w:val="false"/>
          <w:smallCaps w:val="false"/>
        </w:rPr>
      </w:pPr>
      <w:r>
        <w:rPr>
          <w:caps w:val="false"/>
          <w:smallCaps w:val="false"/>
        </w:rPr>
        <w:t> </w:t>
      </w:r>
    </w:p>
    <w:p>
      <w:pPr>
        <w:pStyle w:val="TextBody"/>
        <w:bidi w:val="0"/>
        <w:spacing w:before="0" w:after="0"/>
        <w:ind w:left="140" w:right="12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terms and provisions of the Incremental Term Loans and Incremental Term Loan Commitments shall be, except as otherwise set forth herein or in a Joinder Agreement, identical to the Term Loan immediately prior to the making of such Incremental Term Loan. Each such Joinder Agreement may, without the consent of any other Lenders, effect such amendments to this Agreement and the other Loan Documents as may be necessary or appropriate, in the reasonable opinion of Agent, to effect the provision of this Section 2.11. All Incremental Term Loans shall be secured on a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basis with the Term Loans, shall not be secured by a Lien on any assets of the Borrower or any Guarantor not constituting Collateral and shall not be guaranteed by any person other than the Guarantors.</w:t>
      </w:r>
    </w:p>
    <w:p>
      <w:pPr>
        <w:pStyle w:val="TextBody"/>
        <w:bidi w:val="0"/>
        <w:spacing w:before="0" w:after="0"/>
        <w:ind w:left="140" w:right="123"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19"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w:t>
      </w:r>
      <w:r>
        <w:rPr>
          <w:rFonts w:ascii="Times New Roman;Times;Serif" w:hAnsi="Times New Roman;Times;Serif"/>
          <w:b w:val="false"/>
          <w:i w:val="false"/>
          <w:caps w:val="false"/>
          <w:smallCaps w:val="false"/>
          <w:sz w:val="20"/>
          <w:u w:val="single"/>
        </w:rPr>
        <w:t>SOFR Option</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39" w:right="171"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may, at any time and from time to time, so long as no Default or Event of Default has occurred and is continuing, elect to have interest on all or a portion of the Loans be charged at a rate of interest based upon Adjusted Term SOFR (the “</w:t>
      </w:r>
      <w:r>
        <w:rPr>
          <w:rFonts w:ascii="Times New Roman;Times;Serif" w:hAnsi="Times New Roman;Times;Serif"/>
          <w:b w:val="false"/>
          <w:i w:val="false"/>
          <w:caps w:val="false"/>
          <w:smallCaps w:val="false"/>
          <w:sz w:val="20"/>
          <w:u w:val="single"/>
        </w:rPr>
        <w:t>SOFR Option</w:t>
      </w:r>
      <w:r>
        <w:rPr>
          <w:rFonts w:ascii="Times New Roman;Times;Serif" w:hAnsi="Times New Roman;Times;Serif"/>
          <w:b w:val="false"/>
          <w:i w:val="false"/>
          <w:caps w:val="false"/>
          <w:smallCaps w:val="false"/>
          <w:sz w:val="20"/>
        </w:rPr>
        <w:t>”) by notifying the Agent prior to 11:00 a.m. (New York City time) at least three Business Days prior to (i) the proposed borrowing date of a Loan (as provided in Section 2.3), (ii) in the case of the conversion of a Reference Rate Loan to a SOFR Loan, the commencement of the proposed Interest Period or (iii) in the case of the continuation of a SOFR Loan as a SOFR Loan, the last day of the then current Interest Period (the “</w:t>
      </w:r>
      <w:r>
        <w:rPr>
          <w:rFonts w:ascii="Times New Roman;Times;Serif" w:hAnsi="Times New Roman;Times;Serif"/>
          <w:b w:val="false"/>
          <w:i w:val="false"/>
          <w:caps w:val="false"/>
          <w:smallCaps w:val="false"/>
          <w:sz w:val="20"/>
          <w:u w:val="single"/>
        </w:rPr>
        <w:t>SOFR Deadline</w:t>
      </w:r>
      <w:r>
        <w:rPr>
          <w:rFonts w:ascii="Times New Roman;Times;Serif" w:hAnsi="Times New Roman;Times;Serif"/>
          <w:b w:val="false"/>
          <w:i w:val="false"/>
          <w:caps w:val="false"/>
          <w:smallCaps w:val="false"/>
          <w:sz w:val="20"/>
        </w:rPr>
        <w:t>”). Notice of the Borrower’s election of the SOFR Option for a permitted portion of the Loans and an Interest Period pursuant to this Section 2.12(a) shall be made by delivery to the Agent of</w:t>
      </w:r>
    </w:p>
    <w:p>
      <w:pPr>
        <w:pStyle w:val="TextBody"/>
        <w:bidi w:val="0"/>
        <w:spacing w:before="0" w:after="0"/>
        <w:ind w:left="139" w:right="171" w:firstLine="1440"/>
        <w:jc w:val="both"/>
        <w:rPr>
          <w:caps w:val="false"/>
          <w:smallCaps w:val="false"/>
        </w:rPr>
      </w:pPr>
      <w:r>
        <w:rPr>
          <w:caps w:val="false"/>
          <w:smallCaps w:val="false"/>
        </w:rPr>
        <w:t> </w:t>
      </w:r>
    </w:p>
    <w:p>
      <w:pPr>
        <w:pStyle w:val="TextBody"/>
        <w:bidi w:val="0"/>
        <w:spacing w:before="0" w:after="0"/>
        <w:ind w:left="139" w:right="147"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Request for Loan (in the case of the initial making of a Loan) in accordance with Section 2.3 or (B) a SOFR Notice prior to the SOFR Deadline. Promptly upon its receipt of each such SOFR Notice, the Agent shall provide a copy thereof to each of the Lenders. Each SOFR Notice shall be irrevocable and binding on the Borrower. For the avoidance of doubt, (i) the first Interest Period for the Term Loans shall commence on the Restatement Date and end on the last Business Day of the Fiscal Quarter in which the Restatement Date occurs (such Interest Period, the “</w:t>
      </w:r>
      <w:r>
        <w:rPr>
          <w:rFonts w:ascii="Times New Roman;Times;Serif" w:hAnsi="Times New Roman;Times;Serif"/>
          <w:b w:val="false"/>
          <w:i w:val="false"/>
          <w:caps w:val="false"/>
          <w:smallCaps w:val="false"/>
          <w:sz w:val="20"/>
          <w:u w:val="single"/>
        </w:rPr>
        <w:t>Stub Period</w:t>
      </w:r>
      <w:r>
        <w:rPr>
          <w:rFonts w:ascii="Times New Roman;Times;Serif" w:hAnsi="Times New Roman;Times;Serif"/>
          <w:b w:val="false"/>
          <w:i w:val="false"/>
          <w:caps w:val="false"/>
          <w:smallCaps w:val="false"/>
          <w:sz w:val="20"/>
        </w:rPr>
        <w:t>”) and (ii) interest that accrues during the Stub Period shall be due and payable on the Interest Payment Date for the immediately succeeding Interest Period after the Stub Period.</w:t>
      </w:r>
    </w:p>
    <w:p>
      <w:pPr>
        <w:pStyle w:val="TextBody"/>
        <w:bidi w:val="0"/>
        <w:spacing w:before="0" w:after="0"/>
        <w:ind w:left="139" w:right="147" w:hanging="0"/>
        <w:jc w:val="both"/>
        <w:rPr>
          <w:caps w:val="false"/>
          <w:smallCaps w:val="false"/>
        </w:rPr>
      </w:pPr>
      <w:r>
        <w:rPr>
          <w:caps w:val="false"/>
          <w:smallCaps w:val="false"/>
        </w:rPr>
        <w:t> </w:t>
      </w:r>
    </w:p>
    <w:p>
      <w:pPr>
        <w:pStyle w:val="TextBody"/>
        <w:bidi w:val="0"/>
        <w:spacing w:before="0" w:after="0"/>
        <w:ind w:left="140" w:right="13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Interest on SOFR Loans shall be payable in accordance with Section 2.6(a). On the last day of each applicable Interest Period, unless the Borrower properly have exercised the SOFR Option with respect thereto, the interest rate applicable to such SOFR Loans automatically shall convert to the rate of interest then applicable to Reference Rate Loans of the same type hereunder. At any time that a Default or an Event of Default has occurred and is continuing, the Borrower no longer shall have the option to request that any portion of the Loans bear interest at Adjusted Term SOFR and the Agent shall have the right to convert the interest rate on all outstanding SOFR Loans to the rate of interest then applicable to Reference Rate Loans of the same type hereunder on the last day of the then current Interest Period.</w:t>
      </w:r>
    </w:p>
    <w:p>
      <w:pPr>
        <w:pStyle w:val="TextBody"/>
        <w:bidi w:val="0"/>
        <w:spacing w:before="0" w:after="0"/>
        <w:ind w:left="140" w:right="137" w:firstLine="1440"/>
        <w:jc w:val="both"/>
        <w:rPr>
          <w:caps w:val="false"/>
          <w:smallCaps w:val="false"/>
        </w:rPr>
      </w:pPr>
      <w:r>
        <w:rPr>
          <w:caps w:val="false"/>
          <w:smallCaps w:val="false"/>
        </w:rPr>
        <w:t> </w:t>
      </w:r>
    </w:p>
    <w:p>
      <w:pPr>
        <w:pStyle w:val="TextBody"/>
        <w:bidi w:val="0"/>
        <w:spacing w:before="0" w:after="0"/>
        <w:ind w:left="140"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contained in this Agreement, the Borrower (i) shall have not more than five (5) SOFR Loans in effect at any given time, and (ii) only may exercise the SOFR Option for SOFR Loans of at least $500,000 and integral multiples of $100,000 in excess thereof.</w:t>
      </w:r>
    </w:p>
    <w:p>
      <w:pPr>
        <w:pStyle w:val="TextBody"/>
        <w:bidi w:val="0"/>
        <w:spacing w:before="0" w:after="0"/>
        <w:ind w:left="140" w:right="170" w:firstLine="1440"/>
        <w:jc w:val="both"/>
        <w:rPr>
          <w:caps w:val="false"/>
          <w:smallCaps w:val="false"/>
        </w:rPr>
      </w:pPr>
      <w:r>
        <w:rPr>
          <w:caps w:val="false"/>
          <w:smallCaps w:val="false"/>
        </w:rPr>
        <w:t> </w:t>
      </w:r>
    </w:p>
    <w:p>
      <w:pPr>
        <w:pStyle w:val="TextBody"/>
        <w:bidi w:val="0"/>
        <w:spacing w:before="0" w:after="0"/>
        <w:ind w:left="140"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Borrower may prepay SOFR Loans at any time; provided, however, that in the event that SOFR Loans are prepaid on any date that is not the last day of the Interest Period applicable thereto, including as a result of any mandatory prepayment pursuant to Section 2.8 or any application of payments or proceeds of Collateral in accordance with Section 9.2 or for any other reason, including early termination of the term of this Agreement or acceleration of all or any portion of the Indebtedness pursuant to the terms hereof, the Borrower shall indemnify, defend and hold the Agent and the Lenders and their participants harmless against any and all Funding Losses (as defined below) in accordance with Section 2.13.</w:t>
      </w:r>
    </w:p>
    <w:p>
      <w:pPr>
        <w:pStyle w:val="TextBody"/>
        <w:bidi w:val="0"/>
        <w:spacing w:before="0" w:after="0"/>
        <w:ind w:left="140" w:right="170" w:firstLine="1440"/>
        <w:jc w:val="both"/>
        <w:rPr>
          <w:caps w:val="false"/>
          <w:smallCaps w:val="false"/>
        </w:rPr>
      </w:pPr>
      <w:r>
        <w:rPr>
          <w:caps w:val="false"/>
          <w:smallCaps w:val="false"/>
        </w:rPr>
        <w:t> </w:t>
      </w:r>
    </w:p>
    <w:p>
      <w:pPr>
        <w:pStyle w:val="TextBody"/>
        <w:bidi w:val="0"/>
        <w:spacing w:before="0" w:after="0"/>
        <w:ind w:left="139" w:right="12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connection with the use or administration of Term SOFR,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Agent will promptly notify the Borrower and the Lenders of the effectiveness of any Conforming Changes in connection with the use or administration of Term SOFR. Anything to the contrary contained herein notwithstanding, neither Agent, nor any Lender, nor any of their participants, is</w:t>
      </w:r>
    </w:p>
    <w:p>
      <w:pPr>
        <w:pStyle w:val="TextBody"/>
        <w:bidi w:val="0"/>
        <w:spacing w:before="0" w:after="0"/>
        <w:ind w:left="139" w:right="122"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7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required actually to match fund any Obligation as to which interest accrues at Adjusted Term SOFR or the Term SOFR Reference Rate.</w:t>
      </w:r>
    </w:p>
    <w:p>
      <w:pPr>
        <w:pStyle w:val="TextBody"/>
        <w:bidi w:val="0"/>
        <w:spacing w:before="0" w:after="0"/>
        <w:ind w:left="140" w:right="176" w:hanging="0"/>
        <w:jc w:val="both"/>
        <w:rPr>
          <w:caps w:val="false"/>
          <w:smallCaps w:val="false"/>
        </w:rPr>
      </w:pPr>
      <w:r>
        <w:rPr>
          <w:caps w:val="false"/>
          <w:smallCaps w:val="false"/>
        </w:rPr>
        <w:t> </w:t>
      </w:r>
    </w:p>
    <w:p>
      <w:pPr>
        <w:pStyle w:val="TextBody"/>
        <w:bidi w:val="0"/>
        <w:spacing w:before="0" w:after="0"/>
        <w:ind w:left="140" w:right="172"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Subject to clause (g) below, if on or prior to the first day of any Interest Period for any SOFR Loan,</w:t>
      </w:r>
    </w:p>
    <w:p>
      <w:pPr>
        <w:pStyle w:val="TextBody"/>
        <w:bidi w:val="0"/>
        <w:spacing w:before="0" w:after="0"/>
        <w:ind w:left="140" w:right="172" w:firstLine="1440"/>
        <w:jc w:val="left"/>
        <w:rPr>
          <w:caps w:val="false"/>
          <w:smallCaps w:val="false"/>
        </w:rPr>
      </w:pPr>
      <w:r>
        <w:rPr>
          <w:caps w:val="false"/>
          <w:smallCaps w:val="false"/>
        </w:rPr>
        <w:t> </w:t>
      </w:r>
    </w:p>
    <w:p>
      <w:pPr>
        <w:pStyle w:val="TextBody"/>
        <w:bidi w:val="0"/>
        <w:spacing w:before="0" w:after="0"/>
        <w:ind w:left="140" w:right="173"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Agent determines (which determination shall be conclusive and binding absent manifest error) that “Adjusted Term SOFR” cannot be determined pursuant to the definition thereof, or</w:t>
      </w:r>
    </w:p>
    <w:p>
      <w:pPr>
        <w:pStyle w:val="TextBody"/>
        <w:bidi w:val="0"/>
        <w:spacing w:before="0" w:after="0"/>
        <w:ind w:left="140" w:right="173" w:firstLine="2160"/>
        <w:jc w:val="both"/>
        <w:rPr>
          <w:caps w:val="false"/>
          <w:smallCaps w:val="false"/>
        </w:rPr>
      </w:pPr>
      <w:r>
        <w:rPr>
          <w:caps w:val="false"/>
          <w:smallCaps w:val="false"/>
        </w:rPr>
        <w:t> </w:t>
      </w:r>
    </w:p>
    <w:p>
      <w:pPr>
        <w:pStyle w:val="TextBody"/>
        <w:bidi w:val="0"/>
        <w:spacing w:before="0" w:after="0"/>
        <w:ind w:left="140" w:right="165"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Majority Lenders determine that for any reason in connection with any request for a SOFR Loan or a conversion thereto or a continuation thereof that Adjusted Term SOFR for any requested Interest Period with respect to a proposed SOFR Loan does not adequately and fairly reflect the cost to such Lenders of making and maintaining such Loan, and the Majority Lenders have provided notice of such determination to the Agent,</w:t>
      </w:r>
    </w:p>
    <w:p>
      <w:pPr>
        <w:pStyle w:val="TextBody"/>
        <w:bidi w:val="0"/>
        <w:spacing w:before="0" w:after="0"/>
        <w:ind w:left="140" w:right="165" w:firstLine="2160"/>
        <w:jc w:val="both"/>
        <w:rPr>
          <w:caps w:val="false"/>
          <w:smallCaps w:val="false"/>
        </w:rPr>
      </w:pPr>
      <w:r>
        <w:rPr>
          <w:caps w:val="false"/>
          <w:smallCaps w:val="false"/>
        </w:rPr>
        <w:t> </w:t>
      </w:r>
    </w:p>
    <w:p>
      <w:pPr>
        <w:pStyle w:val="TextBody"/>
        <w:bidi w:val="0"/>
        <w:spacing w:before="0" w:after="0"/>
        <w:ind w:left="140" w:right="17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Agent shall give written notice to the Borrower and to the Lenders as soon as practicable thereafter.</w:t>
      </w:r>
    </w:p>
    <w:p>
      <w:pPr>
        <w:pStyle w:val="TextBody"/>
        <w:bidi w:val="0"/>
        <w:spacing w:before="0" w:after="0"/>
        <w:ind w:left="140" w:right="173" w:hanging="0"/>
        <w:jc w:val="both"/>
        <w:rPr>
          <w:caps w:val="false"/>
          <w:smallCaps w:val="false"/>
        </w:rPr>
      </w:pPr>
      <w:r>
        <w:rPr>
          <w:caps w:val="false"/>
          <w:smallCaps w:val="false"/>
        </w:rPr>
        <w:t> </w:t>
      </w:r>
    </w:p>
    <w:p>
      <w:pPr>
        <w:pStyle w:val="TextBody"/>
        <w:bidi w:val="0"/>
        <w:spacing w:before="0" w:after="0"/>
        <w:ind w:left="139" w:right="17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notice thereof by the Agent to the Borrower, any obligation of the Lenders to make SOFR Loans, and any right of the Borrower to continue SOFR Loans or to convert Reference Rate Loans to SOFR Loans, shall be suspended (to the extent of the affected SOFR Loans or affected Interest Periods) until the Agent revokes such notice. Upon receipt of such notice, (i) the Borrower may revoke any pending request for a borrowing of, conversion to or continuation of SOFR Loans (to the extent of the affected SOFR Loans or affected Interest Periods) or, failing that, the Borrower will be deemed to have converted any such request into a request for a borrowing of or conversion to Reference Rate Loans in the amount specified therein and (ii) any outstanding affected SOFR Loans will be deemed to have been converted into Reference Rate Loans at the end of the applicable Interest Period. Upon any such conversion, the Borrower shall also pay accrued interest on the amount so converted, together with any additional amounts required pursuant to Section 2.13. Subject to Section 2.12(g), if the Agent determines (which determination shall be conclusive and binding absent manifest error) that “Adjusted Term SOFR” cannot be determined pursuant to the definition thereof on any given day, the interest rate on Reference Rate Loans shall be determined by the Agent without reference to clause (c) of the definition of “Reference Rate” until the Agent revokes such determination.</w:t>
      </w:r>
    </w:p>
    <w:p>
      <w:pPr>
        <w:pStyle w:val="TextBody"/>
        <w:bidi w:val="0"/>
        <w:spacing w:before="0" w:after="0"/>
        <w:ind w:left="139" w:right="170" w:hanging="0"/>
        <w:jc w:val="both"/>
        <w:rPr>
          <w:caps w:val="false"/>
          <w:smallCaps w:val="false"/>
        </w:rPr>
      </w:pPr>
      <w:r>
        <w:rPr>
          <w:caps w:val="false"/>
          <w:smallCaps w:val="false"/>
        </w:rPr>
        <w:t> </w:t>
      </w:r>
    </w:p>
    <w:p>
      <w:pPr>
        <w:pStyle w:val="TextBody"/>
        <w:bidi w:val="0"/>
        <w:spacing w:before="0" w:after="0"/>
        <w:ind w:left="140" w:right="172"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Benchmark Replacement</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47"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Notwithstanding anything to the contrary herein or in any other Loan Document, upon the occurrence of a Benchmark Transition Event, the Agent and the Borrower may amend this Agreement to replace the then-current Benchmark with a Benchmark Replacement. Any such amendment with respect to a Benchmark Transition Event will become effective at 5:00 p.m. (New York City time) on the fifth (5th) Business Day after the Agent has posted such proposed amendment to all affected Lenders and the Borrower so long as the Agent has not received, by such time, written notice of objection to such amendment from Lenders comprising the Majority Lenders. No replacement of a Benchmark with a Benchmark Replacement pursuant to this Section 2.12(g)(i) will occur prior to the applicable Benchmark Transition Start Date. No swap agreement shall be deemed to be a “Loan Document” for purposes of this Section 2.12(g).</w:t>
      </w:r>
    </w:p>
    <w:p>
      <w:pPr>
        <w:pStyle w:val="TextBody"/>
        <w:bidi w:val="0"/>
        <w:spacing w:before="0" w:after="0"/>
        <w:ind w:left="140" w:right="147" w:firstLine="2160"/>
        <w:jc w:val="both"/>
        <w:rPr>
          <w:caps w:val="false"/>
          <w:smallCaps w:val="false"/>
        </w:rPr>
      </w:pPr>
      <w:r>
        <w:rPr>
          <w:caps w:val="false"/>
          <w:smallCaps w:val="false"/>
        </w:rPr>
        <w:t> </w:t>
      </w:r>
    </w:p>
    <w:p>
      <w:pPr>
        <w:pStyle w:val="TextBody"/>
        <w:bidi w:val="0"/>
        <w:spacing w:before="0" w:after="0"/>
        <w:ind w:left="140" w:right="17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connection with the use, administration, adoption or implementation of a Benchmark Replacement, the Agent will have the right to make Conforming Changes from time to time and, notwithstanding anything to the contrary herein or in any other Loan Document, any</w:t>
      </w:r>
    </w:p>
    <w:p>
      <w:pPr>
        <w:pStyle w:val="TextBody"/>
        <w:bidi w:val="0"/>
        <w:spacing w:before="0" w:after="0"/>
        <w:ind w:left="140" w:right="17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21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implementing such Conforming Changes will become effective without any further action or consent of any other party to this Agreement or any other Loan Document.</w:t>
      </w:r>
    </w:p>
    <w:p>
      <w:pPr>
        <w:pStyle w:val="TextBody"/>
        <w:bidi w:val="0"/>
        <w:spacing w:before="0" w:after="0"/>
        <w:ind w:left="140" w:right="212" w:hanging="0"/>
        <w:jc w:val="left"/>
        <w:rPr>
          <w:caps w:val="false"/>
          <w:smallCaps w:val="false"/>
        </w:rPr>
      </w:pPr>
      <w:r>
        <w:rPr>
          <w:caps w:val="false"/>
          <w:smallCaps w:val="false"/>
        </w:rPr>
        <w:t> </w:t>
      </w:r>
    </w:p>
    <w:p>
      <w:pPr>
        <w:pStyle w:val="TextBody"/>
        <w:bidi w:val="0"/>
        <w:spacing w:before="0" w:after="0"/>
        <w:ind w:left="139" w:right="147"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Agent will promptly notify the Borrower and the Lenders of (A) the implementation of any Benchmark Replacement and (B) the effectiveness of any Conforming Changes in connection with the use, administration, adoption or implementation of a Benchmark Replacement. The Agent will notify the Borrower of (1) the removal or reinstatement of any tenor of a Benchmark pursuant to Section 2.12(g)(iv) and (2) the commencement of any Benchmark Unavailability Period. Any determination, decision or election that may be made by the Agent or, if applicable, any Lender (or group of Lenders) pursuant to this Section 2.12(g),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2.12(g).</w:t>
      </w:r>
    </w:p>
    <w:p>
      <w:pPr>
        <w:pStyle w:val="TextBody"/>
        <w:bidi w:val="0"/>
        <w:spacing w:before="0" w:after="0"/>
        <w:ind w:left="139" w:right="147" w:firstLine="2160"/>
        <w:jc w:val="both"/>
        <w:rPr>
          <w:caps w:val="false"/>
          <w:smallCaps w:val="false"/>
        </w:rPr>
      </w:pPr>
      <w:r>
        <w:rPr>
          <w:caps w:val="false"/>
          <w:smallCaps w:val="false"/>
        </w:rPr>
        <w:t> </w:t>
      </w:r>
    </w:p>
    <w:p>
      <w:pPr>
        <w:pStyle w:val="TextBody"/>
        <w:bidi w:val="0"/>
        <w:spacing w:before="0" w:after="0"/>
        <w:ind w:left="140" w:right="172"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Notwithstanding anything to the contrary herein or in any other Loan Document,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Agent in its reasonable discretion or (2) the regulatory supervisor for the administrator of such Benchmark has provided a public statement or publication of information announcing that any tenor for such Benchmark is not or will not be representative, then the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Agent may modify the definition of “Interest Period” (or any similar or analogous definition) for all Benchmark settings at or after such time to reinstate such previously removed tenor.</w:t>
      </w:r>
    </w:p>
    <w:p>
      <w:pPr>
        <w:pStyle w:val="TextBody"/>
        <w:bidi w:val="0"/>
        <w:spacing w:before="0" w:after="0"/>
        <w:ind w:left="139" w:right="170" w:hanging="0"/>
        <w:jc w:val="both"/>
        <w:rPr>
          <w:caps w:val="false"/>
          <w:smallCaps w:val="false"/>
        </w:rPr>
      </w:pPr>
      <w:r>
        <w:rPr>
          <w:caps w:val="false"/>
          <w:smallCaps w:val="false"/>
        </w:rPr>
        <w:t> </w:t>
      </w:r>
    </w:p>
    <w:p>
      <w:pPr>
        <w:pStyle w:val="TextBody"/>
        <w:bidi w:val="0"/>
        <w:spacing w:before="0" w:after="0"/>
        <w:ind w:left="139" w:right="165"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Upon the Borrower’s receipt of notice of the commencement of a Benchmark Unavailability Period, the Borrower may revoke any pending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Reference Rate Loans. During a Benchmark Unavailability Period or at any time that a tenor for the then-current Benchmark is not an Available Tenor, the component of Reference Rate based upon the then-current Benchmark or such tenor for such Benchmark, as applicable, will not be used in any determination of Reference Rate.</w:t>
      </w:r>
    </w:p>
    <w:p>
      <w:pPr>
        <w:pStyle w:val="TextBody"/>
        <w:bidi w:val="0"/>
        <w:spacing w:before="0" w:after="0"/>
        <w:ind w:left="139" w:right="165" w:firstLine="2160"/>
        <w:jc w:val="both"/>
        <w:rPr>
          <w:caps w:val="false"/>
          <w:smallCaps w:val="false"/>
        </w:rPr>
      </w:pPr>
      <w:r>
        <w:rPr>
          <w:caps w:val="false"/>
          <w:smallCaps w:val="false"/>
        </w:rPr>
        <w:t> </w:t>
      </w:r>
    </w:p>
    <w:p>
      <w:pPr>
        <w:pStyle w:val="TextBody"/>
        <w:bidi w:val="0"/>
        <w:spacing w:before="0" w:after="0"/>
        <w:ind w:left="140" w:right="1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2.13    </w:t>
      </w:r>
      <w:r>
        <w:rPr>
          <w:rFonts w:ascii="Times New Roman;Times;Serif" w:hAnsi="Times New Roman;Times;Serif"/>
          <w:b w:val="false"/>
          <w:i w:val="false"/>
          <w:caps w:val="false"/>
          <w:smallCaps w:val="false"/>
          <w:sz w:val="20"/>
          <w:u w:val="single"/>
        </w:rPr>
        <w:t>Funding Losses</w:t>
      </w:r>
      <w:r>
        <w:rPr>
          <w:rFonts w:ascii="Times New Roman;Times;Serif" w:hAnsi="Times New Roman;Times;Serif"/>
          <w:b w:val="false"/>
          <w:i w:val="false"/>
          <w:caps w:val="false"/>
          <w:smallCaps w:val="false"/>
          <w:sz w:val="20"/>
        </w:rPr>
        <w:t>. In the event of (a) the payment of any principal of any SOFR Loan other than on the last day of the Interest Period applicable thereto (including as a result of a Default or an Event of Default or any mandatory prepayment required pursuant to Section 2.8), (b) the conversion of any SOFR Loan other than on the last day of the Interest Period applicable thereto (including as a result of a Default or an Event of Default), (c) the failure to borrow, convert, continue or prepay any SOFR Loan on the date specified in any notice delivered pursuant hereto, or (d) the assignment of any SOFR Loan other than on the last day of the Interest Period applicable thereto as a result of a request by the Borrower or the Agent pursuant to Section 12.11, then, in any such event, the Borrower shall compensate each Lender for any loss, cost and expense (“</w:t>
      </w:r>
      <w:r>
        <w:rPr>
          <w:rFonts w:ascii="Times New Roman;Times;Serif" w:hAnsi="Times New Roman;Times;Serif"/>
          <w:b w:val="false"/>
          <w:i w:val="false"/>
          <w:caps w:val="false"/>
          <w:smallCaps w:val="false"/>
          <w:sz w:val="20"/>
          <w:u w:val="single"/>
        </w:rPr>
        <w:t>Funding Losses</w:t>
      </w:r>
      <w:r>
        <w:rPr>
          <w:rFonts w:ascii="Times New Roman;Times;Serif" w:hAnsi="Times New Roman;Times;Serif"/>
          <w:b w:val="false"/>
          <w:i w:val="false"/>
          <w:caps w:val="false"/>
          <w:smallCaps w:val="false"/>
          <w:sz w:val="20"/>
        </w:rPr>
        <w:t>”) attributable to such event, including any loss, cost or expense arising from the liquidation or redeployment of funds or from any fees payable. A</w:t>
      </w:r>
    </w:p>
    <w:p>
      <w:pPr>
        <w:pStyle w:val="TextBody"/>
        <w:bidi w:val="0"/>
        <w:spacing w:before="0" w:after="0"/>
        <w:ind w:left="140" w:right="156"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7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any Lender setting forth any amount or amounts that such Lender is entitled to receive pursuant to this Section 2.13 shall be delivered to the Borrower and shall be conclusive absent manifest error. The Borrower shall pay such Lender the amount shown as due on any such certificate upon demand after receipt thereof.</w:t>
      </w:r>
    </w:p>
    <w:p>
      <w:pPr>
        <w:pStyle w:val="TextBody"/>
        <w:bidi w:val="0"/>
        <w:spacing w:before="0" w:after="0"/>
        <w:ind w:left="140" w:right="173" w:hanging="0"/>
        <w:jc w:val="both"/>
        <w:rPr>
          <w:caps w:val="false"/>
          <w:smallCaps w:val="false"/>
        </w:rPr>
      </w:pPr>
      <w:r>
        <w:rPr>
          <w:caps w:val="false"/>
          <w:smallCaps w:val="false"/>
        </w:rPr>
        <w:t> </w:t>
      </w:r>
    </w:p>
    <w:p>
      <w:pPr>
        <w:pStyle w:val="TextBody"/>
        <w:bidi w:val="0"/>
        <w:spacing w:before="0" w:after="0"/>
        <w:ind w:left="140" w:right="171"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2.14   </w:t>
      </w:r>
      <w:r>
        <w:rPr>
          <w:rFonts w:ascii="Times New Roman;Times;Serif" w:hAnsi="Times New Roman;Times;Serif"/>
          <w:b w:val="false"/>
          <w:i w:val="false"/>
          <w:caps w:val="false"/>
          <w:smallCaps w:val="false"/>
          <w:sz w:val="20"/>
          <w:u w:val="single"/>
        </w:rPr>
        <w:t>Impracticability or Illegality</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68"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[Reserved].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68"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Lender determines that any Requirement of Law has made it unlawful, or that any Governmental Authority has asserted that it is unlawful, for any Lender or its applicable lending office to make, maintain or fund Loans whose interest is determined by reference to SOFR, the Term SOFR Reference Rate, Adjusted Term SOFR or Term SOFR, or to determine or charge interest based upon SOFR, the Term SOFR Reference Rate, Adjusted Term SOFR or Term SOFR, then, upon notice thereof by such Lender to the Borrower (through the Agent) (an “</w:t>
      </w:r>
      <w:r>
        <w:rPr>
          <w:rFonts w:ascii="Times New Roman;Times;Serif" w:hAnsi="Times New Roman;Times;Serif"/>
          <w:b w:val="false"/>
          <w:i w:val="false"/>
          <w:caps w:val="false"/>
          <w:smallCaps w:val="false"/>
          <w:sz w:val="20"/>
          <w:u w:val="single"/>
        </w:rPr>
        <w:t>Illegality Notice</w:t>
      </w:r>
      <w:r>
        <w:rPr>
          <w:rFonts w:ascii="Times New Roman;Times;Serif" w:hAnsi="Times New Roman;Times;Serif"/>
          <w:b w:val="false"/>
          <w:i w:val="false"/>
          <w:caps w:val="false"/>
          <w:smallCaps w:val="false"/>
          <w:sz w:val="20"/>
        </w:rPr>
        <w:t>”), (i) any obligation of the Lenders to make SOFR Loans, and any right of the Borrower to continue SOFR Loans or to convert Reference Rate Loans to SOFR Loans, shall be suspended, and (ii) the interest rate on which Reference Rate Loans shall, if necessary to avoid such illegality, be determined by the Agent without reference to clause (c) of the definition of “Reference Rate”, in each case until each affected Lender notifies the Agent and the Borrower that the circumstances giving rise to such determination no longer exist. Upon receipt of an Illegality Notice, the Borrower shall, if necessary to avoid such illegality, upon demand from any Lender (with a copy to the Agent), prepay or, if applicable, convert all SOFR Loans to Reference Rate Loans (the interest rate on which Reference Rate Loans shall, if necessary to avoid such illegality, be determined by the Agent without reference to clause (c) of the definition of “Reference Rate”), on the last day of the Interest Period therefor, if all affected Lenders may lawfully continue to maintain such SOFR Loans to such day, or immediately, if any Lender may not lawfully continue to maintain such SOFR Loans to such day, in each case until the Agent is advised in writing by each affected Lender that it is no longer illegal for such Lender to determine or charge interest rates based upon SOFR, the Term SOFR Reference Rate, Adjusted Term SOFR or Term SOFR. Upon any such prepayment or conversion, the Borrower shall also pay accrued interest on the amount so prepaid or converted, together with any additional amounts required pursuant to Section 2.13.</w:t>
      </w:r>
    </w:p>
    <w:p>
      <w:pPr>
        <w:pStyle w:val="TextBody"/>
        <w:bidi w:val="0"/>
        <w:spacing w:before="0" w:after="0"/>
        <w:ind w:left="140" w:right="168" w:firstLine="1440"/>
        <w:jc w:val="both"/>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obligations of the Credit Parties under this Section 2.14 shall survive the termination of this Agreement and the payment of the Loans and all other amounts payable hereunder.</w:t>
      </w:r>
    </w:p>
    <w:p>
      <w:pPr>
        <w:pStyle w:val="TextBody"/>
        <w:bidi w:val="0"/>
        <w:spacing w:before="0" w:after="0"/>
        <w:ind w:left="140" w:right="173" w:firstLine="14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564"/>
        <w:gridCol w:w="9534"/>
      </w:tblGrid>
      <w:tr>
        <w:trPr/>
        <w:tc>
          <w:tcPr>
            <w:tcW w:w="10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pPr>
            <w:r>
              <w:rPr/>
              <w:t>3.</w:t>
            </w:r>
          </w:p>
        </w:tc>
        <w:tc>
          <w:tcPr>
            <w:tcW w:w="9534" w:type="dxa"/>
            <w:tcBorders/>
            <w:vAlign w:val="center"/>
          </w:tcPr>
          <w:p>
            <w:pPr>
              <w:pStyle w:val="TableContents"/>
              <w:bidi w:val="0"/>
              <w:spacing w:before="0" w:after="283"/>
              <w:jc w:val="left"/>
              <w:rPr/>
            </w:pPr>
            <w:r>
              <w:rPr/>
              <w:t>[INTENTIONALLY OMITTED].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4"/>
        <w:gridCol w:w="1078"/>
        <w:gridCol w:w="8923"/>
      </w:tblGrid>
      <w:tr>
        <w:trPr/>
        <w:tc>
          <w:tcPr>
            <w:tcW w:w="20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b/>
              </w:rPr>
            </w:pPr>
            <w:r>
              <w:rPr>
                <w:b/>
              </w:rPr>
              <w:t>4.</w:t>
            </w:r>
          </w:p>
        </w:tc>
        <w:tc>
          <w:tcPr>
            <w:tcW w:w="8923" w:type="dxa"/>
            <w:tcBorders/>
            <w:vAlign w:val="center"/>
          </w:tcPr>
          <w:p>
            <w:pPr>
              <w:pStyle w:val="TableContents"/>
              <w:bidi w:val="0"/>
              <w:spacing w:before="0" w:after="283"/>
              <w:jc w:val="left"/>
              <w:rPr>
                <w:b/>
              </w:rPr>
            </w:pPr>
            <w:r>
              <w:rPr>
                <w:b/>
              </w:rPr>
              <w:t>CONDITIONS.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71"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Conditions to Effectiveness</w:t>
      </w:r>
      <w:r>
        <w:rPr>
          <w:rFonts w:ascii="Times New Roman;Times;Serif" w:hAnsi="Times New Roman;Times;Serif"/>
          <w:b w:val="false"/>
          <w:i w:val="false"/>
          <w:caps w:val="false"/>
          <w:smallCaps w:val="false"/>
          <w:sz w:val="20"/>
        </w:rPr>
        <w:t>. The effectiveness of this Agreement and the obligations of the Lenders to make the Restatement Date Term Loan pursuant to this Agreement on the Restatement Date are subject to the following conditions:</w:t>
      </w:r>
    </w:p>
    <w:p>
      <w:pPr>
        <w:pStyle w:val="TextBody"/>
        <w:bidi w:val="0"/>
        <w:spacing w:before="0" w:after="0"/>
        <w:ind w:left="140" w:right="171" w:firstLine="720"/>
        <w:jc w:val="both"/>
        <w:rPr>
          <w:caps w:val="false"/>
          <w:smallCaps w:val="false"/>
        </w:rPr>
      </w:pPr>
      <w:r>
        <w:rPr>
          <w:caps w:val="false"/>
          <w:smallCaps w:val="false"/>
        </w:rPr>
        <w:t> </w:t>
      </w:r>
    </w:p>
    <w:p>
      <w:pPr>
        <w:pStyle w:val="TextBody"/>
        <w:bidi w:val="0"/>
        <w:spacing w:before="0" w:after="0"/>
        <w:ind w:left="139" w:right="171"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Notes, this Agreement and the other Loan Documents</w:t>
      </w:r>
      <w:r>
        <w:rPr>
          <w:rFonts w:ascii="Times New Roman;Times;Serif" w:hAnsi="Times New Roman;Times;Serif"/>
          <w:b w:val="false"/>
          <w:i w:val="false"/>
          <w:caps w:val="false"/>
          <w:smallCaps w:val="false"/>
          <w:sz w:val="20"/>
        </w:rPr>
        <w:t>. The Borrower shall have executed and delivered to the Agent for the account of each Lender requesting Notes, the Notes; the Borrower, the Agent, and each Lender shall have executed and delivered this Agreement; and the Borrower and each Guarantor shall have executed and delivered the other Loan Documents to which the Borrower or such Guarantor is required to be a party (including all schedules and other documents to be delivered pursuant hereto); and such Notes (if any), this Agreement and the other Loan Documents shall be in full force and effect in accordance with the terms of the Disbursement Letter.</w:t>
      </w:r>
    </w:p>
    <w:p>
      <w:pPr>
        <w:pStyle w:val="TextBody"/>
        <w:bidi w:val="0"/>
        <w:spacing w:before="0" w:after="0"/>
        <w:ind w:left="139" w:right="171"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71"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Corporate Authority</w:t>
      </w:r>
      <w:r>
        <w:rPr>
          <w:rFonts w:ascii="Times New Roman;Times;Serif" w:hAnsi="Times New Roman;Times;Serif"/>
          <w:b w:val="false"/>
          <w:i w:val="false"/>
          <w:caps w:val="false"/>
          <w:smallCaps w:val="false"/>
          <w:sz w:val="20"/>
        </w:rPr>
        <w:t>. The Agent shall have received, from the Borrower and each Guarantor, a certificate of its Secretary, Assistant Secretary or Chief Operating Officer, dated as of the Restatement Date, as to:</w:t>
      </w:r>
    </w:p>
    <w:p>
      <w:pPr>
        <w:pStyle w:val="TextBody"/>
        <w:bidi w:val="0"/>
        <w:spacing w:before="0" w:after="0"/>
        <w:ind w:left="140" w:right="171" w:firstLine="1440"/>
        <w:jc w:val="both"/>
        <w:rPr>
          <w:caps w:val="false"/>
          <w:smallCaps w:val="false"/>
        </w:rPr>
      </w:pPr>
      <w:r>
        <w:rPr>
          <w:caps w:val="false"/>
          <w:smallCaps w:val="false"/>
        </w:rPr>
        <w:t> </w:t>
      </w:r>
    </w:p>
    <w:p>
      <w:pPr>
        <w:pStyle w:val="TextBody"/>
        <w:bidi w:val="0"/>
        <w:spacing w:before="0" w:after="0"/>
        <w:ind w:left="140" w:right="141"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corporate resolutions (or the equivalent) of the Borrower and each Guarantor authorizing the transactions contemplated by this Agreement and the other Loan Documents, approving this Agreement and the other Loan Documents, in each case to which the Borrower and each such Guarantor is party, and authorizing the execution and delivery of this Agreement and the other Loan Documents, and in the case of the Borrower, authorizing the execution and delivery of requests for Loans hereunder,</w:t>
      </w:r>
    </w:p>
    <w:p>
      <w:pPr>
        <w:pStyle w:val="TextBody"/>
        <w:bidi w:val="0"/>
        <w:spacing w:before="0" w:after="0"/>
        <w:ind w:left="140" w:right="141" w:firstLine="2160"/>
        <w:jc w:val="both"/>
        <w:rPr>
          <w:caps w:val="false"/>
          <w:smallCaps w:val="false"/>
        </w:rPr>
      </w:pPr>
      <w:r>
        <w:rPr>
          <w:caps w:val="false"/>
          <w:smallCaps w:val="false"/>
        </w:rPr>
        <w:t> </w:t>
      </w:r>
    </w:p>
    <w:p>
      <w:pPr>
        <w:pStyle w:val="TextBody"/>
        <w:bidi w:val="0"/>
        <w:spacing w:before="0" w:after="0"/>
        <w:ind w:left="139" w:right="171"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incumbency and signature of the officers or other authorized persons of the Borrower and each Guarantor executing any Loan Document and in the case of the Borrower, the officers who are authorized to execute any Requests for Loan,</w:t>
      </w:r>
    </w:p>
    <w:p>
      <w:pPr>
        <w:pStyle w:val="TextBody"/>
        <w:bidi w:val="0"/>
        <w:spacing w:before="0" w:after="0"/>
        <w:ind w:left="139" w:right="171" w:firstLine="2160"/>
        <w:jc w:val="both"/>
        <w:rPr>
          <w:caps w:val="false"/>
          <w:smallCaps w:val="false"/>
        </w:rPr>
      </w:pPr>
      <w:r>
        <w:rPr>
          <w:caps w:val="false"/>
          <w:smallCaps w:val="false"/>
        </w:rPr>
        <w:t> </w:t>
      </w:r>
    </w:p>
    <w:p>
      <w:pPr>
        <w:pStyle w:val="TextBody"/>
        <w:bidi w:val="0"/>
        <w:spacing w:before="0" w:after="0"/>
        <w:ind w:left="139" w:right="172"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certificate of good standing or continued existence (or the equivalent thereof) from the state of its incorporation or formation, and from every state or other jurisdiction where the Borrower and each Guarantor is qualified to do business (but only to the extent the failure to be so qualified could reasonably be expected to result in a Material Adverse Effect), which jurisdictions are listed on Schedule 4.1(b) attached hereto, and</w:t>
      </w:r>
    </w:p>
    <w:p>
      <w:pPr>
        <w:pStyle w:val="TextBody"/>
        <w:bidi w:val="0"/>
        <w:spacing w:before="0" w:after="0"/>
        <w:ind w:left="139" w:right="172" w:firstLine="2160"/>
        <w:jc w:val="both"/>
        <w:rPr>
          <w:caps w:val="false"/>
          <w:smallCaps w:val="false"/>
        </w:rPr>
      </w:pPr>
      <w:r>
        <w:rPr>
          <w:caps w:val="false"/>
          <w:smallCaps w:val="false"/>
        </w:rPr>
        <w:t> </w:t>
      </w:r>
    </w:p>
    <w:p>
      <w:pPr>
        <w:pStyle w:val="TextBody"/>
        <w:bidi w:val="0"/>
        <w:spacing w:before="0" w:after="0"/>
        <w:ind w:left="140" w:right="173"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copies of such articles of incorporation and bylaws or other constitutional documents of the Borrower and each Guarantor, as in effect on the Restatement Date.</w:t>
      </w:r>
    </w:p>
    <w:p>
      <w:pPr>
        <w:pStyle w:val="TextBody"/>
        <w:bidi w:val="0"/>
        <w:spacing w:before="0" w:after="0"/>
        <w:ind w:left="140" w:right="173" w:firstLine="2160"/>
        <w:jc w:val="both"/>
        <w:rPr>
          <w:caps w:val="false"/>
          <w:smallCaps w:val="false"/>
        </w:rPr>
      </w:pPr>
      <w:r>
        <w:rPr>
          <w:caps w:val="false"/>
          <w:smallCaps w:val="false"/>
        </w:rPr>
        <w:t> </w:t>
      </w:r>
    </w:p>
    <w:p>
      <w:pPr>
        <w:pStyle w:val="TextBody"/>
        <w:bidi w:val="0"/>
        <w:spacing w:before="0" w:after="0"/>
        <w:ind w:left="140"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Collateral Documents, Guaranties and other Loan Documents.</w:t>
      </w:r>
      <w:r>
        <w:rPr>
          <w:rFonts w:ascii="Times New Roman;Times;Serif" w:hAnsi="Times New Roman;Times;Serif"/>
          <w:b w:val="false"/>
          <w:i w:val="false"/>
          <w:caps w:val="false"/>
          <w:smallCaps w:val="false"/>
          <w:sz w:val="20"/>
        </w:rPr>
        <w:t xml:space="preserve"> The Agent shall have received the following documents, each in form and substance satisfactory to the Agent and fully executed by each party thereto:</w:t>
      </w:r>
    </w:p>
    <w:p>
      <w:pPr>
        <w:pStyle w:val="TextBody"/>
        <w:bidi w:val="0"/>
        <w:spacing w:before="0" w:after="0"/>
        <w:ind w:left="140" w:right="170" w:firstLine="1440"/>
        <w:jc w:val="both"/>
        <w:rPr>
          <w:caps w:val="false"/>
          <w:smallCaps w:val="false"/>
        </w:rPr>
      </w:pPr>
      <w:r>
        <w:rPr>
          <w:caps w:val="false"/>
          <w:smallCaps w:val="false"/>
        </w:rPr>
        <w:t> </w:t>
      </w:r>
    </w:p>
    <w:p>
      <w:pPr>
        <w:pStyle w:val="TextBody"/>
        <w:bidi w:val="0"/>
        <w:spacing w:before="0" w:after="0"/>
        <w:ind w:left="140" w:right="173"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following Collateral Documents, each in form and substance acceptable to the Agent and fully executed by each party thereto and dated as of the Restatement Date:</w:t>
      </w:r>
    </w:p>
    <w:p>
      <w:pPr>
        <w:pStyle w:val="TextBody"/>
        <w:bidi w:val="0"/>
        <w:spacing w:before="0" w:after="0"/>
        <w:ind w:left="140" w:right="173" w:firstLine="2160"/>
        <w:jc w:val="both"/>
        <w:rPr>
          <w:caps w:val="false"/>
          <w:smallCaps w:val="false"/>
        </w:rPr>
      </w:pPr>
      <w:r>
        <w:rPr>
          <w:caps w:val="false"/>
          <w:smallCaps w:val="false"/>
        </w:rPr>
        <w:t> </w:t>
      </w:r>
    </w:p>
    <w:p>
      <w:pPr>
        <w:pStyle w:val="TextBody"/>
        <w:bidi w:val="0"/>
        <w:spacing w:before="0" w:after="0"/>
        <w:ind w:left="140" w:right="172"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Reaffirmation Agreement, executed and delivered by the Borrower and each Guarantor;</w:t>
      </w:r>
    </w:p>
    <w:p>
      <w:pPr>
        <w:pStyle w:val="TextBody"/>
        <w:bidi w:val="0"/>
        <w:spacing w:before="0" w:after="0"/>
        <w:ind w:left="140" w:right="0" w:hanging="0"/>
        <w:jc w:val="left"/>
        <w:rPr>
          <w:caps w:val="false"/>
          <w:smallCaps w:val="false"/>
        </w:rPr>
      </w:pPr>
      <w:r>
        <w:rPr>
          <w:caps w:val="false"/>
          <w:smallCaps w:val="false"/>
        </w:rPr>
        <w:t> </w:t>
      </w:r>
    </w:p>
    <w:p>
      <w:pPr>
        <w:pStyle w:val="TextBody"/>
        <w:bidi w:val="0"/>
        <w:spacing w:before="0" w:after="0"/>
        <w:ind w:left="140" w:right="172"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Perfection Certificate, duly executed by the Borrower;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72"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Security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72"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Assignment of Business Interruption Insurance Policy; and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72"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 Irish law deed of confirmation in respect of the amended and restated Irish law share charge dated 23 November 2021 between the Borrower and the Agent (the “</w:t>
      </w:r>
      <w:r>
        <w:rPr>
          <w:rFonts w:ascii="Times New Roman;Times;Serif" w:hAnsi="Times New Roman;Times;Serif"/>
          <w:b/>
          <w:i w:val="false"/>
          <w:caps w:val="false"/>
          <w:smallCaps w:val="false"/>
          <w:sz w:val="20"/>
        </w:rPr>
        <w:t>Irish Deed of Confirmation</w:t>
      </w:r>
      <w:r>
        <w:rPr>
          <w:rFonts w:ascii="Times New Roman;Times;Serif" w:hAnsi="Times New Roman;Times;Serif"/>
          <w:b w:val="false"/>
          <w:i w:val="false"/>
          <w:caps w:val="false"/>
          <w:smallCaps w:val="false"/>
          <w:sz w:val="20"/>
        </w:rPr>
        <w:t>”);</w:t>
      </w:r>
    </w:p>
    <w:p>
      <w:pPr>
        <w:pStyle w:val="TextBody"/>
        <w:bidi w:val="0"/>
        <w:spacing w:before="0" w:after="0"/>
        <w:ind w:left="140" w:right="172" w:firstLine="2880"/>
        <w:jc w:val="both"/>
        <w:rPr>
          <w:caps w:val="false"/>
          <w:smallCaps w:val="false"/>
        </w:rPr>
      </w:pPr>
      <w:r>
        <w:rPr>
          <w:caps w:val="false"/>
          <w:smallCaps w:val="false"/>
        </w:rPr>
        <w:t> </w:t>
      </w:r>
    </w:p>
    <w:p>
      <w:pPr>
        <w:pStyle w:val="TextBody"/>
        <w:bidi w:val="0"/>
        <w:spacing w:before="0" w:after="0"/>
        <w:ind w:left="140" w:right="174"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Fee Letter, executed and delivered by the Agent and the Borrower and dated as of the Restatement Date;</w:t>
      </w:r>
    </w:p>
    <w:p>
      <w:pPr>
        <w:pStyle w:val="TextBody"/>
        <w:bidi w:val="0"/>
        <w:spacing w:before="0" w:after="0"/>
        <w:ind w:left="140" w:right="174" w:firstLine="2160"/>
        <w:jc w:val="both"/>
        <w:rPr>
          <w:caps w:val="false"/>
          <w:smallCaps w:val="false"/>
        </w:rPr>
      </w:pPr>
      <w:r>
        <w:rPr>
          <w:caps w:val="false"/>
          <w:smallCaps w:val="false"/>
        </w:rPr>
        <w:t> </w:t>
      </w:r>
    </w:p>
    <w:p>
      <w:pPr>
        <w:pStyle w:val="TextBody"/>
        <w:bidi w:val="0"/>
        <w:spacing w:before="0" w:after="0"/>
        <w:ind w:left="140" w:right="172"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Certified copies of uniform commercial code requests for information, or a similar search report certified by a party acceptable to the Agent, dated a date reasonably prior to the Restatement Date, listing all effective financing statements in the jurisdiction noted on Schedule 4.1(c)(iii) which name the Borrower or any Guarantor (under their present names or under any previous names used within five (5) years prior to the Restatement Date) as debtors, together</w:t>
      </w:r>
    </w:p>
    <w:p>
      <w:pPr>
        <w:pStyle w:val="TextBody"/>
        <w:bidi w:val="0"/>
        <w:spacing w:before="0" w:after="0"/>
        <w:ind w:left="140" w:right="172"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9" w:right="169"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(x) copies of such financing statements, and (y) authorized Uniform Commercial Code (Form UCC-3) termination statements, if any, necessary to release all Liens and other rights of any Person in any Collateral described in the Collateral Documents previously granted by any Person (other than Liens permitted by Section 7.2 of this Agreement) and (B) intellectual property search reports results from the United States Patent and Trademark Office and the United States Copyright Office for the Borrower and each Guarantor dated a date reasonably prior to the Restatement Date.</w:t>
      </w:r>
    </w:p>
    <w:p>
      <w:pPr>
        <w:pStyle w:val="TextBody"/>
        <w:bidi w:val="0"/>
        <w:spacing w:before="0" w:after="0"/>
        <w:ind w:left="139" w:right="169" w:hanging="0"/>
        <w:jc w:val="both"/>
        <w:rPr>
          <w:caps w:val="false"/>
          <w:smallCaps w:val="false"/>
        </w:rPr>
      </w:pPr>
      <w:r>
        <w:rPr>
          <w:caps w:val="false"/>
          <w:smallCaps w:val="false"/>
        </w:rPr>
        <w:t> </w:t>
      </w:r>
    </w:p>
    <w:p>
      <w:pPr>
        <w:pStyle w:val="TextBody"/>
        <w:bidi w:val="0"/>
        <w:spacing w:before="0" w:after="0"/>
        <w:ind w:left="140" w:right="172"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documents (including, without limitation, financing statements, amendments to financing statements and assignments of financing statements, stock powers executed in blank and any endorsements) requested by the Agent and reasonably required to be provided in connection with the Collateral Documents to create, in favor of the Agent (for and on behalf of the Lenders), a perfected security interest in the Collateral thereunder shall have been filed, registered or recorded, or shall have been delivered to the Agent in proper form for filing, registration or recordation.</w:t>
      </w:r>
    </w:p>
    <w:p>
      <w:pPr>
        <w:pStyle w:val="TextBody"/>
        <w:bidi w:val="0"/>
        <w:spacing w:before="0" w:after="0"/>
        <w:ind w:left="140" w:right="172" w:firstLine="2160"/>
        <w:jc w:val="both"/>
        <w:rPr>
          <w:caps w:val="false"/>
          <w:smallCaps w:val="false"/>
        </w:rPr>
      </w:pPr>
      <w:r>
        <w:rPr>
          <w:caps w:val="false"/>
          <w:smallCaps w:val="false"/>
        </w:rPr>
        <w:t> </w:t>
      </w:r>
    </w:p>
    <w:p>
      <w:pPr>
        <w:pStyle w:val="TextBody"/>
        <w:bidi w:val="0"/>
        <w:spacing w:before="0" w:after="0"/>
        <w:ind w:left="140" w:right="12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Agent shall have received evidence reasonably satisfactory to it that the Borrower and Guarantors have obtained the insurance policies required by Section 6.5 hereof and that such insurance policies are in full force and effect (subject to Section 4.3 with respect to required endorsements).</w:t>
      </w:r>
    </w:p>
    <w:p>
      <w:pPr>
        <w:pStyle w:val="TextBody"/>
        <w:bidi w:val="0"/>
        <w:spacing w:before="0" w:after="0"/>
        <w:ind w:left="140" w:right="120" w:firstLine="1440"/>
        <w:jc w:val="both"/>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Schedules and Exhibits</w:t>
      </w:r>
      <w:r>
        <w:rPr>
          <w:rFonts w:ascii="Times New Roman;Times;Serif" w:hAnsi="Times New Roman;Times;Serif"/>
          <w:b w:val="false"/>
          <w:i w:val="false"/>
          <w:caps w:val="false"/>
          <w:smallCaps w:val="false"/>
          <w:sz w:val="20"/>
        </w:rPr>
        <w:t>. The Agent shall have received (i) schedules to this Agreement, the Perfection Certificate, and the Security Agreement and (ii) exhibits to this Agreement and the Security Agreement, in each case of the foregoing clauses (i) and (ii), in form and substance reasonably satisfactory to the Agent (it being acknowledged that the form of the schedules to this Agreement and the Perfection Certificate as agreed between the Agent and the Borrower as of the date of the Exchange Agreement are satisfactory to the Agent).</w:t>
      </w:r>
    </w:p>
    <w:p>
      <w:pPr>
        <w:pStyle w:val="TextBody"/>
        <w:bidi w:val="0"/>
        <w:spacing w:before="0" w:after="0"/>
        <w:ind w:left="140" w:right="173" w:firstLine="1440"/>
        <w:jc w:val="both"/>
        <w:rPr>
          <w:caps w:val="false"/>
          <w:smallCaps w:val="false"/>
        </w:rPr>
      </w:pPr>
      <w:r>
        <w:rPr>
          <w:caps w:val="false"/>
          <w:smallCaps w:val="false"/>
        </w:rPr>
        <w:t> </w:t>
      </w:r>
    </w:p>
    <w:p>
      <w:pPr>
        <w:pStyle w:val="TextBody"/>
        <w:bidi w:val="0"/>
        <w:spacing w:before="0" w:after="0"/>
        <w:ind w:left="140" w:right="121"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Opinions of Counsel</w:t>
      </w:r>
      <w:r>
        <w:rPr>
          <w:rFonts w:ascii="Times New Roman;Times;Serif" w:hAnsi="Times New Roman;Times;Serif"/>
          <w:b w:val="false"/>
          <w:i w:val="false"/>
          <w:caps w:val="false"/>
          <w:smallCaps w:val="false"/>
          <w:sz w:val="20"/>
        </w:rPr>
        <w:t xml:space="preserve">. The Borrower and Guarantors shall have furnished to the Agent and the Lenders customary opinions of counsel to the Borrower and Guarantors, in each case dated the Restatement Date and covering such matters as reasonably required by and otherwise reasonably satisfactory in form and substance to the Agent and each of the Lenders. The Agent and the Lenders shall have received a customary opinion of Arthur Cox LLP, Irish counsel to the Agent dated the Restatement Date and covering such matters as reasonably required by and otherwise reasonably satisfactory in form and substance to the Agent and each of the Lenders (it being acknowledged that form of  opinion provided by Arthur Cox dated 23 November 2021 is satisfactory to the Agent and the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Lenders fail to procure such opinion, the Borrower may cause the delivery of a customary opinion of another nationally recognized firm of counsel in lieu thereof.</w:t>
      </w:r>
    </w:p>
    <w:p>
      <w:pPr>
        <w:pStyle w:val="TextBody"/>
        <w:bidi w:val="0"/>
        <w:spacing w:before="0" w:after="0"/>
        <w:ind w:left="140" w:right="121" w:firstLine="1440"/>
        <w:jc w:val="both"/>
        <w:rPr>
          <w:caps w:val="false"/>
          <w:smallCaps w:val="false"/>
        </w:rPr>
      </w:pPr>
      <w:r>
        <w:rPr>
          <w:caps w:val="false"/>
          <w:smallCaps w:val="false"/>
        </w:rPr>
        <w:t> </w:t>
      </w:r>
    </w:p>
    <w:p>
      <w:pPr>
        <w:pStyle w:val="TextBody"/>
        <w:bidi w:val="0"/>
        <w:spacing w:before="0" w:after="0"/>
        <w:ind w:left="140"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Payment of Fees</w:t>
      </w:r>
      <w:r>
        <w:rPr>
          <w:rFonts w:ascii="Times New Roman;Times;Serif" w:hAnsi="Times New Roman;Times;Serif"/>
          <w:b w:val="false"/>
          <w:i w:val="false"/>
          <w:caps w:val="false"/>
          <w:smallCaps w:val="false"/>
          <w:sz w:val="20"/>
        </w:rPr>
        <w:t>. The Borrower shall have paid to the Agent all fees, costs or expenses due and outstanding to the Agent or the Lenders as of the Restatement Date (including reasonable fees, disbursements and other charges of counsel to the Agent payable under Section 12.4(a) hereof), in each case to the extent invoiced at least one Business Day prior to the Restatement Date.</w:t>
      </w:r>
    </w:p>
    <w:p>
      <w:pPr>
        <w:pStyle w:val="TextBody"/>
        <w:bidi w:val="0"/>
        <w:spacing w:before="0" w:after="0"/>
        <w:ind w:left="140" w:right="170" w:firstLine="1440"/>
        <w:jc w:val="both"/>
        <w:rPr>
          <w:caps w:val="false"/>
          <w:smallCaps w:val="false"/>
        </w:rPr>
      </w:pPr>
      <w:r>
        <w:rPr>
          <w:caps w:val="false"/>
          <w:smallCaps w:val="false"/>
        </w:rPr>
        <w:t> </w:t>
      </w:r>
    </w:p>
    <w:p>
      <w:pPr>
        <w:pStyle w:val="TextBody"/>
        <w:bidi w:val="0"/>
        <w:spacing w:before="0" w:after="0"/>
        <w:ind w:left="139" w:right="131"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The Borrower shall have delivered to the Lenders and the Agent, in form and substance satisfactory to the Agent: (a) audited financial statements of the Borrower for the Fiscal Year ended January 31, 2025, and presented in accordance with GAAP (it being acknowledged that the Agent and Lenders are in receipt of such audited financial statements described in this clause (a)), and (b) unaudited financial statements of the Borrower for the most recently ended Fiscal Quarter prior to the Restatement Date which are required to be delivered pursuant to Section 6.1(b) of the Existing Credit Agreement (collectively, the “</w:t>
      </w:r>
      <w:r>
        <w:rPr>
          <w:rFonts w:ascii="Times New Roman;Times;Serif" w:hAnsi="Times New Roman;Times;Serif"/>
          <w:b/>
          <w:i w:val="false"/>
          <w:caps w:val="false"/>
          <w:smallCaps w:val="false"/>
          <w:sz w:val="20"/>
        </w:rPr>
        <w:t>Financial Statements</w:t>
      </w:r>
      <w:r>
        <w:rPr>
          <w:rFonts w:ascii="Times New Roman;Times;Serif" w:hAnsi="Times New Roman;Times;Serif"/>
          <w:b w:val="false"/>
          <w:i w:val="false"/>
          <w:caps w:val="false"/>
          <w:smallCaps w:val="false"/>
          <w:sz w:val="20"/>
        </w:rPr>
        <w:t>”) in form reasonably acceptable to the Agent.</w:t>
      </w:r>
    </w:p>
    <w:p>
      <w:pPr>
        <w:pStyle w:val="TextBody"/>
        <w:bidi w:val="0"/>
        <w:spacing w:before="0" w:after="0"/>
        <w:ind w:left="139" w:right="131"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Restatement Date Transactions</w:t>
      </w:r>
      <w:r>
        <w:rPr>
          <w:rFonts w:ascii="Times New Roman;Times;Serif" w:hAnsi="Times New Roman;Times;Serif"/>
          <w:b w:val="false"/>
          <w:i w:val="false"/>
          <w:caps w:val="false"/>
          <w:smallCaps w:val="false"/>
          <w:sz w:val="20"/>
        </w:rPr>
        <w:t>. Each of the transactions set forth in the Exchange Agreement (including, without limitation, the Exchange Transactions (as defined therein)) and the Purchase and Sale Agreement shall have been consummated in accordance with the terms and conditions thereof.</w:t>
      </w:r>
    </w:p>
    <w:p>
      <w:pPr>
        <w:pStyle w:val="TextBody"/>
        <w:bidi w:val="0"/>
        <w:spacing w:before="0" w:after="0"/>
        <w:ind w:left="140" w:right="173" w:firstLine="1440"/>
        <w:jc w:val="both"/>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 The Agent shall have received copies of all Material Contracts described on Schedule 5.18 hereto.</w:t>
      </w:r>
    </w:p>
    <w:p>
      <w:pPr>
        <w:pStyle w:val="TextBody"/>
        <w:bidi w:val="0"/>
        <w:spacing w:before="0" w:after="0"/>
        <w:ind w:left="140" w:right="173" w:firstLine="1440"/>
        <w:jc w:val="both"/>
        <w:rPr>
          <w:caps w:val="false"/>
          <w:smallCaps w:val="false"/>
        </w:rPr>
      </w:pPr>
      <w:r>
        <w:rPr>
          <w:caps w:val="false"/>
          <w:smallCaps w:val="false"/>
        </w:rPr>
        <w:t> </w:t>
      </w:r>
    </w:p>
    <w:p>
      <w:pPr>
        <w:pStyle w:val="TextBody"/>
        <w:bidi w:val="0"/>
        <w:spacing w:before="0" w:after="0"/>
        <w:ind w:left="140" w:right="15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Governmental and Other Approvals</w:t>
      </w:r>
      <w:r>
        <w:rPr>
          <w:rFonts w:ascii="Times New Roman;Times;Serif" w:hAnsi="Times New Roman;Times;Serif"/>
          <w:b w:val="false"/>
          <w:i w:val="false"/>
          <w:caps w:val="false"/>
          <w:smallCaps w:val="false"/>
          <w:sz w:val="20"/>
        </w:rPr>
        <w:t>. The Agent shall have received copies of all authorizations, consents, approvals, licenses, qualifications or formal exemptions, filings, declarations and registrations with, any court, governmental agency or regulatory authority or any securities exchange or any other person or party (whether or not governmental) received by the Borrower or any Guarantor that, in each case, are necessary in connection with the transactions contemplated by the Loan  Documents to occur on the Restatement Date.</w:t>
      </w:r>
    </w:p>
    <w:p>
      <w:pPr>
        <w:pStyle w:val="TextBody"/>
        <w:bidi w:val="0"/>
        <w:spacing w:before="0" w:after="0"/>
        <w:ind w:left="140" w:right="157" w:firstLine="1440"/>
        <w:jc w:val="both"/>
        <w:rPr>
          <w:caps w:val="false"/>
          <w:smallCaps w:val="false"/>
        </w:rPr>
      </w:pPr>
      <w:r>
        <w:rPr>
          <w:caps w:val="false"/>
          <w:smallCaps w:val="false"/>
        </w:rPr>
        <w:t> </w:t>
      </w:r>
    </w:p>
    <w:p>
      <w:pPr>
        <w:pStyle w:val="TextBody"/>
        <w:bidi w:val="0"/>
        <w:spacing w:before="0" w:after="0"/>
        <w:ind w:left="140" w:right="15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Closing Certificate</w:t>
      </w:r>
      <w:r>
        <w:rPr>
          <w:rFonts w:ascii="Times New Roman;Times;Serif" w:hAnsi="Times New Roman;Times;Serif"/>
          <w:b w:val="false"/>
          <w:i w:val="false"/>
          <w:caps w:val="false"/>
          <w:smallCaps w:val="false"/>
          <w:sz w:val="20"/>
        </w:rPr>
        <w:t>. The Agent shall have received a certificate of a Responsible Officer of the Borrower dated the Restatement Date, stating that to the best of his or her respective knowledge after due inquiry, (i) the conditions set forth in Sections 4.2(b) and 4.2(d) have been satisfied; and (ii) since January 31, 2025, no Material Adverse Effect has occurred.</w:t>
      </w:r>
    </w:p>
    <w:p>
      <w:pPr>
        <w:pStyle w:val="TextBody"/>
        <w:bidi w:val="0"/>
        <w:spacing w:before="0" w:after="0"/>
        <w:ind w:left="140" w:right="155" w:firstLine="1440"/>
        <w:jc w:val="both"/>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Solvency Certificate</w:t>
      </w:r>
      <w:r>
        <w:rPr>
          <w:rFonts w:ascii="Times New Roman;Times;Serif" w:hAnsi="Times New Roman;Times;Serif"/>
          <w:b w:val="false"/>
          <w:i w:val="false"/>
          <w:caps w:val="false"/>
          <w:smallCaps w:val="false"/>
          <w:sz w:val="20"/>
        </w:rPr>
        <w:t>. The Agent shall have received a certificate of the chief financial officer of the Borrower, certifying that the Borrower is Solvent (after giving effect to the making of the Restatement Date Term Loan and the other Restatement Date Transactions).</w:t>
      </w:r>
    </w:p>
    <w:p>
      <w:pPr>
        <w:pStyle w:val="TextBody"/>
        <w:bidi w:val="0"/>
        <w:spacing w:before="0" w:after="0"/>
        <w:ind w:left="140" w:right="173" w:firstLine="1440"/>
        <w:jc w:val="both"/>
        <w:rPr>
          <w:caps w:val="false"/>
          <w:smallCaps w:val="false"/>
        </w:rPr>
      </w:pPr>
      <w:r>
        <w:rPr>
          <w:caps w:val="false"/>
          <w:smallCaps w:val="false"/>
        </w:rPr>
        <w:t> </w:t>
      </w:r>
    </w:p>
    <w:p>
      <w:pPr>
        <w:pStyle w:val="TextBody"/>
        <w:bidi w:val="0"/>
        <w:spacing w:before="0" w:after="0"/>
        <w:ind w:left="8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Agent and each Lender acknowledge that:</w:t>
      </w:r>
    </w:p>
    <w:p>
      <w:pPr>
        <w:pStyle w:val="TextBody"/>
        <w:bidi w:val="0"/>
        <w:spacing w:before="0" w:after="0"/>
        <w:ind w:left="860" w:right="0" w:hanging="0"/>
        <w:jc w:val="left"/>
        <w:rPr>
          <w:caps w:val="false"/>
          <w:smallCaps w:val="false"/>
        </w:rPr>
      </w:pPr>
      <w:r>
        <w:rPr>
          <w:caps w:val="false"/>
          <w:smallCaps w:val="false"/>
        </w:rPr>
        <w:t> </w:t>
      </w:r>
    </w:p>
    <w:p>
      <w:pPr>
        <w:pStyle w:val="TextBody"/>
        <w:bidi w:val="0"/>
        <w:spacing w:before="0" w:after="0"/>
        <w:ind w:left="140" w:right="1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form of any document or instrument required to be delivered pursuant to the foregoing shall be deemed satisfactory if such document or instrument is in the form separately agreed with the Agent prior to execution and delivery of the Exchange Agreement or, if no such form is agreed, in a form substantially consistent with the form of such document or instrument with respect to the Existing Credit Agreement or, if no such form exists, in customary form reasonably acceptable to the Agent; and</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ind w:left="140" w:right="1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 failure to create or perfect any security interest shall constitute a condition precedent to the effectiveness of this Agreement so long as the Security Agreement and Account Control Agreements in respect of each deposit accounts and securities accounts (other than the Excluded Accounts) is executed and delivered by the Borrower and each Guarantor and the security interest under the Security Agreement is perfected to the extent it is capable of perfection by the filing of a UCC-1 financing statement; provided that any other document, instrument or action that would otherwise be required to create or perfect any security interest shall be delivered and/or complied with by the Borrower within 30 days after the Restatement Date (or such later date as the Agent may agree).</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ind w:left="140" w:right="17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Conditions to all Loans</w:t>
      </w:r>
      <w:r>
        <w:rPr>
          <w:rFonts w:ascii="Times New Roman;Times;Serif" w:hAnsi="Times New Roman;Times;Serif"/>
          <w:b w:val="false"/>
          <w:i w:val="false"/>
          <w:caps w:val="false"/>
          <w:smallCaps w:val="false"/>
          <w:sz w:val="20"/>
        </w:rPr>
        <w:t>. The obligations of each Lender to make Loans (including the Restatement Date Term Loan) shall be subject to the following conditions:</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Agent shall have received a fully executed Request for Loan;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time of and after giving effect to the making of such Loan and the application of the proceeds thereof, (i) except in connection with consummation of the Restatement Date</w:t>
      </w:r>
    </w:p>
    <w:p>
      <w:pPr>
        <w:pStyle w:val="TextBody"/>
        <w:bidi w:val="0"/>
        <w:spacing w:before="0" w:after="0"/>
        <w:ind w:left="140" w:right="173"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0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no Default or (ii) Event of Default, in each case has occurred and is continuing or would result from the making of the Loan to be made;</w:t>
      </w:r>
    </w:p>
    <w:p>
      <w:pPr>
        <w:pStyle w:val="TextBody"/>
        <w:bidi w:val="0"/>
        <w:spacing w:before="0" w:after="0"/>
        <w:ind w:left="140" w:right="102" w:hanging="0"/>
        <w:jc w:val="left"/>
        <w:rPr>
          <w:caps w:val="false"/>
          <w:smallCaps w:val="false"/>
        </w:rPr>
      </w:pPr>
      <w:r>
        <w:rPr>
          <w:caps w:val="false"/>
          <w:smallCaps w:val="false"/>
        </w:rPr>
        <w:t> </w:t>
      </w:r>
    </w:p>
    <w:p>
      <w:pPr>
        <w:pStyle w:val="TextBody"/>
        <w:bidi w:val="0"/>
        <w:spacing w:before="0" w:after="0"/>
        <w:ind w:left="139" w:right="149"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other than in connection with consummation of the Restatement Date Transactions, as of such Credit Date, the representations and warranties of the Credit Parties contained in this Agreement and the other Loan Documents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the date of the making of such Loan to the same extent as though made on and as of that date (both  before and immediately after giving effect to such Loan),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 and</w:t>
      </w:r>
    </w:p>
    <w:p>
      <w:pPr>
        <w:pStyle w:val="TextBody"/>
        <w:bidi w:val="0"/>
        <w:spacing w:before="0" w:after="0"/>
        <w:ind w:left="139" w:right="149" w:firstLine="1440"/>
        <w:jc w:val="both"/>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solely in connection with consummation of the Restatement Date Transactions, (i) the Specified Representations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the Restatement Date as though made at and as of such date, except to the extent that such representations and warranties expressly relate to an earlier date (in which case such representations and warranties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such earlier date) and (ii) each of the representations and warranties other than the Specified Representations of the Credit Parties in this Agreement and the other Loan Documents shall be true and correct as of the Restatement Date as though made at and as of such date, except to the extent that any such other representations and warranties expressly relate to an earlier date (in which case such other representations and warranties shall be true and correct as of such earlier date), in each case of this clause (ii), determined without regard to qualifications as to “materiality” or “Material Adverse Effect”, except that the condition in this clause (ii) will be satisfied unless the failure of any such representations and warranties to be so true and correct has resulted in, or could reasonably be expected to result in, individually or in the aggregate, a Material Adverse Effect. The representations and warranties made in connection with the Restatement Date Transactions under the Loan Documents will be those required to be accurate pursuant to this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w:t>
      </w:r>
    </w:p>
    <w:p>
      <w:pPr>
        <w:pStyle w:val="TextBody"/>
        <w:bidi w:val="0"/>
        <w:spacing w:before="0" w:after="0"/>
        <w:ind w:left="139" w:right="137" w:hanging="0"/>
        <w:jc w:val="both"/>
        <w:rPr>
          <w:caps w:val="false"/>
          <w:smallCaps w:val="false"/>
        </w:rPr>
      </w:pPr>
      <w:r>
        <w:rPr>
          <w:caps w:val="false"/>
          <w:smallCaps w:val="false"/>
        </w:rPr>
        <w:t> </w:t>
      </w:r>
    </w:p>
    <w:p>
      <w:pPr>
        <w:pStyle w:val="TextBody"/>
        <w:bidi w:val="0"/>
        <w:spacing w:before="0" w:after="0"/>
        <w:ind w:left="139" w:right="13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Conditions Subsequent to Effectiveness</w:t>
      </w:r>
      <w:r>
        <w:rPr>
          <w:rFonts w:ascii="Times New Roman;Times;Serif" w:hAnsi="Times New Roman;Times;Serif"/>
          <w:b w:val="false"/>
          <w:i w:val="false"/>
          <w:caps w:val="false"/>
          <w:smallCaps w:val="false"/>
          <w:sz w:val="20"/>
        </w:rPr>
        <w:t>. As an accommodation to the Credit Parties, the Agent and the Lenders have agreed to execute this Agreement and to make the Restatement Date Term Loan on the Restatement Date notwithstanding the failure by the Credit Parties to satisfy the conditions set forth below on or before the Restatement Date. In consideration of such accommodation, the Credit Parties agree that, in addition to all other terms, conditions and provisions set forth in this Agreement and the other Loan Documents, the Credit Parties shall satisfy each of the conditions subsequent set forth below on or before the date applicable thereto (it being understood that (i) the failure by the  Credit Parties to perform or cause to be performed any such condition subsequent on or before the date applicable thereto shall constitute an Event of Default and (ii) to the extent that the existence of any such condition subsequent would otherwise cause any representation, warranty or covenant in this Agreement or any other Loan Document to be breached, the Majority Lenders hereby waive such breach for the</w:t>
      </w:r>
    </w:p>
    <w:p>
      <w:pPr>
        <w:pStyle w:val="TextBody"/>
        <w:bidi w:val="0"/>
        <w:spacing w:before="0" w:after="0"/>
        <w:ind w:left="139" w:right="135"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 from the Restatement Date until the date on which such condition subsequent is required to be fulfilled pursuant to this Section 4.3):</w:t>
      </w:r>
    </w:p>
    <w:p>
      <w:pPr>
        <w:pStyle w:val="TextBody"/>
        <w:bidi w:val="0"/>
        <w:spacing w:before="0" w:after="0"/>
        <w:ind w:left="140" w:right="0" w:hanging="0"/>
        <w:jc w:val="left"/>
        <w:rPr>
          <w:caps w:val="false"/>
          <w:smallCaps w:val="false"/>
        </w:rPr>
      </w:pPr>
      <w:r>
        <w:rPr>
          <w:caps w:val="false"/>
          <w:smallCaps w:val="false"/>
        </w:rPr>
        <w:t> </w:t>
      </w:r>
    </w:p>
    <w:p>
      <w:pPr>
        <w:pStyle w:val="TextBody"/>
        <w:bidi w:val="0"/>
        <w:spacing w:before="0" w:after="0"/>
        <w:ind w:left="140"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date that is thirty (30) days following the Restatement Date (or such later date as agreed to in writing by the Agent in its sole discretion), the Borrower and each Guarantor shall have delivered to the Agent long form insurance endorsements with respect to the Borrower’s and such Guarantor’s insurance policies, in form and substance satisfactory to the Agent, naming the Agent as additional insured or lender’s loss payee thereunder, as applicable, and providing that such policy may be terminated or cancelled (by the insurer or the insured thereunder) only upon 30 days’ prior written notice to the Agent (or 10 days prior written notice in the case of nonpayment).</w:t>
      </w:r>
    </w:p>
    <w:p>
      <w:pPr>
        <w:pStyle w:val="TextBody"/>
        <w:bidi w:val="0"/>
        <w:spacing w:before="0" w:after="0"/>
        <w:ind w:left="140" w:right="170" w:firstLine="14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418"/>
        <w:gridCol w:w="9708"/>
      </w:tblGrid>
      <w:tr>
        <w:trPr/>
        <w:tc>
          <w:tcPr>
            <w:tcW w:w="7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pPr>
            <w:r>
              <w:rPr/>
              <w:t>5.</w:t>
            </w:r>
          </w:p>
        </w:tc>
        <w:tc>
          <w:tcPr>
            <w:tcW w:w="9708" w:type="dxa"/>
            <w:tcBorders/>
            <w:vAlign w:val="center"/>
          </w:tcPr>
          <w:p>
            <w:pPr>
              <w:pStyle w:val="TableContents"/>
              <w:bidi w:val="0"/>
              <w:spacing w:before="0" w:after="283"/>
              <w:jc w:val="left"/>
              <w:rPr/>
            </w:pPr>
            <w:r>
              <w:rPr/>
              <w:t>REPRESENTATIONS AND WARRANTIES.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represents and warrants to the Agent and the Lenders as follows:</w:t>
      </w:r>
    </w:p>
    <w:p>
      <w:pPr>
        <w:pStyle w:val="TextBody"/>
        <w:bidi w:val="0"/>
        <w:spacing w:before="0" w:after="0"/>
        <w:ind w:left="860" w:right="0" w:hanging="0"/>
        <w:jc w:val="left"/>
        <w:rPr>
          <w:caps w:val="false"/>
          <w:smallCaps w:val="false"/>
        </w:rPr>
      </w:pPr>
      <w:r>
        <w:rPr>
          <w:caps w:val="false"/>
          <w:smallCaps w:val="false"/>
        </w:rPr>
        <w:t> </w:t>
      </w:r>
    </w:p>
    <w:p>
      <w:pPr>
        <w:pStyle w:val="TextBody"/>
        <w:bidi w:val="0"/>
        <w:spacing w:before="0" w:after="0"/>
        <w:ind w:left="140" w:right="15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Corporate Authority</w:t>
      </w:r>
      <w:r>
        <w:rPr>
          <w:rFonts w:ascii="Times New Roman;Times;Serif" w:hAnsi="Times New Roman;Times;Serif"/>
          <w:b w:val="false"/>
          <w:i w:val="false"/>
          <w:caps w:val="false"/>
          <w:smallCaps w:val="false"/>
          <w:sz w:val="20"/>
        </w:rPr>
        <w:t>. Each Credit Party is a corporation (or other business entity) duly organized and existing in good standing under the laws of the state or jurisdiction of its incorporation or formation, as applicable, and each Credit Party is duly qualified and authorized to do business as a foreign corporation in each jurisdiction where the character of its assets or the nature of its activities makes such qualification and authorization necessary except where failure to be so qualified or be in good standing could not reasonably be expected to have a Material Adverse Effect. Each Credit Party has all requisite corporate, limited liability or partnership power (as applicable) and authority to own all its property (whether real, personal, tangible or intangible or of any kind whatsoever) and to carry on its business.</w:t>
      </w:r>
    </w:p>
    <w:p>
      <w:pPr>
        <w:pStyle w:val="TextBody"/>
        <w:bidi w:val="0"/>
        <w:spacing w:before="0" w:after="0"/>
        <w:ind w:left="140" w:right="150" w:firstLine="720"/>
        <w:jc w:val="both"/>
        <w:rPr>
          <w:caps w:val="false"/>
          <w:smallCaps w:val="false"/>
        </w:rPr>
      </w:pPr>
      <w:r>
        <w:rPr>
          <w:caps w:val="false"/>
          <w:smallCaps w:val="false"/>
        </w:rPr>
        <w:t> </w:t>
      </w:r>
    </w:p>
    <w:p>
      <w:pPr>
        <w:pStyle w:val="TextBody"/>
        <w:bidi w:val="0"/>
        <w:spacing w:before="0" w:after="0"/>
        <w:ind w:left="140" w:right="17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Due Authorization</w:t>
      </w:r>
      <w:r>
        <w:rPr>
          <w:rFonts w:ascii="Times New Roman;Times;Serif" w:hAnsi="Times New Roman;Times;Serif"/>
          <w:b w:val="false"/>
          <w:i w:val="false"/>
          <w:caps w:val="false"/>
          <w:smallCaps w:val="false"/>
          <w:sz w:val="20"/>
        </w:rPr>
        <w:t>. Execution, delivery and performance of this Agreement, and the other Loan Documents, to which each Credit Party is party, and the issuance of the Notes by the Borrower (if requested) (i) are within such Person’s corporate, limited liability or partnership power (as applicable), (ii) have been duly authorized by all necessary action, (iii) are not in contravention of any Requirement of Law applicable to such Credit Party or the terms of such Credit Party’s organizational documents, any Material Contract or the Senior Loan Documents or (iv) do not and will not result in or require the creation of any Lien (other than pursuant to any Loan Document or Senior Loan Document) upon or with respect to any of its properties.</w:t>
      </w:r>
    </w:p>
    <w:p>
      <w:pPr>
        <w:pStyle w:val="TextBody"/>
        <w:bidi w:val="0"/>
        <w:spacing w:before="0" w:after="0"/>
        <w:ind w:left="140" w:right="170" w:firstLine="720"/>
        <w:jc w:val="both"/>
        <w:rPr>
          <w:caps w:val="false"/>
          <w:smallCaps w:val="false"/>
        </w:rPr>
      </w:pPr>
      <w:r>
        <w:rPr>
          <w:caps w:val="false"/>
          <w:smallCaps w:val="false"/>
        </w:rPr>
        <w:t> </w:t>
      </w:r>
    </w:p>
    <w:p>
      <w:pPr>
        <w:pStyle w:val="TextBody"/>
        <w:bidi w:val="0"/>
        <w:spacing w:before="0" w:after="0"/>
        <w:ind w:left="140" w:right="17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Good Title; Leases; Assets; No Liens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61"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Credit Party, to the extent applicable, has good and valid title (or, in the case of real property, good and marketable title) to all assets owned by it, subject only to the Liens permitted under Section 7.2 hereof, and each Credit Party has a valid leasehold or interest as a lessee or a licensee in all of its leased real property;</w:t>
      </w:r>
    </w:p>
    <w:p>
      <w:pPr>
        <w:pStyle w:val="TextBody"/>
        <w:bidi w:val="0"/>
        <w:spacing w:before="0" w:after="0"/>
        <w:ind w:left="140" w:right="161" w:firstLine="1440"/>
        <w:jc w:val="both"/>
        <w:rPr>
          <w:caps w:val="false"/>
          <w:smallCaps w:val="false"/>
        </w:rPr>
      </w:pPr>
      <w:r>
        <w:rPr>
          <w:caps w:val="false"/>
          <w:smallCaps w:val="false"/>
        </w:rPr>
        <w:t> </w:t>
      </w:r>
    </w:p>
    <w:p>
      <w:pPr>
        <w:pStyle w:val="TextBody"/>
        <w:bidi w:val="0"/>
        <w:spacing w:before="0" w:after="0"/>
        <w:ind w:left="140" w:right="134"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Schedule 5.3(b) hereto identifies all of the real property owned or leased, as lessee thereunder, by the Borrower or any Guarantor on the Restatement Date, including all warehouse or bailee locations;</w:t>
      </w:r>
    </w:p>
    <w:p>
      <w:pPr>
        <w:pStyle w:val="TextBody"/>
        <w:bidi w:val="0"/>
        <w:spacing w:before="0" w:after="0"/>
        <w:ind w:left="140" w:right="134" w:firstLine="1440"/>
        <w:jc w:val="both"/>
        <w:rPr>
          <w:caps w:val="false"/>
          <w:smallCaps w:val="false"/>
        </w:rPr>
      </w:pPr>
      <w:r>
        <w:rPr>
          <w:caps w:val="false"/>
          <w:smallCaps w:val="false"/>
        </w:rPr>
        <w:t> </w:t>
      </w:r>
    </w:p>
    <w:p>
      <w:pPr>
        <w:pStyle w:val="TextBody"/>
        <w:bidi w:val="0"/>
        <w:spacing w:before="0" w:after="0"/>
        <w:ind w:left="140" w:right="171"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Credit Parties will collectively own or collectively have a valid leasehold interest in all assets that were owned or leased (as lessee) by the Credit Parties immediately prior to the Restatement Date to the extent that such assets are necessary for the continued operation of the Credit Parties’ businesses in substantially the manner as such businesses were operated immediately prior to the Restatement Date;</w:t>
      </w:r>
    </w:p>
    <w:p>
      <w:pPr>
        <w:pStyle w:val="TextBody"/>
        <w:bidi w:val="0"/>
        <w:spacing w:before="0" w:after="0"/>
        <w:ind w:left="140" w:right="171"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Credit Party owns or has a valid leasehold interest in all real property necessary for its continued operations and, to the best knowledge of the Borrower, no material condemnation, eminent domain or expropriation action has been commenced or threatened against any such owned or leased real property;</w:t>
      </w:r>
    </w:p>
    <w:p>
      <w:pPr>
        <w:pStyle w:val="TextBody"/>
        <w:bidi w:val="0"/>
        <w:spacing w:before="0" w:after="0"/>
        <w:ind w:left="140" w:right="170" w:firstLine="1440"/>
        <w:jc w:val="both"/>
        <w:rPr>
          <w:caps w:val="false"/>
          <w:smallCaps w:val="false"/>
        </w:rPr>
      </w:pPr>
      <w:r>
        <w:rPr>
          <w:caps w:val="false"/>
          <w:smallCaps w:val="false"/>
        </w:rPr>
        <w:t> </w:t>
      </w:r>
    </w:p>
    <w:p>
      <w:pPr>
        <w:pStyle w:val="TextBody"/>
        <w:bidi w:val="0"/>
        <w:spacing w:before="0" w:after="0"/>
        <w:ind w:left="140"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are no Liens on and no financing statements on file with respect to any of the assets owned by the Credit Parties, except for the Liens permitted pursuant to Section 7.2 of this Agreement and any financing statements relating thereto; and</w:t>
      </w:r>
    </w:p>
    <w:p>
      <w:pPr>
        <w:pStyle w:val="TextBody"/>
        <w:bidi w:val="0"/>
        <w:spacing w:before="0" w:after="0"/>
        <w:ind w:left="140" w:right="172" w:firstLine="1440"/>
        <w:jc w:val="both"/>
        <w:rPr>
          <w:caps w:val="false"/>
          <w:smallCaps w:val="false"/>
        </w:rPr>
      </w:pPr>
      <w:r>
        <w:rPr>
          <w:caps w:val="false"/>
          <w:smallCaps w:val="false"/>
        </w:rPr>
        <w:t> </w:t>
      </w:r>
    </w:p>
    <w:p>
      <w:pPr>
        <w:pStyle w:val="TextBody"/>
        <w:bidi w:val="0"/>
        <w:spacing w:before="0" w:after="0"/>
        <w:ind w:left="140" w:right="15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Credit Party that is not the Borrower or a Guarantor holds or owns any assets that are material to the business of the Borrower and its Subsidiaries nor any Intellectual Property (unless held by Rent the Runway Limited in the ordinary course of business for use in fulfilling its obligations to Borrower in a manner substantially consistent with the Intercompany License Agreement as of the Restatement Date).</w:t>
      </w:r>
    </w:p>
    <w:p>
      <w:pPr>
        <w:pStyle w:val="TextBody"/>
        <w:bidi w:val="0"/>
        <w:spacing w:before="0" w:after="0"/>
        <w:ind w:left="140" w:right="155" w:firstLine="1440"/>
        <w:jc w:val="both"/>
        <w:rPr>
          <w:caps w:val="false"/>
          <w:smallCaps w:val="false"/>
        </w:rPr>
      </w:pPr>
      <w:r>
        <w:rPr>
          <w:caps w:val="false"/>
          <w:smallCaps w:val="false"/>
        </w:rPr>
        <w:t> </w:t>
      </w:r>
    </w:p>
    <w:p>
      <w:pPr>
        <w:pStyle w:val="TextBody"/>
        <w:bidi w:val="0"/>
        <w:spacing w:before="0" w:after="0"/>
        <w:ind w:left="139" w:right="11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(i) All Tax returns and other reports required by applicable Requirements of Law to be filed by any Credit Party have been timely filed (taking into account any extensions granted by the applicable Governmental Authority) and (ii) all Taxes imposed upon any Credit Party or any property of any Credit Party which have become due and payable on or prior to the Restatement Date have been paid, except (A) unpaid Taxes in an aggregate amount at any one time not in excess of $1,000,000, (B) unpaid sales Taxes that are due and payable in the ordinary course of business and are not delinquent and (C) Taxes contested in good faith by proper proceedings which stay the imposition of any Lien resulting from the non-payment thereof and with respect to which adequate reserves have been set aside for the payment thereof in accordance with GAAP on the Financial Statements.</w:t>
      </w:r>
    </w:p>
    <w:p>
      <w:pPr>
        <w:pStyle w:val="TextBody"/>
        <w:bidi w:val="0"/>
        <w:spacing w:before="0" w:after="0"/>
        <w:ind w:left="139" w:right="116" w:firstLine="720"/>
        <w:jc w:val="both"/>
        <w:rPr>
          <w:caps w:val="false"/>
          <w:smallCaps w:val="false"/>
        </w:rPr>
      </w:pPr>
      <w:r>
        <w:rPr>
          <w:caps w:val="false"/>
          <w:smallCaps w:val="false"/>
        </w:rPr>
        <w:t> </w:t>
      </w:r>
    </w:p>
    <w:p>
      <w:pPr>
        <w:pStyle w:val="TextBody"/>
        <w:bidi w:val="0"/>
        <w:spacing w:before="0" w:after="0"/>
        <w:ind w:left="140" w:right="1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No Defaults</w:t>
      </w:r>
      <w:r>
        <w:rPr>
          <w:rFonts w:ascii="Times New Roman;Times;Serif" w:hAnsi="Times New Roman;Times;Serif"/>
          <w:b w:val="false"/>
          <w:i w:val="false"/>
          <w:caps w:val="false"/>
          <w:smallCaps w:val="false"/>
          <w:sz w:val="20"/>
        </w:rPr>
        <w:t>. No Credit Party is in default under or with respect to any agreement, instrument or undertaking to which is a party or by which it or any of its property is bound which would cause or would reasonably be expected to cause a Material Adverse Effect.</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ind w:left="140" w:right="17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Enforceability of Agreement and Loan Documents</w:t>
      </w:r>
      <w:r>
        <w:rPr>
          <w:rFonts w:ascii="Times New Roman;Times;Serif" w:hAnsi="Times New Roman;Times;Serif"/>
          <w:b w:val="false"/>
          <w:i w:val="false"/>
          <w:caps w:val="false"/>
          <w:smallCaps w:val="false"/>
          <w:sz w:val="20"/>
        </w:rPr>
        <w:t>. This Agreement and each of the other Loan Documents to which any Credit Party is a party (including without limitation, each Request for Loan), have each been duly executed and delivered by its duly authorized officers and constitute the valid and binding obligations of such Credit Party, enforceable against such Credit Party in accordance with their respective terms, except as enforcement thereof may be limited by applicable bankruptcy, reorganization, insolvency, fraudulent conveyance, moratorium or similar laws affecting the enforcement of creditor’s rights, generally and by general principles of equity (regardless of whether enforcement is considered in a proceeding in law or equity).</w:t>
      </w:r>
    </w:p>
    <w:p>
      <w:pPr>
        <w:pStyle w:val="TextBody"/>
        <w:bidi w:val="0"/>
        <w:spacing w:before="0" w:after="0"/>
        <w:ind w:left="140" w:right="170" w:firstLine="720"/>
        <w:jc w:val="both"/>
        <w:rPr>
          <w:caps w:val="false"/>
          <w:smallCaps w:val="false"/>
        </w:rPr>
      </w:pPr>
      <w:r>
        <w:rPr>
          <w:caps w:val="false"/>
          <w:smallCaps w:val="false"/>
        </w:rPr>
        <w:t> </w:t>
      </w:r>
    </w:p>
    <w:p>
      <w:pPr>
        <w:pStyle w:val="TextBody"/>
        <w:bidi w:val="0"/>
        <w:spacing w:before="0" w:after="0"/>
        <w:ind w:left="140" w:right="12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(a) Except as disclosed on Schedule 5.7, each Credit Party has complied with all applicable federal, state and local laws, ordinances, codes, rules, regulations and guidelines (including consent decrees and administrative orders) including but not limited to Hazardous Material Laws, and is in compliance with any Requirement of Law, except to the extent that failure to comply therewith could not reasonably be expected to have a Material Adverse Effect; and (b) neither the extension of credit made pursuant to this Agreement or the use of the proceeds thereof by the Credit Parties will violate any Anti-Terrorism Laws, including the United States Foreign Corrupt Practices Act of 1977, the Trading with the Enemy Act, as amended, or any of the foreign assets control regulations of the United States Treasury Department (31 CFR, Subtitle B, Chapter V, as amended) or any enabling legislation or executive order relating thereto, or The United and Strengthening America by providing appropriate Tools Required to Intercept and Obstruct Terrorism (“USA Patriot Act”) Act of 2001, Public</w:t>
      </w:r>
    </w:p>
    <w:p>
      <w:pPr>
        <w:pStyle w:val="TextBody"/>
        <w:bidi w:val="0"/>
        <w:spacing w:before="0" w:after="0"/>
        <w:ind w:left="140" w:right="124"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 10756, October 26, 2001 or Executive Order 13224 of September 23, 2001 issued by the President of the United States (66 Fed. Reg. 49049 (2001)).</w:t>
      </w:r>
    </w:p>
    <w:p>
      <w:pPr>
        <w:pStyle w:val="TextBody"/>
        <w:bidi w:val="0"/>
        <w:spacing w:before="0" w:after="0"/>
        <w:ind w:left="140" w:right="0" w:hanging="0"/>
        <w:jc w:val="left"/>
        <w:rPr>
          <w:caps w:val="false"/>
          <w:smallCaps w:val="false"/>
        </w:rPr>
      </w:pPr>
      <w:r>
        <w:rPr>
          <w:caps w:val="false"/>
          <w:smallCaps w:val="false"/>
        </w:rPr>
        <w:t> </w:t>
      </w:r>
    </w:p>
    <w:p>
      <w:pPr>
        <w:pStyle w:val="TextBody"/>
        <w:bidi w:val="0"/>
        <w:spacing w:before="0" w:after="0"/>
        <w:ind w:left="140" w:right="1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val="false"/>
          <w:i w:val="false"/>
          <w:caps w:val="false"/>
          <w:smallCaps w:val="false"/>
          <w:sz w:val="20"/>
          <w:u w:val="single"/>
        </w:rPr>
        <w:t>Non-contravention</w:t>
      </w:r>
      <w:r>
        <w:rPr>
          <w:rFonts w:ascii="Times New Roman;Times;Serif" w:hAnsi="Times New Roman;Times;Serif"/>
          <w:b w:val="false"/>
          <w:i w:val="false"/>
          <w:caps w:val="false"/>
          <w:smallCaps w:val="false"/>
          <w:sz w:val="20"/>
        </w:rPr>
        <w:t>. The execution, delivery and performance of this Agreement and the other Loan Documents (including each Request for Loan) to which each Credit Party is a party are not in contravention of the terms of any indenture, agreement or undertaking to which such Credit Party is a party or by which it or its properties are bound where such violation could reasonably be expected to have a Material Adverse Effect.</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ind w:left="140" w:right="169"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Except as set forth on Schedule 5.9 hereto, there is no suit, action,  proceeding, including, without limitation, any bankruptcy proceeding or governmental investigation pending against or to the knowledge of the Borrower, threatened in writing against any Credit Party (other than any suit, action or proceeding in which a Credit Party is the plaintiff and in which no counterclaim or cross-claim against such Credit Party has been filed), or any judgment, decree, injunction, rule, or order of any court, government, department, commission, agency, instrumentality or arbitrator outstanding against any Credit Party, nor is any Credit Party in violation of any applicable order, injunction, decree or requirement of any governmental body or court which (i) could in any of the foregoing events reasonably be expected to have a Material Adverse Effect or (ii) relates to this Agreement or any other Loan Document.</w:t>
      </w:r>
    </w:p>
    <w:p>
      <w:pPr>
        <w:pStyle w:val="TextBody"/>
        <w:bidi w:val="0"/>
        <w:spacing w:before="0" w:after="0"/>
        <w:ind w:left="140" w:right="169" w:firstLine="720"/>
        <w:jc w:val="both"/>
        <w:rPr>
          <w:caps w:val="false"/>
          <w:smallCaps w:val="false"/>
        </w:rPr>
      </w:pPr>
      <w:r>
        <w:rPr>
          <w:caps w:val="false"/>
          <w:smallCaps w:val="false"/>
        </w:rPr>
        <w:t> </w:t>
      </w:r>
    </w:p>
    <w:p>
      <w:pPr>
        <w:pStyle w:val="TextBody"/>
        <w:bidi w:val="0"/>
        <w:spacing w:before="0" w:after="0"/>
        <w:ind w:left="140" w:right="12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val="false"/>
          <w:i w:val="false"/>
          <w:caps w:val="false"/>
          <w:smallCaps w:val="false"/>
          <w:sz w:val="20"/>
          <w:u w:val="single"/>
        </w:rPr>
        <w:t>Consents, Approvals and Filings,  Etc</w:t>
      </w:r>
      <w:r>
        <w:rPr>
          <w:rFonts w:ascii="Times New Roman;Times;Serif" w:hAnsi="Times New Roman;Times;Serif"/>
          <w:b w:val="false"/>
          <w:i w:val="false"/>
          <w:caps w:val="false"/>
          <w:smallCaps w:val="false"/>
          <w:sz w:val="20"/>
        </w:rPr>
        <w:t>.  Except as set forth on Schedule 5.10 hereto, (a) no authorization, consent, approval, license, qualification or formal exemption from, nor any filing, declaration or registration with, any court, governmental agency or regulatory authority or any securities exchange or any other Person (whether or not governmental) is required in connection with the  execution, delivery and performance: (i) by any Credit Party of this Agreement and any of the other Loan Documents to which such Credit Party is a party or (ii) by the Credit Parties of the grant of Liens granted, conveyed or otherwise established (or to be granted, conveyed or otherwise established) by or under this Agreement or the other Loan Documents, as applicable, and (b) no material authorization, consent, approval, license, qualification or formal exemption from, nor any filing, declaration or registration with, any court, governmental agency or regulatory authority or any securities exchange or any other Person (whether or not governmental) is otherwise necessary to the operation of its business, except in each case for (x) such matters which have been previously obtained, and (y) such filings to be made concurrently herewith or promptly following the Restatement Date as are required by the Collateral Documents to perfect Liens in favor of the Agent. All such authorizations, consents, approvals, licenses, qualifications, exemptions, filings, declarations and registrations which have previously been obtained or made, as the case may be, are in full force and effect and, to the best knowledge of the Borrower, are not the subject of any attack or threatened attack (in each case in any material respect) by appeal or direct proceeding or otherwise.</w:t>
      </w:r>
    </w:p>
    <w:p>
      <w:pPr>
        <w:pStyle w:val="TextBody"/>
        <w:bidi w:val="0"/>
        <w:spacing w:before="0" w:after="0"/>
        <w:ind w:left="140" w:right="122" w:firstLine="720"/>
        <w:jc w:val="both"/>
        <w:rPr>
          <w:caps w:val="false"/>
          <w:smallCaps w:val="false"/>
        </w:rPr>
      </w:pPr>
      <w:r>
        <w:rPr>
          <w:caps w:val="false"/>
          <w:smallCaps w:val="false"/>
        </w:rPr>
        <w:t> </w:t>
      </w:r>
    </w:p>
    <w:p>
      <w:pPr>
        <w:pStyle w:val="TextBody"/>
        <w:bidi w:val="0"/>
        <w:spacing w:before="0" w:after="0"/>
        <w:ind w:left="140" w:right="161"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val="false"/>
          <w:i w:val="false"/>
          <w:caps w:val="false"/>
          <w:smallCaps w:val="false"/>
          <w:sz w:val="20"/>
          <w:u w:val="single"/>
        </w:rPr>
        <w:t>Agreements Affecting Financial Condition</w:t>
      </w:r>
      <w:r>
        <w:rPr>
          <w:rFonts w:ascii="Times New Roman;Times;Serif" w:hAnsi="Times New Roman;Times;Serif"/>
          <w:b w:val="false"/>
          <w:i w:val="false"/>
          <w:caps w:val="false"/>
          <w:smallCaps w:val="false"/>
          <w:sz w:val="20"/>
        </w:rPr>
        <w:t>. No Credit Party is party to any agreement or instrument or subject to any charter or other corporate restriction which could reasonably be expected to have a Material Adverse Effect.</w:t>
      </w:r>
    </w:p>
    <w:p>
      <w:pPr>
        <w:pStyle w:val="TextBody"/>
        <w:bidi w:val="0"/>
        <w:spacing w:before="0" w:after="0"/>
        <w:ind w:left="140" w:right="161" w:firstLine="720"/>
        <w:jc w:val="both"/>
        <w:rPr>
          <w:caps w:val="false"/>
          <w:smallCaps w:val="false"/>
        </w:rPr>
      </w:pPr>
      <w:r>
        <w:rPr>
          <w:caps w:val="false"/>
          <w:smallCaps w:val="false"/>
        </w:rPr>
        <w:t> </w:t>
      </w:r>
    </w:p>
    <w:p>
      <w:pPr>
        <w:pStyle w:val="TextBody"/>
        <w:bidi w:val="0"/>
        <w:spacing w:before="0" w:after="0"/>
        <w:ind w:left="140" w:right="17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5.12    </w:t>
      </w:r>
      <w:r>
        <w:rPr>
          <w:rFonts w:ascii="Times New Roman;Times;Serif" w:hAnsi="Times New Roman;Times;Serif"/>
          <w:b w:val="false"/>
          <w:i w:val="false"/>
          <w:caps w:val="false"/>
          <w:smallCaps w:val="false"/>
          <w:sz w:val="20"/>
          <w:u w:val="single"/>
        </w:rPr>
        <w:t>No Investment Company or Margin Stock</w:t>
      </w:r>
      <w:r>
        <w:rPr>
          <w:rFonts w:ascii="Times New Roman;Times;Serif" w:hAnsi="Times New Roman;Times;Serif"/>
          <w:b w:val="false"/>
          <w:i w:val="false"/>
          <w:caps w:val="false"/>
          <w:smallCaps w:val="false"/>
          <w:sz w:val="20"/>
        </w:rPr>
        <w:t>. No Credit Party is an “investment company” within the meaning of the Investment Company Act of 1940, as amended. No Credit Party is engaged principally, or as one of its important activities, directly or indirectly, in the business of extending credit for the purpose of purchasing or carrying margin stock. No Credit Party is or will be engaged in the business of extending credit for the purpose of purchasing or carrying margin stock (within the meaning of Regulation T, U or X), and no proceeds of any Loan will be used to purchase or carry any margin stock or to extend credit to others for the purpose of purchasing or carrying any margin stock or for any purpose that violates, or is inconsistent with, the provisions of Regulation T, U and X. Terms for which</w:t>
      </w:r>
    </w:p>
    <w:p>
      <w:pPr>
        <w:pStyle w:val="TextBody"/>
        <w:bidi w:val="0"/>
        <w:spacing w:before="0" w:after="0"/>
        <w:ind w:left="140" w:right="17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9" w:right="17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meanings are provided in Regulation T, U and X of the Board of Governors of the Federal Reserve System or any regulations substituted therefore, as from time to time in effect, are used in this paragraph with such meanings.</w:t>
      </w:r>
    </w:p>
    <w:p>
      <w:pPr>
        <w:pStyle w:val="TextBody"/>
        <w:bidi w:val="0"/>
        <w:spacing w:before="0" w:after="0"/>
        <w:ind w:left="139" w:right="172" w:hanging="0"/>
        <w:jc w:val="both"/>
        <w:rPr>
          <w:caps w:val="false"/>
          <w:smallCaps w:val="false"/>
        </w:rPr>
      </w:pPr>
      <w:r>
        <w:rPr>
          <w:caps w:val="false"/>
          <w:smallCaps w:val="false"/>
        </w:rPr>
        <w:t> </w:t>
      </w:r>
    </w:p>
    <w:p>
      <w:pPr>
        <w:pStyle w:val="TextBody"/>
        <w:bidi w:val="0"/>
        <w:spacing w:before="0" w:after="0"/>
        <w:ind w:left="140" w:right="1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No ERISA Event or Foreign Benefit Event has occurred and, to the knowledge of the Borrower, no ERISA Event or Foreign Benefit Event is reasonably expected to occur, except as would not reasonably be expected to have a Material Adverse Effect when taken either individually or in the aggregate with all other such ERISA Events or Foreign Benefit Events for which liability could be reasonably expected to occur. Each Pension Plan and Foreign Plan is being maintained and funded in accordance with its terms and is in compliance with the requirements of the Internal Revenue Code and ERISA and other Requirements of Law, except to the extent that failure to comply therewith could not, either individually or in the aggregate, reasonably be expected to have a Material Adverse Effect.</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ind w:left="140" w:right="16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5.14    </w:t>
      </w:r>
      <w:r>
        <w:rPr>
          <w:rFonts w:ascii="Times New Roman;Times;Serif" w:hAnsi="Times New Roman;Times;Serif"/>
          <w:b w:val="false"/>
          <w:i w:val="false"/>
          <w:caps w:val="false"/>
          <w:smallCaps w:val="false"/>
          <w:sz w:val="20"/>
          <w:u w:val="single"/>
        </w:rPr>
        <w:t>Conditions Affecting Business or Properties</w:t>
      </w:r>
      <w:r>
        <w:rPr>
          <w:rFonts w:ascii="Times New Roman;Times;Serif" w:hAnsi="Times New Roman;Times;Serif"/>
          <w:b w:val="false"/>
          <w:i w:val="false"/>
          <w:caps w:val="false"/>
          <w:smallCaps w:val="false"/>
          <w:sz w:val="20"/>
        </w:rPr>
        <w:t>. Neither the respective businesses nor the properties of any Credit Party is affected by any fire, explosion, accident, strike, lockout or other dispute, drought, storm, hail, earthquake, embargo, Act of God, or other casualty which could reasonably be expected to have a Material Adverse Effect.</w:t>
      </w:r>
    </w:p>
    <w:p>
      <w:pPr>
        <w:pStyle w:val="TextBody"/>
        <w:bidi w:val="0"/>
        <w:spacing w:before="0" w:after="0"/>
        <w:ind w:left="140" w:right="162" w:firstLine="720"/>
        <w:jc w:val="both"/>
        <w:rPr>
          <w:caps w:val="false"/>
          <w:smallCaps w:val="false"/>
        </w:rPr>
      </w:pPr>
      <w:r>
        <w:rPr>
          <w:caps w:val="false"/>
          <w:smallCaps w:val="false"/>
        </w:rPr>
        <w:t> </w:t>
      </w:r>
    </w:p>
    <w:p>
      <w:pPr>
        <w:pStyle w:val="TextBody"/>
        <w:bidi w:val="0"/>
        <w:spacing w:before="0" w:after="0"/>
        <w:ind w:left="140" w:right="16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5.15   </w:t>
      </w:r>
      <w:r>
        <w:rPr>
          <w:rFonts w:ascii="Times New Roman;Times;Serif" w:hAnsi="Times New Roman;Times;Serif"/>
          <w:b w:val="false"/>
          <w:i w:val="false"/>
          <w:caps w:val="false"/>
          <w:smallCaps w:val="false"/>
          <w:sz w:val="20"/>
          <w:u w:val="single"/>
        </w:rPr>
        <w:t>Environmental and Safety Matters</w:t>
      </w:r>
      <w:r>
        <w:rPr>
          <w:rFonts w:ascii="Times New Roman;Times;Serif" w:hAnsi="Times New Roman;Times;Serif"/>
          <w:b w:val="false"/>
          <w:i w:val="false"/>
          <w:caps w:val="false"/>
          <w:smallCaps w:val="false"/>
          <w:sz w:val="20"/>
        </w:rPr>
        <w:t>. Except as set forth in Schedules 5.9, 5.10 and 5.15:</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facilities and property owned or leased by the Credit Parties are in compliance with all Hazardous Material Laws, except to the extent that any non-compliance could not reasonably be expected to result in a Material Adverse Effect;</w:t>
      </w:r>
    </w:p>
    <w:p>
      <w:pPr>
        <w:pStyle w:val="TextBody"/>
        <w:bidi w:val="0"/>
        <w:spacing w:before="0" w:after="0"/>
        <w:ind w:left="140" w:right="173" w:firstLine="1440"/>
        <w:jc w:val="both"/>
        <w:rPr>
          <w:caps w:val="false"/>
          <w:smallCaps w:val="false"/>
        </w:rPr>
      </w:pPr>
      <w:r>
        <w:rPr>
          <w:caps w:val="false"/>
          <w:smallCaps w:val="false"/>
        </w:rPr>
        <w:t> </w:t>
      </w:r>
    </w:p>
    <w:p>
      <w:pPr>
        <w:pStyle w:val="TextBody"/>
        <w:bidi w:val="0"/>
        <w:spacing w:before="0" w:after="0"/>
        <w:ind w:left="140"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best knowledge of the Borrower, except as could not reasonably be expected to result in a Material Adverse Effect, there have been no unresolved and outstanding past, and there are no pending or threatened:</w:t>
      </w:r>
    </w:p>
    <w:p>
      <w:pPr>
        <w:pStyle w:val="TextBody"/>
        <w:bidi w:val="0"/>
        <w:spacing w:before="0" w:after="0"/>
        <w:ind w:left="140" w:right="172" w:firstLine="1440"/>
        <w:jc w:val="both"/>
        <w:rPr>
          <w:caps w:val="false"/>
          <w:smallCaps w:val="false"/>
        </w:rPr>
      </w:pPr>
      <w:r>
        <w:rPr>
          <w:caps w:val="false"/>
          <w:smallCaps w:val="false"/>
        </w:rPr>
        <w:t> </w:t>
      </w:r>
    </w:p>
    <w:p>
      <w:pPr>
        <w:pStyle w:val="TextBody"/>
        <w:bidi w:val="0"/>
        <w:spacing w:before="0" w:after="0"/>
        <w:ind w:left="140" w:right="17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claims, complaints, notices or requests for information received by any Credit Party with respect to any alleged violation of any Hazardous Material Law, or</w:t>
      </w:r>
    </w:p>
    <w:p>
      <w:pPr>
        <w:pStyle w:val="TextBody"/>
        <w:bidi w:val="0"/>
        <w:spacing w:before="0" w:after="0"/>
        <w:ind w:left="140" w:right="170" w:firstLine="2160"/>
        <w:jc w:val="left"/>
        <w:rPr>
          <w:caps w:val="false"/>
          <w:smallCaps w:val="false"/>
        </w:rPr>
      </w:pPr>
      <w:r>
        <w:rPr>
          <w:caps w:val="false"/>
          <w:smallCaps w:val="false"/>
        </w:rPr>
        <w:t> </w:t>
      </w:r>
    </w:p>
    <w:p>
      <w:pPr>
        <w:pStyle w:val="TextBody"/>
        <w:bidi w:val="0"/>
        <w:spacing w:before="0" w:after="0"/>
        <w:ind w:left="140" w:right="17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written complaints, notices or inquiries to any Credit Party regarding potential liability of any Credit Parties under any Hazardous Material Law; and</w:t>
      </w:r>
    </w:p>
    <w:p>
      <w:pPr>
        <w:pStyle w:val="TextBody"/>
        <w:bidi w:val="0"/>
        <w:spacing w:before="0" w:after="0"/>
        <w:ind w:left="140" w:right="170" w:firstLine="2160"/>
        <w:jc w:val="left"/>
        <w:rPr>
          <w:caps w:val="false"/>
          <w:smallCaps w:val="false"/>
        </w:rPr>
      </w:pPr>
      <w:r>
        <w:rPr>
          <w:caps w:val="false"/>
          <w:smallCaps w:val="false"/>
        </w:rPr>
        <w:t> </w:t>
      </w:r>
    </w:p>
    <w:p>
      <w:pPr>
        <w:pStyle w:val="TextBody"/>
        <w:bidi w:val="0"/>
        <w:spacing w:before="0" w:after="0"/>
        <w:ind w:left="140"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best knowledge of the Borrower, no conditions exist at, on or under any property now or previously owned or leased by any Credit Party, in each case which, with the passage of time, or the giving of notice or both, are or would be reasonably likely to give rise to liability under any Hazardous Material Law or create a significant adverse effect on the value of the property, except to the extent that such condition or liability could not reasonably be expected to result in a Material Adverse Effect.</w:t>
      </w:r>
    </w:p>
    <w:p>
      <w:pPr>
        <w:pStyle w:val="TextBody"/>
        <w:bidi w:val="0"/>
        <w:spacing w:before="0" w:after="0"/>
        <w:ind w:left="140" w:right="170" w:firstLine="1440"/>
        <w:jc w:val="both"/>
        <w:rPr>
          <w:caps w:val="false"/>
          <w:smallCaps w:val="false"/>
        </w:rPr>
      </w:pPr>
      <w:r>
        <w:rPr>
          <w:caps w:val="false"/>
          <w:smallCaps w:val="false"/>
        </w:rPr>
        <w:t> </w:t>
      </w:r>
    </w:p>
    <w:p>
      <w:pPr>
        <w:pStyle w:val="TextBody"/>
        <w:bidi w:val="0"/>
        <w:spacing w:before="0" w:after="0"/>
        <w:ind w:left="140" w:right="17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5.16   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Except as disclosed on Schedule 5.16 hereto as of the Restatement Date, and thereafter, except as disclosed to the Agent in writing from time to time, no Credit Party has any Subsidiaries.</w:t>
      </w:r>
    </w:p>
    <w:p>
      <w:pPr>
        <w:pStyle w:val="TextBody"/>
        <w:bidi w:val="0"/>
        <w:spacing w:before="0" w:after="0"/>
        <w:ind w:left="140" w:right="170" w:firstLine="720"/>
        <w:jc w:val="both"/>
        <w:rPr>
          <w:caps w:val="false"/>
          <w:smallCaps w:val="false"/>
        </w:rPr>
      </w:pPr>
      <w:r>
        <w:rPr>
          <w:caps w:val="false"/>
          <w:smallCaps w:val="false"/>
        </w:rPr>
        <w:t> </w:t>
      </w:r>
    </w:p>
    <w:p>
      <w:pPr>
        <w:pStyle w:val="TextBody"/>
        <w:bidi w:val="0"/>
        <w:spacing w:before="0" w:after="0"/>
        <w:ind w:left="140" w:right="17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5.17    </w:t>
      </w:r>
      <w:r>
        <w:rPr>
          <w:rFonts w:ascii="Times New Roman;Times;Serif" w:hAnsi="Times New Roman;Times;Serif"/>
          <w:b w:val="false"/>
          <w:i w:val="false"/>
          <w:caps w:val="false"/>
          <w:smallCaps w:val="false"/>
          <w:sz w:val="20"/>
          <w:u w:val="single"/>
        </w:rPr>
        <w:t>Adverse Agreements, Etc</w:t>
      </w:r>
      <w:r>
        <w:rPr>
          <w:rFonts w:ascii="Times New Roman;Times;Serif" w:hAnsi="Times New Roman;Times;Serif"/>
          <w:b w:val="false"/>
          <w:i w:val="false"/>
          <w:caps w:val="false"/>
          <w:smallCaps w:val="false"/>
          <w:sz w:val="20"/>
        </w:rPr>
        <w:t>. No Credit Party or any of its Subsidiaries is a party to any Contractual Obligation or subject to any restriction or limitation in any governing document or any judgment, order, regulation, ruling or other requirement of a court or other Governmental Authority, which (either individually or in the aggregate) has, or in the future could reasonably be expected (either individually or in the aggregate) to have, a Material Adverse Effect.</w:t>
      </w:r>
    </w:p>
    <w:p>
      <w:pPr>
        <w:pStyle w:val="TextBody"/>
        <w:bidi w:val="0"/>
        <w:spacing w:before="0" w:after="0"/>
        <w:ind w:left="140" w:right="17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9" w:right="1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5.18   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 Schedule 5.18 attached hereto is an accurate and complete list of all Material Contracts in effect on or as of the Restatement Date to which any Credit Party is a party or is bound. Each such Material Contract is in full force and effect and is binding upon and enforceable against each Credit Party that is a party thereto and, to the best knowledge of such Credit Party, all other parties thereto in accordance with its terms.</w:t>
      </w:r>
    </w:p>
    <w:p>
      <w:pPr>
        <w:pStyle w:val="TextBody"/>
        <w:bidi w:val="0"/>
        <w:spacing w:before="0" w:after="0"/>
        <w:ind w:left="139" w:right="172" w:firstLine="720"/>
        <w:jc w:val="both"/>
        <w:rPr>
          <w:caps w:val="false"/>
          <w:smallCaps w:val="false"/>
        </w:rPr>
      </w:pPr>
      <w:r>
        <w:rPr>
          <w:caps w:val="false"/>
          <w:smallCaps w:val="false"/>
        </w:rPr>
        <w:t> </w:t>
      </w:r>
    </w:p>
    <w:p>
      <w:pPr>
        <w:pStyle w:val="TextBody"/>
        <w:bidi w:val="0"/>
        <w:spacing w:before="0" w:after="0"/>
        <w:ind w:left="140" w:right="17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Each Credit Party maintains all insurance required by Section 6.5.</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7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5.20    </w:t>
      </w:r>
      <w:r>
        <w:rPr>
          <w:rFonts w:ascii="Times New Roman;Times;Serif" w:hAnsi="Times New Roman;Times;Serif"/>
          <w:b w:val="false"/>
          <w:i w:val="false"/>
          <w:caps w:val="false"/>
          <w:smallCaps w:val="false"/>
          <w:sz w:val="20"/>
          <w:u w:val="single"/>
        </w:rPr>
        <w:t>Capital Structure</w:t>
      </w:r>
      <w:r>
        <w:rPr>
          <w:rFonts w:ascii="Times New Roman;Times;Serif" w:hAnsi="Times New Roman;Times;Serif"/>
          <w:b w:val="false"/>
          <w:i w:val="false"/>
          <w:caps w:val="false"/>
          <w:smallCaps w:val="false"/>
          <w:sz w:val="20"/>
        </w:rPr>
        <w:t>. Schedule 5.20 attached hereto sets forth all issued and outstanding Equity Interests of each Credit Party (other than the Borrower), including the number of authorized, issued and outstanding Equity Interests of each Credit Party, the par value of such Equity Interests and the holders of such Equity Interests, all on and as of the Restatement Date. All issued and outstanding Equity Interests of each Credit Party are duly authorized and validly issued, fully paid, nonassessable, free and clear of all Liens (in the case of Liens on the Equity Interests of any Credit Party (other than the Borrower), except for Liens in favor of (i) the Agent or (ii) the Senior Agent under the Senior Loan Documents) and such Equity Interests were issued in compliance with all applicable state, federal and foreign laws concerning the issuance of securities. Except as disclosed on Schedule 5.20, there are no preemptive or other outstanding rights, options, warrants, conversion rights or similar agreements or understandings for the purchase or acquisition from any Credit Party, of any Equity Interests of any Credit Party.</w:t>
      </w:r>
    </w:p>
    <w:p>
      <w:pPr>
        <w:pStyle w:val="TextBody"/>
        <w:bidi w:val="0"/>
        <w:spacing w:before="0" w:after="0"/>
        <w:ind w:left="140" w:right="170" w:firstLine="720"/>
        <w:jc w:val="both"/>
        <w:rPr>
          <w:caps w:val="false"/>
          <w:smallCaps w:val="false"/>
        </w:rPr>
      </w:pPr>
      <w:r>
        <w:rPr>
          <w:caps w:val="false"/>
          <w:smallCaps w:val="false"/>
        </w:rPr>
        <w:t> </w:t>
      </w:r>
    </w:p>
    <w:p>
      <w:pPr>
        <w:pStyle w:val="TextBody"/>
        <w:bidi w:val="0"/>
        <w:spacing w:before="0" w:after="0"/>
        <w:ind w:left="140" w:right="17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5.21   </w:t>
      </w:r>
      <w:r>
        <w:rPr>
          <w:rFonts w:ascii="Times New Roman;Times;Serif" w:hAnsi="Times New Roman;Times;Serif"/>
          <w:b w:val="false"/>
          <w:i w:val="false"/>
          <w:caps w:val="false"/>
          <w:smallCaps w:val="false"/>
          <w:sz w:val="20"/>
          <w:u w:val="single"/>
        </w:rPr>
        <w:t>Accuracy of Information</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audited financial statements for the fiscal year ended January 31, 2025, furnished to the Agent and the Lenders prior to the Restatement Date fairly present in all material respects the financial condition of the Borrower and its respective Subsidiaries and the results of their operations for the periods covered thereby, and have been prepared in accordance with GAAP. The projections and the other pro forma financial information delivered to the Agent prior to the Restatement Date are based upon good faith estimates and assumptions believed by management of the Borrower to be accurate and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w:t>
      </w:r>
    </w:p>
    <w:p>
      <w:pPr>
        <w:pStyle w:val="TextBody"/>
        <w:bidi w:val="0"/>
        <w:spacing w:before="0" w:after="0"/>
        <w:ind w:left="140" w:right="173" w:firstLine="1440"/>
        <w:jc w:val="both"/>
        <w:rPr>
          <w:caps w:val="false"/>
          <w:smallCaps w:val="false"/>
        </w:rPr>
      </w:pPr>
      <w:r>
        <w:rPr>
          <w:caps w:val="false"/>
          <w:smallCaps w:val="false"/>
        </w:rPr>
        <w:t> </w:t>
      </w:r>
    </w:p>
    <w:p>
      <w:pPr>
        <w:pStyle w:val="TextBody"/>
        <w:bidi w:val="0"/>
        <w:spacing w:before="0" w:after="0"/>
        <w:ind w:left="139"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January 31, 2025, no Material Adverse Effect has occurred.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39"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best knowledge of the Credit Parties, as of the Restatement Date, (i) the Credit Parties do not have any material contingent obligations (including any liability for taxes) not disclosed by or reserved against in the opening balance sheet to be delivered hereunder and (ii) there are no unrealized or anticipated losses from any present commitment of the Credit Parties which contingent obligations and losses in the aggregate could reasonably be expected to have a Material Adverse Effect.</w:t>
      </w:r>
    </w:p>
    <w:p>
      <w:pPr>
        <w:pStyle w:val="TextBody"/>
        <w:bidi w:val="0"/>
        <w:spacing w:before="0" w:after="0"/>
        <w:ind w:left="139" w:right="172" w:firstLine="1440"/>
        <w:jc w:val="both"/>
        <w:rPr>
          <w:caps w:val="false"/>
          <w:smallCaps w:val="false"/>
        </w:rPr>
      </w:pPr>
      <w:r>
        <w:rPr>
          <w:caps w:val="false"/>
          <w:smallCaps w:val="false"/>
        </w:rPr>
        <w:t> </w:t>
      </w:r>
    </w:p>
    <w:p>
      <w:pPr>
        <w:pStyle w:val="TextBody"/>
        <w:bidi w:val="0"/>
        <w:spacing w:before="0" w:after="0"/>
        <w:ind w:left="140" w:right="17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5.22   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(i) After giving effect to the consummation of the Restatement Date Transactions and the other transactions contemplated by this Agreement and the other Loan Documents and (ii) after the Restatement Date, before and after giving effect to each Loan, the Credit Parties, taken as a whole, will be Solvent. This Agreement is being executed and delivered by the Borrower to the Agent and the Lenders in good faith and in exchange for fair, equivalent consideration. The Credit Parties do not contemplate filing a petition in bankruptcy or for an arrangement or reorganization under the Bankruptcy Code or any similar law of any jurisdiction now or hereafter in effect relating to any</w:t>
      </w:r>
    </w:p>
    <w:p>
      <w:pPr>
        <w:pStyle w:val="TextBody"/>
        <w:bidi w:val="0"/>
        <w:spacing w:before="0" w:after="0"/>
        <w:ind w:left="140" w:right="17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Party, nor does any Credit Party have any knowledge of any threatened bankruptcy or insolvency proceedings against a Credit Party.</w:t>
      </w:r>
    </w:p>
    <w:p>
      <w:pPr>
        <w:pStyle w:val="TextBody"/>
        <w:bidi w:val="0"/>
        <w:spacing w:before="0" w:after="0"/>
        <w:ind w:left="140" w:right="0" w:hanging="0"/>
        <w:jc w:val="left"/>
        <w:rPr>
          <w:caps w:val="false"/>
          <w:smallCaps w:val="false"/>
        </w:rPr>
      </w:pPr>
      <w:r>
        <w:rPr>
          <w:caps w:val="false"/>
          <w:smallCaps w:val="false"/>
        </w:rPr>
        <w:t> </w:t>
      </w:r>
    </w:p>
    <w:p>
      <w:pPr>
        <w:pStyle w:val="TextBody"/>
        <w:bidi w:val="0"/>
        <w:spacing w:before="0" w:after="0"/>
        <w:ind w:left="140" w:right="17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5.23    </w:t>
      </w:r>
      <w:r>
        <w:rPr>
          <w:rFonts w:ascii="Times New Roman;Times;Serif" w:hAnsi="Times New Roman;Times;Serif"/>
          <w:b w:val="false"/>
          <w:i w:val="false"/>
          <w:caps w:val="false"/>
          <w:smallCaps w:val="false"/>
          <w:sz w:val="20"/>
          <w:u w:val="single"/>
        </w:rPr>
        <w:t>Employee Matters</w:t>
      </w:r>
      <w:r>
        <w:rPr>
          <w:rFonts w:ascii="Times New Roman;Times;Serif" w:hAnsi="Times New Roman;Times;Serif"/>
          <w:b w:val="false"/>
          <w:i w:val="false"/>
          <w:caps w:val="false"/>
          <w:smallCaps w:val="false"/>
          <w:sz w:val="20"/>
        </w:rPr>
        <w:t>. There are no strikes, slowdowns, work stoppages, unfair labor practice complaints, grievances, arbitration proceedings or controversies pending or, to the best knowledge of the Borrower, threatened in writing against any Credit Party by any employees of any Credit Party, other than non-material employee grievances or controversies arising in the ordinary course of business and other grievances or controversies which could not reasonably be expected to have a Material Adverse Effect. Set forth on Schedule 5.23 are all union contracts or agreements to which any Credit Party is party as of the Restatement Date and the related expiration dates of each such contract.</w:t>
      </w:r>
    </w:p>
    <w:p>
      <w:pPr>
        <w:pStyle w:val="TextBody"/>
        <w:bidi w:val="0"/>
        <w:spacing w:before="0" w:after="0"/>
        <w:ind w:left="140" w:right="170" w:firstLine="720"/>
        <w:jc w:val="both"/>
        <w:rPr>
          <w:caps w:val="false"/>
          <w:smallCaps w:val="false"/>
        </w:rPr>
      </w:pPr>
      <w:r>
        <w:rPr>
          <w:caps w:val="false"/>
          <w:smallCaps w:val="false"/>
        </w:rPr>
        <w:t> </w:t>
      </w:r>
    </w:p>
    <w:p>
      <w:pPr>
        <w:pStyle w:val="TextBody"/>
        <w:bidi w:val="0"/>
        <w:spacing w:before="0" w:after="0"/>
        <w:ind w:left="140" w:right="171"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5.24   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Each Credit Party has disclosed to the Agent and the Lenders all  agreements, instruments and corporate or other restrictions to which it is subject, and all other matters known to it, that, individually or in the aggregate, could reasonably be expected to result in a Material Adverse Effect. Neither this Agreement nor any other Loan Document, certificate, written information or report furnished or to be furnished by or on behalf of a Credit Party to the Agent or any Lender in connection with any of the transactions contemplated hereby or thereby, contains a misstatement of material fact, or omits to state a material fact required to be stated in order to make the statements contained herein or therein, taken as a whole, not materially misleading in the light of the circumstances under which such statements were made. There is no fact, other than information known to the public generally, known to any Credit Party after diligent inquiry, that could reasonably be expect to have a Material Adverse Effect that has not expressly been disclosed to the Agent in writing.</w:t>
      </w:r>
    </w:p>
    <w:p>
      <w:pPr>
        <w:pStyle w:val="TextBody"/>
        <w:bidi w:val="0"/>
        <w:spacing w:before="0" w:after="0"/>
        <w:ind w:left="140" w:right="171" w:firstLine="720"/>
        <w:jc w:val="both"/>
        <w:rPr>
          <w:caps w:val="false"/>
          <w:smallCaps w:val="false"/>
        </w:rPr>
      </w:pPr>
      <w:r>
        <w:rPr>
          <w:caps w:val="false"/>
          <w:smallCaps w:val="false"/>
        </w:rPr>
        <w:t> </w:t>
      </w:r>
    </w:p>
    <w:p>
      <w:pPr>
        <w:pStyle w:val="TextBody"/>
        <w:bidi w:val="0"/>
        <w:spacing w:before="0" w:after="0"/>
        <w:ind w:left="140" w:right="17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5.25   </w:t>
      </w:r>
      <w:r>
        <w:rPr>
          <w:rFonts w:ascii="Times New Roman;Times;Serif" w:hAnsi="Times New Roman;Times;Serif"/>
          <w:b w:val="false"/>
          <w:i w:val="false"/>
          <w:caps w:val="false"/>
          <w:smallCaps w:val="false"/>
          <w:sz w:val="20"/>
          <w:u w:val="single"/>
        </w:rPr>
        <w:t>Corporate Documents and Corporate Existence</w:t>
      </w:r>
      <w:r>
        <w:rPr>
          <w:rFonts w:ascii="Times New Roman;Times;Serif" w:hAnsi="Times New Roman;Times;Serif"/>
          <w:b w:val="false"/>
          <w:i w:val="false"/>
          <w:caps w:val="false"/>
          <w:smallCaps w:val="false"/>
          <w:sz w:val="20"/>
        </w:rPr>
        <w:t>. As to the Borrower and any Guarantor, (a) it is an organization as described on Schedule 1.1 hereto and has provided the Agent and the Lenders with complete and correct copies of its articles of incorporation, by-laws and all other applicable charter and other organizational documents, and, if applicable, a good standing certificate and (b) its correct legal name, business address, type of organization and jurisdiction of organization, tax identification number and other relevant identification numbers are set forth on Schedule 1.1 hereto.</w:t>
      </w:r>
    </w:p>
    <w:p>
      <w:pPr>
        <w:pStyle w:val="TextBody"/>
        <w:bidi w:val="0"/>
        <w:spacing w:before="0" w:after="0"/>
        <w:ind w:left="139" w:right="172" w:hanging="0"/>
        <w:jc w:val="both"/>
        <w:rPr>
          <w:caps w:val="false"/>
          <w:smallCaps w:val="false"/>
        </w:rPr>
      </w:pPr>
      <w:r>
        <w:rPr>
          <w:caps w:val="false"/>
          <w:smallCaps w:val="false"/>
        </w:rPr>
        <w:t> </w:t>
      </w:r>
    </w:p>
    <w:p>
      <w:pPr>
        <w:pStyle w:val="TextBody"/>
        <w:bidi w:val="0"/>
        <w:spacing w:before="0" w:after="0"/>
        <w:ind w:left="140" w:right="17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5.26   </w:t>
      </w:r>
      <w:r>
        <w:rPr>
          <w:rFonts w:ascii="Times New Roman;Times;Serif" w:hAnsi="Times New Roman;Times;Serif"/>
          <w:b w:val="false"/>
          <w:i w:val="false"/>
          <w:caps w:val="false"/>
          <w:smallCaps w:val="false"/>
          <w:sz w:val="20"/>
          <w:u w:val="single"/>
        </w:rPr>
        <w:t>Anti-Money Laundering/Anti-Terrorism</w:t>
      </w:r>
      <w:r>
        <w:rPr>
          <w:rFonts w:ascii="Times New Roman;Times;Serif" w:hAnsi="Times New Roman;Times;Serif"/>
          <w:b w:val="false"/>
          <w:i w:val="false"/>
          <w:caps w:val="false"/>
          <w:smallCaps w:val="false"/>
          <w:sz w:val="20"/>
        </w:rPr>
        <w:t>. Each Credit Party represents and warrants that (i)   no Covered Entity (in the case of clauses (b) and (c) of the definition of “Covered Entity,” to the knowledge of the Credit Parties) (A) is a Sanctioned Person; (B), either in its own right or through any third party, (1) has any of its assets in a Sanctioned Country or in the possession, custody or control of a Sanctioned Person; (2) does business in or with, or derives any of its income from investments in or transactions with, any Sanctioned Country or Sanctioned Person in violation of any Anti-Terrorism Law; or (3) engages in any dealings or transactions prohibited by, any Anti-Terrorism Laws.</w:t>
      </w:r>
    </w:p>
    <w:p>
      <w:pPr>
        <w:pStyle w:val="TextBody"/>
        <w:bidi w:val="0"/>
        <w:spacing w:before="0" w:after="0"/>
        <w:ind w:left="139" w:right="170" w:hanging="0"/>
        <w:jc w:val="both"/>
        <w:rPr>
          <w:caps w:val="false"/>
          <w:smallCaps w:val="false"/>
        </w:rPr>
      </w:pPr>
      <w:r>
        <w:rPr>
          <w:caps w:val="false"/>
          <w:smallCaps w:val="false"/>
        </w:rPr>
        <w:t> </w:t>
      </w:r>
    </w:p>
    <w:p>
      <w:pPr>
        <w:pStyle w:val="TextBody"/>
        <w:bidi w:val="0"/>
        <w:spacing w:before="0" w:after="0"/>
        <w:ind w:left="139" w:right="17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5.27   </w:t>
      </w:r>
      <w:r>
        <w:rPr>
          <w:rFonts w:ascii="Times New Roman;Times;Serif" w:hAnsi="Times New Roman;Times;Serif"/>
          <w:b w:val="false"/>
          <w:i w:val="false"/>
          <w:caps w:val="false"/>
          <w:smallCaps w:val="false"/>
          <w:sz w:val="20"/>
          <w:u w:val="single"/>
        </w:rPr>
        <w:t>EEA Financial Institution</w:t>
      </w:r>
      <w:r>
        <w:rPr>
          <w:rFonts w:ascii="Times New Roman;Times;Serif" w:hAnsi="Times New Roman;Times;Serif"/>
          <w:b w:val="false"/>
          <w:i w:val="false"/>
          <w:caps w:val="false"/>
          <w:smallCaps w:val="false"/>
          <w:sz w:val="20"/>
        </w:rPr>
        <w:t>. Neither the Borrower nor any Guarantor is an EEA Financial Institution.</w:t>
      </w:r>
    </w:p>
    <w:p>
      <w:pPr>
        <w:pStyle w:val="TextBody"/>
        <w:bidi w:val="0"/>
        <w:spacing w:before="0" w:after="0"/>
        <w:ind w:left="139" w:right="174" w:firstLine="720"/>
        <w:jc w:val="both"/>
        <w:rPr>
          <w:caps w:val="false"/>
          <w:smallCaps w:val="false"/>
        </w:rPr>
      </w:pPr>
      <w:r>
        <w:rPr>
          <w:caps w:val="false"/>
          <w:smallCaps w:val="false"/>
        </w:rPr>
        <w:t> </w:t>
      </w:r>
    </w:p>
    <w:p>
      <w:pPr>
        <w:pStyle w:val="TextBody"/>
        <w:bidi w:val="0"/>
        <w:spacing w:before="0" w:after="0"/>
        <w:ind w:left="140" w:right="17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5.28   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61"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best of the Borrower’s knowledge, the Credit Parties own or have rights to use the Intellectual Property necessary for the conduct of their businesses. To the best of the Borrower’s knowledge, each of the Copyrights, Trademarks and Patents (in each case, as defined in the Security Agreement) owned by the Borrower is valid and enforceable, and no part of such Intellectual Property has been judged invalid or unenforceable, in whole or in part, and no claim has been made to  the Borrower that any part of such Intellectual Property violates the rights of any third party except to the extent such claim could not reasonably be expected to cause a Material Adverse Effect.</w:t>
      </w:r>
    </w:p>
    <w:p>
      <w:pPr>
        <w:pStyle w:val="TextBody"/>
        <w:bidi w:val="0"/>
        <w:spacing w:before="0" w:after="0"/>
        <w:ind w:left="140" w:right="161"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Credit Parties and any Person acting for or on behalf of the Credit Parties have complied with all Data Security Requirements, except such non-compliance that could not reasonably be expected to result in a Material Adverse Effect.</w:t>
      </w:r>
    </w:p>
    <w:p>
      <w:pPr>
        <w:pStyle w:val="TextBody"/>
        <w:bidi w:val="0"/>
        <w:spacing w:before="0" w:after="0"/>
        <w:ind w:left="140" w:right="172" w:firstLine="1440"/>
        <w:jc w:val="both"/>
        <w:rPr>
          <w:caps w:val="false"/>
          <w:smallCaps w:val="false"/>
        </w:rPr>
      </w:pPr>
      <w:r>
        <w:rPr>
          <w:caps w:val="false"/>
          <w:smallCaps w:val="false"/>
        </w:rPr>
        <w:t> </w:t>
      </w:r>
    </w:p>
    <w:p>
      <w:pPr>
        <w:pStyle w:val="TextBody"/>
        <w:bidi w:val="0"/>
        <w:spacing w:before="0" w:after="0"/>
        <w:ind w:left="140" w:right="171"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5.29   </w:t>
      </w:r>
      <w:r>
        <w:rPr>
          <w:rFonts w:ascii="Times New Roman;Times;Serif" w:hAnsi="Times New Roman;Times;Serif"/>
          <w:b w:val="false"/>
          <w:i w:val="false"/>
          <w:caps w:val="false"/>
          <w:smallCaps w:val="false"/>
          <w:sz w:val="20"/>
          <w:u w:val="single"/>
        </w:rPr>
        <w:t>Inbound Licenses</w:t>
      </w:r>
      <w:r>
        <w:rPr>
          <w:rFonts w:ascii="Times New Roman;Times;Serif" w:hAnsi="Times New Roman;Times;Serif"/>
          <w:b w:val="false"/>
          <w:i w:val="false"/>
          <w:caps w:val="false"/>
          <w:smallCaps w:val="false"/>
          <w:sz w:val="20"/>
        </w:rPr>
        <w:t>. Except as disclosed on Schedule 5.29, the Borrower is not a party to, nor is it bound by, any material inbound license or other material agreement the failure, breach, or termination of which could reasonably be expected to cause a Material Adverse Effect, or that prohibits or otherwise restricts the Borrower from granting a security interest in the Borrower’s interest in such license or any other property.</w:t>
      </w:r>
    </w:p>
    <w:p>
      <w:pPr>
        <w:pStyle w:val="TextBody"/>
        <w:bidi w:val="0"/>
        <w:spacing w:before="0" w:after="0"/>
        <w:ind w:left="140" w:right="171" w:firstLine="720"/>
        <w:jc w:val="both"/>
        <w:rPr>
          <w:caps w:val="false"/>
          <w:smallCaps w:val="false"/>
        </w:rPr>
      </w:pPr>
      <w:r>
        <w:rPr>
          <w:caps w:val="false"/>
          <w:smallCaps w:val="false"/>
        </w:rPr>
        <w:t> </w:t>
      </w:r>
    </w:p>
    <w:p>
      <w:pPr>
        <w:pStyle w:val="TextBody"/>
        <w:bidi w:val="0"/>
        <w:spacing w:before="0" w:after="0"/>
        <w:ind w:left="140" w:right="1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proceeds of the Loans shall be used in accordance with Section 2.10.</w:t>
      </w:r>
    </w:p>
    <w:p>
      <w:pPr>
        <w:pStyle w:val="TextBody"/>
        <w:bidi w:val="0"/>
        <w:spacing w:before="0" w:after="0"/>
        <w:ind w:left="140" w:right="0" w:hanging="0"/>
        <w:jc w:val="left"/>
        <w:rPr>
          <w:caps w:val="false"/>
          <w:smallCaps w:val="false"/>
        </w:rPr>
      </w:pPr>
      <w:r>
        <w:rPr>
          <w:caps w:val="false"/>
          <w:smallCaps w:val="false"/>
        </w:rPr>
        <w:t> </w:t>
      </w:r>
    </w:p>
    <w:p>
      <w:pPr>
        <w:pStyle w:val="TextBody"/>
        <w:bidi w:val="0"/>
        <w:spacing w:before="0" w:after="0"/>
        <w:ind w:left="140" w:right="1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5.31   </w:t>
      </w:r>
      <w:r>
        <w:rPr>
          <w:rFonts w:ascii="Times New Roman;Times;Serif" w:hAnsi="Times New Roman;Times;Serif"/>
          <w:b w:val="false"/>
          <w:i w:val="false"/>
          <w:caps w:val="false"/>
          <w:smallCaps w:val="false"/>
          <w:sz w:val="20"/>
          <w:u w:val="single"/>
        </w:rPr>
        <w:t>Security Documents</w:t>
      </w:r>
      <w:r>
        <w:rPr>
          <w:rFonts w:ascii="Times New Roman;Times;Serif" w:hAnsi="Times New Roman;Times;Serif"/>
          <w:b w:val="false"/>
          <w:i w:val="false"/>
          <w:caps w:val="false"/>
          <w:smallCaps w:val="false"/>
          <w:sz w:val="20"/>
        </w:rPr>
        <w:t>. The Security Agreement creates in favor of the Agent, for the benefit of itself and the Lenders, a legal, valid, continuing and enforceable security interest in the Collateral, the enforceability of which is subject to applicable bankruptcy, insolvency, reorganization, moratorium or other laws affecting creditors’ rights generally and subject to general principles of equity, regardless of whether considered in a proceeding in equity or at law.</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ind w:left="139" w:right="159"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5.32   </w:t>
      </w:r>
      <w:r>
        <w:rPr>
          <w:rFonts w:ascii="Times New Roman;Times;Serif" w:hAnsi="Times New Roman;Times;Serif"/>
          <w:b w:val="false"/>
          <w:i w:val="false"/>
          <w:caps w:val="false"/>
          <w:smallCaps w:val="false"/>
          <w:sz w:val="20"/>
          <w:u w:val="single"/>
        </w:rPr>
        <w:t>Customers and Suppliers</w:t>
      </w:r>
      <w:r>
        <w:rPr>
          <w:rFonts w:ascii="Times New Roman;Times;Serif" w:hAnsi="Times New Roman;Times;Serif"/>
          <w:b w:val="false"/>
          <w:i w:val="false"/>
          <w:caps w:val="false"/>
          <w:smallCaps w:val="false"/>
          <w:sz w:val="20"/>
        </w:rPr>
        <w:t>. There exists no actual or threatened termination, cancellation or limitation of, or modification to or change in, the business relationship between (i) any Credit Party, on the one hand, and any customer or any group thereof, on the other hand, whose agreements with any Credit Party are individually or in the aggregate material to the business or operations of such Credit Party, or (ii) any Credit Party, on the one hand, and any supplier or any group thereof, on the other hand, whose agreements with any Credit Party are individually or in the aggregate material to the business or operations of such Credit Party; and there exists no present state of facts or circumstances that could give rise to or result in any such termination, cancellation, limitation, modification or change, except, in each case of this Section 5.32, where such termination, cancellation, limitation, modification or change that could not reasonably be expected to result in a Material Adverse Effect.</w:t>
      </w:r>
    </w:p>
    <w:p>
      <w:pPr>
        <w:pStyle w:val="TextBody"/>
        <w:bidi w:val="0"/>
        <w:spacing w:before="0" w:after="0"/>
        <w:ind w:left="139" w:right="159" w:firstLine="720"/>
        <w:jc w:val="both"/>
        <w:rPr>
          <w:caps w:val="false"/>
          <w:smallCaps w:val="false"/>
        </w:rPr>
      </w:pPr>
      <w:r>
        <w:rPr>
          <w:caps w:val="false"/>
          <w:smallCaps w:val="false"/>
        </w:rPr>
        <w:t> </w:t>
      </w:r>
    </w:p>
    <w:p>
      <w:pPr>
        <w:pStyle w:val="TextBody"/>
        <w:bidi w:val="0"/>
        <w:spacing w:before="0" w:after="0"/>
        <w:ind w:left="139" w:right="159"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5.33   </w:t>
      </w:r>
      <w:r>
        <w:rPr>
          <w:rFonts w:ascii="Times New Roman;Times;Serif" w:hAnsi="Times New Roman;Times;Serif"/>
          <w:b w:val="false"/>
          <w:i w:val="false"/>
          <w:caps w:val="false"/>
          <w:smallCaps w:val="false"/>
          <w:sz w:val="20"/>
          <w:u w:val="single"/>
        </w:rPr>
        <w:t>Technology Security Systems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Credit Party and each of its Subsidiaries has implemented and maintains adequate administrative, physical, and technical security measures and procedures (consistent with industry standards for companies and businesses of similar size in similar industries) to protect the confidentiality, integrity, and security of (i) its computers, computer systems, servers, hardware, software, websites, databases, networks, and all other information technology equipment and systems, including any hosted locations and other outsourced systems and processes (all of the foregoing in this clause (i), “</w:t>
      </w:r>
      <w:r>
        <w:rPr>
          <w:rFonts w:ascii="Times New Roman;Times;Serif" w:hAnsi="Times New Roman;Times;Serif"/>
          <w:b w:val="false"/>
          <w:i w:val="false"/>
          <w:caps w:val="false"/>
          <w:smallCaps w:val="false"/>
          <w:sz w:val="20"/>
          <w:u w:val="single"/>
        </w:rPr>
        <w:t>Credit Party Systems</w:t>
      </w:r>
      <w:r>
        <w:rPr>
          <w:rFonts w:ascii="Times New Roman;Times;Serif" w:hAnsi="Times New Roman;Times;Serif"/>
          <w:b w:val="false"/>
          <w:i w:val="false"/>
          <w:caps w:val="false"/>
          <w:smallCaps w:val="false"/>
          <w:sz w:val="20"/>
        </w:rPr>
        <w:t>”) and (ii) all individually identifiable information, including sensitive and confidential information, accessed, collected, used, processed, stored, transferred or disclosed by or on behalf of any Credit Party or any Subsidiary of any Credit Party (all such data and information referred to in this clause (ii), “</w:t>
      </w:r>
      <w:r>
        <w:rPr>
          <w:rFonts w:ascii="Times New Roman;Times;Serif" w:hAnsi="Times New Roman;Times;Serif"/>
          <w:b w:val="false"/>
          <w:i w:val="false"/>
          <w:caps w:val="false"/>
          <w:smallCaps w:val="false"/>
          <w:sz w:val="20"/>
          <w:u w:val="single"/>
        </w:rPr>
        <w:t>Credit Party Data</w:t>
      </w:r>
      <w:r>
        <w:rPr>
          <w:rFonts w:ascii="Times New Roman;Times;Serif" w:hAnsi="Times New Roman;Times;Serif"/>
          <w:b w:val="false"/>
          <w:i w:val="false"/>
          <w:caps w:val="false"/>
          <w:smallCaps w:val="false"/>
          <w:sz w:val="20"/>
        </w:rPr>
        <w:t xml:space="preserve">”), in all cases including from theft, destruction, corruption, loss or unauthorized use, access, interruption, deletion, alteration or modification by any Person except, in each case of this clause (a), as has not had, and would not reasonably be expected to have, individually or in the aggregate, a Material Adverse Effect. All Credit Party Systems necessary to the operation of Credit Party’s business are operational in all material respects and have adequate backups and disaster recovery arrangements that are at least reasonable and at least consistent with, as protective as, and no less rigorous than, industry standards for companies and businesses of similar size in similar industries. </w:t>
      </w:r>
      <w:r>
        <w:rPr>
          <w:rFonts w:ascii="Times New Roman;Times;Serif" w:hAnsi="Times New Roman;Times;Serif"/>
          <w:b w:val="false"/>
          <w:i w:val="false"/>
          <w:caps w:val="false"/>
          <w:smallCaps w:val="false"/>
          <w:color w:val="010101"/>
          <w:sz w:val="20"/>
        </w:rPr>
        <w:t xml:space="preserve">Without limiting the generality of the foregoing, </w:t>
      </w:r>
      <w:r>
        <w:rPr>
          <w:rFonts w:ascii="Times New Roman;Times;Serif" w:hAnsi="Times New Roman;Times;Serif"/>
          <w:b w:val="false"/>
          <w:i w:val="false"/>
          <w:caps w:val="false"/>
          <w:smallCaps w:val="false"/>
          <w:sz w:val="20"/>
        </w:rPr>
        <w:t xml:space="preserve">each Credit Party and each of its Subsidiaries </w:t>
      </w:r>
      <w:r>
        <w:rPr>
          <w:rFonts w:ascii="Times New Roman;Times;Serif" w:hAnsi="Times New Roman;Times;Serif"/>
          <w:b w:val="false"/>
          <w:i w:val="false"/>
          <w:caps w:val="false"/>
          <w:smallCaps w:val="false"/>
          <w:color w:val="010101"/>
          <w:sz w:val="20"/>
        </w:rPr>
        <w:t>(x) takes commercially reasonable efforts to securely store applicable equipment and software that is material to its business, (y) utilizes industry-accepted virus and intrusion checking</w:t>
      </w:r>
    </w:p>
    <w:p>
      <w:pPr>
        <w:pStyle w:val="TextBody"/>
        <w:bidi w:val="0"/>
        <w:spacing w:before="0" w:after="0"/>
        <w:ind w:left="140" w:right="17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101"/>
          <w:sz w:val="20"/>
        </w:rPr>
        <w:t>software and firewalls, and (z) limits access to Credit Party Data to only those employees and agents who need such access for the conduct of the business of the Credit Parties and their Subsidiaries</w:t>
      </w:r>
      <w:r>
        <w:rPr>
          <w:rFonts w:ascii="Times New Roman;Times;Serif" w:hAnsi="Times New Roman;Times;Serif"/>
          <w:b w:val="false"/>
          <w:i w:val="false"/>
          <w:caps w:val="false"/>
          <w:smallCaps w:val="false"/>
          <w:sz w:val="20"/>
        </w:rPr>
        <w:t>.</w:t>
      </w:r>
    </w:p>
    <w:p>
      <w:pPr>
        <w:pStyle w:val="TextBody"/>
        <w:bidi w:val="0"/>
        <w:spacing w:before="0" w:after="0"/>
        <w:ind w:left="140" w:right="0" w:hanging="0"/>
        <w:jc w:val="left"/>
        <w:rPr>
          <w:caps w:val="false"/>
          <w:smallCaps w:val="false"/>
        </w:rPr>
      </w:pPr>
      <w:r>
        <w:rPr>
          <w:caps w:val="false"/>
          <w:smallCaps w:val="false"/>
        </w:rPr>
        <w:t> </w:t>
      </w:r>
    </w:p>
    <w:p>
      <w:pPr>
        <w:pStyle w:val="TextBody"/>
        <w:bidi w:val="0"/>
        <w:spacing w:before="0" w:after="0"/>
        <w:ind w:left="140"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 Credit Party or any Subsidiary of any Credit Party has experienced any (i) security incidents, data breaches, intrusions or unauthorized access, use or compromise of any of the Credit Party Systems, (ii) unauthorized collection, access, use, processing, loss, compromise, interruption, deletion, modification or disclosure of any Credit Party Data or trade secrets of any Credit Party or any Subsidiary of any Credit Party or (iii) </w:t>
      </w:r>
      <w:r>
        <w:rPr>
          <w:rFonts w:ascii="Times New Roman;Times;Serif" w:hAnsi="Times New Roman;Times;Serif"/>
          <w:b w:val="false"/>
          <w:i w:val="false"/>
          <w:caps w:val="false"/>
          <w:smallCaps w:val="false"/>
          <w:color w:val="010101"/>
          <w:sz w:val="20"/>
        </w:rPr>
        <w:t xml:space="preserve">cyber, social engineering, spoofing, phishing, ransom, viral or other attack, theft or intrusion </w:t>
      </w:r>
      <w:r>
        <w:rPr>
          <w:rFonts w:ascii="Times New Roman;Times;Serif" w:hAnsi="Times New Roman;Times;Serif"/>
          <w:b w:val="false"/>
          <w:i w:val="false"/>
          <w:caps w:val="false"/>
          <w:smallCaps w:val="false"/>
          <w:sz w:val="20"/>
        </w:rPr>
        <w:t>(all of the foregoing clauses (i), (ii) and (iii), “</w:t>
      </w:r>
      <w:r>
        <w:rPr>
          <w:rFonts w:ascii="Times New Roman;Times;Serif" w:hAnsi="Times New Roman;Times;Serif"/>
          <w:b w:val="false"/>
          <w:i w:val="false"/>
          <w:caps w:val="false"/>
          <w:smallCaps w:val="false"/>
          <w:sz w:val="20"/>
          <w:u w:val="single"/>
        </w:rPr>
        <w:t>Security Breaches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10101"/>
          <w:sz w:val="20"/>
        </w:rPr>
        <w:t xml:space="preserve">that has allowed an unauthorized Person to access, copy, encrypt or otherwise use </w:t>
      </w:r>
      <w:r>
        <w:rPr>
          <w:rFonts w:ascii="Times New Roman;Times;Serif" w:hAnsi="Times New Roman;Times;Serif"/>
          <w:b w:val="false"/>
          <w:i w:val="false"/>
          <w:caps w:val="false"/>
          <w:smallCaps w:val="false"/>
          <w:sz w:val="20"/>
        </w:rPr>
        <w:t>any Credit Party Data, in each case, which could reasonably be expected to cause a Material Adverse Effect. Each Credit Party and each of its Subsidiaries is in material compliance with all Requirements of Laws regarding the privacy or security of all Credit Party Data. Except as set forth on Schedule 5.33(b), no Credit Party or any Subsidiary of any Credit Party has received or is aware of any notice, allegation, complaint or other communication, and to the knowledge of the Credit Parties there is no pending investigation by any Governmental Authority or other Person regarding any actual or possible violation of any Requirements of Laws regarding the privacy or security of any Credit Party Data.</w:t>
      </w:r>
    </w:p>
    <w:p>
      <w:pPr>
        <w:pStyle w:val="TextBody"/>
        <w:bidi w:val="0"/>
        <w:spacing w:before="0" w:after="0"/>
        <w:ind w:left="140" w:right="170" w:firstLine="14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579"/>
        <w:gridCol w:w="9517"/>
      </w:tblGrid>
      <w:tr>
        <w:trPr/>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pPr>
            <w:r>
              <w:rPr/>
              <w:t>6.</w:t>
            </w:r>
          </w:p>
        </w:tc>
        <w:tc>
          <w:tcPr>
            <w:tcW w:w="9517" w:type="dxa"/>
            <w:tcBorders/>
            <w:vAlign w:val="center"/>
          </w:tcPr>
          <w:p>
            <w:pPr>
              <w:pStyle w:val="TableContents"/>
              <w:bidi w:val="0"/>
              <w:spacing w:before="0" w:after="283"/>
              <w:jc w:val="both"/>
              <w:rPr/>
            </w:pPr>
            <w:r>
              <w:rPr/>
              <w:t>AFFIRMATIVE COVENANTS.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39" w:right="17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covenants and agrees, so long as any Lender has any commitment to extend credit hereunder, or any of the Indebtedness (including any Prepayment Premium) remains outstanding and unpaid, that it will, and, as applicable, it will cause each of its Subsidiaries to:</w:t>
      </w:r>
    </w:p>
    <w:p>
      <w:pPr>
        <w:pStyle w:val="TextBody"/>
        <w:bidi w:val="0"/>
        <w:spacing w:before="0" w:after="0"/>
        <w:ind w:left="139" w:right="173" w:firstLine="720"/>
        <w:jc w:val="both"/>
        <w:rPr>
          <w:caps w:val="false"/>
          <w:smallCaps w:val="false"/>
        </w:rPr>
      </w:pPr>
      <w:r>
        <w:rPr>
          <w:caps w:val="false"/>
          <w:smallCaps w:val="false"/>
        </w:rPr>
        <w:t> </w:t>
      </w:r>
    </w:p>
    <w:p>
      <w:pPr>
        <w:pStyle w:val="TextBody"/>
        <w:bidi w:val="0"/>
        <w:spacing w:before="0" w:after="0"/>
        <w:ind w:left="139" w:right="173"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Furnish to the Agent, in form and detail satisfactory to the Agent, with sufficient copies for each Lender, the following documents:</w:t>
      </w:r>
    </w:p>
    <w:p>
      <w:pPr>
        <w:pStyle w:val="TextBody"/>
        <w:bidi w:val="0"/>
        <w:spacing w:before="0" w:after="0"/>
        <w:ind w:left="139" w:right="173" w:firstLine="720"/>
        <w:jc w:val="left"/>
        <w:rPr>
          <w:caps w:val="false"/>
          <w:smallCaps w:val="false"/>
        </w:rPr>
      </w:pPr>
      <w:r>
        <w:rPr>
          <w:caps w:val="false"/>
          <w:smallCaps w:val="false"/>
        </w:rPr>
        <w:t> </w:t>
      </w:r>
    </w:p>
    <w:p>
      <w:pPr>
        <w:pStyle w:val="TextBody"/>
        <w:bidi w:val="0"/>
        <w:spacing w:before="0" w:after="0"/>
        <w:ind w:left="140" w:right="128"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one hundred twenty (120) days after the end of each Fiscal Year, a copy of the audited Consolidated financial statements of the Borrower and its Consolidated Subsidiaries and the related audited Consolidated statements of income, stockholders equity, and cash flows of the Borrower and its Consolidated Subsidiaries for such Fiscal Year, setting forth in each case in  comparative form the figures for the previous Fiscal Year, certified, in the case of the audited Consolidated financial statements and audited Consolidated statements of income as being fairly stated in all material respects by an independent accounting firm reasonably acceptable to the Agent, it being understood that any nationally recognized certified public accounting firm is satisfactory to the Agent, which report and opinion shall not be subject to any “going concern” or like qualification or exception or any qualification or exception as to the scope of such audit other than any such qualification or exception that is solely with respect to, or resulting solely from, (x) an upcoming maturity date under this Agreement or the Senior Credit Agreement occurring within one year from the time such report is delivered or (y) any inability to satisfy the financial covenants set forth in the Senior Credit Agreement;</w:t>
      </w:r>
    </w:p>
    <w:p>
      <w:pPr>
        <w:pStyle w:val="TextBody"/>
        <w:bidi w:val="0"/>
        <w:spacing w:before="0" w:after="0"/>
        <w:ind w:left="140" w:right="128" w:firstLine="1440"/>
        <w:jc w:val="both"/>
        <w:rPr>
          <w:caps w:val="false"/>
          <w:smallCaps w:val="false"/>
        </w:rPr>
      </w:pPr>
      <w:r>
        <w:rPr>
          <w:caps w:val="false"/>
          <w:smallCaps w:val="false"/>
        </w:rPr>
        <w:t> </w:t>
      </w:r>
    </w:p>
    <w:p>
      <w:pPr>
        <w:pStyle w:val="TextBody"/>
        <w:bidi w:val="0"/>
        <w:spacing w:before="0" w:after="0"/>
        <w:ind w:left="140" w:right="13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forty-five (45) days after the end of each Fiscal Quarter (including the last Fiscal Quarter of each Fiscal Year which, for such Fiscal Quarter, shall be a Borrower prepared draft subject to standard audit adjustments), (i) the Borrower prepared unaudited Consolidated balance sheets of the Borrower and its Consolidated Subsidiaries as at the end of such Fiscal Quarter and the related unaudited statements of income and cash flows (and, upon the request of the Agent, if an Event of Default has occurred and is continuing, stockholders equity) of the Borrower and its Consolidated Subsidiaries for the portion of the Fiscal Year through the end of such Fiscal Quarter, setting forth in  each case in comparative form the figures for the corresponding periods in the previous Fiscal Year, and (ii) a report reflecting compliance with Section 7.16 (with reasonably detailed supporting information), in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7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case, certified by a Responsible Officer of the Borrower as being fairly stated in all material respects; and</w:t>
      </w:r>
    </w:p>
    <w:p>
      <w:pPr>
        <w:pStyle w:val="TextBody"/>
        <w:bidi w:val="0"/>
        <w:spacing w:before="0" w:after="0"/>
        <w:ind w:left="140" w:right="173" w:hanging="0"/>
        <w:jc w:val="both"/>
        <w:rPr>
          <w:caps w:val="false"/>
          <w:smallCaps w:val="false"/>
        </w:rPr>
      </w:pPr>
      <w:r>
        <w:rPr>
          <w:caps w:val="false"/>
          <w:smallCaps w:val="false"/>
        </w:rPr>
        <w:t> </w:t>
      </w:r>
    </w:p>
    <w:p>
      <w:pPr>
        <w:pStyle w:val="TextBody"/>
        <w:bidi w:val="0"/>
        <w:spacing w:before="0" w:after="0"/>
        <w:ind w:left="139" w:right="12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within thirty (30) days after the end of each month (or such later date as the Agent agrees in its sole discretion), (including the last month of each Fiscal Quarter and each Fiscal  Year, which, for such months, shall be a Borrower prepared draft subject to standard audit adjustments), commencing with the first full month occurring after the Restatement Date, the Borrower prepared unaudited Consolidated balance sheets of the Borrower and its Consolidated Subsidiaries as at the end of such month and the related unaudited statements of income and cash flows (and, upon the request of the Agent, if an Event of Default has occurred and is continuing, stockholders equity) of the Borrower and its Consolidated Subsidiaries for the portion of the Fiscal Year through the end of such Fiscal Month, setting forth in each case in comparative form the figures for the corresponding periods in the previous Fiscal Year, and certified by a Responsible Officer of the Borrower as being fairly stated in all material  respects;</w:t>
      </w:r>
    </w:p>
    <w:p>
      <w:pPr>
        <w:pStyle w:val="TextBody"/>
        <w:bidi w:val="0"/>
        <w:spacing w:before="0" w:after="0"/>
        <w:ind w:left="139" w:right="120" w:firstLine="1440"/>
        <w:jc w:val="both"/>
        <w:rPr>
          <w:caps w:val="false"/>
          <w:smallCaps w:val="false"/>
        </w:rPr>
      </w:pPr>
      <w:r>
        <w:rPr>
          <w:caps w:val="false"/>
          <w:smallCaps w:val="false"/>
        </w:rPr>
        <w:t> </w:t>
      </w:r>
    </w:p>
    <w:p>
      <w:pPr>
        <w:pStyle w:val="TextBody"/>
        <w:bidi w:val="0"/>
        <w:spacing w:before="0" w:after="0"/>
        <w:ind w:left="140" w:right="149"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such financial statements to be complete and correct in all material respects and to be prepared in reasonable detail and in accordance with GAAP consistently applied, throughout the periods reflected therein and with prior periods (except as approved by a Responsible Officer of the Borrower and disclosed therein), provided however that (i) the Consolidating financial statements delivered pursuant to clause (a) hereof, (ii) all the financial statements delivered pursuant to clause (b) hereof will not be required to include footnotes and will be subject to change as a result of audit and year-end adjustments and (iii) all the financial statements delivered pursuant to clause (c) hereof will not be required to include exhibits and will be subject to change as a result of audit, quarterly and/or year-end adjustments.</w:t>
      </w:r>
    </w:p>
    <w:p>
      <w:pPr>
        <w:pStyle w:val="TextBody"/>
        <w:bidi w:val="0"/>
        <w:spacing w:before="0" w:after="0"/>
        <w:ind w:left="140" w:right="149" w:hanging="0"/>
        <w:jc w:val="both"/>
        <w:rPr>
          <w:caps w:val="false"/>
          <w:smallCaps w:val="false"/>
        </w:rPr>
      </w:pPr>
      <w:r>
        <w:rPr>
          <w:caps w:val="false"/>
          <w:smallCaps w:val="false"/>
        </w:rPr>
        <w:t> </w:t>
      </w:r>
    </w:p>
    <w:p>
      <w:pPr>
        <w:pStyle w:val="TextBody"/>
        <w:bidi w:val="0"/>
        <w:spacing w:before="0" w:after="0"/>
        <w:ind w:left="139" w:right="15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the obligations in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may be satisfied with respect to financial information of the Borrower and its Consolidated Subsidiaries by furnishing Form 10-K or 10-Q of the Borrower, as applicable, filed with the SEC;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such information is in lieu of information required to be provided under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such materials are accompanied by a report and opinion of the Borrower’s auditor or any other independent accounting firm reasonably acceptable to the Agent, it being understood that any nationally recognized certified public accounting firm is satisfactory to the Agent, which report and opinion shall not be subject to any “going concern” or like qualification or exception or any qualification or exception as to the scope of such audit other than any such qualification or exception that is solely with respect to, or resulting solely from, (x) an upcoming maturity date under this Agreement or the Senior Credit Agreement occurring within one year from the time such report is delivered or (y) any inability to satisfy the financial covenants set forth in the Senior Credit Agreement.</w:t>
      </w:r>
    </w:p>
    <w:p>
      <w:pPr>
        <w:pStyle w:val="TextBody"/>
        <w:bidi w:val="0"/>
        <w:spacing w:before="0" w:after="0"/>
        <w:ind w:left="139" w:right="155" w:hanging="0"/>
        <w:jc w:val="both"/>
        <w:rPr>
          <w:caps w:val="false"/>
          <w:smallCaps w:val="false"/>
        </w:rPr>
      </w:pPr>
      <w:r>
        <w:rPr>
          <w:caps w:val="false"/>
          <w:smallCaps w:val="false"/>
        </w:rPr>
        <w:t> </w:t>
      </w:r>
    </w:p>
    <w:p>
      <w:pPr>
        <w:pStyle w:val="TextBody"/>
        <w:bidi w:val="0"/>
        <w:spacing w:before="0" w:after="0"/>
        <w:ind w:left="140" w:right="173"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Certificates; Other Information</w:t>
      </w:r>
      <w:r>
        <w:rPr>
          <w:rFonts w:ascii="Times New Roman;Times;Serif" w:hAnsi="Times New Roman;Times;Serif"/>
          <w:b w:val="false"/>
          <w:i w:val="false"/>
          <w:caps w:val="false"/>
          <w:smallCaps w:val="false"/>
          <w:sz w:val="20"/>
        </w:rPr>
        <w:t>. Furnish to the Agent, in form and detail acceptable to the Agent, with sufficient copies for each Lender, the following documents:</w:t>
      </w:r>
    </w:p>
    <w:p>
      <w:pPr>
        <w:pStyle w:val="TextBody"/>
        <w:bidi w:val="0"/>
        <w:spacing w:before="0" w:after="0"/>
        <w:ind w:left="140" w:right="173" w:firstLine="720"/>
        <w:jc w:val="left"/>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Promptly upon receipt thereof, copies of all significant reports submitted by the Credit Parties’ firm(s) of certified public accountants in connection with each annual, interim or special audit or review of any type of the financial statements or related internal control systems of the Credit Parties made by such accountants, including any comment letter submitted by such accountants to management in connection with their services;</w:t>
      </w:r>
    </w:p>
    <w:p>
      <w:pPr>
        <w:pStyle w:val="TextBody"/>
        <w:bidi w:val="0"/>
        <w:spacing w:before="0" w:after="0"/>
        <w:ind w:left="140" w:right="173" w:firstLine="1440"/>
        <w:jc w:val="both"/>
        <w:rPr>
          <w:caps w:val="false"/>
          <w:smallCaps w:val="false"/>
        </w:rPr>
      </w:pPr>
      <w:r>
        <w:rPr>
          <w:caps w:val="false"/>
          <w:smallCaps w:val="false"/>
        </w:rPr>
        <w:t> </w:t>
      </w:r>
    </w:p>
    <w:p>
      <w:pPr>
        <w:pStyle w:val="TextBody"/>
        <w:bidi w:val="0"/>
        <w:spacing w:before="0" w:after="0"/>
        <w:ind w:left="140" w:right="164"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financial reports, statements, press releases, other material information or written notices delivered to the Senior Agent, the Senior Lenders or the holders of the Subordinated Debt pursuant to any Senior Loan Documents or any applicable Subordinated Debt Documents (to the extent</w:t>
      </w:r>
    </w:p>
    <w:p>
      <w:pPr>
        <w:pStyle w:val="TextBody"/>
        <w:bidi w:val="0"/>
        <w:spacing w:before="0" w:after="0"/>
        <w:ind w:left="140" w:right="164"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otherwise required hereunder), as and when delivered to such Persons (including, without limitation, any compliance certificate (or similar report) delivered pursuant to the Senior Credit Agreement);</w:t>
      </w:r>
    </w:p>
    <w:p>
      <w:pPr>
        <w:pStyle w:val="TextBody"/>
        <w:bidi w:val="0"/>
        <w:spacing w:before="0" w:after="0"/>
        <w:ind w:left="140" w:right="0" w:hanging="0"/>
        <w:jc w:val="left"/>
        <w:rPr>
          <w:caps w:val="false"/>
          <w:smallCaps w:val="false"/>
        </w:rPr>
      </w:pPr>
      <w:r>
        <w:rPr>
          <w:caps w:val="false"/>
          <w:smallCaps w:val="false"/>
        </w:rPr>
        <w:t> </w:t>
      </w:r>
    </w:p>
    <w:p>
      <w:pPr>
        <w:pStyle w:val="TextBody"/>
        <w:bidi w:val="0"/>
        <w:spacing w:before="0" w:after="0"/>
        <w:ind w:left="140"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Within sixty (60) days after the end of such Fiscal Year, projections for the Credit Parties for the Fiscal Year then in progress, with the projections presented on a quarterly basis, including a balance sheet, as at the end of each relevant period and for the period commencing at the beginning of the Fiscal Year and ending on the last day of such relevant period, such projections approved by the Borrower’s board of directors and certified by a Responsible Officer of the Borrower as being believed to be reasonable estimates and assumptions taking into account all facts and information known by a Responsible Officer of the Borrower;</w:t>
      </w:r>
    </w:p>
    <w:p>
      <w:pPr>
        <w:pStyle w:val="TextBody"/>
        <w:bidi w:val="0"/>
        <w:spacing w:before="0" w:after="0"/>
        <w:ind w:left="140" w:right="172" w:firstLine="1440"/>
        <w:jc w:val="both"/>
        <w:rPr>
          <w:caps w:val="false"/>
          <w:smallCaps w:val="false"/>
        </w:rPr>
      </w:pPr>
      <w:r>
        <w:rPr>
          <w:caps w:val="false"/>
          <w:smallCaps w:val="false"/>
        </w:rPr>
        <w:t> </w:t>
      </w:r>
    </w:p>
    <w:p>
      <w:pPr>
        <w:pStyle w:val="TextBody"/>
        <w:bidi w:val="0"/>
        <w:spacing w:before="0" w:after="0"/>
        <w:ind w:left="140" w:right="171"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Simultaneously with the delivery of the financial statements of the Credit Parties required by Section 6.1, if, as a result of any change in accounting principles and policies from those used in the preparation of the Financial Statements, the Consolidated financial statements of the Borrower delivered pursuant to Section 6.1 will differ from the Consolidated financial statements that would have been delivered pursuant to such Section had no such change in accounting principles and policies been made, then, together with the first delivery of such financial statements after such change, one or more statements of reconciliation for all such prior financial statements in form and substance satisfactory to the Agent;</w:t>
      </w:r>
    </w:p>
    <w:p>
      <w:pPr>
        <w:pStyle w:val="TextBody"/>
        <w:bidi w:val="0"/>
        <w:spacing w:before="0" w:after="0"/>
        <w:ind w:left="140" w:right="171" w:firstLine="1440"/>
        <w:jc w:val="both"/>
        <w:rPr>
          <w:caps w:val="false"/>
          <w:smallCaps w:val="false"/>
        </w:rPr>
      </w:pPr>
      <w:r>
        <w:rPr>
          <w:caps w:val="false"/>
          <w:smallCaps w:val="false"/>
        </w:rPr>
        <w:t> </w:t>
      </w:r>
    </w:p>
    <w:p>
      <w:pPr>
        <w:pStyle w:val="TextBody"/>
        <w:bidi w:val="0"/>
        <w:spacing w:before="0" w:after="0"/>
        <w:ind w:left="140" w:right="15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additional information as required by any Loan Document, and such additional schedules, certificates and reports respecting all or any of the Collateral, the items or amounts received by the Credit Parties in full or partial payment thereof, and any goods (the sale or lease of which shall have given rise to any of the Collateral) possession of which has been obtained by the Credit  Parties, all to such extent as the Agent may reasonably request from time to time, any such schedule, certificate or report to be certified as true and correct in all material respects by a Responsible Officer of the applicable Credit Party and shall be in such form and detail as the Agent may reasonably specify;</w:t>
      </w:r>
    </w:p>
    <w:p>
      <w:pPr>
        <w:pStyle w:val="TextBody"/>
        <w:bidi w:val="0"/>
        <w:spacing w:before="0" w:after="0"/>
        <w:ind w:left="140" w:right="150" w:firstLine="1440"/>
        <w:jc w:val="both"/>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Promptly upon the Agent’s request, a report of the cash account balances of the Credit Parties</w:t>
      </w:r>
      <w:r>
        <w:rPr>
          <w:rFonts w:ascii="Times New Roman;Times;Serif" w:hAnsi="Times New Roman;Times;Serif"/>
          <w:b w:val="false"/>
          <w:i w:val="false"/>
          <w:caps w:val="false"/>
          <w:smallCaps w:val="false"/>
          <w:strike/>
          <w:color w:val="FF0000"/>
          <w:sz w:val="20"/>
        </w:rPr>
        <w:t xml:space="preserve">, confirming the Credit Parties’ compliance with the covenant set forth in </w:t>
      </w:r>
      <w:r>
        <w:rPr>
          <w:rFonts w:ascii="Times New Roman;Times;Serif" w:hAnsi="Times New Roman;Times;Serif"/>
          <w:b w:val="false"/>
          <w:i w:val="false"/>
          <w:caps w:val="false"/>
          <w:smallCaps w:val="false"/>
          <w:strike/>
          <w:color w:val="FF0000"/>
          <w:sz w:val="20"/>
          <w:u w:val="single"/>
        </w:rPr>
        <w:t>Section 7.14</w:t>
      </w:r>
      <w:r>
        <w:rPr>
          <w:rFonts w:ascii="Times New Roman;Times;Serif" w:hAnsi="Times New Roman;Times;Serif"/>
          <w:b w:val="false"/>
          <w:i w:val="false"/>
          <w:caps w:val="false"/>
          <w:smallCaps w:val="false"/>
          <w:sz w:val="20"/>
        </w:rPr>
        <w:t>; and</w:t>
      </w:r>
    </w:p>
    <w:p>
      <w:pPr>
        <w:pStyle w:val="TextBody"/>
        <w:bidi w:val="0"/>
        <w:spacing w:before="0" w:after="0"/>
        <w:ind w:left="140" w:right="173" w:firstLine="1440"/>
        <w:jc w:val="both"/>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Such additional financial and/or other information as the Agent or any Lender may from time to time reasonably request, promptly following such request.</w:t>
      </w:r>
    </w:p>
    <w:p>
      <w:pPr>
        <w:pStyle w:val="TextBody"/>
        <w:bidi w:val="0"/>
        <w:spacing w:before="0" w:after="0"/>
        <w:ind w:left="140" w:right="173" w:firstLine="1440"/>
        <w:jc w:val="both"/>
        <w:rPr>
          <w:caps w:val="false"/>
          <w:smallCaps w:val="false"/>
        </w:rPr>
      </w:pPr>
      <w:r>
        <w:rPr>
          <w:caps w:val="false"/>
          <w:smallCaps w:val="false"/>
        </w:rPr>
        <w:t> </w:t>
      </w:r>
    </w:p>
    <w:p>
      <w:pPr>
        <w:pStyle w:val="TextBody"/>
        <w:bidi w:val="0"/>
        <w:spacing w:before="0" w:after="0"/>
        <w:ind w:left="140" w:right="173"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val="false"/>
          <w:caps w:val="false"/>
          <w:smallCaps w:val="false"/>
          <w:sz w:val="20"/>
          <w:u w:val="single"/>
        </w:rPr>
        <w:t>Payment of Taxes and Other Obligations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Pay in full before delinquency or before the expiration of any extension period, all Taxes imposed upon any Credit Party or any property of any Credit Party, except (i) unpaid Taxes in an aggregate amount at any one time not in excess of $1,000,000, and (ii) Taxes contested in good faith by proper proceedings which stay the imposition of any Lien resulting from the non-payment thereof and with respect to which adequate reserves have been set aside for the payment thereof in accordance with GAAP.</w:t>
      </w:r>
    </w:p>
    <w:p>
      <w:pPr>
        <w:pStyle w:val="TextBody"/>
        <w:bidi w:val="0"/>
        <w:spacing w:before="0" w:after="0"/>
        <w:ind w:left="140" w:right="170" w:firstLine="1440"/>
        <w:jc w:val="both"/>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Pay, discharge or otherwise satisfy, at or before maturity or before they become delinquent, as the case may be, all of its material obligations (other than obligations described in clause</w:t>
      </w:r>
    </w:p>
    <w:p>
      <w:pPr>
        <w:pStyle w:val="TextBody"/>
        <w:bidi w:val="0"/>
        <w:spacing w:before="0" w:after="0"/>
        <w:ind w:left="140" w:right="173" w:firstLine="1440"/>
        <w:jc w:val="both"/>
        <w:rPr>
          <w:caps w:val="false"/>
          <w:smallCaps w:val="false"/>
        </w:rPr>
      </w:pPr>
      <w:r>
        <w:rPr>
          <w:caps w:val="false"/>
          <w:smallCaps w:val="false"/>
        </w:rPr>
        <w:t> </w:t>
      </w:r>
    </w:p>
    <w:p>
      <w:pPr>
        <w:pStyle w:val="TextBody"/>
        <w:bidi w:val="0"/>
        <w:spacing w:before="0" w:after="0"/>
        <w:ind w:left="140" w:right="12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above) of whatever nature, including without limitation all assessments, governmental charges, claims for labor, supplies, rent or other obligations, except where the amount or validity thereof is currently being appropriately contested in good faith and reserves in conformity with GAAP with respect thereto have been provided on the books of the Credit Parties.</w:t>
      </w:r>
    </w:p>
    <w:p>
      <w:pPr>
        <w:pStyle w:val="TextBody"/>
        <w:bidi w:val="0"/>
        <w:spacing w:before="0" w:after="0"/>
        <w:ind w:left="140" w:right="128"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73"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val="false"/>
          <w:caps w:val="false"/>
          <w:smallCaps w:val="false"/>
          <w:sz w:val="20"/>
          <w:u w:val="single"/>
        </w:rPr>
        <w:t>Conduct of Business and Maintenance of Existence; Compliance with Laws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Continue to engage in their respective business and operations substantially as conducted immediately prior to the Restatement Date, except as otherwise permitted pursuant to Section</w:t>
      </w:r>
    </w:p>
    <w:p>
      <w:pPr>
        <w:pStyle w:val="TextBody"/>
        <w:bidi w:val="0"/>
        <w:spacing w:before="0" w:after="0"/>
        <w:ind w:left="140" w:right="172" w:firstLine="1440"/>
        <w:jc w:val="both"/>
        <w:rPr>
          <w:caps w:val="false"/>
          <w:smallCaps w:val="false"/>
        </w:rPr>
      </w:pPr>
      <w:r>
        <w:rPr>
          <w:caps w:val="false"/>
          <w:smallCaps w:val="false"/>
        </w:rPr>
        <w:t> </w:t>
      </w:r>
    </w:p>
    <w:p>
      <w:pPr>
        <w:pStyle w:val="TextBody"/>
        <w:bidi w:val="0"/>
        <w:spacing w:before="0" w:after="0"/>
        <w:ind w:left="1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or as may be agreed by the Agent from time to time in its reasonable discretion;</w:t>
      </w:r>
    </w:p>
    <w:p>
      <w:pPr>
        <w:pStyle w:val="TextBody"/>
        <w:bidi w:val="0"/>
        <w:spacing w:before="0" w:after="0"/>
        <w:ind w:left="140" w:right="0" w:hanging="0"/>
        <w:jc w:val="both"/>
        <w:rPr>
          <w:caps w:val="false"/>
          <w:smallCaps w:val="false"/>
        </w:rPr>
      </w:pPr>
      <w:r>
        <w:rPr>
          <w:caps w:val="false"/>
          <w:smallCaps w:val="false"/>
        </w:rPr>
        <w:t> </w:t>
      </w:r>
    </w:p>
    <w:p>
      <w:pPr>
        <w:pStyle w:val="TextBody"/>
        <w:bidi w:val="0"/>
        <w:spacing w:before="0" w:after="0"/>
        <w:ind w:left="140"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Preserve, renew and keep in full force and effect its existence and maintain its qualifications to do business in each jurisdiction where such qualifications are necessary for its operations, except as otherwise permitted pursuant to Section 7.4;</w:t>
      </w:r>
    </w:p>
    <w:p>
      <w:pPr>
        <w:pStyle w:val="TextBody"/>
        <w:bidi w:val="0"/>
        <w:spacing w:before="0" w:after="0"/>
        <w:ind w:left="140" w:right="172" w:firstLine="1440"/>
        <w:jc w:val="both"/>
        <w:rPr>
          <w:caps w:val="false"/>
          <w:smallCaps w:val="false"/>
        </w:rPr>
      </w:pPr>
      <w:r>
        <w:rPr>
          <w:caps w:val="false"/>
          <w:smallCaps w:val="false"/>
        </w:rPr>
        <w:t> </w:t>
      </w:r>
    </w:p>
    <w:p>
      <w:pPr>
        <w:pStyle w:val="TextBody"/>
        <w:bidi w:val="0"/>
        <w:spacing w:before="0" w:after="0"/>
        <w:ind w:left="140" w:right="172"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Take all action it deems necessary in its reasonable business judgment to maintain all rights, privileges, licenses and franchises, and protect all algorithms, Software and customer lists, in each case as are necessary for the normal conduct of its business except where the failure to so maintain such rights, privileges or franchises or so protect such algorithms, Software and customer lists could not, either singly or in the aggregate, reasonably be expected to have a Material Adverse Effect. If, despite the restrictions contained in Section 7.3 and subject to the exceptions for Rent the Runway Limited set forth therein, any Subsidiary of the Borrower that is not the Borrower or a Guarantor holds, acquires, exclusively licenses or develops material algorithms, material customer lists, or material Software, the Borrower shall promptly cause (i) such Subsidiary to transfer such material algorithms, material customer lists, or material Software and any rights thereto to the Borrower or a Guarantor and</w:t>
      </w:r>
    </w:p>
    <w:p>
      <w:pPr>
        <w:pStyle w:val="TextBody"/>
        <w:bidi w:val="0"/>
        <w:spacing w:before="0" w:after="0"/>
        <w:ind w:left="140" w:right="172" w:firstLine="1440"/>
        <w:jc w:val="left"/>
        <w:rPr>
          <w:caps w:val="false"/>
          <w:smallCaps w:val="false"/>
        </w:rPr>
      </w:pPr>
      <w:r>
        <w:rPr>
          <w:caps w:val="false"/>
          <w:smallCaps w:val="false"/>
        </w:rPr>
        <w:t> </w:t>
      </w:r>
    </w:p>
    <w:p>
      <w:pPr>
        <w:pStyle w:val="TextBody"/>
        <w:bidi w:val="0"/>
        <w:spacing w:before="0" w:after="0"/>
        <w:ind w:left="140" w:right="17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grant a perfected security interest in any such material algorithms, material customer lists,  or material Software in accordance with the requirements set forth in the Loan Documents and, provided that if Borrower or a Guarantor complies with the foregoing sentence, such holding, acquisition, exclusive license or development shall not constitute a breach of this Section 6.4;</w:t>
      </w:r>
    </w:p>
    <w:p>
      <w:pPr>
        <w:pStyle w:val="TextBody"/>
        <w:bidi w:val="0"/>
        <w:spacing w:before="0" w:after="0"/>
        <w:ind w:left="140" w:right="172" w:hanging="0"/>
        <w:jc w:val="both"/>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Preserve or renew all of its Intellectual Property, except to the extent such Intellectual Property is no longer used or useful to the business of the Credit Parties, based on Credit Parties’ reasonable business judgment;</w:t>
      </w:r>
    </w:p>
    <w:p>
      <w:pPr>
        <w:pStyle w:val="TextBody"/>
        <w:bidi w:val="0"/>
        <w:spacing w:before="0" w:after="0"/>
        <w:ind w:left="140" w:right="173" w:firstLine="1440"/>
        <w:jc w:val="both"/>
        <w:rPr>
          <w:caps w:val="false"/>
          <w:smallCaps w:val="false"/>
        </w:rPr>
      </w:pPr>
      <w:r>
        <w:rPr>
          <w:caps w:val="false"/>
          <w:smallCaps w:val="false"/>
        </w:rPr>
        <w:t> </w:t>
      </w:r>
    </w:p>
    <w:p>
      <w:pPr>
        <w:pStyle w:val="TextBody"/>
        <w:bidi w:val="0"/>
        <w:spacing w:before="0" w:after="0"/>
        <w:ind w:left="140" w:right="12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Comply with all Contractual Obligations and Requirements of Law, except to the extent that failure to comply therewith could not, either singly or in the aggregate, reasonably  be expected to have a Material Adverse Effect; and</w:t>
      </w:r>
    </w:p>
    <w:p>
      <w:pPr>
        <w:pStyle w:val="TextBody"/>
        <w:bidi w:val="0"/>
        <w:spacing w:before="0" w:after="0"/>
        <w:ind w:left="140" w:right="123" w:firstLine="1440"/>
        <w:jc w:val="both"/>
        <w:rPr>
          <w:caps w:val="false"/>
          <w:smallCaps w:val="false"/>
        </w:rPr>
      </w:pPr>
      <w:r>
        <w:rPr>
          <w:caps w:val="false"/>
          <w:smallCaps w:val="false"/>
        </w:rPr>
        <w:t> </w:t>
      </w:r>
    </w:p>
    <w:p>
      <w:pPr>
        <w:pStyle w:val="TextBody"/>
        <w:bidi w:val="0"/>
        <w:spacing w:before="0" w:after="0"/>
        <w:ind w:left="140" w:right="149"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 Continue to be a Person whose property or interests in property is not blocked or subject to blocking pursuant to Section 1 of Executive Order 13224 of September 23, 2001 Blocking Property and Prohibiting Transactions With Persons Who Commit, Threaten to Commit or Support Terrorism (66 Fed. Reg. 49079 (2001)) (the “</w:t>
      </w:r>
      <w:r>
        <w:rPr>
          <w:rFonts w:ascii="Times New Roman;Times;Serif" w:hAnsi="Times New Roman;Times;Serif"/>
          <w:b/>
          <w:i w:val="false"/>
          <w:caps w:val="false"/>
          <w:smallCaps w:val="false"/>
          <w:sz w:val="20"/>
        </w:rPr>
        <w:t>Order</w:t>
      </w:r>
      <w:r>
        <w:rPr>
          <w:rFonts w:ascii="Times New Roman;Times;Serif" w:hAnsi="Times New Roman;Times;Serif"/>
          <w:b w:val="false"/>
          <w:i w:val="false"/>
          <w:caps w:val="false"/>
          <w:smallCaps w:val="false"/>
          <w:sz w:val="20"/>
        </w:rPr>
        <w:t>”), (ii) not engage in the transactions prohibited by Section 2 of that Order or become associated with Persons such that a violation of Section 2 of the Order would arise, and (iii) not become a Person on the list of Specially Designated Nationals and Blocked Persons, or (iv) otherwise not become subject to the limitation of any OFAC regulation or executive order.</w:t>
      </w:r>
    </w:p>
    <w:p>
      <w:pPr>
        <w:pStyle w:val="TextBody"/>
        <w:bidi w:val="0"/>
        <w:spacing w:before="0" w:after="0"/>
        <w:ind w:left="140" w:right="149" w:firstLine="1440"/>
        <w:jc w:val="both"/>
        <w:rPr>
          <w:caps w:val="false"/>
          <w:smallCaps w:val="false"/>
        </w:rPr>
      </w:pPr>
      <w:r>
        <w:rPr>
          <w:caps w:val="false"/>
          <w:smallCaps w:val="false"/>
        </w:rPr>
        <w:t> </w:t>
      </w:r>
    </w:p>
    <w:p>
      <w:pPr>
        <w:pStyle w:val="TextBody"/>
        <w:bidi w:val="0"/>
        <w:spacing w:before="0" w:after="0"/>
        <w:ind w:left="140" w:right="139"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val="false"/>
          <w:i w:val="false"/>
          <w:caps w:val="false"/>
          <w:smallCaps w:val="false"/>
          <w:sz w:val="20"/>
          <w:u w:val="single"/>
        </w:rPr>
        <w:t>Maintenance of Property; Insurance</w:t>
      </w:r>
      <w:r>
        <w:rPr>
          <w:rFonts w:ascii="Times New Roman;Times;Serif" w:hAnsi="Times New Roman;Times;Serif"/>
          <w:b w:val="false"/>
          <w:i w:val="false"/>
          <w:caps w:val="false"/>
          <w:smallCaps w:val="false"/>
          <w:sz w:val="20"/>
        </w:rPr>
        <w:t>. (a) Keep all material property it deems, in its reasonable business judgment, useful and necessary in its business in working order (ordinary wear and tear excepted); (b) maintain insurance coverage with financially sound and reputable insurance companies on physical assets and against other business risks in such amounts and of such types as are customarily carried by companies similar in size and nature (including without limitation casualty and public liability and property damage insurance), and in the event of acquisition of additional property, real or personal, or of the incurrence of additional risks of any nature, increase such insurance coverage  in such manner and to such extent as prudent business judgment and present practice or any applicable Requirements of Law would dictate; (c) in the case of all insurance policies covering any Collateral, such</w:t>
      </w:r>
    </w:p>
    <w:p>
      <w:pPr>
        <w:pStyle w:val="TextBody"/>
        <w:bidi w:val="0"/>
        <w:spacing w:before="0" w:after="0"/>
        <w:ind w:left="140" w:right="139"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9" w:right="13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policies shall provide that the loss payable thereunder shall be payable to the applicable Credit Party, and to the Agent (as mortgagee, or, in the case of personal property interests, lender loss payee) as their respective interests may appear; (d) in the case of all public liability insurance policies,  such policies shall list the Agent as an additional insured, as the Agent may reasonably request; and (e) if requested by the Agent, certificates evidencing such policies, including all endorsements thereto, to be deposited with the Agent, such certificates being in form and substance reasonably acceptable to the Agent (which policies shall provide that it shall not be canceled, modified or not renewed (i) by reason of nonpayment of premium except upon not less than ten (10) days’ prior written notice thereof by insurer  to the Agent (giving the Agent the right to cure defaults in the payment of premiums) or (ii) for any other reason except upon not less than thirty (30) days’ prior written notice thereof by the insurer to the Agent. If any Credit Party fails to maintain such insurance, the Agent may arrange for such insurance, but at the Borrower’s expense and without any responsibility on the Agent’s part for obtaining the insurance, the solvency of the insurance companies, the adequacy of the coverage, or the collection of claims. Upon the occurrence and during the continuance of an Event of Default, subject to the terms of the Specified Subordination Agreement, the Agent shall have the sole right, in the name of the Lenders or any Credit Party, to file claims under any insurance policies, to receive, receipt and give acquittance for any payments that may be payable thereunder, and to execute any and all endorsements, receipts, releases, assignments, reassignments or other documents that may be necessary to effect the collection, compromise or settlement of any claims under any such insurance policies.</w:t>
      </w:r>
    </w:p>
    <w:p>
      <w:pPr>
        <w:pStyle w:val="TextBody"/>
        <w:bidi w:val="0"/>
        <w:spacing w:before="0" w:after="0"/>
        <w:ind w:left="139" w:right="132" w:hanging="0"/>
        <w:jc w:val="both"/>
        <w:rPr>
          <w:caps w:val="false"/>
          <w:smallCaps w:val="false"/>
        </w:rPr>
      </w:pPr>
      <w:r>
        <w:rPr>
          <w:caps w:val="false"/>
          <w:smallCaps w:val="false"/>
        </w:rPr>
        <w:t> </w:t>
      </w:r>
    </w:p>
    <w:p>
      <w:pPr>
        <w:pStyle w:val="TextBody"/>
        <w:bidi w:val="0"/>
        <w:spacing w:before="0" w:after="0"/>
        <w:ind w:left="140" w:right="139"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w:t>
      </w:r>
      <w:r>
        <w:rPr>
          <w:rFonts w:ascii="Times New Roman;Times;Serif" w:hAnsi="Times New Roman;Times;Serif"/>
          <w:b w:val="false"/>
          <w:i w:val="false"/>
          <w:caps w:val="false"/>
          <w:smallCaps w:val="false"/>
          <w:sz w:val="20"/>
          <w:u w:val="single"/>
        </w:rPr>
        <w:t>Inspection of Property; Books and Records, Discussions</w:t>
      </w:r>
      <w:r>
        <w:rPr>
          <w:rFonts w:ascii="Times New Roman;Times;Serif" w:hAnsi="Times New Roman;Times;Serif"/>
          <w:b w:val="false"/>
          <w:i w:val="false"/>
          <w:caps w:val="false"/>
          <w:smallCaps w:val="false"/>
          <w:sz w:val="20"/>
        </w:rPr>
        <w:t>. Permit the Agent and each Lender, through their authorized attorneys, accountants and representatives (i) at all reasonable times during normal business hours, upon the request of the Agent or such Lender, to examine each Credit Party’s books, accounts, records, ledgers and assets and properties, (ii) during normal business hours and at their own risk, to enter onto the real property owned or leased by any Credit Party to conduct inspections, investigations or other reviews of such real property, and (iii) at reasonable times during normal business hours and at reasonable intervals, to visit all of the Credit Parties’ offices, discuss each Credit Party’s respective financial matters with their respective officers, as applicable, and, by this provision, the Borrower authorizes, and will cause each of its respective Subsidiaries to authorize, its independent certified or chartered public accountants to discuss the finances and affairs of any Credit Party and examine any of such Credit Party’s books, reports or records held by such accountants; provided, however, when an Event of Default exists, the Agent and each Lender, through their authorized attorneys, accountants and representatives, may do any of the foregoing at the expense of the Credit Parties at any time during normal business hours and without advance notice.</w:t>
      </w:r>
    </w:p>
    <w:p>
      <w:pPr>
        <w:pStyle w:val="TextBody"/>
        <w:bidi w:val="0"/>
        <w:spacing w:before="0" w:after="0"/>
        <w:ind w:left="140" w:right="139" w:firstLine="720"/>
        <w:jc w:val="both"/>
        <w:rPr>
          <w:caps w:val="false"/>
          <w:smallCaps w:val="false"/>
        </w:rPr>
      </w:pPr>
      <w:r>
        <w:rPr>
          <w:caps w:val="false"/>
          <w:smallCaps w:val="false"/>
        </w:rPr>
        <w:t> </w:t>
      </w:r>
    </w:p>
    <w:p>
      <w:pPr>
        <w:pStyle w:val="TextBody"/>
        <w:bidi w:val="0"/>
        <w:spacing w:before="0" w:after="0"/>
        <w:ind w:left="140" w:right="139"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Give written notice to the Agent 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24"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soon as possible, and in any event within 2 Business Days after the occurrence thereof, the occurrence of any Default or Event of Default of which any Credit Party has knowledge or the occurrence of any Reportable Compliance Event;</w:t>
      </w:r>
    </w:p>
    <w:p>
      <w:pPr>
        <w:pStyle w:val="TextBody"/>
        <w:bidi w:val="0"/>
        <w:spacing w:before="0" w:after="0"/>
        <w:ind w:left="140" w:right="124" w:firstLine="1440"/>
        <w:jc w:val="both"/>
        <w:rPr>
          <w:caps w:val="false"/>
          <w:smallCaps w:val="false"/>
        </w:rPr>
      </w:pPr>
      <w:r>
        <w:rPr>
          <w:caps w:val="false"/>
          <w:smallCaps w:val="false"/>
        </w:rPr>
        <w:t> </w:t>
      </w:r>
    </w:p>
    <w:p>
      <w:pPr>
        <w:pStyle w:val="TextBody"/>
        <w:bidi w:val="0"/>
        <w:spacing w:before="0" w:after="0"/>
        <w:ind w:left="140" w:right="119"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promptly, any (i) litigation or proceeding existing at any time between any Credit Party and any Governmental Authority or other third party, or any investigation of any Credit Party conducted by any Governmental Authority, which in any case if adversely determined would have a Material Adverse Effect together with all documents and information furnished to such Governmental Authority in connection thereof (to the extent such disclosure is not prohibited by any Requirements of Law) or (ii) Material Adverse Effect on the financial condition of any Credit Party since the date of the last audited financial statements delivered pursuant to Section 6.1(a) hereto;</w:t>
      </w:r>
    </w:p>
    <w:p>
      <w:pPr>
        <w:pStyle w:val="TextBody"/>
        <w:bidi w:val="0"/>
        <w:spacing w:before="0" w:after="0"/>
        <w:ind w:left="140" w:right="119"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occurrence of any event which any Credit Party believes could reasonably be expected to have a Material Adverse Effect, promptly, but in any event within 5 Business Days, after concluding that such event could reasonably be expected to have such a Material Adverse Effect;</w:t>
      </w:r>
    </w:p>
    <w:p>
      <w:pPr>
        <w:pStyle w:val="TextBody"/>
        <w:bidi w:val="0"/>
        <w:spacing w:before="0" w:after="0"/>
        <w:ind w:left="140" w:right="173" w:firstLine="1440"/>
        <w:jc w:val="both"/>
        <w:rPr>
          <w:caps w:val="false"/>
          <w:smallCaps w:val="false"/>
        </w:rPr>
      </w:pPr>
      <w:r>
        <w:rPr>
          <w:caps w:val="false"/>
          <w:smallCaps w:val="false"/>
        </w:rPr>
        <w:t> </w:t>
      </w:r>
    </w:p>
    <w:p>
      <w:pPr>
        <w:pStyle w:val="TextBody"/>
        <w:bidi w:val="0"/>
        <w:spacing w:before="0" w:after="0"/>
        <w:ind w:left="140" w:right="159"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promptly, but in any event within 5 Business Days, after becoming aware thereof, the taking by the Internal Revenue Service or any state, local or foreign taxing jurisdiction of a written tax position (or any such tax position taken by any Credit Party in a filing with the Internal Revenue Service or any state, local or foreign taxing jurisdiction) which could reasonably be expected to have a Material Adverse Effect, setting forth the details of such position and the financial impact thereof;</w:t>
      </w:r>
    </w:p>
    <w:p>
      <w:pPr>
        <w:pStyle w:val="TextBody"/>
        <w:bidi w:val="0"/>
        <w:spacing w:before="0" w:after="0"/>
        <w:ind w:left="140" w:right="159" w:firstLine="1440"/>
        <w:jc w:val="both"/>
        <w:rPr>
          <w:caps w:val="false"/>
          <w:smallCaps w:val="false"/>
        </w:rPr>
      </w:pPr>
      <w:r>
        <w:rPr>
          <w:caps w:val="false"/>
          <w:smallCaps w:val="false"/>
        </w:rPr>
        <w:t> </w:t>
      </w:r>
    </w:p>
    <w:p>
      <w:pPr>
        <w:pStyle w:val="TextBody"/>
        <w:bidi w:val="0"/>
        <w:spacing w:before="0" w:after="0"/>
        <w:ind w:left="140"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 all jurisdictions in which the Borrower or any Guarantor proposes to become qualified after the Restatement Date to transact business, (ii) the acquisition or creation of any new Subsidiaries, (iii) any material change after the Restatement Date in the authorized and issued Equity Interests of any Credit Party or any other material amendment to any Credit Party’s charter, by-laws or other organizational documents, such notice, in each case, to identify the applicable jurisdictions, capital structures or amendments as applicable, provided that such notice shall be given not less than ten (10) Business Days prior to the proposed effectiveness of such changes, acquisition or creation, as the case may be (or such shorter period to which the Agent may consent);</w:t>
      </w:r>
    </w:p>
    <w:p>
      <w:pPr>
        <w:pStyle w:val="TextBody"/>
        <w:bidi w:val="0"/>
        <w:spacing w:before="0" w:after="0"/>
        <w:ind w:left="140" w:right="170" w:firstLine="1440"/>
        <w:jc w:val="both"/>
        <w:rPr>
          <w:caps w:val="false"/>
          <w:smallCaps w:val="false"/>
        </w:rPr>
      </w:pPr>
      <w:r>
        <w:rPr>
          <w:caps w:val="false"/>
          <w:smallCaps w:val="false"/>
        </w:rPr>
        <w:t> </w:t>
      </w:r>
    </w:p>
    <w:p>
      <w:pPr>
        <w:pStyle w:val="TextBody"/>
        <w:bidi w:val="0"/>
        <w:spacing w:before="0" w:after="0"/>
        <w:ind w:left="140"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material notices that any Credit Party executes or receives in connection with any Material Contract, as soon as possible and in any event within 5 Business Days after execution, receipt or delivery thereof, together with copies thereof;</w:t>
      </w:r>
    </w:p>
    <w:p>
      <w:pPr>
        <w:pStyle w:val="TextBody"/>
        <w:bidi w:val="0"/>
        <w:spacing w:before="0" w:after="0"/>
        <w:ind w:left="140" w:right="172" w:firstLine="1440"/>
        <w:jc w:val="both"/>
        <w:rPr>
          <w:caps w:val="false"/>
          <w:smallCaps w:val="false"/>
        </w:rPr>
      </w:pPr>
      <w:r>
        <w:rPr>
          <w:caps w:val="false"/>
          <w:smallCaps w:val="false"/>
        </w:rPr>
        <w:t> </w:t>
      </w:r>
    </w:p>
    <w:p>
      <w:pPr>
        <w:pStyle w:val="TextBody"/>
        <w:bidi w:val="0"/>
        <w:spacing w:before="0" w:after="0"/>
        <w:ind w:left="140"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promptly after (i) the sending or filing thereof, copies of all statements, reports and other information any Credit Party sends to any holders of its Debt in excess of $100,000 or its securities or files with the SEC or any national (domestic or foreign) securities exchange, and (ii) the receipt thereof, a copy of any material notice any Credit Party receives from any holder of its Debt in excess of $100,000;</w:t>
      </w:r>
    </w:p>
    <w:p>
      <w:pPr>
        <w:pStyle w:val="TextBody"/>
        <w:bidi w:val="0"/>
        <w:spacing w:before="0" w:after="0"/>
        <w:ind w:left="140" w:right="172" w:firstLine="1440"/>
        <w:jc w:val="both"/>
        <w:rPr>
          <w:caps w:val="false"/>
          <w:smallCaps w:val="false"/>
        </w:rPr>
      </w:pPr>
      <w:r>
        <w:rPr>
          <w:caps w:val="false"/>
          <w:smallCaps w:val="false"/>
        </w:rPr>
        <w:t> </w:t>
      </w:r>
    </w:p>
    <w:p>
      <w:pPr>
        <w:pStyle w:val="TextBody"/>
        <w:bidi w:val="0"/>
        <w:spacing w:before="0" w:after="0"/>
        <w:ind w:left="139" w:right="14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all material Security Breaches, all investigations by a Governmental Authority or other Person regarding an actual or possible material violation of any Applicable Laws regarding the privacy or security of any Credit Party Data, and all material notices, allegations, complaints, and other communications relating to any of the foregoing;</w:t>
      </w:r>
    </w:p>
    <w:p>
      <w:pPr>
        <w:pStyle w:val="TextBody"/>
        <w:bidi w:val="0"/>
        <w:spacing w:before="0" w:after="0"/>
        <w:ind w:left="139" w:right="143" w:firstLine="1440"/>
        <w:jc w:val="both"/>
        <w:rPr>
          <w:caps w:val="false"/>
          <w:smallCaps w:val="false"/>
        </w:rPr>
      </w:pPr>
      <w:r>
        <w:rPr>
          <w:caps w:val="false"/>
          <w:smallCaps w:val="false"/>
        </w:rPr>
        <w:t> </w:t>
      </w:r>
    </w:p>
    <w:p>
      <w:pPr>
        <w:pStyle w:val="TextBody"/>
        <w:bidi w:val="0"/>
        <w:spacing w:before="0" w:after="0"/>
        <w:ind w:left="140"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 less than fifteen (15) Business Days (or such other shorter period to which the Agent may agree) prior to the proposed effective date thereof (or to the extent the Borrower requests any such modification less than fifteen (15) Business Days prior to the proposed effective date thereof, upon receipt thereof), (i) any proposed amendments, restatements or other modifications to any Senior Loan Document or (ii) any material proposed amendments, restatements or other modifications to any Subordinated Debt Documents; and</w:t>
      </w:r>
    </w:p>
    <w:p>
      <w:pPr>
        <w:pStyle w:val="TextBody"/>
        <w:bidi w:val="0"/>
        <w:spacing w:before="0" w:after="0"/>
        <w:ind w:left="140" w:right="170" w:firstLine="1440"/>
        <w:jc w:val="both"/>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default or event of default by any Person under any Senior Loan Document or any Subordinated Debt Document, concurrently with delivery or promptly, but in any event within 5 Business Days, after receipt (as the case may be) of any notice of default or event of default under the applicable document, as the case may be.</w:t>
      </w:r>
    </w:p>
    <w:p>
      <w:pPr>
        <w:pStyle w:val="TextBody"/>
        <w:bidi w:val="0"/>
        <w:spacing w:before="0" w:after="0"/>
        <w:ind w:left="140" w:right="173" w:firstLine="1440"/>
        <w:jc w:val="both"/>
        <w:rPr>
          <w:caps w:val="false"/>
          <w:smallCaps w:val="false"/>
        </w:rPr>
      </w:pPr>
      <w:r>
        <w:rPr>
          <w:caps w:val="false"/>
          <w:smallCaps w:val="false"/>
        </w:rPr>
        <w:t> </w:t>
      </w:r>
    </w:p>
    <w:p>
      <w:pPr>
        <w:pStyle w:val="TextBody"/>
        <w:bidi w:val="0"/>
        <w:spacing w:before="0" w:after="0"/>
        <w:ind w:left="140" w:right="17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notice pursuant to this Section shall be accompanied by a statement of a Responsible Officer of the Borrower setting forth details of the occurrence referred to therein and, in the case of notices referred to in clauses (a), (b), (c), (d), (h) and (j) hereof stating what action the applicable Credit Party has taken or proposes to take with respect thereto.</w:t>
      </w:r>
    </w:p>
    <w:p>
      <w:pPr>
        <w:pStyle w:val="TextBody"/>
        <w:bidi w:val="0"/>
        <w:spacing w:before="0" w:after="0"/>
        <w:ind w:left="140" w:right="17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obligations in this Section may be satisfied by disclosure in public filings of the Borrower filed with the SEC.</w:t>
      </w:r>
    </w:p>
    <w:p>
      <w:pPr>
        <w:pStyle w:val="TextBody"/>
        <w:bidi w:val="0"/>
        <w:spacing w:before="0" w:after="0"/>
        <w:ind w:left="140" w:right="0" w:hanging="0"/>
        <w:jc w:val="left"/>
        <w:rPr>
          <w:caps w:val="false"/>
          <w:smallCaps w:val="false"/>
        </w:rPr>
      </w:pPr>
      <w:r>
        <w:rPr>
          <w:caps w:val="false"/>
          <w:smallCaps w:val="false"/>
        </w:rPr>
        <w:t> </w:t>
      </w:r>
    </w:p>
    <w:p>
      <w:pPr>
        <w:pStyle w:val="TextBody"/>
        <w:bidi w:val="0"/>
        <w:spacing w:before="0" w:after="0"/>
        <w:ind w:left="139" w:right="1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6.8   </w:t>
      </w:r>
      <w:r>
        <w:rPr>
          <w:rFonts w:ascii="Times New Roman;Times;Serif" w:hAnsi="Times New Roman;Times;Serif"/>
          <w:b w:val="false"/>
          <w:i w:val="false"/>
          <w:caps w:val="false"/>
          <w:smallCaps w:val="false"/>
          <w:sz w:val="20"/>
          <w:u w:val="single"/>
        </w:rPr>
        <w:t>Hazardous Material Laws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Use and operate all of its business, facilities and properties in material compliance with all applicable Hazardous Material Laws, keep all material required permits, approvals, certificates, licenses and other authorizations required under such Hazardous Material Laws in effect and remain in compliance therewith, and handle all Hazardous Materials in material compliance with all applicable Hazardous Material Laws;</w:t>
      </w:r>
    </w:p>
    <w:p>
      <w:pPr>
        <w:pStyle w:val="TextBody"/>
        <w:bidi w:val="0"/>
        <w:spacing w:before="0" w:after="0"/>
        <w:ind w:left="140" w:right="172" w:firstLine="1440"/>
        <w:jc w:val="both"/>
        <w:rPr>
          <w:caps w:val="false"/>
          <w:smallCaps w:val="false"/>
        </w:rPr>
      </w:pPr>
      <w:r>
        <w:rPr>
          <w:caps w:val="false"/>
          <w:smallCaps w:val="false"/>
        </w:rPr>
        <w:t> </w:t>
      </w:r>
    </w:p>
    <w:p>
      <w:pPr>
        <w:pStyle w:val="TextBody"/>
        <w:bidi w:val="0"/>
        <w:spacing w:before="0" w:after="0"/>
        <w:ind w:left="139" w:right="129"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Promptly notify the Agent and provide copies upon receipt of all written claims, complaints, notices or inquiries received by any Credit Party relating to its facilities and properties or compliance with Hazardous Material Laws which, if adversely determined, could  reasonably be expected to have a Material Adverse Effect and (ii) promptly cure and have dismissed with prejudice to the reasonable satisfaction of the Agent and the Majority Lenders any material actions and proceedings relating to compliance with, or liability under, Hazardous Material Laws to which any Credit Party is named a party, other than such actions or proceedings being contested in good faith and with the establishment of reasonable reserves;</w:t>
      </w:r>
    </w:p>
    <w:p>
      <w:pPr>
        <w:pStyle w:val="TextBody"/>
        <w:bidi w:val="0"/>
        <w:spacing w:before="0" w:after="0"/>
        <w:ind w:left="139" w:right="129" w:firstLine="1440"/>
        <w:jc w:val="both"/>
        <w:rPr>
          <w:caps w:val="false"/>
          <w:smallCaps w:val="false"/>
        </w:rPr>
      </w:pPr>
      <w:r>
        <w:rPr>
          <w:caps w:val="false"/>
          <w:smallCaps w:val="false"/>
        </w:rPr>
        <w:t> </w:t>
      </w:r>
    </w:p>
    <w:p>
      <w:pPr>
        <w:pStyle w:val="TextBody"/>
        <w:bidi w:val="0"/>
        <w:spacing w:before="0" w:after="0"/>
        <w:ind w:left="140"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necessary to comply with Hazardous Material Laws, remediate or monitor contamination arising from a release or disposal of Hazardous Material, or undertake corrective action to address any noncompliance with or liability under Hazardous Material Laws, in each case which solely, or together with other releases, instances of noncompliance, liability or disposals of Hazardous Materials could reasonably be expected to have a Material Adverse Effect; and</w:t>
      </w:r>
    </w:p>
    <w:p>
      <w:pPr>
        <w:pStyle w:val="TextBody"/>
        <w:bidi w:val="0"/>
        <w:spacing w:before="0" w:after="0"/>
        <w:ind w:left="140" w:right="172" w:firstLine="1440"/>
        <w:jc w:val="both"/>
        <w:rPr>
          <w:caps w:val="false"/>
          <w:smallCaps w:val="false"/>
        </w:rPr>
      </w:pPr>
      <w:r>
        <w:rPr>
          <w:caps w:val="false"/>
          <w:smallCaps w:val="false"/>
        </w:rPr>
        <w:t> </w:t>
      </w:r>
    </w:p>
    <w:p>
      <w:pPr>
        <w:pStyle w:val="TextBody"/>
        <w:bidi w:val="0"/>
        <w:spacing w:before="0" w:after="0"/>
        <w:ind w:left="140"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Provide such information and certifications which the Agent or any Lender may reasonably request from time to time to evidence compliance with this Section 6.8.</w:t>
      </w:r>
    </w:p>
    <w:p>
      <w:pPr>
        <w:pStyle w:val="TextBody"/>
        <w:bidi w:val="0"/>
        <w:spacing w:before="0" w:after="0"/>
        <w:ind w:left="140" w:right="170" w:firstLine="1440"/>
        <w:jc w:val="both"/>
        <w:rPr>
          <w:caps w:val="false"/>
          <w:smallCaps w:val="false"/>
        </w:rPr>
      </w:pPr>
      <w:r>
        <w:rPr>
          <w:caps w:val="false"/>
          <w:smallCaps w:val="false"/>
        </w:rPr>
        <w:t> </w:t>
      </w:r>
    </w:p>
    <w:p>
      <w:pPr>
        <w:pStyle w:val="TextBody"/>
        <w:bidi w:val="0"/>
        <w:spacing w:before="0" w:after="0"/>
        <w:ind w:left="139" w:right="1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6.9    </w:t>
      </w:r>
      <w:r>
        <w:rPr>
          <w:rFonts w:ascii="Times New Roman;Times;Serif" w:hAnsi="Times New Roman;Times;Serif"/>
          <w:b w:val="false"/>
          <w:i w:val="false"/>
          <w:caps w:val="false"/>
          <w:smallCaps w:val="false"/>
          <w:sz w:val="20"/>
          <w:u w:val="single"/>
        </w:rPr>
        <w:t>Board Observation Rights</w:t>
      </w:r>
      <w:r>
        <w:rPr>
          <w:rFonts w:ascii="Times New Roman;Times;Serif" w:hAnsi="Times New Roman;Times;Serif"/>
          <w:b w:val="false"/>
          <w:i w:val="false"/>
          <w:caps w:val="false"/>
          <w:smallCaps w:val="false"/>
          <w:sz w:val="20"/>
        </w:rPr>
        <w:t>. (a) Each of STORY3 and Nexus shall be entitled to designate one observer and (b) CHS Investments shall be entitled to designate two observers (each such observer described in foregoing clauses (a) and (b), a “</w:t>
      </w:r>
      <w:r>
        <w:rPr>
          <w:rFonts w:ascii="Times New Roman;Times;Serif" w:hAnsi="Times New Roman;Times;Serif"/>
          <w:b/>
          <w:i w:val="false"/>
          <w:caps w:val="false"/>
          <w:smallCaps w:val="false"/>
          <w:sz w:val="20"/>
        </w:rPr>
        <w:t>Board Observer</w:t>
      </w:r>
      <w:r>
        <w:rPr>
          <w:rFonts w:ascii="Times New Roman;Times;Serif" w:hAnsi="Times New Roman;Times;Serif"/>
          <w:b w:val="false"/>
          <w:i w:val="false"/>
          <w:caps w:val="false"/>
          <w:smallCaps w:val="false"/>
          <w:sz w:val="20"/>
        </w:rPr>
        <w:t>”), in each case, to attend in person (or, only in the case of BOD Meetings that other board members or observers are permitted to attend by telephone, videoconference or other electronic means, by telephone, videoconference or such other electronic means) any regular or special meeting (a “</w:t>
      </w:r>
      <w:r>
        <w:rPr>
          <w:rFonts w:ascii="Times New Roman;Times;Serif" w:hAnsi="Times New Roman;Times;Serif"/>
          <w:b/>
          <w:i w:val="false"/>
          <w:caps w:val="false"/>
          <w:smallCaps w:val="false"/>
          <w:sz w:val="20"/>
        </w:rPr>
        <w:t>BOD Meeting</w:t>
      </w:r>
      <w:r>
        <w:rPr>
          <w:rFonts w:ascii="Times New Roman;Times;Serif" w:hAnsi="Times New Roman;Times;Serif"/>
          <w:b w:val="false"/>
          <w:i w:val="false"/>
          <w:caps w:val="false"/>
          <w:smallCaps w:val="false"/>
          <w:sz w:val="20"/>
        </w:rPr>
        <w:t xml:space="preserve">”) of the board of directors of the Borrower (or any relevant committees thereof), except that no Board Observer shall be entitled to vote on matters presented to or discussed by the board of directors (or any relevant committee thereof) of the Borrower at any such meetings. Each Board Observer shall be timely notified of the time and place of  any BOD Meetings and will be given written notice (such notice to be delivered to the Board Observers contemporaneously with delivery of such notice to the other board members) of all proposed actions to  be taken by the board of directors (or any relevant committee thereof) of the Borrower at such meeting as if such Board Observer were a member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to the contrary contained in this Section 6.9, the Board Observers may be excluded from meetings (or a portion thereof) and materials provided to the Board Observers in connection with such meetings may be redacted to the extent that the board of directors of the Borrower (or any relevant committees thereof) reasonably determines that such exclusion or redaction is necessary (a) to preserve attorney-client privilege or (b) to avoid a conflict of interest between the interests of the Borrower or any of its Subsidiaries, as applicable, and those of the Agent or any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such exclusion or redaction shall be limited to the portion of such meeting or materials that is the basis for such exclusion or redaction and shall not extend to any portion of such meeting or materials that does not involve or pertain to such exclusion or redaction. Such notice shall describe in reasonable detail the nature and substance of the matters to be discussed and/or voted upon at such meeting (or the proposed actions to be taken by written consent</w:t>
      </w:r>
    </w:p>
    <w:p>
      <w:pPr>
        <w:pStyle w:val="TextBody"/>
        <w:bidi w:val="0"/>
        <w:spacing w:before="0" w:after="0"/>
        <w:ind w:left="139" w:right="12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9" w:right="15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a meeting). In the event any Board Observer is excluded from any meeting or portion thereof or is delivered any redacted information or materials related thereto, the Borrower shall promptly provide to such Board Observer a general description, which shall be true and correct in all material respects, of the matters discussed during such meeting or portion thereof at which such Board Observer was excluded and any such redacted information or materials;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description may exclude any information to the extent that the Borrower reasonably determines that such exclusion is necessary (i) to preserve attorney-client privilege or (ii) to avoid a conflict of interest between the interests of the Borrower or any of its Subsidiaries, as applicable, and those of the Agent or any Lender. Subject to the first proviso in the second sentence of this Section, the Board Observers shall have the right to receive all information provided to the members of the board of directors or any similar group performing an executive oversight or similar function (or any relevant committee thereof) of the Borrower in anticipation of or at such meeting (regular or special and whether telephonic, videoconference or otherwise), in addition to copies of the records of the proceedings or minutes of such meeting, when provided to the members, and the Board Observers shall keep such materials and information  confidential in accordance with Section 12.10. Each Board Observer shall be identified by CHS Investments, STORY3 or Nexus, as applicable, and consented to by the Borrower (such consent not to be unreasonably delayed or withheld), and each of CHS Investments, STORY3 and Nexus shall have the right to replace its Board Observer(s) at any time subject to consent by the Borrower (such consent not to be unreasonably delayed or withheld). The Borrower shall reimburse each Board Observer for all reasonable out-of-pocket costs and expenses incurred in connection with its participation in any such BOD Meeting.</w:t>
      </w:r>
    </w:p>
    <w:p>
      <w:pPr>
        <w:pStyle w:val="TextBody"/>
        <w:bidi w:val="0"/>
        <w:spacing w:before="0" w:after="0"/>
        <w:ind w:left="139" w:right="153" w:hanging="0"/>
        <w:jc w:val="both"/>
        <w:rPr>
          <w:caps w:val="false"/>
          <w:smallCaps w:val="false"/>
        </w:rPr>
      </w:pPr>
      <w:r>
        <w:rPr>
          <w:caps w:val="false"/>
          <w:smallCaps w:val="false"/>
        </w:rPr>
        <w:t> </w:t>
      </w:r>
    </w:p>
    <w:p>
      <w:pPr>
        <w:pStyle w:val="TextBody"/>
        <w:bidi w:val="0"/>
        <w:spacing w:before="0" w:after="0"/>
        <w:ind w:left="140" w:right="1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6.10    </w:t>
      </w:r>
      <w:r>
        <w:rPr>
          <w:rFonts w:ascii="Times New Roman;Times;Serif" w:hAnsi="Times New Roman;Times;Serif"/>
          <w:b w:val="false"/>
          <w:i w:val="false"/>
          <w:caps w:val="false"/>
          <w:smallCaps w:val="false"/>
          <w:sz w:val="20"/>
          <w:u w:val="single"/>
        </w:rPr>
        <w:t>Governmental and Other Approvals</w:t>
      </w:r>
      <w:r>
        <w:rPr>
          <w:rFonts w:ascii="Times New Roman;Times;Serif" w:hAnsi="Times New Roman;Times;Serif"/>
          <w:b w:val="false"/>
          <w:i w:val="false"/>
          <w:caps w:val="false"/>
          <w:smallCaps w:val="false"/>
          <w:sz w:val="20"/>
        </w:rPr>
        <w:t>. Apply for, obtain and/or maintain in effect, as applicable, all authorizations, consents, approvals, licenses, qualifications, exemptions, filings, declarations and registrations (whether with any court, governmental agency, regulatory authority, securities exchange or otherwise) which are necessary or reasonably requested by the Agent in connection with the execution, delivery and performance by any Credit Party of, as applicable, this Agreement, the other Loan Documents, the Senior Loan Documents, the Subordinated Debt Documents, or any other documents or instruments to be executed and/or delivered by any Credit Party, as applicable in connection therewith or herewith, except where the failure to so apply for, obtain or maintain could  not reasonably be expected to have a Material Adverse Effect.</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ind w:left="140" w:right="1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6.11   </w:t>
      </w:r>
      <w:r>
        <w:rPr>
          <w:rFonts w:ascii="Times New Roman;Times;Serif" w:hAnsi="Times New Roman;Times;Serif"/>
          <w:b w:val="false"/>
          <w:i w:val="false"/>
          <w:caps w:val="false"/>
          <w:smallCaps w:val="false"/>
          <w:sz w:val="20"/>
          <w:u w:val="single"/>
        </w:rPr>
        <w:t>Compliance with ERISA; ERISA Notices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Comply in all respects with all requirements imposed by ERISA and the Internal Revenue Code and other Requirements of Law, including, but not limited to, the minimum funding requirements for any Pension Plan (other than a Multiemployer Plan), and to prevent any occurrence of an ERISA Event or Foreign Benefit Event, except to the extent that failure to comply therewith could not, either individually or in the aggregate, reasonably be expected to have a Material Adverse Effect.</w:t>
      </w:r>
    </w:p>
    <w:p>
      <w:pPr>
        <w:pStyle w:val="TextBody"/>
        <w:bidi w:val="0"/>
        <w:spacing w:before="0" w:after="0"/>
        <w:ind w:left="140" w:right="170" w:firstLine="1440"/>
        <w:jc w:val="both"/>
        <w:rPr>
          <w:caps w:val="false"/>
          <w:smallCaps w:val="false"/>
        </w:rPr>
      </w:pPr>
      <w:r>
        <w:rPr>
          <w:caps w:val="false"/>
          <w:smallCaps w:val="false"/>
        </w:rPr>
        <w:t> </w:t>
      </w:r>
    </w:p>
    <w:p>
      <w:pPr>
        <w:pStyle w:val="TextBody"/>
        <w:bidi w:val="0"/>
        <w:spacing w:before="0" w:after="0"/>
        <w:ind w:left="139" w:right="171"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Promptly notify the Agent in writing if any ERISA Event or Foreign Benefit Event occurs, or is reasonably expected to occur, to the extent that such ERISA Event or Foreign Benefit Event could reasonably be expected to have a Material Adverse Effect when taken either individually or in the aggregate with all other such ERISA Events or Foreign Benefit Events for which liability could be reasonably expected to occur.</w:t>
      </w:r>
    </w:p>
    <w:p>
      <w:pPr>
        <w:pStyle w:val="TextBody"/>
        <w:bidi w:val="0"/>
        <w:spacing w:before="0" w:after="0"/>
        <w:ind w:left="139" w:right="171" w:firstLine="1440"/>
        <w:jc w:val="both"/>
        <w:rPr>
          <w:caps w:val="false"/>
          <w:smallCaps w:val="false"/>
        </w:rPr>
      </w:pPr>
      <w:r>
        <w:rPr>
          <w:caps w:val="false"/>
          <w:smallCaps w:val="false"/>
        </w:rPr>
        <w:t> </w:t>
      </w:r>
    </w:p>
    <w:p>
      <w:pPr>
        <w:pStyle w:val="TextBody"/>
        <w:bidi w:val="0"/>
        <w:spacing w:before="0" w:after="0"/>
        <w:ind w:left="140" w:right="1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6.12    </w:t>
      </w:r>
      <w:r>
        <w:rPr>
          <w:rFonts w:ascii="Times New Roman;Times;Serif" w:hAnsi="Times New Roman;Times;Serif"/>
          <w:b w:val="false"/>
          <w:i w:val="false"/>
          <w:caps w:val="false"/>
          <w:smallCaps w:val="false"/>
          <w:sz w:val="20"/>
          <w:u w:val="single"/>
        </w:rPr>
        <w:t>Defense of Collateral</w:t>
      </w:r>
      <w:r>
        <w:rPr>
          <w:rFonts w:ascii="Times New Roman;Times;Serif" w:hAnsi="Times New Roman;Times;Serif"/>
          <w:b w:val="false"/>
          <w:i w:val="false"/>
          <w:caps w:val="false"/>
          <w:smallCaps w:val="false"/>
          <w:sz w:val="20"/>
        </w:rPr>
        <w:t>. Defend the Collateral from any Liens other than Liens permitted by Section 7.2.</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6.13   </w:t>
      </w:r>
      <w:r>
        <w:rPr>
          <w:rFonts w:ascii="Times New Roman;Times;Serif" w:hAnsi="Times New Roman;Times;Serif"/>
          <w:b w:val="false"/>
          <w:i w:val="false"/>
          <w:caps w:val="false"/>
          <w:smallCaps w:val="false"/>
          <w:sz w:val="20"/>
          <w:u w:val="single"/>
        </w:rPr>
        <w:t>Future Subsidiaries; Additional Collateral</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39" w:right="15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each Person which becomes a (i) Domestic Subsidiary of the Borrower (directly or indirectly) subsequent to the Restatement Date, whether by Permitted Acquisition or otherwise, cause such new Domestic Subsidiary or (ii) Foreign Subsidiary (including any CFC) of the Borrower (directly or indirectly) subsequent to the Restatement Date, whether by Permitted Acquisition or otherwise, unless the Agent, acting in consultation with the Borrower, reasonably determines in good faith that the cost, burden, difficulty and/or consequence of obtaining a guaranty or security interest with respect thereto outweigh the benefit to the Lenders after conducting due diligence on such Foreign Subsidiary, cause such new Foreign Subsidiary, to execute and deliver to the Agent, for and on behalf of itself and each of the Lenders (unless waived by the Agent) the below items set forth in clauses (i)-(iii); provided, that no CFC or CFC Holding Company shall be required to complete the items set forth in clauses (a)(i)-(iii) below if completing such requirements would reasonably be expected to result in material tax liabilities or material adverse tax consequences as jointly determined in good faith by the Borrower and the Agent:</w:t>
      </w:r>
    </w:p>
    <w:p>
      <w:pPr>
        <w:pStyle w:val="TextBody"/>
        <w:bidi w:val="0"/>
        <w:spacing w:before="0" w:after="0"/>
        <w:ind w:left="139" w:right="152" w:firstLine="1440"/>
        <w:jc w:val="both"/>
        <w:rPr>
          <w:caps w:val="false"/>
          <w:smallCaps w:val="false"/>
        </w:rPr>
      </w:pPr>
      <w:r>
        <w:rPr>
          <w:caps w:val="false"/>
          <w:smallCaps w:val="false"/>
        </w:rPr>
        <w:t> </w:t>
      </w:r>
    </w:p>
    <w:p>
      <w:pPr>
        <w:pStyle w:val="TextBody"/>
        <w:bidi w:val="0"/>
        <w:spacing w:before="0" w:after="0"/>
        <w:ind w:left="140" w:right="17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within thirty (30) days after the date such Person becomes a Subsidiary (or such longer time period as the Agent may determine, without any requirement for Lender consent), a Guaranty, or in the event that a Guaranty already exists, a joinder agreement to the Guaranty whereby such Subsidiary becomes obligated as a Guarantor under the Guaranty;</w:t>
      </w:r>
    </w:p>
    <w:p>
      <w:pPr>
        <w:pStyle w:val="TextBody"/>
        <w:bidi w:val="0"/>
        <w:spacing w:before="0" w:after="0"/>
        <w:ind w:left="140" w:right="170" w:firstLine="2160"/>
        <w:jc w:val="both"/>
        <w:rPr>
          <w:caps w:val="false"/>
          <w:smallCaps w:val="false"/>
        </w:rPr>
      </w:pPr>
      <w:r>
        <w:rPr>
          <w:caps w:val="false"/>
          <w:smallCaps w:val="false"/>
        </w:rPr>
        <w:t> </w:t>
      </w:r>
    </w:p>
    <w:p>
      <w:pPr>
        <w:pStyle w:val="TextBody"/>
        <w:bidi w:val="0"/>
        <w:spacing w:before="0" w:after="0"/>
        <w:ind w:left="140" w:right="141"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within thirty (30) days after the date such Person becomes a Subsidiary (or such longer time period as the Agent may determine, without any requirement for Lender consent), a joinder agreement to the Security Agreement whereby such Subsidiary grants a Lien over its assets (other than Equity Interests which should be governed by (b) of this Section 6.13) as set forth in the Security Agreement, and such Subsidiary shall take such additional actions as may be necessary to ensure a valid perfected Lien over such assets of such Subsidiary, subject only to the other Liens permitted pursuant to Section 7.2 of this Agreement; and</w:t>
      </w:r>
    </w:p>
    <w:p>
      <w:pPr>
        <w:pStyle w:val="TextBody"/>
        <w:bidi w:val="0"/>
        <w:spacing w:before="0" w:after="0"/>
        <w:ind w:left="140" w:right="141" w:firstLine="2160"/>
        <w:jc w:val="both"/>
        <w:rPr>
          <w:caps w:val="false"/>
          <w:smallCaps w:val="false"/>
        </w:rPr>
      </w:pPr>
      <w:r>
        <w:rPr>
          <w:caps w:val="false"/>
          <w:smallCaps w:val="false"/>
        </w:rPr>
        <w:t> </w:t>
      </w:r>
    </w:p>
    <w:p>
      <w:pPr>
        <w:pStyle w:val="TextBody"/>
        <w:bidi w:val="0"/>
        <w:spacing w:before="0" w:after="0"/>
        <w:ind w:left="140" w:right="173"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within the time period specified in and to the extent required under clause (c) of this Section 6.13, a Mortgage, Collateral Access Agreements and/or other documents required to be delivered in connection therewith;</w:t>
      </w:r>
    </w:p>
    <w:p>
      <w:pPr>
        <w:pStyle w:val="TextBody"/>
        <w:bidi w:val="0"/>
        <w:spacing w:before="0" w:after="0"/>
        <w:ind w:left="140" w:right="173" w:firstLine="2160"/>
        <w:jc w:val="both"/>
        <w:rPr>
          <w:caps w:val="false"/>
          <w:smallCaps w:val="false"/>
        </w:rPr>
      </w:pPr>
      <w:r>
        <w:rPr>
          <w:caps w:val="false"/>
          <w:smallCaps w:val="false"/>
        </w:rPr>
        <w:t> </w:t>
      </w:r>
    </w:p>
    <w:p>
      <w:pPr>
        <w:pStyle w:val="TextBody"/>
        <w:bidi w:val="0"/>
        <w:spacing w:before="0" w:after="0"/>
        <w:ind w:left="139" w:right="12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the Equity Interests of each Person which becomes (whether by Permitted Acquisition or otherwise) (i) a Domestic Subsidiary or  a Foreign Subsidiary which becomes (or is required to become) a Guarantor subsequent to the Restatement Date, cause the Borrower or the Guarantor that holds such Equity Interests to execute and deliver such Pledge Agreements, and take such actions as may be necessary to ensure a valid perfected Lien over one hundred percent (100%) of the Equity Interests of such Subsidiary held by the Borrower or such Guarantor, such Pledge Agreements to be executed and delivered (unless waived in writing by the Agent) within thirty (30) days after the date such Person becomes a Subsidiary (or such longer time period as the Agent may determine, without any requirement for Lender consent); provided that with respect to any CFC Holding Company that is not required to become a Guarantor, there shall be a valid perfected Lien over sixty-five percent (65%) (or more than sixty-five percent (65%) unless such greater percentage would reasonably be expected to cause any material adverse tax consequences to the Borrower as jointly determined in good faith by the Borrower and the Agent) of the voting Equity Interest and one hundred percent (100%) of the non-voting Equity Interest of such CFC Holding Company; and (ii) a Foreign Subsidiary subsequent to the Restatement Date and is not required to become a Guarantor, the Equity Interests of which is held  directly by the Borrower or a Guarantor, cause the Borrower or such Guarantor that holds such Equity Interests to execute and deliver such Pledge Agreements and take such actions as may be necessary to ensure a valid perfected Lien over sixty-five percent (65%) (or more than sixty-five percent (65%) unless</w:t>
      </w:r>
    </w:p>
    <w:p>
      <w:pPr>
        <w:pStyle w:val="TextBody"/>
        <w:bidi w:val="0"/>
        <w:spacing w:before="0" w:after="0"/>
        <w:ind w:left="139" w:right="122"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7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greater percentage would reasonably be expected to cause any material adverse tax consequences to the Borrower as jointly determined in good faith by the Borrower and the Agent) of the voting Equity Interest and one hundred percent (100%) of the non-voting Equity Interests of such Foreign Subsidiary, such Pledge Agreements to be executed and delivered (unless waived in writing by the Agent) within thirty (30) days after the date such Person becomes a Foreign Subsidiary (or such longer time period as the Agent may determine, without any requirement for Lender consent); and</w:t>
      </w:r>
    </w:p>
    <w:p>
      <w:pPr>
        <w:pStyle w:val="TextBody"/>
        <w:bidi w:val="0"/>
        <w:spacing w:before="0" w:after="0"/>
        <w:ind w:left="140" w:right="170" w:hanging="0"/>
        <w:jc w:val="both"/>
        <w:rPr>
          <w:caps w:val="false"/>
          <w:smallCaps w:val="false"/>
        </w:rPr>
      </w:pPr>
      <w:r>
        <w:rPr>
          <w:caps w:val="false"/>
          <w:smallCaps w:val="false"/>
        </w:rPr>
        <w:t> </w:t>
      </w:r>
    </w:p>
    <w:p>
      <w:pPr>
        <w:pStyle w:val="TextBody"/>
        <w:bidi w:val="0"/>
        <w:spacing w:before="0" w:after="0"/>
        <w:ind w:left="139" w:right="134"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With respect to the acquisition of a fee interest in real property by the Borrower or any Guarantor after the Restatement Date (whether by Permitted Acquisition or otherwise), not later than sixty (60) days after the acquisition is consummated (or such longer time period as the Agent may determine, without any requirement for Lender consent), the Borrower or such Guarantor shall execute or cause to be executed (unless waived in writing by the Agent), a Mortgage (or an amendment to an existing mortgage, where appropriate) covering such real property, together with such additional real estate documentation, environmental reports, title policies and surveys as may be reasonably required by the Agent; (ii) with respect to the acquisition of any leasehold interest in real property by the Borrower or any Guarantor after the Restatement Date (whether by Permitted Acquisition or otherwise) at which the Borrower or such Guarantor maintains its headquarters location, not later than forty-five (45) days after the acquisition is consummated (or such longer time period as the Agent may determine, without any requirement for Lender consent), the Borrower or such Guarantor shall deliver to the Agent a copy of the applicable lease agreement and shall use commercially reasonably efforts to execute or cause to be executed, unless otherwise waived in writing by the Agent, a Collateral Access Agreement in form and substance reasonably acceptable to the Agent together with such other documentation as may be reasonably required by the Agent; and (iii) with respect to the acquisition of any other leasehold interest in real property by the Borrower or any Guarantor after the Restatement Date (whether by Permitted Acquisition or otherwise) at which the Borrower or such Guarantor holds or stores Collateral with an aggregate net book value in excess of $2,500,000 at each such location, not later than sixty (60) days after the date on which Collateral in excess of such threshold amount is located on the location subject to such lease (or such longer time period as the Agent may determine, without any requirement for Lender consent), the Borrower or such Guarantor shall deliver to the Agent a copy of the applicable lease agreement and shall use commercially reasonable efforts to execute or cause to be executed, unless otherwise waived by the Agent, a Collateral Access Agreement in form and substance reasonably acceptable to the Agent, together with such other documentation as may be reasonably required by the Agent;</w:t>
      </w:r>
    </w:p>
    <w:p>
      <w:pPr>
        <w:pStyle w:val="TextBody"/>
        <w:bidi w:val="0"/>
        <w:spacing w:before="0" w:after="0"/>
        <w:ind w:left="139" w:right="134" w:firstLine="1440"/>
        <w:jc w:val="both"/>
        <w:rPr>
          <w:caps w:val="false"/>
          <w:smallCaps w:val="false"/>
        </w:rPr>
      </w:pPr>
      <w:r>
        <w:rPr>
          <w:caps w:val="false"/>
          <w:smallCaps w:val="false"/>
        </w:rPr>
        <w:t> </w:t>
      </w:r>
    </w:p>
    <w:p>
      <w:pPr>
        <w:pStyle w:val="TextBody"/>
        <w:bidi w:val="0"/>
        <w:spacing w:before="0" w:after="0"/>
        <w:ind w:left="139" w:right="14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in form reasonably satisfactory to the Agent, in its reasonable discretion, together with such supporting documentation, including without limitation corporate authority items, certificates and opinions of counsel, as reasonably required by the Agent. Upon the Agent’s request, the Borrower and the Guarantors shall take, or cause to be taken, such additional steps as are necessary or advisable under applicable law to perfect and ensure the validity and priority of the Liens granted under this Section 6.13.</w:t>
      </w:r>
    </w:p>
    <w:p>
      <w:pPr>
        <w:pStyle w:val="TextBody"/>
        <w:bidi w:val="0"/>
        <w:spacing w:before="0" w:after="0"/>
        <w:ind w:left="139" w:right="148" w:hanging="0"/>
        <w:jc w:val="both"/>
        <w:rPr>
          <w:caps w:val="false"/>
          <w:smallCaps w:val="false"/>
        </w:rPr>
      </w:pPr>
      <w:r>
        <w:rPr>
          <w:caps w:val="false"/>
          <w:smallCaps w:val="false"/>
        </w:rPr>
        <w:t> </w:t>
      </w:r>
    </w:p>
    <w:p>
      <w:pPr>
        <w:pStyle w:val="TextBody"/>
        <w:bidi w:val="0"/>
        <w:spacing w:before="0" w:after="0"/>
        <w:ind w:left="139" w:right="1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6.14    </w:t>
      </w:r>
      <w:r>
        <w:rPr>
          <w:rFonts w:ascii="Times New Roman;Times;Serif" w:hAnsi="Times New Roman;Times;Serif"/>
          <w:b w:val="false"/>
          <w:i w:val="false"/>
          <w:caps w:val="false"/>
          <w:smallCaps w:val="false"/>
          <w:sz w:val="20"/>
          <w:u w:val="single"/>
        </w:rPr>
        <w:t>Accounts</w:t>
      </w:r>
      <w:r>
        <w:rPr>
          <w:rFonts w:ascii="Times New Roman;Times;Serif" w:hAnsi="Times New Roman;Times;Serif"/>
          <w:b w:val="false"/>
          <w:i w:val="false"/>
          <w:caps w:val="false"/>
          <w:smallCaps w:val="false"/>
          <w:sz w:val="20"/>
        </w:rPr>
        <w:t>. All deposit accounts and securities accounts of the Borrower and the Guarantors (other than Excluded Accounts and other deposit accounts and/or securities accounts that the Agent shall agree in its sole discretion) shall be subject to Account Control Agreements. The Borrower and the Guarantors shall take all other steps necessary, or in the opinion of the Agent, desirable to ensure that the Agent has a perfected security interest in such account. Notwithstanding the foregoing, the Borrower shall be permitted to maintain the Permitted Account without delivering the documentation required under this Section 6.14 with respect to such Permitted Account, so long as no Event of Default has occurred and is continuing and the aggregate balance in the Permitted Account does not exceed Three Hundred Thousand Dollars ($300,000) at any time. The Borrower and the Guarantors shall deposit, or cause to be deposited promptly, and in any event no later than the next Business Day after the date of receipt thereof, all proceeds in respect of any Collateral and all other amounts received by the</w:t>
      </w:r>
    </w:p>
    <w:p>
      <w:pPr>
        <w:pStyle w:val="TextBody"/>
        <w:bidi w:val="0"/>
        <w:spacing w:before="0" w:after="0"/>
        <w:ind w:left="139" w:right="172"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9" w:right="17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and the Guarantors into an account of the Borrower or Guarantors. The Borrower and the Guarantors shall not maintain cash or other amounts in any deposit account or securities account, unless the Agent shall have received an Account Control Agreement in respect of each such account (other than the Excluded Accounts). Subject to the terms of the Specified Subordination Agreement, if an Event of Default has occurred and is continuing, all amounts received in such accounts shall, if so directed by the Agent, be wired each Business Day into the Agent’s Account.</w:t>
      </w:r>
    </w:p>
    <w:p>
      <w:pPr>
        <w:pStyle w:val="TextBody"/>
        <w:bidi w:val="0"/>
        <w:spacing w:before="0" w:after="0"/>
        <w:ind w:left="139" w:right="172" w:hanging="0"/>
        <w:jc w:val="both"/>
        <w:rPr>
          <w:caps w:val="false"/>
          <w:smallCaps w:val="false"/>
        </w:rPr>
      </w:pPr>
      <w:r>
        <w:rPr>
          <w:caps w:val="false"/>
          <w:smallCaps w:val="false"/>
        </w:rPr>
        <w:t> </w:t>
      </w:r>
    </w:p>
    <w:p>
      <w:pPr>
        <w:pStyle w:val="TextBody"/>
        <w:bidi w:val="0"/>
        <w:spacing w:before="0" w:after="0"/>
        <w:ind w:left="140" w:right="169"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6.15   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Use the Loans in accordance with Section 2.10. The Borrower shall  not use any portion of the proceeds of any such advances for the purpose of purchasing or carrying any “margin stock” (as defined in Regulation U of the Board of Governors of the Federal Reserve System) in any manner which violates the provisions of Regulation T, U or X of said Board of Governors or for any other purpose in violation of any applicable statute or regulation and not use the Loans to fund any operations in, finance any investments or activities in, or, make any payments to, a Sanctioned Country or Sanctioned Person in violation of any Anti-Terrorism Law or in any other manner that would result in a violation of Sanctions by any Person.</w:t>
      </w:r>
    </w:p>
    <w:p>
      <w:pPr>
        <w:pStyle w:val="TextBody"/>
        <w:bidi w:val="0"/>
        <w:spacing w:before="0" w:after="0"/>
        <w:ind w:left="140" w:right="169" w:firstLine="720"/>
        <w:jc w:val="both"/>
        <w:rPr>
          <w:caps w:val="false"/>
          <w:smallCaps w:val="false"/>
        </w:rPr>
      </w:pPr>
      <w:r>
        <w:rPr>
          <w:caps w:val="false"/>
          <w:smallCaps w:val="false"/>
        </w:rPr>
        <w:t> </w:t>
      </w:r>
    </w:p>
    <w:p>
      <w:pPr>
        <w:pStyle w:val="TextBody"/>
        <w:bidi w:val="0"/>
        <w:spacing w:before="0" w:after="0"/>
        <w:ind w:left="139" w:right="17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6.16   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Except as could not reasonably be expected to have a Material Adverse Effect, the Borrower shall (i) protect, defend and maintain the validity and enforceability of the material Trademarks, Patents, Copyrights and Trade Secrets owned by the Borrower, (ii) use commercially reasonable efforts to detect or otherwise protect against infringements of the Trademarks, Patents and Copyrights or misappropriation of Trade Secrets owned by the Borrower and promptly advise the Agent in writing of material infringements or misappropriations detected and (iii) not allow any Intellectual Property owned by the Borrower to be abandoned, forfeited or dedicated to the public without the written consent of the Agent, which shall not be unreasonably withheld. If, despite the restrictions contained in Section 7.3 and subject to the exceptions for Rent the Runway Limited set forth therein, any Subsidiary of the Borrower that is not the Borrower or a Guarantor holds, acquires, exclusively licenses or develops material Intellectual Property, the Borrower shall promptly cause (i) such Subsidiary to transfer such material Intellectual Property and any rights thereto to the Borrower or a Guarantor and (ii) grant a perfected security interest in any such Intellectual Property in accordance with the requirements set forth in the Loan Documents.</w:t>
      </w:r>
    </w:p>
    <w:p>
      <w:pPr>
        <w:pStyle w:val="TextBody"/>
        <w:bidi w:val="0"/>
        <w:spacing w:before="0" w:after="0"/>
        <w:ind w:left="139" w:right="170" w:firstLine="720"/>
        <w:jc w:val="both"/>
        <w:rPr>
          <w:caps w:val="false"/>
          <w:smallCaps w:val="false"/>
        </w:rPr>
      </w:pPr>
      <w:r>
        <w:rPr>
          <w:caps w:val="false"/>
          <w:smallCaps w:val="false"/>
        </w:rPr>
        <w:t> </w:t>
      </w:r>
    </w:p>
    <w:p>
      <w:pPr>
        <w:pStyle w:val="TextBody"/>
        <w:bidi w:val="0"/>
        <w:spacing w:before="0" w:after="0"/>
        <w:ind w:left="139" w:right="14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6.17    </w:t>
      </w:r>
      <w:r>
        <w:rPr>
          <w:rFonts w:ascii="Times New Roman;Times;Serif" w:hAnsi="Times New Roman;Times;Serif"/>
          <w:b w:val="false"/>
          <w:i w:val="false"/>
          <w:caps w:val="false"/>
          <w:smallCaps w:val="false"/>
          <w:sz w:val="20"/>
          <w:u w:val="single"/>
        </w:rPr>
        <w:t>Consent of Inbound Licensors</w:t>
      </w:r>
      <w:r>
        <w:rPr>
          <w:rFonts w:ascii="Times New Roman;Times;Serif" w:hAnsi="Times New Roman;Times;Serif"/>
          <w:b w:val="false"/>
          <w:i w:val="false"/>
          <w:caps w:val="false"/>
          <w:smallCaps w:val="false"/>
          <w:sz w:val="20"/>
        </w:rPr>
        <w:t>. Promptly after entering into or becoming bound by any inbound license or agreement (other than over-the-counter software that is commercially available to the public), the failure, breach or termination of which could reasonably be expected to cause a Material Adverse Effect, the Borrower shall provide written notice to the Agent of the material terms of such license or agreement with a description of its likely impact on the Borrower’s business or financial condition. The Borrower shall, in good faith, take such actions as the Agent may reasonably request to obtain the consent of, or waiver by, any person whose consent or waiver is necessary for (a) the Borrower’s interest in such licenses or contract rights to be deemed Collateral and for the Agent to have, for the benefit of the Lenders, a security interest in it that might otherwise be restricted by the terms of the applicable license or agreement, whether now existing or entered into in the future (in each case, only to the extent they constitute Collateral), and (b) the Agent to have the ability in the event of a liquidation of any Collateral to dispose of such Collateral in accordance with the Agent’s rights and remedies under this Agreement and the other Loan Documents, provided, however, that the failure to obtain any such consent or waiver shall not constitute an Event of Default under this Agreement.</w:t>
      </w:r>
    </w:p>
    <w:p>
      <w:pPr>
        <w:pStyle w:val="TextBody"/>
        <w:bidi w:val="0"/>
        <w:spacing w:before="0" w:after="0"/>
        <w:ind w:left="139" w:right="145" w:firstLine="720"/>
        <w:jc w:val="both"/>
        <w:rPr>
          <w:caps w:val="false"/>
          <w:smallCaps w:val="false"/>
        </w:rPr>
      </w:pPr>
      <w:r>
        <w:rPr>
          <w:caps w:val="false"/>
          <w:smallCaps w:val="false"/>
        </w:rPr>
        <w:t> </w:t>
      </w:r>
    </w:p>
    <w:p>
      <w:pPr>
        <w:pStyle w:val="TextBody"/>
        <w:bidi w:val="0"/>
        <w:spacing w:before="0" w:after="0"/>
        <w:ind w:left="139" w:right="12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6.18    </w:t>
      </w:r>
      <w:r>
        <w:rPr>
          <w:rFonts w:ascii="Times New Roman;Times;Serif" w:hAnsi="Times New Roman;Times;Serif"/>
          <w:b w:val="false"/>
          <w:i w:val="false"/>
          <w:caps w:val="false"/>
          <w:smallCaps w:val="false"/>
          <w:sz w:val="20"/>
          <w:u w:val="single"/>
        </w:rPr>
        <w:t>Anti-Terrorism</w:t>
      </w:r>
      <w:r>
        <w:rPr>
          <w:rFonts w:ascii="Times New Roman;Times;Serif" w:hAnsi="Times New Roman;Times;Serif"/>
          <w:b w:val="false"/>
          <w:i w:val="false"/>
          <w:caps w:val="false"/>
          <w:smallCaps w:val="false"/>
          <w:sz w:val="20"/>
        </w:rPr>
        <w:t>. Not permit (i) any Covered Entity (in the case of clauses (b) and (c) of the definition of “Covered Entity,” to the knowledge of the Credit Parties) to become a Sanctioned Person, (ii) any Covered Entity (in the case of clauses (b) and (c) of the definition of “Covered Entity,” to the knowledge of the Credit Parties), either in its own right or through any third party, to (A) have any of its assets in a Sanctioned Country or in the possession, custody or control of a Sanctioned Person in</w:t>
      </w:r>
    </w:p>
    <w:p>
      <w:pPr>
        <w:pStyle w:val="TextBody"/>
        <w:bidi w:val="0"/>
        <w:spacing w:before="0" w:after="0"/>
        <w:ind w:left="139" w:right="125"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4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violation of any Anti-Terrorism Law; (B) do business in or with, or derive any of its income from investments in or transactions with, any Sanctioned Country or Sanctioned Person in violation of any Anti-Terrorism Law; (C) engage in any dealings or transactions prohibited by any Anti-Terrorism Law; or (D) use the Loans to fund any operations in, finance any investments or activities in, or, make any payments to, a Sanctioned Country or Sanctioned Person in violation of any Anti-Terrorism Law, (iii) the funds used to repay the Indebtedness will not be derived from any unlawful activity, and (iv) shall cause each Covered Entity (in the case of clauses (b) and (c) of the definition of “Covered Entity,” to the knowledge of the Credit Parties) to comply with all Anti-Terrorism Laws.</w:t>
      </w:r>
    </w:p>
    <w:p>
      <w:pPr>
        <w:pStyle w:val="TextBody"/>
        <w:bidi w:val="0"/>
        <w:spacing w:before="0" w:after="0"/>
        <w:ind w:left="140" w:right="142" w:hanging="0"/>
        <w:jc w:val="both"/>
        <w:rPr>
          <w:caps w:val="false"/>
          <w:smallCaps w:val="false"/>
        </w:rPr>
      </w:pPr>
      <w:r>
        <w:rPr>
          <w:caps w:val="false"/>
          <w:smallCaps w:val="false"/>
        </w:rPr>
        <w:t> </w:t>
      </w:r>
    </w:p>
    <w:p>
      <w:pPr>
        <w:pStyle w:val="TextBody"/>
        <w:bidi w:val="0"/>
        <w:spacing w:before="0" w:after="0"/>
        <w:ind w:left="139" w:right="12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6.19   </w:t>
      </w:r>
      <w:r>
        <w:rPr>
          <w:rFonts w:ascii="Times New Roman;Times;Serif" w:hAnsi="Times New Roman;Times;Serif"/>
          <w:b w:val="false"/>
          <w:i w:val="false"/>
          <w:caps w:val="false"/>
          <w:smallCaps w:val="false"/>
          <w:sz w:val="20"/>
          <w:u w:val="single"/>
        </w:rPr>
        <w:t>Further Assurances and Information</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Take such actions as the Agent or Majority Lenders may from time to time reasonably request to establish and maintain perfected security interests in and Liens on all of the Collateral, subject only to those Liens permitted under Section 7.2 hereof, including executing and delivering such additional pledges, assignments, mortgages, lien instruments or other security instruments covering any or all of the Borrower’s and the Guarantors’ assets as the Agent may reasonably require, such documentation to be in form and substance reasonably acceptable to the Agent, and prepared at the expense of the Borrower.</w:t>
      </w:r>
    </w:p>
    <w:p>
      <w:pPr>
        <w:pStyle w:val="TextBody"/>
        <w:bidi w:val="0"/>
        <w:spacing w:before="0" w:after="0"/>
        <w:ind w:left="140" w:right="170" w:firstLine="1440"/>
        <w:jc w:val="both"/>
        <w:rPr>
          <w:caps w:val="false"/>
          <w:smallCaps w:val="false"/>
        </w:rPr>
      </w:pPr>
      <w:r>
        <w:rPr>
          <w:caps w:val="false"/>
          <w:smallCaps w:val="false"/>
        </w:rPr>
        <w:t> </w:t>
      </w:r>
    </w:p>
    <w:p>
      <w:pPr>
        <w:pStyle w:val="TextBody"/>
        <w:bidi w:val="0"/>
        <w:spacing w:before="0" w:after="0"/>
        <w:ind w:left="140" w:right="14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Execute and deliver or cause to be executed and delivered to the Agent within a reasonable time following the Agent’s request, and at the expense of the Borrower, such other documents or instruments as the Agent may reasonably require to effectuate more fully the purposes of this Agreement or the other Loan Documents.</w:t>
      </w:r>
    </w:p>
    <w:p>
      <w:pPr>
        <w:pStyle w:val="TextBody"/>
        <w:bidi w:val="0"/>
        <w:spacing w:before="0" w:after="0"/>
        <w:ind w:left="140" w:right="146" w:firstLine="1440"/>
        <w:jc w:val="both"/>
        <w:rPr>
          <w:caps w:val="false"/>
          <w:smallCaps w:val="false"/>
        </w:rPr>
      </w:pPr>
      <w:r>
        <w:rPr>
          <w:caps w:val="false"/>
          <w:smallCaps w:val="false"/>
        </w:rPr>
        <w:t> </w:t>
      </w:r>
    </w:p>
    <w:p>
      <w:pPr>
        <w:pStyle w:val="TextBody"/>
        <w:bidi w:val="0"/>
        <w:spacing w:before="0" w:after="0"/>
        <w:ind w:left="140"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Provide the Agent and the Lenders with any other information required by Section 326 of the USA Patriot Act or necessary for the Agent and the Lenders to verify the identity of any Credit Party as required by Section 326 of the USA Patriot Act.</w:t>
      </w:r>
    </w:p>
    <w:p>
      <w:pPr>
        <w:pStyle w:val="TextBody"/>
        <w:bidi w:val="0"/>
        <w:spacing w:before="0" w:after="0"/>
        <w:ind w:left="140" w:right="170" w:firstLine="1440"/>
        <w:jc w:val="both"/>
        <w:rPr>
          <w:caps w:val="false"/>
          <w:smallCaps w:val="false"/>
        </w:rPr>
      </w:pPr>
      <w:r>
        <w:rPr>
          <w:caps w:val="false"/>
          <w:smallCaps w:val="false"/>
        </w:rPr>
        <w:t> </w:t>
      </w:r>
    </w:p>
    <w:p>
      <w:pPr>
        <w:pStyle w:val="TextBody"/>
        <w:bidi w:val="0"/>
        <w:spacing w:before="0" w:after="0"/>
        <w:ind w:left="140"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that the Agent, in its sole discretion, consents in writing to the formation or other existence of a direct parent entity of the Borrower, cause such parent entity to become a Guarantor and a party hereunder and the other Loan Documents, grant a security interest in all of the assets of such entity, including a pledge of 100% of the Equity Interests of the Borrower, and amend, restate, amend and restate, supplement or otherwise modify this Agreement and any other Loan Document to give effect to the foregoing, including causing such direct parent entity to be subject to, among other things, the representations, affirmative covenants, negative covenants (including, without limitation, a passive holding covenant, a restriction on granting Liens on any Equity Interests of the Borrower and a restriction prohibiting the “round-tripping” of cash equity contributions to any equity holders) and events of default hereunder.</w:t>
      </w:r>
    </w:p>
    <w:p>
      <w:pPr>
        <w:pStyle w:val="TextBody"/>
        <w:bidi w:val="0"/>
        <w:spacing w:before="0" w:after="0"/>
        <w:ind w:left="140" w:right="170" w:firstLine="14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3"/>
        <w:gridCol w:w="650"/>
        <w:gridCol w:w="9432"/>
      </w:tblGrid>
      <w:tr>
        <w:trPr/>
        <w:tc>
          <w:tcPr>
            <w:tcW w:w="12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7.</w:t>
            </w:r>
          </w:p>
        </w:tc>
        <w:tc>
          <w:tcPr>
            <w:tcW w:w="9432" w:type="dxa"/>
            <w:tcBorders/>
            <w:vAlign w:val="center"/>
          </w:tcPr>
          <w:p>
            <w:pPr>
              <w:pStyle w:val="TableContents"/>
              <w:bidi w:val="0"/>
              <w:spacing w:before="0" w:after="283"/>
              <w:jc w:val="left"/>
              <w:rPr/>
            </w:pPr>
            <w:r>
              <w:rPr/>
              <w:t>NEGATIVE COVENANTS.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7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covenants and agrees that, so long as any Lender has any commitment to extend credit hereunder, or any of the Indebtedness (including any Prepayment Premium) remains outstanding and unpaid, it will not, and, as applicable, it will not permit any of its Subsidiaries to:</w:t>
      </w:r>
    </w:p>
    <w:p>
      <w:pPr>
        <w:pStyle w:val="TextBody"/>
        <w:bidi w:val="0"/>
        <w:spacing w:before="0" w:after="0"/>
        <w:ind w:left="140" w:right="170" w:firstLine="720"/>
        <w:jc w:val="both"/>
        <w:rPr>
          <w:caps w:val="false"/>
          <w:smallCaps w:val="false"/>
        </w:rPr>
      </w:pPr>
      <w:r>
        <w:rPr>
          <w:caps w:val="false"/>
          <w:smallCaps w:val="false"/>
        </w:rPr>
        <w:t> </w:t>
      </w:r>
    </w:p>
    <w:p>
      <w:pPr>
        <w:pStyle w:val="TextBody"/>
        <w:bidi w:val="0"/>
        <w:spacing w:before="0" w:after="0"/>
        <w:ind w:left="139" w:right="12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val="false"/>
          <w:i w:val="false"/>
          <w:caps w:val="false"/>
          <w:smallCaps w:val="false"/>
          <w:sz w:val="20"/>
          <w:u w:val="single"/>
        </w:rPr>
        <w:t>Limitation on Debt</w:t>
      </w:r>
      <w:r>
        <w:rPr>
          <w:rFonts w:ascii="Times New Roman;Times;Serif" w:hAnsi="Times New Roman;Times;Serif"/>
          <w:b w:val="false"/>
          <w:i w:val="false"/>
          <w:caps w:val="false"/>
          <w:smallCaps w:val="false"/>
          <w:sz w:val="20"/>
        </w:rPr>
        <w:t>. Create, incur, assume or suffer to exist any Debt, except: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5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Indebtedness of any Credit Party to the Agent or any Lender;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5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Debt existing on the Restatement Date and set forth in Schedule 7.1 attached hereto and any Permitted Refinancing Debt in respect of such Debt;</w:t>
      </w:r>
    </w:p>
    <w:p>
      <w:pPr>
        <w:pStyle w:val="TextBody"/>
        <w:bidi w:val="0"/>
        <w:spacing w:before="0" w:after="0"/>
        <w:ind w:left="140" w:right="153" w:firstLine="1440"/>
        <w:jc w:val="both"/>
        <w:rPr>
          <w:caps w:val="false"/>
          <w:smallCaps w:val="false"/>
        </w:rPr>
      </w:pPr>
      <w:r>
        <w:rPr>
          <w:caps w:val="false"/>
          <w:smallCaps w:val="false"/>
        </w:rPr>
        <w:t> </w:t>
      </w:r>
    </w:p>
    <w:p>
      <w:pPr>
        <w:pStyle w:val="TextBody"/>
        <w:bidi w:val="0"/>
        <w:spacing w:before="0" w:after="0"/>
        <w:ind w:left="140"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Debt of the Borrower or any of its Subsidiaries incurred to finance the acquisition of fixed or capital assets, or any Permitted Refinancing Debt thereof, whether pursuant to a loan or a Capitalized Lease provided that both at the time of and immediately after giving effect to the incurrence thereof (i) no Event of Default shall have occurred and be continuing, (ii) other than in the case of a refinancing, such Debt is incurred within 180 days of the acquisition thereof and (iii) the aggregate principal amount of all such Debt at any one time outstanding (including, without limitation, any Debt of the type described in this clause (c) which is set forth on Schedule 7.1 hereto) shall not exceed $10,000,000;</w:t>
      </w:r>
    </w:p>
    <w:p>
      <w:pPr>
        <w:pStyle w:val="TextBody"/>
        <w:bidi w:val="0"/>
        <w:spacing w:before="0" w:after="0"/>
        <w:ind w:left="140" w:right="172" w:firstLine="1440"/>
        <w:jc w:val="both"/>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Debt of the Credit Parties under the Senior Loan Documents in the aggregate principal amount not to exceed $30,000,000 so long as such Debt and all other obligations of the Credit Parties in connection therewith are subject to the Specified Subordination Agreement;</w:t>
      </w:r>
    </w:p>
    <w:p>
      <w:pPr>
        <w:pStyle w:val="TextBody"/>
        <w:bidi w:val="0"/>
        <w:spacing w:before="0" w:after="0"/>
        <w:ind w:left="140" w:right="173" w:firstLine="1440"/>
        <w:jc w:val="both"/>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Subordinated Debt;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Debt under any Hedging Transactions, provided that such transaction is entered into for risk management purposes and not for speculative purposes;</w:t>
      </w:r>
    </w:p>
    <w:p>
      <w:pPr>
        <w:pStyle w:val="TextBody"/>
        <w:bidi w:val="0"/>
        <w:spacing w:before="0" w:after="0"/>
        <w:ind w:left="140" w:right="172" w:firstLine="1440"/>
        <w:jc w:val="both"/>
        <w:rPr>
          <w:caps w:val="false"/>
          <w:smallCaps w:val="false"/>
        </w:rPr>
      </w:pPr>
      <w:r>
        <w:rPr>
          <w:caps w:val="false"/>
          <w:smallCaps w:val="false"/>
        </w:rPr>
        <w:t> </w:t>
      </w:r>
    </w:p>
    <w:p>
      <w:pPr>
        <w:pStyle w:val="TextBody"/>
        <w:bidi w:val="0"/>
        <w:spacing w:before="0" w:after="0"/>
        <w:ind w:left="140" w:right="174"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Debt arising from judgments or decrees not deemed to be a Default or Event of Default under Section 8.1(g);</w:t>
      </w:r>
    </w:p>
    <w:p>
      <w:pPr>
        <w:pStyle w:val="TextBody"/>
        <w:bidi w:val="0"/>
        <w:spacing w:before="0" w:after="0"/>
        <w:ind w:left="140" w:right="174" w:firstLine="1440"/>
        <w:jc w:val="both"/>
        <w:rPr>
          <w:caps w:val="false"/>
          <w:smallCaps w:val="false"/>
        </w:rPr>
      </w:pPr>
      <w:r>
        <w:rPr>
          <w:caps w:val="false"/>
          <w:smallCaps w:val="false"/>
        </w:rPr>
        <w:t> </w:t>
      </w:r>
    </w:p>
    <w:p>
      <w:pPr>
        <w:pStyle w:val="TextBody"/>
        <w:bidi w:val="0"/>
        <w:spacing w:before="0" w:after="0"/>
        <w:ind w:left="140"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Debt owing to a Person that is a Credit Party, but only to the extent permitted under Section 7.6(d) or 7.6(m);</w:t>
      </w:r>
    </w:p>
    <w:p>
      <w:pPr>
        <w:pStyle w:val="TextBody"/>
        <w:bidi w:val="0"/>
        <w:spacing w:before="0" w:after="0"/>
        <w:ind w:left="140" w:right="172" w:firstLine="1440"/>
        <w:jc w:val="both"/>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Debt incurred in respect of credit cards, credit card processing services, debit cards, stored value cards, purchase cards (including so-called “procurement cards” or “P-cards”) or other similar cash management services, in each case, incurred in the ordinary course of business;</w:t>
      </w:r>
    </w:p>
    <w:p>
      <w:pPr>
        <w:pStyle w:val="TextBody"/>
        <w:bidi w:val="0"/>
        <w:spacing w:before="0" w:after="0"/>
        <w:ind w:left="140" w:right="173" w:firstLine="1440"/>
        <w:jc w:val="both"/>
        <w:rPr>
          <w:caps w:val="false"/>
          <w:smallCaps w:val="false"/>
        </w:rPr>
      </w:pPr>
      <w:r>
        <w:rPr>
          <w:caps w:val="false"/>
          <w:smallCaps w:val="false"/>
        </w:rPr>
        <w:t> </w:t>
      </w:r>
    </w:p>
    <w:p>
      <w:pPr>
        <w:pStyle w:val="TextBody"/>
        <w:bidi w:val="0"/>
        <w:spacing w:before="0" w:after="0"/>
        <w:ind w:left="140"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reimbursement obligations with respect to Cash Secured L/Cs;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aggregate face amount of all Cash Secured L/Cs shall not exceed $15,000,000 at any time; and</w:t>
      </w:r>
    </w:p>
    <w:p>
      <w:pPr>
        <w:pStyle w:val="TextBody"/>
        <w:bidi w:val="0"/>
        <w:spacing w:before="0" w:after="0"/>
        <w:ind w:left="140" w:right="172" w:firstLine="1440"/>
        <w:jc w:val="both"/>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additional Debt not otherwise permitted under this Section 7.1, provided that both at the time of and immediately after giving effect to the incurrence thereof (i) no Event of Default shall have occurred and be continuing or result therefrom and (ii) the aggregate amount of all such Debt shall not exceed $7,500,000 at any one time outstanding.</w:t>
      </w:r>
    </w:p>
    <w:p>
      <w:pPr>
        <w:pStyle w:val="TextBody"/>
        <w:bidi w:val="0"/>
        <w:spacing w:before="0" w:after="0"/>
        <w:ind w:left="140" w:right="173" w:firstLine="1440"/>
        <w:jc w:val="both"/>
        <w:rPr>
          <w:caps w:val="false"/>
          <w:smallCaps w:val="false"/>
        </w:rPr>
      </w:pPr>
      <w:r>
        <w:rPr>
          <w:caps w:val="false"/>
          <w:smallCaps w:val="false"/>
        </w:rPr>
        <w:t> </w:t>
      </w:r>
    </w:p>
    <w:p>
      <w:pPr>
        <w:pStyle w:val="TextBody"/>
        <w:bidi w:val="0"/>
        <w:spacing w:before="0" w:after="0"/>
        <w:ind w:left="140" w:right="11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Limitation on Liens</w:t>
      </w:r>
      <w:r>
        <w:rPr>
          <w:rFonts w:ascii="Times New Roman;Times;Serif" w:hAnsi="Times New Roman;Times;Serif"/>
          <w:b w:val="false"/>
          <w:i w:val="false"/>
          <w:caps w:val="false"/>
          <w:smallCaps w:val="false"/>
          <w:sz w:val="20"/>
        </w:rPr>
        <w:t>. Create, incur, assume or suffer to exist any Lien upon any of its property, assets or revenues, whether now owned or hereafter acquired or sign or file or suffer to exist under the UCC or any similar Law or statute of any jurisdiction a financing statement that names any Credit Party as debtor; sign or suffer to exist any security agreement authorizing any Person thereunder to file such financing statement; sell any of its property or assets subject to an understanding or agreement (contingent or otherwise) to repurchase such property or assets with recourse to it or any of its Subsidiaries; or assign or otherwise transfer any accounts or other rights to receive income, except for:</w:t>
      </w:r>
    </w:p>
    <w:p>
      <w:pPr>
        <w:pStyle w:val="TextBody"/>
        <w:bidi w:val="0"/>
        <w:spacing w:before="0" w:after="0"/>
        <w:ind w:left="140" w:right="117" w:firstLine="720"/>
        <w:jc w:val="both"/>
        <w:rPr>
          <w:caps w:val="false"/>
          <w:smallCaps w:val="false"/>
        </w:rPr>
      </w:pPr>
      <w:r>
        <w:rPr>
          <w:caps w:val="false"/>
          <w:smallCaps w:val="false"/>
        </w:rPr>
        <w:t> </w:t>
      </w:r>
    </w:p>
    <w:p>
      <w:pPr>
        <w:pStyle w:val="TextBody"/>
        <w:bidi w:val="0"/>
        <w:spacing w:before="0" w:after="0"/>
        <w:ind w:left="139" w:right="171"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Permitted Liens;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39" w:right="171"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Liens securing Debt permitted by Section 7.1(c), provided that (i) such Liens are created only upon fixed or capital assets acquired by the applicable Credit Party after the date of this Agreement (including without limitation by virtue of a loan or a Capitalized Lease), (ii) any such Lien is</w:t>
      </w:r>
    </w:p>
    <w:p>
      <w:pPr>
        <w:pStyle w:val="TextBody"/>
        <w:bidi w:val="0"/>
        <w:spacing w:before="0" w:after="0"/>
        <w:ind w:left="139" w:right="171"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9" w:right="17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created solely for the purpose of securing indebtedness representing or incurred to finance the cost of the acquisition of the item of property subject thereto, (iii) the principal amount of the Debt secured by any such Lien shall at no time exceed 100% of the sum of the purchase price or cost of the applicable property, equipment or improvements and the related costs and charges imposed by the vendors thereof and (iv) the Lien does not cover any property other than the fixed or capital asset acquired; provided, however, that no such Lien shall be created over any owned real property of any Credit Party for which the Agent has received a Mortgage or for which such Credit Party is required to execute a Mortgage pursuant to the terms of this Agreement;</w:t>
      </w:r>
    </w:p>
    <w:p>
      <w:pPr>
        <w:pStyle w:val="TextBody"/>
        <w:bidi w:val="0"/>
        <w:spacing w:before="0" w:after="0"/>
        <w:ind w:left="139" w:right="170" w:hanging="0"/>
        <w:jc w:val="both"/>
        <w:rPr>
          <w:caps w:val="false"/>
          <w:smallCaps w:val="false"/>
        </w:rPr>
      </w:pPr>
      <w:r>
        <w:rPr>
          <w:caps w:val="false"/>
          <w:smallCaps w:val="false"/>
        </w:rPr>
        <w:t> </w:t>
      </w:r>
    </w:p>
    <w:p>
      <w:pPr>
        <w:pStyle w:val="TextBody"/>
        <w:bidi w:val="0"/>
        <w:spacing w:before="0" w:after="0"/>
        <w:ind w:left="139" w:right="171"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Liens created pursuant to the Loan Documents;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Liens on the Collateral securing the Senior Debt permitted by Section 7.1(d) so long as such Liens and all obligations of the Credit Parties in connection therewith are subject to the Specified Subordination Agreement;</w:t>
      </w:r>
    </w:p>
    <w:p>
      <w:pPr>
        <w:pStyle w:val="TextBody"/>
        <w:bidi w:val="0"/>
        <w:spacing w:before="0" w:after="0"/>
        <w:ind w:left="140" w:right="173" w:firstLine="1440"/>
        <w:jc w:val="both"/>
        <w:rPr>
          <w:caps w:val="false"/>
          <w:smallCaps w:val="false"/>
        </w:rPr>
      </w:pPr>
      <w:r>
        <w:rPr>
          <w:caps w:val="false"/>
          <w:smallCaps w:val="false"/>
        </w:rPr>
        <w:t> </w:t>
      </w:r>
    </w:p>
    <w:p>
      <w:pPr>
        <w:pStyle w:val="TextBody"/>
        <w:bidi w:val="0"/>
        <w:spacing w:before="0" w:after="0"/>
        <w:ind w:left="140"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other Liens, existing on the Restatement Date and set forth on Schedule 7.2; provided, that any such Lien shall only secure the Debt that it secures on the Restatement Date and any Permitted Refinancing Debt in respect thereof;</w:t>
      </w:r>
    </w:p>
    <w:p>
      <w:pPr>
        <w:pStyle w:val="TextBody"/>
        <w:bidi w:val="0"/>
        <w:spacing w:before="0" w:after="0"/>
        <w:ind w:left="140" w:right="170" w:firstLine="1440"/>
        <w:jc w:val="both"/>
        <w:rPr>
          <w:caps w:val="false"/>
          <w:smallCaps w:val="false"/>
        </w:rPr>
      </w:pPr>
      <w:r>
        <w:rPr>
          <w:caps w:val="false"/>
          <w:smallCaps w:val="false"/>
        </w:rPr>
        <w:t> </w:t>
      </w:r>
    </w:p>
    <w:p>
      <w:pPr>
        <w:pStyle w:val="TextBody"/>
        <w:bidi w:val="0"/>
        <w:spacing w:before="0" w:after="0"/>
        <w:ind w:left="139"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cash collateral and cash on deposit in deposit accounts securing the Cash Secured L/Cs constituting Debt permitted by Section 7.1(j) (each, an "</w:t>
      </w:r>
      <w:r>
        <w:rPr>
          <w:rFonts w:ascii="Times New Roman;Times;Serif" w:hAnsi="Times New Roman;Times;Serif"/>
          <w:b/>
          <w:i w:val="false"/>
          <w:caps w:val="false"/>
          <w:smallCaps w:val="false"/>
          <w:sz w:val="20"/>
        </w:rPr>
        <w:t>Excluded L/C Account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aggregate amount of such cash collateral and cash in Excluded L/C Accounts does not exceed 105% of the face amount of the Cash Secured L/Cs; and</w:t>
      </w:r>
    </w:p>
    <w:p>
      <w:pPr>
        <w:pStyle w:val="TextBody"/>
        <w:bidi w:val="0"/>
        <w:spacing w:before="0" w:after="0"/>
        <w:ind w:left="139" w:right="172" w:firstLine="1440"/>
        <w:jc w:val="both"/>
        <w:rPr>
          <w:caps w:val="false"/>
          <w:smallCaps w:val="false"/>
        </w:rPr>
      </w:pPr>
      <w:r>
        <w:rPr>
          <w:caps w:val="false"/>
          <w:smallCaps w:val="false"/>
        </w:rPr>
        <w:t> </w:t>
      </w:r>
    </w:p>
    <w:p>
      <w:pPr>
        <w:pStyle w:val="TextBody"/>
        <w:bidi w:val="0"/>
        <w:spacing w:before="0" w:after="0"/>
        <w:ind w:left="140" w:right="174"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other Liens which do not secure Indebtedness for borrowed money or letters of credit and as to which the aggregate amount of the obligations secured thereby does not exceed $2,500,000, so long as both at the time of and immediately after giving effect to the incurrence thereof no Event of Default shall have occurred and be continuing or result therefrom.</w:t>
      </w:r>
    </w:p>
    <w:p>
      <w:pPr>
        <w:pStyle w:val="TextBody"/>
        <w:bidi w:val="0"/>
        <w:spacing w:before="0" w:after="0"/>
        <w:ind w:left="140" w:right="137" w:hanging="0"/>
        <w:jc w:val="both"/>
        <w:rPr>
          <w:caps w:val="false"/>
          <w:smallCaps w:val="false"/>
        </w:rPr>
      </w:pPr>
      <w:r>
        <w:rPr>
          <w:caps w:val="false"/>
          <w:smallCaps w:val="false"/>
        </w:rPr>
        <w:t> </w:t>
      </w:r>
    </w:p>
    <w:p>
      <w:pPr>
        <w:pStyle w:val="TextBody"/>
        <w:bidi w:val="0"/>
        <w:spacing w:before="0" w:after="0"/>
        <w:ind w:left="139" w:right="11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Regardless of the provisions of this Section 7.2, no Lien (except for those Liens (i) for the benefit of the Agent and the Lenders or (ii) for the benefit of the Senior Lenders under the Senior Loan Documents) over the Equity Interests owned by any Credit Party shall be permitted under the terms of this Agreement.</w:t>
      </w:r>
    </w:p>
    <w:p>
      <w:pPr>
        <w:pStyle w:val="TextBody"/>
        <w:bidi w:val="0"/>
        <w:spacing w:before="0" w:after="0"/>
        <w:ind w:left="139" w:right="118" w:hanging="0"/>
        <w:jc w:val="both"/>
        <w:rPr>
          <w:caps w:val="false"/>
          <w:smallCaps w:val="false"/>
        </w:rPr>
      </w:pPr>
      <w:r>
        <w:rPr>
          <w:caps w:val="false"/>
          <w:smallCaps w:val="false"/>
        </w:rPr>
        <w:t> </w:t>
      </w:r>
    </w:p>
    <w:p>
      <w:pPr>
        <w:pStyle w:val="TextBody"/>
        <w:bidi w:val="0"/>
        <w:spacing w:before="0" w:after="0"/>
        <w:ind w:left="140" w:right="159"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val="false"/>
          <w:i w:val="false"/>
          <w:caps w:val="false"/>
          <w:smallCaps w:val="false"/>
          <w:sz w:val="20"/>
          <w:u w:val="single"/>
        </w:rPr>
        <w:t>Material Assets</w:t>
      </w:r>
      <w:r>
        <w:rPr>
          <w:rFonts w:ascii="Times New Roman;Times;Serif" w:hAnsi="Times New Roman;Times;Serif"/>
          <w:b w:val="false"/>
          <w:i w:val="false"/>
          <w:caps w:val="false"/>
          <w:smallCaps w:val="false"/>
          <w:sz w:val="20"/>
        </w:rPr>
        <w:t>. Fail to cause the Borrower or a Guarantor to hold, acquire, develop,  own and possess any asset that is material to the business of the Borrower and its Subsidiaries, including, without limitation, material Intellectual Property, material algorithms, material customer lists, material Software source code (or portions thereof) and, other than in the ordinary course, other material Software; provided, that, Rent the Runway Limited may develop and use on a non-exclusive basis Intellectual Property of the Borrower so long as such Intellectual Property is solely used to fulfill its obligations to Borrower pursuant to the Intercompany License Agreement as of the Restatement Date.</w:t>
      </w:r>
    </w:p>
    <w:p>
      <w:pPr>
        <w:pStyle w:val="TextBody"/>
        <w:bidi w:val="0"/>
        <w:spacing w:before="0" w:after="0"/>
        <w:ind w:left="140" w:right="159" w:firstLine="720"/>
        <w:jc w:val="both"/>
        <w:rPr>
          <w:caps w:val="false"/>
          <w:smallCaps w:val="false"/>
        </w:rPr>
      </w:pPr>
      <w:r>
        <w:rPr>
          <w:caps w:val="false"/>
          <w:smallCaps w:val="false"/>
        </w:rPr>
        <w:t> </w:t>
      </w:r>
    </w:p>
    <w:p>
      <w:pPr>
        <w:pStyle w:val="TextBody"/>
        <w:bidi w:val="0"/>
        <w:spacing w:before="0" w:after="0"/>
        <w:ind w:left="140" w:right="17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7.4    </w:t>
      </w:r>
      <w:r>
        <w:rPr>
          <w:rFonts w:ascii="Times New Roman;Times;Serif" w:hAnsi="Times New Roman;Times;Serif"/>
          <w:b w:val="false"/>
          <w:i w:val="false"/>
          <w:caps w:val="false"/>
          <w:smallCaps w:val="false"/>
          <w:sz w:val="20"/>
          <w:u w:val="single"/>
        </w:rPr>
        <w:t>Limitation on Mergers, Dissolution or Sale of Assets</w:t>
      </w:r>
      <w:r>
        <w:rPr>
          <w:rFonts w:ascii="Times New Roman;Times;Serif" w:hAnsi="Times New Roman;Times;Serif"/>
          <w:b w:val="false"/>
          <w:i w:val="false"/>
          <w:caps w:val="false"/>
          <w:smallCaps w:val="false"/>
          <w:sz w:val="20"/>
        </w:rPr>
        <w:t>. Merge, dissolve, liquidate or consolidate with or into another Person (or agree to do any of the foregoing) or make any Asset Sale or enter into any agreement to make any Asset Sale except:</w:t>
      </w:r>
    </w:p>
    <w:p>
      <w:pPr>
        <w:pStyle w:val="TextBody"/>
        <w:bidi w:val="0"/>
        <w:spacing w:before="0" w:after="0"/>
        <w:ind w:left="140" w:right="174" w:firstLine="720"/>
        <w:jc w:val="both"/>
        <w:rPr>
          <w:caps w:val="false"/>
          <w:smallCaps w:val="false"/>
        </w:rPr>
      </w:pPr>
      <w:r>
        <w:rPr>
          <w:caps w:val="false"/>
          <w:smallCaps w:val="false"/>
        </w:rPr>
        <w:t> </w:t>
      </w:r>
    </w:p>
    <w:p>
      <w:pPr>
        <w:pStyle w:val="TextBody"/>
        <w:bidi w:val="0"/>
        <w:spacing w:before="0" w:after="0"/>
        <w:ind w:left="140"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Inventory leased or sold in the ordinary course of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obsolete, damaged, uneconomic or worn out machinery, equipment or Units, or machinery, equipment or Units no longer used or useful in the conduct of the applicable Credit Party’s business (including write-offs of any such assets); provided that the fair market value of such equipment not financed by the Agent or a Lender shall not exceed $2,500,000 in any Fiscal Year (it being</w:t>
      </w:r>
    </w:p>
    <w:p>
      <w:pPr>
        <w:pStyle w:val="TextBody"/>
        <w:bidi w:val="0"/>
        <w:spacing w:before="0" w:after="0"/>
        <w:ind w:left="140" w:right="17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understood and agreed for the avoidance of doubt that any write-off of assets shall not count toward such cap);</w:t>
      </w:r>
    </w:p>
    <w:p>
      <w:pPr>
        <w:pStyle w:val="TextBody"/>
        <w:bidi w:val="0"/>
        <w:spacing w:before="0" w:after="0"/>
        <w:ind w:left="140" w:right="0" w:hanging="0"/>
        <w:jc w:val="left"/>
        <w:rPr>
          <w:caps w:val="false"/>
          <w:smallCaps w:val="false"/>
        </w:rPr>
      </w:pPr>
      <w:r>
        <w:rPr>
          <w:caps w:val="false"/>
          <w:smallCaps w:val="false"/>
        </w:rPr>
        <w:t> </w:t>
      </w:r>
    </w:p>
    <w:p>
      <w:pPr>
        <w:pStyle w:val="TextBody"/>
        <w:bidi w:val="0"/>
        <w:spacing w:before="0" w:after="0"/>
        <w:ind w:left="140"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Permitted Acquisitions;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mergers or consolidations of any Subsidiary of the Borrower with or into the Borrower or any Guarantor so long as the Borrower or such Guarantor shall be the continuing or surviving entity; provided that at the time of each such merger or consolidation, both before and after giving effect thereto, no Event of Default shall have occurred and be continuing or result from such merger or consolidation;</w:t>
      </w:r>
    </w:p>
    <w:p>
      <w:pPr>
        <w:pStyle w:val="TextBody"/>
        <w:bidi w:val="0"/>
        <w:spacing w:before="0" w:after="0"/>
        <w:ind w:left="140" w:right="173" w:firstLine="1440"/>
        <w:jc w:val="both"/>
        <w:rPr>
          <w:caps w:val="false"/>
          <w:smallCaps w:val="false"/>
        </w:rPr>
      </w:pPr>
      <w:r>
        <w:rPr>
          <w:caps w:val="false"/>
          <w:smallCaps w:val="false"/>
        </w:rPr>
        <w:t> </w:t>
      </w:r>
    </w:p>
    <w:p>
      <w:pPr>
        <w:pStyle w:val="TextBody"/>
        <w:bidi w:val="0"/>
        <w:spacing w:before="0" w:after="0"/>
        <w:ind w:left="139"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Subsidiary of the Borrower may liquidate or dissolve into the Borrower or a Guarantor if the Borrower determines in good faith that such liquidation or dissolution is in the best interests of the Borrower, so long as no Event of Default has occurred and is continuing or would result therefrom;</w:t>
      </w:r>
    </w:p>
    <w:p>
      <w:pPr>
        <w:pStyle w:val="TextBody"/>
        <w:bidi w:val="0"/>
        <w:spacing w:before="0" w:after="0"/>
        <w:ind w:left="139" w:right="173" w:firstLine="1440"/>
        <w:jc w:val="both"/>
        <w:rPr>
          <w:caps w:val="false"/>
          <w:smallCaps w:val="false"/>
        </w:rPr>
      </w:pPr>
      <w:r>
        <w:rPr>
          <w:caps w:val="false"/>
          <w:smallCaps w:val="false"/>
        </w:rPr>
        <w:t> </w:t>
      </w:r>
    </w:p>
    <w:p>
      <w:pPr>
        <w:pStyle w:val="TextBody"/>
        <w:bidi w:val="0"/>
        <w:spacing w:before="0" w:after="0"/>
        <w:ind w:left="140" w:right="169"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sales or transfers, including without limitation upon voluntary liquidation from any Guarantor to the Borrower or to another Guarantor, provided that the Borrower or Guarantor takes such actions as the Agent may reasonably request to ensure the perfection and priority of the Liens in favor of the Lenders over such transferred assets;</w:t>
      </w:r>
    </w:p>
    <w:p>
      <w:pPr>
        <w:pStyle w:val="TextBody"/>
        <w:bidi w:val="0"/>
        <w:spacing w:before="0" w:after="0"/>
        <w:ind w:left="140" w:right="169" w:firstLine="1440"/>
        <w:jc w:val="both"/>
        <w:rPr>
          <w:caps w:val="false"/>
          <w:smallCaps w:val="false"/>
        </w:rPr>
      </w:pPr>
      <w:r>
        <w:rPr>
          <w:caps w:val="false"/>
          <w:smallCaps w:val="false"/>
        </w:rPr>
        <w:t> </w:t>
      </w:r>
    </w:p>
    <w:p>
      <w:pPr>
        <w:pStyle w:val="TextBody"/>
        <w:bidi w:val="0"/>
        <w:spacing w:before="0" w:after="0"/>
        <w:ind w:left="140"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[reserved];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use, sale or disposition of Permitted Investments and other cash or cash equivalents in the ordinary course of business;</w:t>
      </w:r>
    </w:p>
    <w:p>
      <w:pPr>
        <w:pStyle w:val="TextBody"/>
        <w:bidi w:val="0"/>
        <w:spacing w:before="0" w:after="0"/>
        <w:ind w:left="140" w:right="172" w:firstLine="1440"/>
        <w:jc w:val="both"/>
        <w:rPr>
          <w:caps w:val="false"/>
          <w:smallCaps w:val="false"/>
        </w:rPr>
      </w:pPr>
      <w:r>
        <w:rPr>
          <w:caps w:val="false"/>
          <w:smallCaps w:val="false"/>
        </w:rPr>
        <w:t> </w:t>
      </w:r>
    </w:p>
    <w:p>
      <w:pPr>
        <w:pStyle w:val="TextBody"/>
        <w:bidi w:val="0"/>
        <w:spacing w:before="0" w:after="0"/>
        <w:ind w:left="140"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charitable donations of cash or Units (valued using the net book value) not to exceed $2,000,000 in the aggregate in any Fiscal Year; provided that charitable donations of cash may not exceed $750,000 in any Fiscal Year;</w:t>
      </w:r>
    </w:p>
    <w:p>
      <w:pPr>
        <w:pStyle w:val="TextBody"/>
        <w:bidi w:val="0"/>
        <w:spacing w:before="0" w:after="0"/>
        <w:ind w:left="140" w:right="170" w:firstLine="1440"/>
        <w:jc w:val="both"/>
        <w:rPr>
          <w:caps w:val="false"/>
          <w:smallCaps w:val="false"/>
        </w:rPr>
      </w:pPr>
      <w:r>
        <w:rPr>
          <w:caps w:val="false"/>
          <w:smallCaps w:val="false"/>
        </w:rPr>
        <w:t> </w:t>
      </w:r>
    </w:p>
    <w:p>
      <w:pPr>
        <w:pStyle w:val="TextBody"/>
        <w:bidi w:val="0"/>
        <w:spacing w:before="0" w:after="0"/>
        <w:ind w:left="139"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non-exclusive licenses and similar non-exclusive arrangements for the use of property (including Intellectual Property, rights in or to algorithms, rights in or to Software (including any portions of source code therein) and rights in or to customer lists) of the Borrower or its Subsidiaries in the ordinary course of business;</w:t>
      </w:r>
    </w:p>
    <w:p>
      <w:pPr>
        <w:pStyle w:val="TextBody"/>
        <w:bidi w:val="0"/>
        <w:spacing w:before="0" w:after="0"/>
        <w:ind w:left="139" w:right="172" w:firstLine="1440"/>
        <w:jc w:val="both"/>
        <w:rPr>
          <w:caps w:val="false"/>
          <w:smallCaps w:val="false"/>
        </w:rPr>
      </w:pPr>
      <w:r>
        <w:rPr>
          <w:caps w:val="false"/>
          <w:smallCaps w:val="false"/>
        </w:rPr>
        <w:t> </w:t>
      </w:r>
    </w:p>
    <w:p>
      <w:pPr>
        <w:pStyle w:val="TextBody"/>
        <w:bidi w:val="0"/>
        <w:spacing w:before="0" w:after="0"/>
        <w:ind w:left="140" w:right="174"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dispositions of machinery or equipment to the extent that such machinery or equipment is exchanged for credit against the purchase price of similar replacement machinery or equipment;</w:t>
      </w:r>
    </w:p>
    <w:p>
      <w:pPr>
        <w:pStyle w:val="TextBody"/>
        <w:bidi w:val="0"/>
        <w:spacing w:before="0" w:after="0"/>
        <w:ind w:left="140" w:right="174" w:firstLine="1440"/>
        <w:jc w:val="both"/>
        <w:rPr>
          <w:caps w:val="false"/>
          <w:smallCaps w:val="false"/>
        </w:rPr>
      </w:pPr>
      <w:r>
        <w:rPr>
          <w:caps w:val="false"/>
          <w:smallCaps w:val="false"/>
        </w:rPr>
        <w:t> </w:t>
      </w:r>
    </w:p>
    <w:p>
      <w:pPr>
        <w:pStyle w:val="TextBody"/>
        <w:bidi w:val="0"/>
        <w:spacing w:before="0" w:after="0"/>
        <w:ind w:left="140"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dispositions of owned or leased vehicles in the ordinary course of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dispositions of assets that are not permitted by any other provision of this Section; provided that (i) the aggregate fair value of all assets disposed of in reliance on this clause shall not exceed $1,000,000 during any Fiscal Year, (ii) all dispositions made in reliance on this clause shall be made for fair value and at least 75% cash or cash equivalents consideration, (iii) the assets being sold do not consist of any Equity Interests of any Subsidiary of the Borrower, and (iv) no Default or Event of Default has occurred and is continuing at the time of each such sale (both before and after giving effect  to such Asset Sale); and</w:t>
      </w:r>
    </w:p>
    <w:p>
      <w:pPr>
        <w:pStyle w:val="TextBody"/>
        <w:bidi w:val="0"/>
        <w:spacing w:before="0" w:after="0"/>
        <w:ind w:left="140" w:right="172"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9"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other Asset Sales approved in writing by the Majority Lenders in their sole discretion so long as the Net Cash Proceeds of such Asset Sale described in this clause (n) are paid to the Agent for the benefit of the Agent and the Lenders pursuant to the terms of Section 2.8(a).</w:t>
      </w:r>
    </w:p>
    <w:p>
      <w:pPr>
        <w:pStyle w:val="TextBody"/>
        <w:bidi w:val="0"/>
        <w:spacing w:before="0" w:after="0"/>
        <w:ind w:left="139" w:right="173" w:firstLine="1440"/>
        <w:jc w:val="both"/>
        <w:rPr>
          <w:caps w:val="false"/>
          <w:smallCaps w:val="false"/>
        </w:rPr>
      </w:pPr>
      <w:r>
        <w:rPr>
          <w:caps w:val="false"/>
          <w:smallCaps w:val="false"/>
        </w:rPr>
        <w:t> </w:t>
      </w:r>
    </w:p>
    <w:p>
      <w:pPr>
        <w:pStyle w:val="TextBody"/>
        <w:bidi w:val="0"/>
        <w:spacing w:before="0" w:after="0"/>
        <w:ind w:left="140" w:right="17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else set forth in this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to the contrary, except to the extent permitted under </w:t>
      </w:r>
      <w:r>
        <w:rPr>
          <w:rFonts w:ascii="Times New Roman;Times;Serif" w:hAnsi="Times New Roman;Times;Serif"/>
          <w:b w:val="false"/>
          <w:i w:val="false"/>
          <w:caps w:val="false"/>
          <w:smallCaps w:val="false"/>
          <w:sz w:val="20"/>
          <w:u w:val="single"/>
        </w:rPr>
        <w:t>Section 7.4(j)</w:t>
      </w:r>
      <w:r>
        <w:rPr>
          <w:rFonts w:ascii="Times New Roman;Times;Serif" w:hAnsi="Times New Roman;Times;Serif"/>
          <w:b w:val="false"/>
          <w:i w:val="false"/>
          <w:caps w:val="false"/>
          <w:smallCaps w:val="false"/>
          <w:sz w:val="20"/>
        </w:rPr>
        <w:t>, no Asset Sale (other than an Asset Sale to the Borrower or a Guarantor) of any Intellectual Property, rights in or to algorithms, rights in or to Software (including any portions of source code therein) or rights in or to customer lists of the Borrower or its Subsidiaries shall be permitted under this Agreement without the prior written consent of the Agent.</w:t>
      </w:r>
    </w:p>
    <w:p>
      <w:pPr>
        <w:pStyle w:val="TextBody"/>
        <w:bidi w:val="0"/>
        <w:spacing w:before="0" w:after="0"/>
        <w:ind w:left="140" w:right="170" w:hanging="0"/>
        <w:jc w:val="both"/>
        <w:rPr>
          <w:caps w:val="false"/>
          <w:smallCaps w:val="false"/>
        </w:rPr>
      </w:pPr>
      <w:r>
        <w:rPr>
          <w:caps w:val="false"/>
          <w:smallCaps w:val="false"/>
        </w:rPr>
        <w:t> </w:t>
      </w:r>
    </w:p>
    <w:p>
      <w:pPr>
        <w:pStyle w:val="TextBody"/>
        <w:bidi w:val="0"/>
        <w:spacing w:before="0" w:after="0"/>
        <w:ind w:left="140" w:right="17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hereby consent and agree to the release by the Agent of any and all Liens on the property sold or otherwise disposed of in compliance with this Section 7.4.</w:t>
      </w:r>
    </w:p>
    <w:p>
      <w:pPr>
        <w:pStyle w:val="TextBody"/>
        <w:bidi w:val="0"/>
        <w:spacing w:before="0" w:after="0"/>
        <w:ind w:left="140" w:right="170" w:hanging="0"/>
        <w:jc w:val="both"/>
        <w:rPr>
          <w:caps w:val="false"/>
          <w:smallCaps w:val="false"/>
        </w:rPr>
      </w:pPr>
      <w:r>
        <w:rPr>
          <w:caps w:val="false"/>
          <w:smallCaps w:val="false"/>
        </w:rPr>
        <w:t> </w:t>
      </w:r>
    </w:p>
    <w:p>
      <w:pPr>
        <w:pStyle w:val="TextBody"/>
        <w:bidi w:val="0"/>
        <w:spacing w:before="0" w:after="0"/>
        <w:ind w:left="140" w:right="17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7.5    </w:t>
      </w:r>
      <w:r>
        <w:rPr>
          <w:rFonts w:ascii="Times New Roman;Times;Serif" w:hAnsi="Times New Roman;Times;Serif"/>
          <w:b w:val="false"/>
          <w:i w:val="false"/>
          <w:caps w:val="false"/>
          <w:smallCaps w:val="false"/>
          <w:sz w:val="20"/>
          <w:u w:val="single"/>
        </w:rPr>
        <w:t>Restricted Payments</w:t>
      </w:r>
      <w:r>
        <w:rPr>
          <w:rFonts w:ascii="Times New Roman;Times;Serif" w:hAnsi="Times New Roman;Times;Serif"/>
          <w:b w:val="false"/>
          <w:i w:val="false"/>
          <w:caps w:val="false"/>
          <w:smallCaps w:val="false"/>
          <w:sz w:val="20"/>
        </w:rPr>
        <w:t>. Declare or make, directly or indirectly, (x) any distributions, dividend, payment or other distribution of assets, properties, cash, rights, obligations or securities (collectively, “</w:t>
      </w:r>
      <w:r>
        <w:rPr>
          <w:rFonts w:ascii="Times New Roman;Times;Serif" w:hAnsi="Times New Roman;Times;Serif"/>
          <w:b/>
          <w:i w:val="false"/>
          <w:caps w:val="false"/>
          <w:smallCaps w:val="false"/>
          <w:sz w:val="20"/>
        </w:rPr>
        <w:t>Distributions</w:t>
      </w:r>
      <w:r>
        <w:rPr>
          <w:rFonts w:ascii="Times New Roman;Times;Serif" w:hAnsi="Times New Roman;Times;Serif"/>
          <w:b w:val="false"/>
          <w:i w:val="false"/>
          <w:caps w:val="false"/>
          <w:smallCaps w:val="false"/>
          <w:sz w:val="20"/>
        </w:rPr>
        <w:t>”) on account of any of its Equity Interests, as applicable, or (y) any payment (whether in cash, securities or other property), including any sinking fund or similar deposit, on account of the purchase, redemption, retirement, defeasance, acquisition, cancellation or termination of any such Equity Interest, or on account of any return of capital to its stockholders, partners or members (or the equivalent of any thereof), or any option, warrant or other right to acquire any such dividend or other distribution or payment (collectively, “</w:t>
      </w:r>
      <w:r>
        <w:rPr>
          <w:rFonts w:ascii="Times New Roman;Times;Serif" w:hAnsi="Times New Roman;Times;Serif"/>
          <w:b/>
          <w:i w:val="false"/>
          <w:caps w:val="false"/>
          <w:smallCaps w:val="false"/>
          <w:sz w:val="20"/>
        </w:rPr>
        <w:t>Purchases</w:t>
      </w:r>
      <w:r>
        <w:rPr>
          <w:rFonts w:ascii="Times New Roman;Times;Serif" w:hAnsi="Times New Roman;Times;Serif"/>
          <w:b w:val="false"/>
          <w:i w:val="false"/>
          <w:caps w:val="false"/>
          <w:smallCaps w:val="false"/>
          <w:sz w:val="20"/>
        </w:rPr>
        <w:t>”), or incur any obligation (contingent or otherwise) to do any of the foregoing, except that (subject to Section 7.3):</w:t>
      </w:r>
    </w:p>
    <w:p>
      <w:pPr>
        <w:pStyle w:val="TextBody"/>
        <w:bidi w:val="0"/>
        <w:spacing w:before="0" w:after="0"/>
        <w:ind w:left="140" w:right="170" w:firstLine="720"/>
        <w:jc w:val="both"/>
        <w:rPr>
          <w:caps w:val="false"/>
          <w:smallCaps w:val="false"/>
        </w:rPr>
      </w:pPr>
      <w:r>
        <w:rPr>
          <w:caps w:val="false"/>
          <w:smallCaps w:val="false"/>
        </w:rPr>
        <w:t> </w:t>
      </w:r>
    </w:p>
    <w:p>
      <w:pPr>
        <w:pStyle w:val="TextBody"/>
        <w:bidi w:val="0"/>
        <w:spacing w:before="0" w:after="0"/>
        <w:ind w:left="140"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Credit Party may pay cash Distributions to the Borrower or a Guarantor;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39"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Credit Party may declare and make Distributions payable in the Equity Interests of such Credit Party, provided that the issuance of such Equity Interests does not otherwise violate the terms of this Agreement and no Default or Event of Default has occurred and is continuing at the time of making such Distribution or would result from the making of such Distribution;</w:t>
      </w:r>
    </w:p>
    <w:p>
      <w:pPr>
        <w:pStyle w:val="TextBody"/>
        <w:bidi w:val="0"/>
        <w:spacing w:before="0" w:after="0"/>
        <w:ind w:left="139" w:right="170" w:firstLine="1440"/>
        <w:jc w:val="both"/>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may Purchase the stock of current and former employees pursuant to stock repurchase agreements by the cancellation of indebtedness owed by such former employees, regardless of whether an Event of Default exists; and</w:t>
      </w:r>
    </w:p>
    <w:p>
      <w:pPr>
        <w:pStyle w:val="TextBody"/>
        <w:bidi w:val="0"/>
        <w:spacing w:before="0" w:after="0"/>
        <w:ind w:left="140" w:right="173" w:firstLine="1440"/>
        <w:jc w:val="both"/>
        <w:rPr>
          <w:caps w:val="false"/>
          <w:smallCaps w:val="false"/>
        </w:rPr>
      </w:pPr>
      <w:r>
        <w:rPr>
          <w:caps w:val="false"/>
          <w:smallCaps w:val="false"/>
        </w:rPr>
        <w:t> </w:t>
      </w:r>
    </w:p>
    <w:p>
      <w:pPr>
        <w:pStyle w:val="TextBody"/>
        <w:bidi w:val="0"/>
        <w:spacing w:before="0" w:after="0"/>
        <w:ind w:left="139" w:right="14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Borrower may Purchase shares of its Equity Interests or warrant or options to acquire any such Equity Interests from its stockholders consistent with the requirement of existing equity agreements of the Borrower to the extent the consideration paid in respect thereof is paid solely in Equity Interests of the Borrower.</w:t>
      </w:r>
    </w:p>
    <w:p>
      <w:pPr>
        <w:pStyle w:val="TextBody"/>
        <w:bidi w:val="0"/>
        <w:spacing w:before="0" w:after="0"/>
        <w:ind w:left="139" w:right="145" w:firstLine="1440"/>
        <w:jc w:val="both"/>
        <w:rPr>
          <w:caps w:val="false"/>
          <w:smallCaps w:val="false"/>
        </w:rPr>
      </w:pPr>
      <w:r>
        <w:rPr>
          <w:caps w:val="false"/>
          <w:smallCaps w:val="false"/>
        </w:rPr>
        <w:t> </w:t>
      </w:r>
    </w:p>
    <w:p>
      <w:pPr>
        <w:pStyle w:val="TextBody"/>
        <w:bidi w:val="0"/>
        <w:spacing w:before="0" w:after="0"/>
        <w:ind w:left="140" w:right="1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contained herein, in the event Borrower or any other Credit Party receives proceeds from an equity contribution or the issuance of Equity Interests and such proceeds are used to satisfy a financial test, liquidity test or other similar test under this Agreement, the Senior Credit Agreement or otherwise, such proceeds shall not be permitted to used make a Distribution and/or Purchase pursuant to this Section 7.5.</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ind w:left="140" w:right="17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7.6    </w:t>
      </w:r>
      <w:r>
        <w:rPr>
          <w:rFonts w:ascii="Times New Roman;Times;Serif" w:hAnsi="Times New Roman;Times;Serif"/>
          <w:b w:val="false"/>
          <w:i w:val="false"/>
          <w:caps w:val="false"/>
          <w:smallCaps w:val="false"/>
          <w:sz w:val="20"/>
          <w:u w:val="single"/>
        </w:rPr>
        <w:t>Limitation on Investments, Loans and Advances</w:t>
      </w:r>
      <w:r>
        <w:rPr>
          <w:rFonts w:ascii="Times New Roman;Times;Serif" w:hAnsi="Times New Roman;Times;Serif"/>
          <w:b w:val="false"/>
          <w:i w:val="false"/>
          <w:caps w:val="false"/>
          <w:smallCaps w:val="false"/>
          <w:sz w:val="20"/>
        </w:rPr>
        <w:t>. Make or allow to remain outstanding any Investment (whether such investment shall be of the character of investment in shares of stock, evidences of indebtedness or other securities or otherwise) in, or any loans or advances to, any Person other than (subject to Section 7.3):</w:t>
      </w:r>
    </w:p>
    <w:p>
      <w:pPr>
        <w:pStyle w:val="TextBody"/>
        <w:bidi w:val="0"/>
        <w:spacing w:before="0" w:after="0"/>
        <w:ind w:left="140" w:right="17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Permitted Investments;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39" w:right="171"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Investments existing on the Restatement Date and listed on Schedule 7.6 hereto but not any increase in the amount thereof as set forth in such Schedule or any other modification of the terms thereof;</w:t>
      </w:r>
    </w:p>
    <w:p>
      <w:pPr>
        <w:pStyle w:val="TextBody"/>
        <w:bidi w:val="0"/>
        <w:spacing w:before="0" w:after="0"/>
        <w:ind w:left="139" w:right="171" w:firstLine="1440"/>
        <w:jc w:val="both"/>
        <w:rPr>
          <w:caps w:val="false"/>
          <w:smallCaps w:val="false"/>
        </w:rPr>
      </w:pPr>
      <w:r>
        <w:rPr>
          <w:caps w:val="false"/>
          <w:smallCaps w:val="false"/>
        </w:rPr>
        <w:t> </w:t>
      </w:r>
    </w:p>
    <w:p>
      <w:pPr>
        <w:pStyle w:val="TextBody"/>
        <w:bidi w:val="0"/>
        <w:spacing w:before="0" w:after="0"/>
        <w:ind w:left="140"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Accounts receivable created in the ordinary course of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5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intercompany loans or intercompany Investments made by any Credit Party to or in any Guarantor, the Borrower or any other Credit Party; provided that, in the case of any intercompany loans or intercompany Investments made by (i) a Credit Party that is not the Borrower or a Guarantor, such Credit Party is party to an intercompany subordination agreement, in form and substance reasonably satisfactory to the Agent, or (ii) the Borrower or a Guarantor to or in a Credit Party that is not the Borrower or a Guarantor, the aggregate amount outstanding in respect thereof shall not exceed $250,000; and provided further that in each case, no Default or Event of Default shall have occurred and be continuing at the time of making such intercompany loan or intercompany Investment or result from such intercompany loan or intercompany Investment being made and that any intercompany loans shall be evidenced by and funded under an Intercompany Note pledged to the Agent under the appropriate Collateral Documents;</w:t>
      </w:r>
    </w:p>
    <w:p>
      <w:pPr>
        <w:pStyle w:val="TextBody"/>
        <w:bidi w:val="0"/>
        <w:spacing w:before="0" w:after="0"/>
        <w:ind w:left="140" w:right="153" w:firstLine="1440"/>
        <w:jc w:val="both"/>
        <w:rPr>
          <w:caps w:val="false"/>
          <w:smallCaps w:val="false"/>
        </w:rPr>
      </w:pPr>
      <w:r>
        <w:rPr>
          <w:caps w:val="false"/>
          <w:smallCaps w:val="false"/>
        </w:rPr>
        <w:t> </w:t>
      </w:r>
    </w:p>
    <w:p>
      <w:pPr>
        <w:pStyle w:val="TextBody"/>
        <w:bidi w:val="0"/>
        <w:spacing w:before="0" w:after="0"/>
        <w:ind w:left="139"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Investments in respect of Hedging Transactions provided that such transaction is entered into for risk management purposes and not for speculative purposes;</w:t>
      </w:r>
    </w:p>
    <w:p>
      <w:pPr>
        <w:pStyle w:val="TextBody"/>
        <w:bidi w:val="0"/>
        <w:spacing w:before="0" w:after="0"/>
        <w:ind w:left="139" w:right="173" w:firstLine="1440"/>
        <w:jc w:val="both"/>
        <w:rPr>
          <w:caps w:val="false"/>
          <w:smallCaps w:val="false"/>
        </w:rPr>
      </w:pPr>
      <w:r>
        <w:rPr>
          <w:caps w:val="false"/>
          <w:smallCaps w:val="false"/>
        </w:rPr>
        <w:t> </w:t>
      </w:r>
    </w:p>
    <w:p>
      <w:pPr>
        <w:pStyle w:val="TextBody"/>
        <w:bidi w:val="0"/>
        <w:spacing w:before="0" w:after="0"/>
        <w:ind w:left="140"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So long as no Event of Default has occurred and is continuing, temporary advances to employees to cover incidental expenses to be incurred in the ordinary course of business, in an aggregate outstanding amount not to exceed $50,000 in the aggregate at any time outstanding;</w:t>
      </w:r>
    </w:p>
    <w:p>
      <w:pPr>
        <w:pStyle w:val="TextBody"/>
        <w:bidi w:val="0"/>
        <w:spacing w:before="0" w:after="0"/>
        <w:ind w:left="140" w:right="170" w:firstLine="1440"/>
        <w:jc w:val="both"/>
        <w:rPr>
          <w:caps w:val="false"/>
          <w:smallCaps w:val="false"/>
        </w:rPr>
      </w:pPr>
      <w:r>
        <w:rPr>
          <w:caps w:val="false"/>
          <w:smallCaps w:val="false"/>
        </w:rPr>
        <w:t> </w:t>
      </w:r>
    </w:p>
    <w:p>
      <w:pPr>
        <w:pStyle w:val="TextBody"/>
        <w:bidi w:val="0"/>
        <w:spacing w:before="0" w:after="0"/>
        <w:ind w:left="140" w:right="12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Investments (including debt obligations) received in connection with the bankruptcy or reorganization of customers or suppliers and in settlement of delinquent obligations of, and other disputes with, customers or suppliers arising in the ordinary course of the Borrower’s business;</w:t>
      </w:r>
    </w:p>
    <w:p>
      <w:pPr>
        <w:pStyle w:val="TextBody"/>
        <w:bidi w:val="0"/>
        <w:spacing w:before="0" w:after="0"/>
        <w:ind w:left="140" w:right="122" w:firstLine="1440"/>
        <w:jc w:val="both"/>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Investments consisting of deposit accounts and securities accounts in which the Agent, on behalf of itself and the Lenders, has a perfected security interest;</w:t>
      </w:r>
    </w:p>
    <w:p>
      <w:pPr>
        <w:pStyle w:val="TextBody"/>
        <w:bidi w:val="0"/>
        <w:spacing w:before="0" w:after="0"/>
        <w:ind w:left="140" w:right="173" w:firstLine="1440"/>
        <w:jc w:val="both"/>
        <w:rPr>
          <w:caps w:val="false"/>
          <w:smallCaps w:val="false"/>
        </w:rPr>
      </w:pPr>
      <w:r>
        <w:rPr>
          <w:caps w:val="false"/>
          <w:smallCaps w:val="false"/>
        </w:rPr>
        <w:t> </w:t>
      </w:r>
    </w:p>
    <w:p>
      <w:pPr>
        <w:pStyle w:val="TextBody"/>
        <w:bidi w:val="0"/>
        <w:spacing w:before="0" w:after="0"/>
        <w:ind w:left="140"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Investments accepted in connection with transfers or dispositions of property that are otherwise permitted under Section 7.4(m);</w:t>
      </w:r>
    </w:p>
    <w:p>
      <w:pPr>
        <w:pStyle w:val="TextBody"/>
        <w:bidi w:val="0"/>
        <w:spacing w:before="0" w:after="0"/>
        <w:ind w:left="140" w:right="170" w:firstLine="1440"/>
        <w:jc w:val="both"/>
        <w:rPr>
          <w:caps w:val="false"/>
          <w:smallCaps w:val="false"/>
        </w:rPr>
      </w:pPr>
      <w:r>
        <w:rPr>
          <w:caps w:val="false"/>
          <w:smallCaps w:val="false"/>
        </w:rPr>
        <w:t> </w:t>
      </w:r>
    </w:p>
    <w:p>
      <w:pPr>
        <w:pStyle w:val="TextBody"/>
        <w:bidi w:val="0"/>
        <w:spacing w:before="0" w:after="0"/>
        <w:ind w:left="140" w:right="16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Investments consisting of loans to employees, officers or directors relating to the purchase of equity securities of the Borrower or its Subsidiaries pursuant to employee stock purchase plan agreements approved by the Borrower’s board of directors and any related tax liabilities so long as the cash portion does not exceed $500,000 in the aggregate in any Fiscal Year, provided that no Event of Default has occurred, is continuing or would exist after giving effect to the loan;</w:t>
      </w:r>
    </w:p>
    <w:p>
      <w:pPr>
        <w:pStyle w:val="TextBody"/>
        <w:bidi w:val="0"/>
        <w:spacing w:before="0" w:after="0"/>
        <w:ind w:left="140" w:right="166" w:firstLine="1440"/>
        <w:jc w:val="both"/>
        <w:rPr>
          <w:caps w:val="false"/>
          <w:smallCaps w:val="false"/>
        </w:rPr>
      </w:pPr>
      <w:r>
        <w:rPr>
          <w:caps w:val="false"/>
          <w:smallCaps w:val="false"/>
        </w:rPr>
        <w:t> </w:t>
      </w:r>
    </w:p>
    <w:p>
      <w:pPr>
        <w:pStyle w:val="TextBody"/>
        <w:bidi w:val="0"/>
        <w:spacing w:before="0" w:after="0"/>
        <w:ind w:left="140"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Permitted Acquisitions;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48"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Investments constituting notes receivable of, or prepaid royalties and other credit extensions, to customers and suppliers who are not Affiliates, in the ordinary course of  business, provided that this clause (l) shall not apply to Investments by the Borrower in any Subsidiary;</w:t>
      </w:r>
    </w:p>
    <w:p>
      <w:pPr>
        <w:pStyle w:val="TextBody"/>
        <w:bidi w:val="0"/>
        <w:spacing w:before="0" w:after="0"/>
        <w:ind w:left="140" w:right="148" w:firstLine="1440"/>
        <w:jc w:val="both"/>
        <w:rPr>
          <w:caps w:val="false"/>
          <w:smallCaps w:val="false"/>
        </w:rPr>
      </w:pPr>
      <w:r>
        <w:rPr>
          <w:caps w:val="false"/>
          <w:smallCaps w:val="false"/>
        </w:rPr>
        <w:t> </w:t>
      </w:r>
    </w:p>
    <w:p>
      <w:pPr>
        <w:pStyle w:val="TextBody"/>
        <w:bidi w:val="0"/>
        <w:spacing w:before="0" w:after="0"/>
        <w:ind w:left="140"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to the extent constituting Investments, Investments permitted under Section 7.4(d), 7.4(e) or 7.4(f); and</w:t>
      </w:r>
    </w:p>
    <w:p>
      <w:pPr>
        <w:pStyle w:val="TextBody"/>
        <w:bidi w:val="0"/>
        <w:spacing w:before="0" w:after="0"/>
        <w:ind w:left="140" w:right="172"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so long as no Default or Event of Default has occurred and is continuing or would result therefrom, any other Investments in an aggregate amount not to exceed $2,500,000 in the aggregate at any time outstanding; provided, however, that no more than $1,250,000 in the aggregate at any time outstanding may be used for Investments by the Borrower or any Guarantor in any Subsidiary that is not a Guarantor;</w:t>
      </w:r>
    </w:p>
    <w:p>
      <w:pPr>
        <w:pStyle w:val="TextBody"/>
        <w:bidi w:val="0"/>
        <w:spacing w:before="0" w:after="0"/>
        <w:ind w:left="140" w:right="170" w:firstLine="1440"/>
        <w:jc w:val="both"/>
        <w:rPr>
          <w:caps w:val="false"/>
          <w:smallCaps w:val="false"/>
        </w:rPr>
      </w:pPr>
      <w:r>
        <w:rPr>
          <w:caps w:val="false"/>
          <w:smallCaps w:val="false"/>
        </w:rPr>
        <w:t> </w:t>
      </w:r>
    </w:p>
    <w:p>
      <w:pPr>
        <w:pStyle w:val="TextBody"/>
        <w:bidi w:val="0"/>
        <w:spacing w:before="0" w:after="0"/>
        <w:ind w:left="139" w:right="17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else set forth in this </w:t>
      </w:r>
      <w:r>
        <w:rPr>
          <w:rFonts w:ascii="Times New Roman;Times;Serif" w:hAnsi="Times New Roman;Times;Serif"/>
          <w:b w:val="false"/>
          <w:i w:val="false"/>
          <w:caps w:val="false"/>
          <w:smallCaps w:val="false"/>
          <w:sz w:val="20"/>
          <w:u w:val="single"/>
        </w:rPr>
        <w:t>Section 7.6</w:t>
      </w:r>
      <w:r>
        <w:rPr>
          <w:rFonts w:ascii="Times New Roman;Times;Serif" w:hAnsi="Times New Roman;Times;Serif"/>
          <w:b w:val="false"/>
          <w:i w:val="false"/>
          <w:caps w:val="false"/>
          <w:smallCaps w:val="false"/>
          <w:sz w:val="20"/>
        </w:rPr>
        <w:t xml:space="preserve"> to the contrary, no Investment (other than an investment in the Borrower or a Guarantor) of any Intellectual Property, rights in or to algorithms, rights in or to Software (including any portions of source code therein) or rights in or to customer lists of the Borrower or its Subsidiaries shall be permitted under this Agreement without the prior written consent of the Agent.</w:t>
      </w:r>
    </w:p>
    <w:p>
      <w:pPr>
        <w:pStyle w:val="TextBody"/>
        <w:bidi w:val="0"/>
        <w:spacing w:before="0" w:after="0"/>
        <w:ind w:left="139" w:right="173" w:hanging="0"/>
        <w:jc w:val="both"/>
        <w:rPr>
          <w:caps w:val="false"/>
          <w:smallCaps w:val="false"/>
        </w:rPr>
      </w:pPr>
      <w:r>
        <w:rPr>
          <w:caps w:val="false"/>
          <w:smallCaps w:val="false"/>
        </w:rPr>
        <w:t> </w:t>
      </w:r>
    </w:p>
    <w:p>
      <w:pPr>
        <w:pStyle w:val="TextBody"/>
        <w:bidi w:val="0"/>
        <w:spacing w:before="0" w:after="0"/>
        <w:ind w:left="140" w:right="149"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valuing any Investments for the purpose of applying the limitations set forth in this Section 7.6 (except as otherwise expressly provided herein), such Investment shall be taken at the original cost thereof, without allowance for any subsequent write-offs or appreciation or depreciation, but less any amount repaid or recovered on account of capital or principal.</w:t>
      </w:r>
    </w:p>
    <w:p>
      <w:pPr>
        <w:pStyle w:val="TextBody"/>
        <w:bidi w:val="0"/>
        <w:spacing w:before="0" w:after="0"/>
        <w:ind w:left="140" w:right="149" w:hanging="0"/>
        <w:jc w:val="both"/>
        <w:rPr>
          <w:caps w:val="false"/>
          <w:smallCaps w:val="false"/>
        </w:rPr>
      </w:pPr>
      <w:r>
        <w:rPr>
          <w:caps w:val="false"/>
          <w:smallCaps w:val="false"/>
        </w:rPr>
        <w:t> </w:t>
      </w:r>
    </w:p>
    <w:p>
      <w:pPr>
        <w:pStyle w:val="TextBody"/>
        <w:bidi w:val="0"/>
        <w:spacing w:before="0" w:after="0"/>
        <w:ind w:left="139" w:right="14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7.7   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Except as set forth on Schedule 7.7, enter into any transaction, including, without limitation, any purchase, sale, lease or exchange of property or the rendering of any service, with any Affiliates of the Credit Parties except: (a) transactions among the Borrower or Guarantors; (b) transactions permitted under this Agreement; (c) transactions in the ordinary course of a Credit Party’s business and upon fair and reasonable terms (x) no less favorable to such  Credit Party than it would obtain in a comparable arm’s length transaction from unrelated third parties and (y) that are fully disclosed to the Agent in writing prior to the consummation thereof, if they involve one or more payments by any Credit Party in excess of $100,000 for any single transaction or series of related transactions; and (d) issuances of Equity Interests or Subordinated Debt.</w:t>
      </w:r>
    </w:p>
    <w:p>
      <w:pPr>
        <w:pStyle w:val="TextBody"/>
        <w:bidi w:val="0"/>
        <w:spacing w:before="0" w:after="0"/>
        <w:ind w:left="139" w:right="146" w:firstLine="720"/>
        <w:jc w:val="both"/>
        <w:rPr>
          <w:caps w:val="false"/>
          <w:smallCaps w:val="false"/>
        </w:rPr>
      </w:pPr>
      <w:r>
        <w:rPr>
          <w:caps w:val="false"/>
          <w:smallCaps w:val="false"/>
        </w:rPr>
        <w:t> </w:t>
      </w:r>
    </w:p>
    <w:p>
      <w:pPr>
        <w:pStyle w:val="TextBody"/>
        <w:bidi w:val="0"/>
        <w:spacing w:before="0" w:after="0"/>
        <w:ind w:left="139" w:right="11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7.8    </w:t>
      </w:r>
      <w:r>
        <w:rPr>
          <w:rFonts w:ascii="Times New Roman;Times;Serif" w:hAnsi="Times New Roman;Times;Serif"/>
          <w:b w:val="false"/>
          <w:i w:val="false"/>
          <w:caps w:val="false"/>
          <w:smallCaps w:val="false"/>
          <w:sz w:val="20"/>
          <w:u w:val="single"/>
        </w:rPr>
        <w:t>Sale-Leaseback Transactions</w:t>
      </w:r>
      <w:r>
        <w:rPr>
          <w:rFonts w:ascii="Times New Roman;Times;Serif" w:hAnsi="Times New Roman;Times;Serif"/>
          <w:b w:val="false"/>
          <w:i w:val="false"/>
          <w:caps w:val="false"/>
          <w:smallCaps w:val="false"/>
          <w:sz w:val="20"/>
        </w:rPr>
        <w:t>. Enter into any arrangement with any Person providing for the leasing by a Credit Party of real or personal property which has been or is to be sold or transferred by such Credit Party to such Person or to any other Person to whom funds have been or are to be advanced by such Person on the security of such property or rental obligations of such Credit Party, as the case may be, provided that if, at the time that a Credit Party acquires fixed or capital assets, such Credit Party intends to sell to and then lease any such assets with an aggregate value in excess of $500,000 from another Person pursuant to a financing arrangement that would be permitted under Section 7.1(c), such transaction will not constitute a violation of this Section 7.8 so long as (i) such transaction is consummated within one hundred eighty (180) days following the acquisition of such assets and (ii) the Borrower provides a written notice of such transaction to the Agent at least 10 Business Days prior to the date on which such asset is leased to such Person.</w:t>
      </w:r>
    </w:p>
    <w:p>
      <w:pPr>
        <w:pStyle w:val="TextBody"/>
        <w:bidi w:val="0"/>
        <w:spacing w:before="0" w:after="0"/>
        <w:ind w:left="139" w:right="117" w:firstLine="720"/>
        <w:jc w:val="both"/>
        <w:rPr>
          <w:caps w:val="false"/>
          <w:smallCaps w:val="false"/>
        </w:rPr>
      </w:pPr>
      <w:r>
        <w:rPr>
          <w:caps w:val="false"/>
          <w:smallCaps w:val="false"/>
        </w:rPr>
        <w:t> </w:t>
      </w:r>
    </w:p>
    <w:p>
      <w:pPr>
        <w:pStyle w:val="TextBody"/>
        <w:bidi w:val="0"/>
        <w:spacing w:before="0" w:after="0"/>
        <w:ind w:left="140" w:right="14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7.9    </w:t>
      </w:r>
      <w:r>
        <w:rPr>
          <w:rFonts w:ascii="Times New Roman;Times;Serif" w:hAnsi="Times New Roman;Times;Serif"/>
          <w:b w:val="false"/>
          <w:i w:val="false"/>
          <w:caps w:val="false"/>
          <w:smallCaps w:val="false"/>
          <w:sz w:val="20"/>
          <w:u w:val="single"/>
        </w:rPr>
        <w:t>Limitations on Other Restrictions</w:t>
      </w:r>
      <w:r>
        <w:rPr>
          <w:rFonts w:ascii="Times New Roman;Times;Serif" w:hAnsi="Times New Roman;Times;Serif"/>
          <w:b w:val="false"/>
          <w:i w:val="false"/>
          <w:caps w:val="false"/>
          <w:smallCaps w:val="false"/>
          <w:sz w:val="20"/>
        </w:rPr>
        <w:t>. Except for this Agreement, any other Loan Document or the Senior Loan Documents, enter into any agreement, document or instrument which would (i)  restrict the ability of any Subsidiary of the Borrower to pay or make dividends or distributions in cash or kind to the Borrower or any Guarantor, to make loans, advances or other payments of whatever nature to any Credit Party, or to make transfers or distributions of all or any part of its assets to any Credit Party;  or (ii) restrict or prevent any Credit Party from granting the Agent on behalf of Lenders Liens upon, security interests in and pledges of their respective assets, except to the extent such restrictions exist in documents creating Liens permitted by Section 7.2(b) hereunder.</w:t>
      </w:r>
    </w:p>
    <w:p>
      <w:pPr>
        <w:pStyle w:val="TextBody"/>
        <w:bidi w:val="0"/>
        <w:spacing w:before="0" w:after="0"/>
        <w:ind w:left="140" w:right="145" w:firstLine="720"/>
        <w:jc w:val="both"/>
        <w:rPr>
          <w:caps w:val="false"/>
          <w:smallCaps w:val="false"/>
        </w:rPr>
      </w:pPr>
      <w:r>
        <w:rPr>
          <w:caps w:val="false"/>
          <w:smallCaps w:val="false"/>
        </w:rPr>
        <w:t> </w:t>
      </w:r>
    </w:p>
    <w:p>
      <w:pPr>
        <w:pStyle w:val="TextBody"/>
        <w:bidi w:val="0"/>
        <w:spacing w:before="0" w:after="0"/>
        <w:ind w:left="140" w:right="17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7.10    </w:t>
      </w:r>
      <w:r>
        <w:rPr>
          <w:rFonts w:ascii="Times New Roman;Times;Serif" w:hAnsi="Times New Roman;Times;Serif"/>
          <w:b w:val="false"/>
          <w:i w:val="false"/>
          <w:caps w:val="false"/>
          <w:smallCaps w:val="false"/>
          <w:sz w:val="20"/>
          <w:u w:val="single"/>
        </w:rPr>
        <w:t>Prepayment of Subordinated Debt</w:t>
      </w:r>
      <w:r>
        <w:rPr>
          <w:rFonts w:ascii="Times New Roman;Times;Serif" w:hAnsi="Times New Roman;Times;Serif"/>
          <w:b w:val="false"/>
          <w:i w:val="false"/>
          <w:caps w:val="false"/>
          <w:smallCaps w:val="false"/>
          <w:sz w:val="20"/>
        </w:rPr>
        <w:t>. Make any prepayment (whether optional or mandatory), repurchase, redemption, defeasance or any other payment in respect of any Subordinated</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provided, however, that the applicable Credit Party may make certain payments in respect of Subordinated Debt to the extent permitted by the applicable Subordination Agreement.</w:t>
      </w:r>
    </w:p>
    <w:p>
      <w:pPr>
        <w:pStyle w:val="TextBody"/>
        <w:bidi w:val="0"/>
        <w:spacing w:before="0" w:after="0"/>
        <w:ind w:left="140" w:right="0" w:hanging="0"/>
        <w:jc w:val="left"/>
        <w:rPr>
          <w:caps w:val="false"/>
          <w:smallCaps w:val="false"/>
        </w:rPr>
      </w:pPr>
      <w:r>
        <w:rPr>
          <w:caps w:val="false"/>
          <w:smallCaps w:val="false"/>
        </w:rPr>
        <w:t> </w:t>
      </w:r>
    </w:p>
    <w:p>
      <w:pPr>
        <w:pStyle w:val="TextBody"/>
        <w:bidi w:val="0"/>
        <w:spacing w:before="0" w:after="0"/>
        <w:ind w:left="140" w:right="17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7.11    </w:t>
      </w:r>
      <w:r>
        <w:rPr>
          <w:rFonts w:ascii="Times New Roman;Times;Serif" w:hAnsi="Times New Roman;Times;Serif"/>
          <w:b w:val="false"/>
          <w:i w:val="false"/>
          <w:caps w:val="false"/>
          <w:smallCaps w:val="false"/>
          <w:sz w:val="20"/>
          <w:u w:val="single"/>
        </w:rPr>
        <w:t>Amendment of Senior Loan Documents and Subordinated Debt Documents</w:t>
      </w:r>
      <w:r>
        <w:rPr>
          <w:rFonts w:ascii="Times New Roman;Times;Serif" w:hAnsi="Times New Roman;Times;Serif"/>
          <w:b w:val="false"/>
          <w:i w:val="false"/>
          <w:caps w:val="false"/>
          <w:smallCaps w:val="false"/>
          <w:sz w:val="20"/>
        </w:rPr>
        <w:t>. Amend, modify or otherwise alter (or suffer to be amended, modified or altered) (a) any Senior Loan Document except in a manner not prohibited by the terms of the Specified Subordination Agreement or (b) any Subordinated Debt Documents except as permitted in the applicable Subordinated Debt Documents and Subordination Agreements, or if no such restrictions exist in the applicable Subordinated Debt Documents or Subordination Agreements, without the prior written consent of the Agent.</w:t>
      </w:r>
    </w:p>
    <w:p>
      <w:pPr>
        <w:pStyle w:val="TextBody"/>
        <w:bidi w:val="0"/>
        <w:spacing w:before="0" w:after="0"/>
        <w:ind w:left="140" w:right="170" w:firstLine="720"/>
        <w:jc w:val="both"/>
        <w:rPr>
          <w:caps w:val="false"/>
          <w:smallCaps w:val="false"/>
        </w:rPr>
      </w:pPr>
      <w:r>
        <w:rPr>
          <w:caps w:val="false"/>
          <w:smallCaps w:val="false"/>
        </w:rPr>
        <w:t> </w:t>
      </w:r>
    </w:p>
    <w:p>
      <w:pPr>
        <w:pStyle w:val="TextBody"/>
        <w:bidi w:val="0"/>
        <w:spacing w:before="0" w:after="0"/>
        <w:ind w:left="140" w:right="13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7.12    </w:t>
      </w:r>
      <w:r>
        <w:rPr>
          <w:rFonts w:ascii="Times New Roman;Times;Serif" w:hAnsi="Times New Roman;Times;Serif"/>
          <w:b w:val="false"/>
          <w:i w:val="false"/>
          <w:caps w:val="false"/>
          <w:smallCaps w:val="false"/>
          <w:sz w:val="20"/>
          <w:u w:val="single"/>
        </w:rPr>
        <w:t>Modification of Certain Agreements</w:t>
      </w:r>
      <w:r>
        <w:rPr>
          <w:rFonts w:ascii="Times New Roman;Times;Serif" w:hAnsi="Times New Roman;Times;Serif"/>
          <w:b w:val="false"/>
          <w:i w:val="false"/>
          <w:caps w:val="false"/>
          <w:smallCaps w:val="false"/>
          <w:sz w:val="20"/>
        </w:rPr>
        <w:t>. Make, permit or consent to any amendment, supplement or other modification to the constitutional documents of any Credit Party, any Material Contract (other than the Senior Loan Documents) or the Intercompany License Agreement except to the extent that any such amendment, supplement or modification (i) does not violate the terms and conditions of this Agreement or any of the other Loan Documents, (ii) does not materially adversely affect the interest of the Lenders as creditors and/or secured parties under any Loan Document, (iii) could not reasonably be expected to have a Material Adverse Effect and (iv) with respect to the Intercompany License Agreement, does not amend, supplement or otherwise modify the fees in excess of Costs (as defined in the Intercompany License Agreement as of the Restatement Date) payable thereunder in  excess of 105% of the fees historically paid thereunder as of the Restatement Date.</w:t>
      </w:r>
    </w:p>
    <w:p>
      <w:pPr>
        <w:pStyle w:val="TextBody"/>
        <w:bidi w:val="0"/>
        <w:spacing w:before="0" w:after="0"/>
        <w:ind w:left="140" w:right="132" w:firstLine="720"/>
        <w:jc w:val="both"/>
        <w:rPr>
          <w:caps w:val="false"/>
          <w:smallCaps w:val="false"/>
        </w:rPr>
      </w:pPr>
      <w:r>
        <w:rPr>
          <w:caps w:val="false"/>
          <w:smallCaps w:val="false"/>
        </w:rPr>
        <w:t> </w:t>
      </w:r>
    </w:p>
    <w:p>
      <w:pPr>
        <w:pStyle w:val="TextBody"/>
        <w:bidi w:val="0"/>
        <w:spacing w:before="0" w:after="0"/>
        <w:ind w:left="140" w:right="17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7.13   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Permit the Fiscal Year of any Credit Party to end on a day other than January 31, except as may be agreed to by the Agent from time to time in its reasonable discretion.</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40" w:right="17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7.14    </w:t>
      </w:r>
      <w:r>
        <w:rPr>
          <w:rFonts w:ascii="Times New Roman;Times;Serif" w:hAnsi="Times New Roman;Times;Serif"/>
          <w:b w:val="false"/>
          <w:i w:val="false"/>
          <w:caps w:val="false"/>
          <w:smallCaps w:val="false"/>
          <w:strike/>
          <w:color w:val="FF0000"/>
          <w:sz w:val="20"/>
        </w:rPr>
        <w:t>Liquidity</w:t>
      </w:r>
      <w:r>
        <w:rPr>
          <w:rFonts w:ascii="Times New Roman;Times;Serif" w:hAnsi="Times New Roman;Times;Serif"/>
          <w:b w:val="false"/>
          <w:i w:val="false"/>
          <w:caps w:val="false"/>
          <w:smallCaps w:val="false"/>
          <w:color w:val="0000FF"/>
          <w:sz w:val="20"/>
          <w:u w:val="single"/>
        </w:rPr>
        <w:t>[Reserved]</w:t>
      </w:r>
      <w:r>
        <w:rPr>
          <w:rFonts w:ascii="Times New Roman;Times;Serif" w:hAnsi="Times New Roman;Times;Serif"/>
          <w:b w:val="false"/>
          <w:i w:val="false"/>
          <w:caps w:val="false"/>
          <w:smallCaps w:val="false"/>
          <w:strike/>
          <w:color w:val="FF0000"/>
          <w:sz w:val="20"/>
        </w:rPr>
        <w:t>. Permit Liquidity to be less than (a) $15,000,000 at any time during the period from the Restatement Date until the date that is eighteen (18) months after the Effective Date (as defined in the Exchange Agreement) or (b) $30,000,000 at any time after the period set forth in the foregoing clause (a).</w:t>
      </w:r>
    </w:p>
    <w:p>
      <w:pPr>
        <w:pStyle w:val="TextBody"/>
        <w:bidi w:val="0"/>
        <w:spacing w:before="0" w:after="0"/>
        <w:ind w:left="140" w:right="170" w:firstLine="720"/>
        <w:jc w:val="both"/>
        <w:rPr>
          <w:caps w:val="false"/>
          <w:smallCaps w:val="false"/>
        </w:rPr>
      </w:pPr>
      <w:r>
        <w:rPr>
          <w:caps w:val="false"/>
          <w:smallCaps w:val="false"/>
        </w:rPr>
        <w:t> </w:t>
      </w:r>
    </w:p>
    <w:p>
      <w:pPr>
        <w:pStyle w:val="TextBody"/>
        <w:bidi w:val="0"/>
        <w:spacing w:before="0" w:after="0"/>
        <w:ind w:left="860" w:right="0" w:hanging="0"/>
        <w:jc w:val="left"/>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rPr>
        <w:t>. </w:t>
      </w:r>
    </w:p>
    <w:p>
      <w:pPr>
        <w:pStyle w:val="TextBody"/>
        <w:bidi w:val="0"/>
        <w:spacing w:before="0" w:after="0"/>
        <w:ind w:left="860" w:right="0" w:hanging="0"/>
        <w:jc w:val="left"/>
        <w:rPr>
          <w:caps w:val="false"/>
          <w:smallCaps w:val="false"/>
          <w:color w:val="0000FF"/>
        </w:rPr>
      </w:pPr>
      <w:r>
        <w:rPr>
          <w:caps w:val="false"/>
          <w:smallCaps w:val="false"/>
          <w:color w:val="0000FF"/>
        </w:rPr>
        <w:t> </w:t>
      </w:r>
    </w:p>
    <w:p>
      <w:pPr>
        <w:pStyle w:val="TextBody"/>
        <w:bidi w:val="0"/>
        <w:spacing w:before="0" w:after="0"/>
        <w:ind w:left="139" w:right="12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7.15    </w:t>
      </w:r>
      <w:r>
        <w:rPr>
          <w:rFonts w:ascii="Times New Roman;Times;Serif" w:hAnsi="Times New Roman;Times;Serif"/>
          <w:b w:val="false"/>
          <w:i w:val="false"/>
          <w:caps w:val="false"/>
          <w:smallCaps w:val="false"/>
          <w:sz w:val="20"/>
          <w:u w:val="single"/>
        </w:rPr>
        <w:t>Divisions</w:t>
      </w:r>
      <w:r>
        <w:rPr>
          <w:rFonts w:ascii="Times New Roman;Times;Serif" w:hAnsi="Times New Roman;Times;Serif"/>
          <w:b w:val="false"/>
          <w:i w:val="false"/>
          <w:caps w:val="false"/>
          <w:smallCaps w:val="false"/>
          <w:sz w:val="20"/>
        </w:rPr>
        <w:t>. Notwithstanding anything herein or any other Loan Document  to  the contrary, no Credit Party that is a limited liability company may divide itself into two or more limited liability companies (pursuant to a “plan of division” as contemplated under the Delaware Limited Liability Company Act or otherwise) without the prior written consent of the Agent, and in the event that any Credit Party that is a limited liability company divides itself into two or more limited liability companies (with or without the prior consent of the Agent as required above), any limited liability companies formed as a result of such division shall be required to comply with the obligations set forth in Section 6.13 and the other further assurances obligations set forth in the Loan Documents and become a Guarantor under this Agreement and the other Loan Documents.</w:t>
      </w:r>
    </w:p>
    <w:p>
      <w:pPr>
        <w:pStyle w:val="TextBody"/>
        <w:bidi w:val="0"/>
        <w:spacing w:before="0" w:after="0"/>
        <w:ind w:left="139" w:right="125" w:firstLine="720"/>
        <w:jc w:val="both"/>
        <w:rPr>
          <w:caps w:val="false"/>
          <w:smallCaps w:val="false"/>
        </w:rPr>
      </w:pPr>
      <w:r>
        <w:rPr>
          <w:caps w:val="false"/>
          <w:smallCaps w:val="false"/>
        </w:rPr>
        <w:t> </w:t>
      </w:r>
    </w:p>
    <w:p>
      <w:pPr>
        <w:pStyle w:val="TextBody"/>
        <w:bidi w:val="0"/>
        <w:spacing w:before="0" w:after="0"/>
        <w:ind w:left="139" w:right="12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7.17   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Adopt, or permit any of its ERISA Affiliates to adopt, any employee welfare benefit plan within the meaning of Section 3(1) of ERISA that provides benefits to employees after termination of employment other than as required by Section 601 of ERISA or other Requirements of Law, except, either individually or in the aggregate, as could not reasonably be expected to result in a Material Adverse Effect.</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ind w:left="140" w:right="17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7.18    </w:t>
      </w:r>
      <w:r>
        <w:rPr>
          <w:rFonts w:ascii="Times New Roman;Times;Serif" w:hAnsi="Times New Roman;Times;Serif"/>
          <w:b w:val="false"/>
          <w:i w:val="false"/>
          <w:caps w:val="false"/>
          <w:smallCaps w:val="false"/>
          <w:sz w:val="20"/>
          <w:u w:val="single"/>
        </w:rPr>
        <w:t>Environmental</w:t>
      </w:r>
      <w:r>
        <w:rPr>
          <w:rFonts w:ascii="Times New Roman;Times;Serif" w:hAnsi="Times New Roman;Times;Serif"/>
          <w:b w:val="false"/>
          <w:i w:val="false"/>
          <w:caps w:val="false"/>
          <w:smallCaps w:val="false"/>
          <w:sz w:val="20"/>
        </w:rPr>
        <w:t>. Permit the use, handling, generation, storage, treatment, Release or disposal of Hazardous Materials on, in, at, under or from any property owned, leased or operated by it or</w:t>
      </w:r>
    </w:p>
    <w:p>
      <w:pPr>
        <w:pStyle w:val="TextBody"/>
        <w:bidi w:val="0"/>
        <w:spacing w:before="0" w:after="0"/>
        <w:ind w:left="140" w:right="174"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21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its Subsidiaries, except in compliance in all material respects with Environmental Laws (other than any noncompliance that could not reasonably be expected to have a Material Adverse Effect).</w:t>
      </w:r>
    </w:p>
    <w:p>
      <w:pPr>
        <w:pStyle w:val="TextBody"/>
        <w:bidi w:val="0"/>
        <w:spacing w:before="0" w:after="0"/>
        <w:ind w:left="140" w:right="212" w:hanging="0"/>
        <w:jc w:val="left"/>
        <w:rPr>
          <w:caps w:val="false"/>
          <w:smallCaps w:val="false"/>
        </w:rPr>
      </w:pPr>
      <w:r>
        <w:rPr>
          <w:caps w:val="false"/>
          <w:smallCaps w:val="false"/>
        </w:rPr>
        <w:t> </w:t>
      </w:r>
    </w:p>
    <w:p>
      <w:pPr>
        <w:pStyle w:val="TextBody"/>
        <w:bidi w:val="0"/>
        <w:spacing w:before="0" w:after="0"/>
        <w:ind w:left="140" w:right="1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7.19    </w:t>
      </w:r>
      <w:r>
        <w:rPr>
          <w:rFonts w:ascii="Times New Roman;Times;Serif" w:hAnsi="Times New Roman;Times;Serif"/>
          <w:b w:val="false"/>
          <w:i w:val="false"/>
          <w:caps w:val="false"/>
          <w:smallCaps w:val="false"/>
          <w:sz w:val="20"/>
          <w:u w:val="single"/>
        </w:rPr>
        <w:t>Accounting Methods</w:t>
      </w:r>
      <w:r>
        <w:rPr>
          <w:rFonts w:ascii="Times New Roman;Times;Serif" w:hAnsi="Times New Roman;Times;Serif"/>
          <w:b w:val="false"/>
          <w:i w:val="false"/>
          <w:caps w:val="false"/>
          <w:smallCaps w:val="false"/>
          <w:sz w:val="20"/>
        </w:rPr>
        <w:t>. Modify or change, or permit any of its Subsidiaries to modify or change, its method of accounting or accounting principles from those utilized in the preparation of the Financial Statements (other than as may be required to conform to GAAP or with the prior written consent of the Agent (not to be unreasonably withheld, delayed or conditioned), as recommended by an auditor or accounting firm of the Borrower and its Subsidiaries (so long as such recommendation is in accordance with GAAP)).</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ind w:left="139" w:right="12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7.20   </w:t>
      </w:r>
      <w:r>
        <w:rPr>
          <w:rFonts w:ascii="Times New Roman;Times;Serif" w:hAnsi="Times New Roman;Times;Serif"/>
          <w:b w:val="false"/>
          <w:i w:val="false"/>
          <w:caps w:val="false"/>
          <w:smallCaps w:val="false"/>
          <w:sz w:val="20"/>
          <w:u w:val="single"/>
        </w:rPr>
        <w:t>Sanctioned Persons; Anti-Corruption Laws; Anti-Money Laundering Laws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5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Conduct, nor permit any of its Subsidiaries to conduct, any business or engage in any transaction or deal with or for the benefit of any Sanctioned Person, including the making or receiving of any contribution of funds, goods or services to, from or for the benefit of any Sanctioned Person; or</w:t>
      </w:r>
    </w:p>
    <w:p>
      <w:pPr>
        <w:pStyle w:val="TextBody"/>
        <w:bidi w:val="0"/>
        <w:spacing w:before="0" w:after="0"/>
        <w:ind w:left="140" w:right="150" w:firstLine="1440"/>
        <w:jc w:val="both"/>
        <w:rPr>
          <w:caps w:val="false"/>
          <w:smallCaps w:val="false"/>
        </w:rPr>
      </w:pPr>
      <w:r>
        <w:rPr>
          <w:caps w:val="false"/>
          <w:smallCaps w:val="false"/>
        </w:rPr>
        <w:t> </w:t>
      </w:r>
    </w:p>
    <w:p>
      <w:pPr>
        <w:pStyle w:val="TextBody"/>
        <w:bidi w:val="0"/>
        <w:spacing w:before="0" w:after="0"/>
        <w:ind w:left="140"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Use, nor permit any of its Subsidiaries to use, directly or indirectly, any of the proceeds of any Loan, (i) to fund any activities or business of or with any Sanctioned Person or in any other manner that would result in a violation of any Sanctions by any Person (including by any Person participating in any Loan, whether as underwriter, advisor, investor or otherwise), or (ii) for the purpose of an offer, payment, promise to pay, or authorization of the payment or giving of money, or anything else of value, to any Person in violation of any Anti-Terrorism Law.</w:t>
      </w:r>
    </w:p>
    <w:p>
      <w:pPr>
        <w:pStyle w:val="TextBody"/>
        <w:bidi w:val="0"/>
        <w:spacing w:before="0" w:after="0"/>
        <w:ind w:left="140" w:right="170" w:firstLine="1440"/>
        <w:jc w:val="both"/>
        <w:rPr>
          <w:caps w:val="false"/>
          <w:smallCaps w:val="false"/>
        </w:rPr>
      </w:pPr>
      <w:r>
        <w:rPr>
          <w:caps w:val="false"/>
          <w:smallCaps w:val="false"/>
        </w:rPr>
        <w:t> </w:t>
      </w:r>
    </w:p>
    <w:p>
      <w:pPr>
        <w:pStyle w:val="TextBody"/>
        <w:bidi w:val="0"/>
        <w:spacing w:before="0" w:after="0"/>
        <w:ind w:left="140" w:right="17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7.21    </w:t>
      </w:r>
      <w:r>
        <w:rPr>
          <w:rFonts w:ascii="Times New Roman;Times;Serif" w:hAnsi="Times New Roman;Times;Serif"/>
          <w:b w:val="false"/>
          <w:i w:val="false"/>
          <w:caps w:val="false"/>
          <w:smallCaps w:val="false"/>
          <w:sz w:val="20"/>
          <w:u w:val="single"/>
        </w:rPr>
        <w:t>Federal Reserve Regulations</w:t>
      </w:r>
      <w:r>
        <w:rPr>
          <w:rFonts w:ascii="Times New Roman;Times;Serif" w:hAnsi="Times New Roman;Times;Serif"/>
          <w:b w:val="false"/>
          <w:i w:val="false"/>
          <w:caps w:val="false"/>
          <w:smallCaps w:val="false"/>
          <w:sz w:val="20"/>
        </w:rPr>
        <w:t>. Permit any Loan or the proceeds of any Loan under this Agreement to be used for any purpose that would cause such Loan to be a margin loan under the provisions of Regulation T, U or X of the Board of Governors of the Federal Reserve System.</w:t>
      </w:r>
    </w:p>
    <w:p>
      <w:pPr>
        <w:pStyle w:val="TextBody"/>
        <w:bidi w:val="0"/>
        <w:spacing w:before="0" w:after="0"/>
        <w:ind w:left="140" w:right="173"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3"/>
        <w:gridCol w:w="1281"/>
        <w:gridCol w:w="8681"/>
      </w:tblGrid>
      <w:tr>
        <w:trPr/>
        <w:tc>
          <w:tcPr>
            <w:tcW w:w="24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pPr>
            <w:r>
              <w:rPr/>
              <w:t>8.</w:t>
            </w:r>
          </w:p>
        </w:tc>
        <w:tc>
          <w:tcPr>
            <w:tcW w:w="8681" w:type="dxa"/>
            <w:tcBorders/>
            <w:vAlign w:val="center"/>
          </w:tcPr>
          <w:p>
            <w:pPr>
              <w:pStyle w:val="TableContents"/>
              <w:bidi w:val="0"/>
              <w:spacing w:before="0" w:after="283"/>
              <w:jc w:val="left"/>
              <w:rPr/>
            </w:pPr>
            <w:r>
              <w:rPr/>
              <w:t>DEFAULTS.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7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The occurrence of any of the following events shall constitute an Event of Default hereunder:</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40" w:right="1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non-payment when due of the principal or interest on the Indebtedness;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non-payment of any Fees or other amounts (including any Prepayment Premium) due and owing by the Borrower under this Agreement or by any Credit Party under any of the other Loan Documents to which it is a party, other than as set forth in subsection (a) above, within three (3) Business Days after the same is due and payable;</w:t>
      </w:r>
    </w:p>
    <w:p>
      <w:pPr>
        <w:pStyle w:val="TextBody"/>
        <w:bidi w:val="0"/>
        <w:spacing w:before="0" w:after="0"/>
        <w:ind w:left="140" w:right="140" w:firstLine="1440"/>
        <w:jc w:val="both"/>
        <w:rPr>
          <w:caps w:val="false"/>
          <w:smallCaps w:val="false"/>
        </w:rPr>
      </w:pPr>
      <w:r>
        <w:rPr>
          <w:caps w:val="false"/>
          <w:smallCaps w:val="false"/>
        </w:rPr>
        <w:t> </w:t>
      </w:r>
    </w:p>
    <w:p>
      <w:pPr>
        <w:pStyle w:val="TextBody"/>
        <w:bidi w:val="0"/>
        <w:spacing w:before="0" w:after="0"/>
        <w:ind w:left="140" w:right="12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default in the observance or performance of any of the conditions, covenants or agreements of the Borrower set forth in (i) Sections 6.1, 6.2, 6.4(b) (solely with respect to maintenance of the Borrower’s existence), 6.4(e), 6.5, 6.6, 6.7, 6.13, 6.14, 6.15, 6.16, 6.17, 6.18, 6.19 or Article 7 in its entirety or Sections 4.5(a), 4.7(a) or 4.8(b)(i) of the Security Agreement or (ii) Section 6.9 and such default continues for a period of 5 consecutive days;</w:t>
      </w:r>
    </w:p>
    <w:p>
      <w:pPr>
        <w:pStyle w:val="TextBody"/>
        <w:bidi w:val="0"/>
        <w:spacing w:before="0" w:after="0"/>
        <w:ind w:left="140" w:right="123" w:firstLine="1440"/>
        <w:jc w:val="both"/>
        <w:rPr>
          <w:caps w:val="false"/>
          <w:smallCaps w:val="false"/>
        </w:rPr>
      </w:pPr>
      <w:r>
        <w:rPr>
          <w:caps w:val="false"/>
          <w:smallCaps w:val="false"/>
        </w:rPr>
        <w:t> </w:t>
      </w:r>
    </w:p>
    <w:p>
      <w:pPr>
        <w:pStyle w:val="TextBody"/>
        <w:bidi w:val="0"/>
        <w:spacing w:before="0" w:after="0"/>
        <w:ind w:left="139"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default in the observance or performance of any of the other conditions, covenants or agreements set forth in this Agreement or any of the other Loan Documents by any Credit Party and continuance thereof for a period of twenty (20) consecutive days after the earlier of (i) the date that a Responsible Officer of the Borrower or such other Credit Party becomes aware of the same or (ii) the date on which notice shall have been given to the Borrower or any other Credit Party from the Agent;</w:t>
      </w:r>
    </w:p>
    <w:p>
      <w:pPr>
        <w:pStyle w:val="TextBody"/>
        <w:bidi w:val="0"/>
        <w:spacing w:before="0" w:after="0"/>
        <w:ind w:left="139" w:right="172"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34"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representation or warranty made by any Credit Party herein, any other Loan Document or in any certificate, instrument or other document submitted pursuant hereto or thereto proves untrue or misleading in any material adverse respect (or in any respect if such representation or warranty is qualified or modified as to materiality or “Material Adverse Effect” in the text thereof) when made;</w:t>
      </w:r>
    </w:p>
    <w:p>
      <w:pPr>
        <w:pStyle w:val="TextBody"/>
        <w:bidi w:val="0"/>
        <w:spacing w:before="0" w:after="0"/>
        <w:ind w:left="140" w:right="134" w:firstLine="1440"/>
        <w:jc w:val="both"/>
        <w:rPr>
          <w:caps w:val="false"/>
          <w:smallCaps w:val="false"/>
        </w:rPr>
      </w:pPr>
      <w:r>
        <w:rPr>
          <w:caps w:val="false"/>
          <w:smallCaps w:val="false"/>
        </w:rPr>
        <w:t> </w:t>
      </w:r>
    </w:p>
    <w:p>
      <w:pPr>
        <w:pStyle w:val="TextBody"/>
        <w:bidi w:val="0"/>
        <w:spacing w:before="0" w:after="0"/>
        <w:ind w:left="139" w:right="13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 default by any Credit Party in the payment of any Debt, whether under a  direct obligation or guaranty (other than Indebtedness and the Senior Debt) of any Credit Party in excess of One Million Dollars ($1,000,000) (or the equivalent thereof in any currency other than Dollars) individually or in the aggregate when due and continuance thereof beyond any applicable period of cure or (ii) failure to comply with the terms of any other obligation of any Credit Party with respect to any Debt (other than Indebtedness and the Senior Debt) in excess of One Million Dollars ($1,000,000) (or the equivalent thereof in any currency other than Dollars) individually or in the aggregate, which continues beyond any applicable period of cure and which would permit the holder or holders thereto to accelerate such other Debt, or require the prepayment, repurchase, redemption or defeasance of such indebtedness;</w:t>
      </w:r>
    </w:p>
    <w:p>
      <w:pPr>
        <w:pStyle w:val="TextBody"/>
        <w:bidi w:val="0"/>
        <w:spacing w:before="0" w:after="0"/>
        <w:ind w:left="139" w:right="135" w:firstLine="1440"/>
        <w:jc w:val="both"/>
        <w:rPr>
          <w:caps w:val="false"/>
          <w:smallCaps w:val="false"/>
        </w:rPr>
      </w:pPr>
      <w:r>
        <w:rPr>
          <w:caps w:val="false"/>
          <w:smallCaps w:val="false"/>
        </w:rPr>
        <w:t> </w:t>
      </w:r>
    </w:p>
    <w:p>
      <w:pPr>
        <w:pStyle w:val="TextBody"/>
        <w:bidi w:val="0"/>
        <w:spacing w:before="0" w:after="0"/>
        <w:ind w:left="139" w:right="12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rendering of any judgment (not covered by adequate insurance from a solvent carrier which is defending such action without reservation of rights) for the payment of money in excess of the sum of One Million Dollars ($1,000,000) (or the equivalent thereof in any currency other than Dollars) individually or in the aggregate against any Credit Party, and (i) enforcement proceedings shall have been commenced by any creditor upon any such judgment or (ii) there shall be a period of thirty</w:t>
      </w:r>
    </w:p>
    <w:p>
      <w:pPr>
        <w:pStyle w:val="TextBody"/>
        <w:bidi w:val="0"/>
        <w:spacing w:before="0" w:after="0"/>
        <w:ind w:left="139" w:right="126" w:firstLine="1440"/>
        <w:jc w:val="both"/>
        <w:rPr>
          <w:caps w:val="false"/>
          <w:smallCaps w:val="false"/>
        </w:rPr>
      </w:pPr>
      <w:r>
        <w:rPr>
          <w:caps w:val="false"/>
          <w:smallCaps w:val="false"/>
        </w:rPr>
        <w:t> </w:t>
      </w:r>
    </w:p>
    <w:p>
      <w:pPr>
        <w:pStyle w:val="TextBody"/>
        <w:bidi w:val="0"/>
        <w:spacing w:before="0" w:after="0"/>
        <w:ind w:left="140" w:right="17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consecutive days after entry thereof during which (A) a stay of enforcement thereof is not in effect or (B) the same is not vacated, discharged, stayed or bonded pending appeal;</w:t>
      </w:r>
    </w:p>
    <w:p>
      <w:pPr>
        <w:pStyle w:val="TextBody"/>
        <w:bidi w:val="0"/>
        <w:spacing w:before="0" w:after="0"/>
        <w:ind w:left="140" w:right="173" w:hanging="0"/>
        <w:jc w:val="both"/>
        <w:rPr>
          <w:caps w:val="false"/>
          <w:smallCaps w:val="false"/>
        </w:rPr>
      </w:pPr>
      <w:r>
        <w:rPr>
          <w:caps w:val="false"/>
          <w:smallCaps w:val="false"/>
        </w:rPr>
        <w:t> </w:t>
      </w:r>
    </w:p>
    <w:p>
      <w:pPr>
        <w:pStyle w:val="TextBody"/>
        <w:bidi w:val="0"/>
        <w:spacing w:before="0" w:after="0"/>
        <w:ind w:left="140"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occurrence of any ERISA Event or Foreign Benefit Event that could reasonably be expected to result in a Material Adverse Effect when taken either individually or in the aggregate with all other such ERISA Events or Foreign Benefit Events for which liability could be reasonably expected to occur;</w:t>
      </w:r>
    </w:p>
    <w:p>
      <w:pPr>
        <w:pStyle w:val="TextBody"/>
        <w:bidi w:val="0"/>
        <w:spacing w:before="0" w:after="0"/>
        <w:ind w:left="140" w:right="172" w:firstLine="1440"/>
        <w:jc w:val="both"/>
        <w:rPr>
          <w:caps w:val="false"/>
          <w:smallCaps w:val="false"/>
        </w:rPr>
      </w:pPr>
      <w:r>
        <w:rPr>
          <w:caps w:val="false"/>
          <w:smallCaps w:val="false"/>
        </w:rPr>
        <w:t> </w:t>
      </w:r>
    </w:p>
    <w:p>
      <w:pPr>
        <w:pStyle w:val="TextBody"/>
        <w:bidi w:val="0"/>
        <w:spacing w:before="0" w:after="0"/>
        <w:ind w:left="140" w:right="131"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expressly permitted under this Agreement, any Credit Party shall be dissolved (other than a dissolution of a Subsidiary of the Borrower which is not a Guarantor or the Borrower) or liquidated (or any judgment, order or decree therefor shall be entered); or if a creditors’ committee shall have been appointed for the business of any Credit Party; or if any Credit Party shall have made a general assignment for the benefit of creditors or shall have been adjudicated bankrupt and  if not an adjudication based on a filing by a Credit Party, it shall not have been dismissed within forty  five (45) days, or shall have filed a voluntary petition in bankruptcy or for reorganization or to effect a plan or arrangement with creditors or shall fail to pay its debts generally as such debts become due in the ordinary course of business (except as contested in good faith and for which adequate reserves are made in such party’s financial statements in accordance with GAAP); or shall file an answer to a creditor’s petition or other petition filed against it, admitting the material allegations thereof for an adjudication in bankruptcy or for reorganization; or shall have applied for or permitted the appointment of a receiver or trustee or custodian for any of its property or assets; or such receiver, trustee or custodian shall have been appointed for any of its property or assets (otherwise than upon application or consent of a Credit Party ) and shall not have been removed within forty five (45) days; or if an order shall be entered approving any petition for reorganization of any Credit Party and shall not have been reversed or dismissed within forty five (45) days;</w:t>
      </w:r>
    </w:p>
    <w:p>
      <w:pPr>
        <w:pStyle w:val="TextBody"/>
        <w:bidi w:val="0"/>
        <w:spacing w:before="0" w:after="0"/>
        <w:ind w:left="140" w:right="131" w:firstLine="1440"/>
        <w:jc w:val="both"/>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 Change of Control shall have occurred;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validity, binding effect or enforceability of any subordination provisions relating to any Subordinated Debt shall be contested by any Person party thereto (other than any Lender or the Agent), or such subordination provisions shall fail to be enforceable by the Agent and the Lenders</w:t>
      </w:r>
    </w:p>
    <w:p>
      <w:pPr>
        <w:pStyle w:val="TextBody"/>
        <w:bidi w:val="0"/>
        <w:spacing w:before="0" w:after="0"/>
        <w:ind w:left="140" w:right="173"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thereof, or the Indebtedness shall for any reason not have the priority contemplated by this Agreement or such subordination provisions;</w:t>
      </w:r>
    </w:p>
    <w:p>
      <w:pPr>
        <w:pStyle w:val="TextBody"/>
        <w:bidi w:val="0"/>
        <w:spacing w:before="0" w:after="0"/>
        <w:ind w:left="140" w:right="0" w:hanging="0"/>
        <w:jc w:val="left"/>
        <w:rPr>
          <w:caps w:val="false"/>
          <w:smallCaps w:val="false"/>
        </w:rPr>
      </w:pPr>
      <w:r>
        <w:rPr>
          <w:caps w:val="false"/>
          <w:smallCaps w:val="false"/>
        </w:rPr>
        <w:t> </w:t>
      </w:r>
    </w:p>
    <w:p>
      <w:pPr>
        <w:pStyle w:val="TextBody"/>
        <w:bidi w:val="0"/>
        <w:spacing w:before="0" w:after="0"/>
        <w:ind w:left="140"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 any Loan Document shall at any time for any reason cease to be in full force and effect (other than in accordance with the terms thereof or hereof), (ii) the validity, binding effect or enforceability thereof shall be contested by any party thereto (other than any Lender or the Agent), (iii) any Person (other than in accordance with the terms thereof or hereof) shall deny that it has any or  further liability or obligation under any Loan Document, (iv) any such Loan Document shall be terminated (other than in accordance with the terms thereof), invalidated, revoked or set aside or in any way cease to give or provide to the Lenders and the Agent the benefits purported to be created thereby, (v) any Loan Document purporting to grant a Lien to secure any Indebtedness shall for any reason, at any time after the delivery of such Loan Document, fail to create a valid and enforceable Lien on any Collateral purported to be covered thereby or (vi) such Lien shall fail to cease to be a perfected Lien with the priority required in the relevant Loan Document;</w:t>
      </w:r>
    </w:p>
    <w:p>
      <w:pPr>
        <w:pStyle w:val="TextBody"/>
        <w:bidi w:val="0"/>
        <w:spacing w:before="0" w:after="0"/>
        <w:ind w:left="140" w:right="157" w:hanging="0"/>
        <w:jc w:val="both"/>
        <w:rPr>
          <w:caps w:val="false"/>
          <w:smallCaps w:val="false"/>
        </w:rPr>
      </w:pPr>
      <w:r>
        <w:rPr>
          <w:caps w:val="false"/>
          <w:smallCaps w:val="false"/>
        </w:rPr>
        <w:t> </w:t>
      </w:r>
    </w:p>
    <w:p>
      <w:pPr>
        <w:pStyle w:val="TextBody"/>
        <w:bidi w:val="0"/>
        <w:spacing w:before="0" w:after="0"/>
        <w:ind w:left="140" w:right="121"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default or failure to perform in any of the Senior Loan Documents and continuance thereof beyond any applicable period of grace or cure; provided that, an Event of Default shall only occur under this clause (m) if, as a result of a default or failure to perform in any of the Senior Loan Documents, the Senior Debt is accelerated or otherwise becomes due and payable prior to the stated maturity therein;</w:t>
      </w:r>
    </w:p>
    <w:p>
      <w:pPr>
        <w:pStyle w:val="TextBody"/>
        <w:bidi w:val="0"/>
        <w:spacing w:before="0" w:after="0"/>
        <w:ind w:left="140" w:right="121" w:firstLine="1440"/>
        <w:jc w:val="both"/>
        <w:rPr>
          <w:caps w:val="false"/>
          <w:smallCaps w:val="false"/>
        </w:rPr>
      </w:pPr>
      <w:r>
        <w:rPr>
          <w:caps w:val="false"/>
          <w:smallCaps w:val="false"/>
        </w:rPr>
        <w:t> </w:t>
      </w:r>
    </w:p>
    <w:p>
      <w:pPr>
        <w:pStyle w:val="TextBody"/>
        <w:bidi w:val="0"/>
        <w:spacing w:before="0" w:after="0"/>
        <w:ind w:left="140" w:right="119"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except as otherwise expressly permitted hereunder, any action by the Credit Parties, taken as a whole, to suspend the operation of their business in the ordinary course, liquidate all or a material portion of their assets, or employ an agent or other third party to conduct a  program of closings, liquidations or “Going-Out-Of-Business” sales of any material portion of their business;</w:t>
      </w:r>
    </w:p>
    <w:p>
      <w:pPr>
        <w:pStyle w:val="TextBody"/>
        <w:bidi w:val="0"/>
        <w:spacing w:before="0" w:after="0"/>
        <w:ind w:left="140" w:right="119" w:firstLine="1440"/>
        <w:jc w:val="both"/>
        <w:rPr>
          <w:caps w:val="false"/>
          <w:smallCaps w:val="false"/>
        </w:rPr>
      </w:pPr>
      <w:r>
        <w:rPr>
          <w:caps w:val="false"/>
          <w:smallCaps w:val="false"/>
        </w:rPr>
        <w:t> </w:t>
      </w:r>
    </w:p>
    <w:p>
      <w:pPr>
        <w:pStyle w:val="TextBody"/>
        <w:bidi w:val="0"/>
        <w:spacing w:before="0" w:after="0"/>
        <w:ind w:left="140" w:right="119"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any uninsured loss to any material portion of the Collateral;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68"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Borrower or any of its Subsidiaries is enjoined, restrained or in any way prevented by the order of any court or any Governmental Authority from conducting, or otherwise ceases to conduct for any reason whatsoever, all or any material part of the business of the Borrower and its Subsidiaries, taken as a whole, for more than 30 consecutive days;</w:t>
      </w:r>
    </w:p>
    <w:p>
      <w:pPr>
        <w:pStyle w:val="TextBody"/>
        <w:bidi w:val="0"/>
        <w:spacing w:before="0" w:after="0"/>
        <w:ind w:left="140" w:right="168" w:firstLine="1440"/>
        <w:jc w:val="both"/>
        <w:rPr>
          <w:caps w:val="false"/>
          <w:smallCaps w:val="false"/>
        </w:rPr>
      </w:pPr>
      <w:r>
        <w:rPr>
          <w:caps w:val="false"/>
          <w:smallCaps w:val="false"/>
        </w:rPr>
        <w:t> </w:t>
      </w:r>
    </w:p>
    <w:p>
      <w:pPr>
        <w:pStyle w:val="TextBody"/>
        <w:bidi w:val="0"/>
        <w:spacing w:before="0" w:after="0"/>
        <w:ind w:left="140" w:right="168"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any material damage to, or loss, theft or destruction of, any Collateral, whether or not insured, or any strike, lockout, labor dispute, embargo, condemnation, act of God or public enemy, or other casualty which, in each case, causes, for more than 30 consecutive days, the cessation or substantial curtailment of revenue producing activities of the Borrower and its Subsidiaries, taken as a whole;</w:t>
      </w:r>
    </w:p>
    <w:p>
      <w:pPr>
        <w:pStyle w:val="TextBody"/>
        <w:bidi w:val="0"/>
        <w:spacing w:before="0" w:after="0"/>
        <w:ind w:left="140" w:right="168" w:firstLine="1440"/>
        <w:jc w:val="both"/>
        <w:rPr>
          <w:caps w:val="false"/>
          <w:smallCaps w:val="false"/>
        </w:rPr>
      </w:pPr>
      <w:r>
        <w:rPr>
          <w:caps w:val="false"/>
          <w:smallCaps w:val="false"/>
        </w:rPr>
        <w:t> </w:t>
      </w:r>
    </w:p>
    <w:p>
      <w:pPr>
        <w:pStyle w:val="TextBody"/>
        <w:bidi w:val="0"/>
        <w:spacing w:before="0" w:after="0"/>
        <w:ind w:left="140" w:right="174"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 loss, suspension or revocation of, or failure to renew, any license or permit now held or hereafter acquired by the Borrower or any of its Subsidiaries, if such loss, suspension, revocation or failure to renew could reasonably be expected to have a Material Adverse Effect; or</w:t>
      </w:r>
    </w:p>
    <w:p>
      <w:pPr>
        <w:pStyle w:val="TextBody"/>
        <w:bidi w:val="0"/>
        <w:spacing w:before="0" w:after="0"/>
        <w:ind w:left="140" w:right="174" w:firstLine="1440"/>
        <w:jc w:val="both"/>
        <w:rPr>
          <w:caps w:val="false"/>
          <w:smallCaps w:val="false"/>
        </w:rPr>
      </w:pPr>
      <w:r>
        <w:rPr>
          <w:caps w:val="false"/>
          <w:smallCaps w:val="false"/>
        </w:rPr>
        <w:t> </w:t>
      </w:r>
    </w:p>
    <w:p>
      <w:pPr>
        <w:pStyle w:val="TextBody"/>
        <w:bidi w:val="0"/>
        <w:spacing w:before="0" w:after="0"/>
        <w:ind w:left="140" w:right="13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the indictment of the Borrower or any of its Subsidiaries or any senior officer thereof under any criminal statute, or commencement of criminal or civil proceedings against the Borrower or any of its Subsidiaries or any senior officer thereof, pursuant to which statute or proceedings the penalties or remedies sought include forfeiture to any Governmental Authority of any material  portion of the Collateral.</w:t>
      </w:r>
    </w:p>
    <w:p>
      <w:pPr>
        <w:pStyle w:val="TextBody"/>
        <w:bidi w:val="0"/>
        <w:spacing w:before="0" w:after="0"/>
        <w:ind w:left="140" w:right="136" w:firstLine="1440"/>
        <w:jc w:val="both"/>
        <w:rPr>
          <w:caps w:val="false"/>
          <w:smallCaps w:val="false"/>
        </w:rPr>
      </w:pPr>
      <w:r>
        <w:rPr>
          <w:caps w:val="false"/>
          <w:smallCaps w:val="false"/>
        </w:rPr>
        <w:t> </w:t>
      </w:r>
    </w:p>
    <w:p>
      <w:pPr>
        <w:pStyle w:val="TextBody"/>
        <w:bidi w:val="0"/>
        <w:spacing w:before="0" w:after="0"/>
        <w:ind w:left="140" w:right="17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val="false"/>
          <w:i w:val="false"/>
          <w:caps w:val="false"/>
          <w:smallCaps w:val="false"/>
          <w:sz w:val="20"/>
          <w:u w:val="single"/>
        </w:rPr>
        <w:t>Exercise of Remedies</w:t>
      </w:r>
      <w:r>
        <w:rPr>
          <w:rFonts w:ascii="Times New Roman;Times;Serif" w:hAnsi="Times New Roman;Times;Serif"/>
          <w:b w:val="false"/>
          <w:i w:val="false"/>
          <w:caps w:val="false"/>
          <w:smallCaps w:val="false"/>
          <w:sz w:val="20"/>
        </w:rPr>
        <w:t>.  If an Event of Default has occurred and is continuing  hereunder: (a)  [reserved];  (b)  the  Agent  may,  and  shall,  upon  being directed to do so by the Majority   Lenders,</w:t>
      </w:r>
    </w:p>
    <w:p>
      <w:pPr>
        <w:pStyle w:val="TextBody"/>
        <w:bidi w:val="0"/>
        <w:spacing w:before="0" w:after="0"/>
        <w:ind w:left="172" w:right="172"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3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declare the entire unpaid principal Indebtedness, including the Notes, and any accrued and  unpaid interest or other amounts (including the Prepayment Premium), immediately due and payable, without presentment, notice or demand, all of which are hereby expressly waived by the Borrower; (c) upon the occurrence of any Event of Default specified in Section 8.1(i) and notwithstanding the lack of any declaration by the Agent under preceding clause (b), the entire unpaid principal Indebtedness and any accrued and unpaid interest or other amounts (including the Prepayment Premium) shall become automatically and immediately due and payable, and the Commitments shall be automatically and immediately terminated; and (d) the Agent may, and shall, upon being directed to do so by the Majority Lenders or the Lenders, as applicable (subject to the terms hereof), exercise any remedy permitted by this Agreement, the other Loan Documents or law.</w:t>
      </w:r>
    </w:p>
    <w:p>
      <w:pPr>
        <w:pStyle w:val="TextBody"/>
        <w:bidi w:val="0"/>
        <w:spacing w:before="0" w:after="0"/>
        <w:ind w:left="140" w:right="136" w:hanging="0"/>
        <w:jc w:val="both"/>
        <w:rPr>
          <w:caps w:val="false"/>
          <w:smallCaps w:val="false"/>
        </w:rPr>
      </w:pPr>
      <w:r>
        <w:rPr>
          <w:caps w:val="false"/>
          <w:smallCaps w:val="false"/>
        </w:rPr>
        <w:t> </w:t>
      </w:r>
    </w:p>
    <w:p>
      <w:pPr>
        <w:pStyle w:val="TextBody"/>
        <w:bidi w:val="0"/>
        <w:spacing w:before="0" w:after="0"/>
        <w:ind w:left="140" w:right="17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val="false"/>
          <w:i w:val="false"/>
          <w:caps w:val="false"/>
          <w:smallCaps w:val="false"/>
          <w:sz w:val="20"/>
          <w:u w:val="single"/>
        </w:rPr>
        <w:t>Rights Cumulative</w:t>
      </w:r>
      <w:r>
        <w:rPr>
          <w:rFonts w:ascii="Times New Roman;Times;Serif" w:hAnsi="Times New Roman;Times;Serif"/>
          <w:b w:val="false"/>
          <w:i w:val="false"/>
          <w:caps w:val="false"/>
          <w:smallCaps w:val="false"/>
          <w:sz w:val="20"/>
        </w:rPr>
        <w:t>. No delay or failure of the Agent and/or Lenders in exercising any right, power or privilege hereunder shall affect such right, power or privilege, nor shall any single or partial exercise thereof preclude any further exercise thereof, or the exercise of any other power, right or privilege. The rights of the Agent and Lenders under this Agreement are cumulative and not exclusive of any right or remedies which Lenders would otherwise have.</w:t>
      </w:r>
    </w:p>
    <w:p>
      <w:pPr>
        <w:pStyle w:val="TextBody"/>
        <w:bidi w:val="0"/>
        <w:spacing w:before="0" w:after="0"/>
        <w:ind w:left="140" w:right="170" w:firstLine="720"/>
        <w:jc w:val="both"/>
        <w:rPr>
          <w:caps w:val="false"/>
          <w:smallCaps w:val="false"/>
        </w:rPr>
      </w:pPr>
      <w:r>
        <w:rPr>
          <w:caps w:val="false"/>
          <w:smallCaps w:val="false"/>
        </w:rPr>
        <w:t> </w:t>
      </w:r>
    </w:p>
    <w:p>
      <w:pPr>
        <w:pStyle w:val="TextBody"/>
        <w:bidi w:val="0"/>
        <w:spacing w:before="0" w:after="0"/>
        <w:ind w:left="139" w:right="1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8.4    </w:t>
      </w:r>
      <w:r>
        <w:rPr>
          <w:rFonts w:ascii="Times New Roman;Times;Serif" w:hAnsi="Times New Roman;Times;Serif"/>
          <w:b w:val="false"/>
          <w:i w:val="false"/>
          <w:caps w:val="false"/>
          <w:smallCaps w:val="false"/>
          <w:sz w:val="20"/>
          <w:u w:val="single"/>
        </w:rPr>
        <w:t>Waiver by the Borrower of Certain Laws</w:t>
      </w:r>
      <w:r>
        <w:rPr>
          <w:rFonts w:ascii="Times New Roman;Times;Serif" w:hAnsi="Times New Roman;Times;Serif"/>
          <w:b w:val="false"/>
          <w:i w:val="false"/>
          <w:caps w:val="false"/>
          <w:smallCaps w:val="false"/>
          <w:sz w:val="20"/>
        </w:rPr>
        <w:t>. To the extent permitted by applicable law, the Borrower hereby agrees to waive, and does hereby absolutely and irrevocably waive and relinquish the benefit and advantage of any valuation, stay, appraisement, extension or redemption laws now existing or which may hereafter exist, which, but for this provision, might be applicable to any sale made under the judgment, order or decree of any court, on any claim for interest on the Notes, or any security interest or mortgage contemplated by or granted under or in connection with this Agreement. These waivers have been voluntarily given, with full knowledge of the consequences thereof.</w:t>
      </w:r>
    </w:p>
    <w:p>
      <w:pPr>
        <w:pStyle w:val="TextBody"/>
        <w:bidi w:val="0"/>
        <w:spacing w:before="0" w:after="0"/>
        <w:ind w:left="139" w:right="140" w:firstLine="720"/>
        <w:jc w:val="both"/>
        <w:rPr>
          <w:caps w:val="false"/>
          <w:smallCaps w:val="false"/>
        </w:rPr>
      </w:pPr>
      <w:r>
        <w:rPr>
          <w:caps w:val="false"/>
          <w:smallCaps w:val="false"/>
        </w:rPr>
        <w:t> </w:t>
      </w:r>
    </w:p>
    <w:p>
      <w:pPr>
        <w:pStyle w:val="TextBody"/>
        <w:bidi w:val="0"/>
        <w:spacing w:before="0" w:after="0"/>
        <w:ind w:left="140" w:right="1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8.5    </w:t>
      </w:r>
      <w:r>
        <w:rPr>
          <w:rFonts w:ascii="Times New Roman;Times;Serif" w:hAnsi="Times New Roman;Times;Serif"/>
          <w:b w:val="false"/>
          <w:i w:val="false"/>
          <w:caps w:val="false"/>
          <w:smallCaps w:val="false"/>
          <w:sz w:val="20"/>
          <w:u w:val="single"/>
        </w:rPr>
        <w:t>Waiver of Defaults</w:t>
      </w:r>
      <w:r>
        <w:rPr>
          <w:rFonts w:ascii="Times New Roman;Times;Serif" w:hAnsi="Times New Roman;Times;Serif"/>
          <w:b w:val="false"/>
          <w:i w:val="false"/>
          <w:caps w:val="false"/>
          <w:smallCaps w:val="false"/>
          <w:sz w:val="20"/>
        </w:rPr>
        <w:t>. No Event of Default shall be waived by the Lenders except in a writing signed by an officer of the Agent in accordance with Section 12.9 hereof. No single or partial exercise of any right, power or privilege hereunder, nor any delay in the exercise thereof, shall preclude other or further exercise of their rights by the Agent or the Lenders. No waiver of any Event of Default shall extend to any other or further Event of Default. No forbearance on the part of the Agent or the Lenders in enforcing any of their rights shall constitute a waiver of any of their rights. The Borrower expressly agrees that this Section may not be waived or modified by the Lenders or the Agent by course of performance, estoppel or otherwise.</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ind w:left="139" w:right="12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8.6    </w:t>
      </w:r>
      <w:r>
        <w:rPr>
          <w:rFonts w:ascii="Times New Roman;Times;Serif" w:hAnsi="Times New Roman;Times;Serif"/>
          <w:b w:val="false"/>
          <w:i w:val="false"/>
          <w:caps w:val="false"/>
          <w:smallCaps w:val="false"/>
          <w:sz w:val="20"/>
          <w:u w:val="single"/>
        </w:rPr>
        <w:t>Set Off</w:t>
      </w:r>
      <w:r>
        <w:rPr>
          <w:rFonts w:ascii="Times New Roman;Times;Serif" w:hAnsi="Times New Roman;Times;Serif"/>
          <w:b w:val="false"/>
          <w:i w:val="false"/>
          <w:caps w:val="false"/>
          <w:smallCaps w:val="false"/>
          <w:sz w:val="20"/>
        </w:rPr>
        <w:t xml:space="preserve">. Upon the occurrence and during the continuance of any Event of Default, each Lender may at any time and from time to time, without notice to the Borrower but subject to the provisions of Section 9.3 hereof (any requirement for such notice being expressly waived by the Borrower), setoff and apply against any and all of the obligations of the Borrower now or hereafter existing under this Agreement, whether owing to such Lender, any Affiliate of such Lender or any other Lender or the Agent, any and all deposits (general or special, time or demand, provisional or final) at any time held and other indebtedness at any time owing by such Lender to or for the credit or the account of the Borrower and any property of the Borrower from time to time in possession of such Lender, irrespective of whether or not such deposits held or indebtedness owing by such Lender may be contingent and unmatured and regardless of whether any Collateral then held by the Agent or any Lender is adequate to cover the Indebtedness (including any Prepayment Premium). Promptly following any such setoff, such Lender shall give written notice to the Agent and the Borrower of the occurrence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that any Defaulting Lender shall exercise any such right of setoff, (x) all amounts so set off shall be paid over immediately to the Agent for further application in accordance with the provisions of Section 9.4 and, pending such payment, shall be segregated by such Defaulting Lender from its other funds and deemed held for the benefit of the Agent and the Lenders, and (y) the Defaulting Lender shall provide promptly to the Agent a statement describing in reasonable detail the Indebtedness</w:t>
      </w:r>
    </w:p>
    <w:p>
      <w:pPr>
        <w:pStyle w:val="TextBody"/>
        <w:bidi w:val="0"/>
        <w:spacing w:before="0" w:after="0"/>
        <w:ind w:left="139" w:right="126"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9" w:right="171"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owing to such Defaulting Lender as to which it exercised such right of setoff. The Borrower hereby grants to the Lenders and the Agent a lien on and security interest in all such deposits, indebtedness and property as collateral security for the payment and performance of all of the obligations of the Borrower under this Agreement. The rights of each Lender under this Section 8.6 are in addition to the other rights and remedies (including, without limitation, other rights of setoff) which such Lender may have.</w:t>
      </w:r>
    </w:p>
    <w:p>
      <w:pPr>
        <w:pStyle w:val="TextBody"/>
        <w:bidi w:val="0"/>
        <w:spacing w:before="0" w:after="0"/>
        <w:ind w:left="139" w:right="171"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63"/>
        <w:gridCol w:w="9774"/>
      </w:tblGrid>
      <w:tr>
        <w:trPr/>
        <w:tc>
          <w:tcPr>
            <w:tcW w:w="6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pPr>
            <w:r>
              <w:rPr/>
              <w:t>9.</w:t>
            </w:r>
          </w:p>
        </w:tc>
        <w:tc>
          <w:tcPr>
            <w:tcW w:w="9774" w:type="dxa"/>
            <w:tcBorders/>
            <w:vAlign w:val="center"/>
          </w:tcPr>
          <w:p>
            <w:pPr>
              <w:pStyle w:val="TableContents"/>
              <w:bidi w:val="0"/>
              <w:spacing w:before="0" w:after="283"/>
              <w:jc w:val="left"/>
              <w:rPr/>
            </w:pPr>
            <w:r>
              <w:rPr/>
              <w:t>PAYMENTS, RECOVERIES AND COLLECTIONS.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39" w:right="12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w:t>
      </w:r>
      <w:r>
        <w:rPr>
          <w:rFonts w:ascii="Times New Roman;Times;Serif" w:hAnsi="Times New Roman;Times;Serif"/>
          <w:b w:val="false"/>
          <w:i w:val="false"/>
          <w:caps w:val="false"/>
          <w:smallCaps w:val="false"/>
          <w:sz w:val="20"/>
          <w:u w:val="single"/>
        </w:rPr>
        <w:t>Payment Procedure</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39"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payments to be made by the Borrower shall be made without condition or deduction for any counterclaim, defense, recoupment or setoff. Except as otherwise provided herein, all payments made by the Borrower of principal, interest or fees hereunder shall be made without setoff or counterclaim on the date specified for payment under this Agreement and must be received by the Agent not later than 12:00 p.m. (New York time) (or such later time on such date as agreed to by Agent) on the date such payment is required or intended to be made in Dollars in immediately available funds to the Agent’s Account. The Agent shall deem any payment by or on behalf of the Borrower hereunder that is not made in same day funds prior to 12:00 p.m. (New York time) to be a non-conforming payment. Any such payment shall not be deemed to have been received by the Agent until the later of (i) the time such funds become available funds, and (ii) the applicable next Business Day. The Agent shall give prompt telephonic notice to the Borrower and each applicable Lender (confirmed in writing) if any payment is non-conforming. Any non-conforming payment may constitute or become a Default or Event of Default in accordance with the terms of Section 8.1(a) or 8.1(b), as applicable. Interest shall continue to accrue on any principal as to which a non-conforming payment is made until such funds become available funds (but in no event less than the period from the date of such payment to the next succeeding applicable Business Day) at the default interest rate determined pursuant to Section 2.6(d) from the date such amount was due and payable until the date such amount is paid in full.</w:t>
      </w:r>
    </w:p>
    <w:p>
      <w:pPr>
        <w:pStyle w:val="TextBody"/>
        <w:bidi w:val="0"/>
        <w:spacing w:before="0" w:after="0"/>
        <w:ind w:left="139" w:right="170" w:firstLine="1440"/>
        <w:jc w:val="both"/>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Lenders and the Borrower hereby authorize the Agent to, and the Agent may, from time to time, charge the Loan Account with any amount due and payable by the Borrower under any Loan Document. Any amount charged to the Loan Account shall be deemed Indebtedness hereunder.</w:t>
      </w:r>
    </w:p>
    <w:p>
      <w:pPr>
        <w:pStyle w:val="TextBody"/>
        <w:bidi w:val="0"/>
        <w:spacing w:before="0" w:after="0"/>
        <w:ind w:left="140" w:right="173" w:firstLine="1440"/>
        <w:jc w:val="both"/>
        <w:rPr>
          <w:caps w:val="false"/>
          <w:smallCaps w:val="false"/>
        </w:rPr>
      </w:pPr>
      <w:r>
        <w:rPr>
          <w:caps w:val="false"/>
          <w:smallCaps w:val="false"/>
        </w:rPr>
        <w:t> </w:t>
      </w:r>
    </w:p>
    <w:p>
      <w:pPr>
        <w:pStyle w:val="TextBody"/>
        <w:bidi w:val="0"/>
        <w:spacing w:before="0" w:after="0"/>
        <w:ind w:left="140"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payments in respect of the principal amount of any Loan shall be accompanied by payment of accrued interest on the principal amount being repaid or prepaid, together with any fees or premiums (including the Prepayment Premium) and all other amounts payable with respect to the principal amount being repaid or prepaid.</w:t>
      </w:r>
    </w:p>
    <w:p>
      <w:pPr>
        <w:pStyle w:val="TextBody"/>
        <w:bidi w:val="0"/>
        <w:spacing w:before="0" w:after="0"/>
        <w:ind w:left="140" w:right="172" w:firstLine="1440"/>
        <w:jc w:val="both"/>
        <w:rPr>
          <w:caps w:val="false"/>
          <w:smallCaps w:val="false"/>
        </w:rPr>
      </w:pPr>
      <w:r>
        <w:rPr>
          <w:caps w:val="false"/>
          <w:smallCaps w:val="false"/>
        </w:rPr>
        <w:t> </w:t>
      </w:r>
    </w:p>
    <w:p>
      <w:pPr>
        <w:pStyle w:val="TextBody"/>
        <w:bidi w:val="0"/>
        <w:spacing w:before="0" w:after="0"/>
        <w:ind w:left="140" w:right="15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Agent shall promptly distribute to each Lender at such account or address as such Lender shall indicate in writing, such Lender’s applicable Pro Rata Share of all payments and prepayments of principal and interest due hereunder, together with all other amounts due with respect thereto, including, without limitation, all fees payable with respect thereto, to the extent received by the Agent.</w:t>
      </w:r>
    </w:p>
    <w:p>
      <w:pPr>
        <w:pStyle w:val="TextBody"/>
        <w:bidi w:val="0"/>
        <w:spacing w:before="0" w:after="0"/>
        <w:ind w:left="140" w:right="156" w:firstLine="1440"/>
        <w:jc w:val="both"/>
        <w:rPr>
          <w:caps w:val="false"/>
          <w:smallCaps w:val="false"/>
        </w:rPr>
      </w:pPr>
      <w:r>
        <w:rPr>
          <w:caps w:val="false"/>
          <w:smallCaps w:val="false"/>
        </w:rPr>
        <w:t> </w:t>
      </w:r>
    </w:p>
    <w:p>
      <w:pPr>
        <w:pStyle w:val="TextBody"/>
        <w:bidi w:val="0"/>
        <w:spacing w:before="0" w:after="0"/>
        <w:ind w:left="139"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Whenever any payment to be made hereunder shall otherwise be due on a day which is not a Business Day, such payment shall be made on the next succeeding Business Day and such extension of time shall be included in computing interest, if any, in connection with such payment.</w:t>
      </w:r>
    </w:p>
    <w:p>
      <w:pPr>
        <w:pStyle w:val="TextBody"/>
        <w:bidi w:val="0"/>
        <w:spacing w:before="0" w:after="0"/>
        <w:ind w:left="139" w:right="170" w:firstLine="1440"/>
        <w:jc w:val="both"/>
        <w:rPr>
          <w:caps w:val="false"/>
          <w:smallCaps w:val="false"/>
        </w:rPr>
      </w:pPr>
      <w:r>
        <w:rPr>
          <w:caps w:val="false"/>
          <w:smallCaps w:val="false"/>
        </w:rPr>
        <w:t> </w:t>
      </w:r>
    </w:p>
    <w:p>
      <w:pPr>
        <w:pStyle w:val="TextBody"/>
        <w:bidi w:val="0"/>
        <w:spacing w:before="0" w:after="0"/>
        <w:ind w:left="139" w:right="12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w:t>
      </w:r>
      <w:r>
        <w:rPr>
          <w:rFonts w:ascii="Times New Roman;Times;Serif" w:hAnsi="Times New Roman;Times;Serif"/>
          <w:b w:val="false"/>
          <w:i w:val="false"/>
          <w:caps w:val="false"/>
          <w:smallCaps w:val="false"/>
          <w:sz w:val="20"/>
          <w:u w:val="single"/>
        </w:rPr>
        <w:t>Application of Payments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71"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any time an Application Event has occurred and is continuing, or the maturity of the Indebtedness shall have been accelerated pursuant to Section 8.2, all payments or proceeds received by the Agent hereunder or under any other Loan Document in respect of any of the Indebtedness, including, but not limited to all proceeds received by the Agent in respect of any sale, any collection from, or other realization upon all or any part of the Collateral, shall be applied in full or in part as follows:</w:t>
      </w:r>
    </w:p>
    <w:p>
      <w:pPr>
        <w:pStyle w:val="TextBody"/>
        <w:bidi w:val="0"/>
        <w:spacing w:before="0" w:after="0"/>
        <w:ind w:left="140" w:right="171" w:firstLine="1440"/>
        <w:jc w:val="both"/>
        <w:rPr>
          <w:caps w:val="false"/>
          <w:smallCaps w:val="false"/>
        </w:rPr>
      </w:pPr>
      <w:r>
        <w:rPr>
          <w:caps w:val="false"/>
          <w:smallCaps w:val="false"/>
        </w:rPr>
        <w:t> </w:t>
      </w:r>
    </w:p>
    <w:p>
      <w:pPr>
        <w:pStyle w:val="TextBody"/>
        <w:bidi w:val="0"/>
        <w:spacing w:before="0" w:after="0"/>
        <w:ind w:left="1580" w:right="12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ratably to pay the Indebtedness in respect of any fees (other than the Prepayment Premium), expense reimbursements, indemnities and other amounts then due and payable to the Agent until paid in full;</w:t>
      </w:r>
    </w:p>
    <w:p>
      <w:pPr>
        <w:pStyle w:val="TextBody"/>
        <w:bidi w:val="0"/>
        <w:spacing w:before="0" w:after="0"/>
        <w:ind w:left="1580" w:right="124" w:firstLine="720"/>
        <w:jc w:val="both"/>
        <w:rPr>
          <w:caps w:val="false"/>
          <w:smallCaps w:val="false"/>
        </w:rPr>
      </w:pPr>
      <w:r>
        <w:rPr>
          <w:caps w:val="false"/>
          <w:smallCaps w:val="false"/>
        </w:rPr>
        <w:t> </w:t>
      </w:r>
    </w:p>
    <w:p>
      <w:pPr>
        <w:pStyle w:val="TextBody"/>
        <w:bidi w:val="0"/>
        <w:spacing w:before="0" w:after="0"/>
        <w:ind w:left="1580" w:right="17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ratably to pay the Indebtedness in respect of any fees (other than the Prepayment Premium), expense reimbursements, and indemnities then due and payable to the Lenders until paid in full;</w:t>
      </w:r>
    </w:p>
    <w:p>
      <w:pPr>
        <w:pStyle w:val="TextBody"/>
        <w:bidi w:val="0"/>
        <w:spacing w:before="0" w:after="0"/>
        <w:ind w:left="1580" w:right="173" w:firstLine="720"/>
        <w:jc w:val="both"/>
        <w:rPr>
          <w:caps w:val="false"/>
          <w:smallCaps w:val="false"/>
        </w:rPr>
      </w:pPr>
      <w:r>
        <w:rPr>
          <w:caps w:val="false"/>
          <w:smallCaps w:val="false"/>
        </w:rPr>
        <w:t> </w:t>
      </w:r>
    </w:p>
    <w:p>
      <w:pPr>
        <w:pStyle w:val="TextBody"/>
        <w:bidi w:val="0"/>
        <w:spacing w:before="0" w:after="0"/>
        <w:ind w:left="23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ratably to pay interest then due and payable in respect of the Loans;</w:t>
      </w:r>
    </w:p>
    <w:p>
      <w:pPr>
        <w:pStyle w:val="TextBody"/>
        <w:bidi w:val="0"/>
        <w:spacing w:before="0" w:after="0"/>
        <w:ind w:left="2300" w:right="0" w:hanging="0"/>
        <w:jc w:val="left"/>
        <w:rPr>
          <w:caps w:val="false"/>
          <w:smallCaps w:val="false"/>
        </w:rPr>
      </w:pPr>
      <w:r>
        <w:rPr>
          <w:caps w:val="false"/>
          <w:smallCaps w:val="false"/>
        </w:rPr>
        <w:t> </w:t>
      </w:r>
    </w:p>
    <w:p>
      <w:pPr>
        <w:pStyle w:val="TextBody"/>
        <w:bidi w:val="0"/>
        <w:spacing w:before="0" w:after="0"/>
        <w:ind w:left="23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fourth</w:t>
      </w:r>
      <w:r>
        <w:rPr>
          <w:rFonts w:ascii="Times New Roman;Times;Serif" w:hAnsi="Times New Roman;Times;Serif"/>
          <w:b w:val="false"/>
          <w:i w:val="false"/>
          <w:caps w:val="false"/>
          <w:smallCaps w:val="false"/>
          <w:sz w:val="20"/>
        </w:rPr>
        <w:t>, ratably to pay principal of the Term Loan until paid in full;</w:t>
      </w:r>
    </w:p>
    <w:p>
      <w:pPr>
        <w:pStyle w:val="TextBody"/>
        <w:bidi w:val="0"/>
        <w:spacing w:before="0" w:after="0"/>
        <w:ind w:left="2300" w:right="0" w:hanging="0"/>
        <w:jc w:val="left"/>
        <w:rPr>
          <w:caps w:val="false"/>
          <w:smallCaps w:val="false"/>
        </w:rPr>
      </w:pPr>
      <w:r>
        <w:rPr>
          <w:caps w:val="false"/>
          <w:smallCaps w:val="false"/>
        </w:rPr>
        <w:t> </w:t>
      </w:r>
    </w:p>
    <w:p>
      <w:pPr>
        <w:pStyle w:val="TextBody"/>
        <w:bidi w:val="0"/>
        <w:spacing w:before="0" w:after="0"/>
        <w:ind w:left="1580" w:right="16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fifth</w:t>
      </w:r>
      <w:r>
        <w:rPr>
          <w:rFonts w:ascii="Times New Roman;Times;Serif" w:hAnsi="Times New Roman;Times;Serif"/>
          <w:b w:val="false"/>
          <w:i w:val="false"/>
          <w:caps w:val="false"/>
          <w:smallCaps w:val="false"/>
          <w:sz w:val="20"/>
        </w:rPr>
        <w:t>, ratably to pay the Indebtedness in respect of the Prepayment Premium then due and payable to the Lenders until paid in full;</w:t>
      </w:r>
    </w:p>
    <w:p>
      <w:pPr>
        <w:pStyle w:val="TextBody"/>
        <w:bidi w:val="0"/>
        <w:spacing w:before="0" w:after="0"/>
        <w:ind w:left="1580" w:right="164" w:firstLine="720"/>
        <w:jc w:val="both"/>
        <w:rPr>
          <w:caps w:val="false"/>
          <w:smallCaps w:val="false"/>
        </w:rPr>
      </w:pPr>
      <w:r>
        <w:rPr>
          <w:caps w:val="false"/>
          <w:smallCaps w:val="false"/>
        </w:rPr>
        <w:t> </w:t>
      </w:r>
    </w:p>
    <w:p>
      <w:pPr>
        <w:pStyle w:val="TextBody"/>
        <w:bidi w:val="0"/>
        <w:spacing w:before="0" w:after="0"/>
        <w:ind w:left="1580" w:right="17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sixth</w:t>
      </w:r>
      <w:r>
        <w:rPr>
          <w:rFonts w:ascii="Times New Roman;Times;Serif" w:hAnsi="Times New Roman;Times;Serif"/>
          <w:b w:val="false"/>
          <w:i w:val="false"/>
          <w:caps w:val="false"/>
          <w:smallCaps w:val="false"/>
          <w:sz w:val="20"/>
        </w:rPr>
        <w:t>, to the ratable payment of all other Indebtedness then due and payable until paid in full; and</w:t>
      </w:r>
    </w:p>
    <w:p>
      <w:pPr>
        <w:pStyle w:val="TextBody"/>
        <w:bidi w:val="0"/>
        <w:spacing w:before="0" w:after="0"/>
        <w:ind w:left="1580" w:right="173" w:firstLine="720"/>
        <w:jc w:val="both"/>
        <w:rPr>
          <w:caps w:val="false"/>
          <w:smallCaps w:val="false"/>
        </w:rPr>
      </w:pPr>
      <w:r>
        <w:rPr>
          <w:caps w:val="false"/>
          <w:smallCaps w:val="false"/>
        </w:rPr>
        <w:t> </w:t>
      </w:r>
    </w:p>
    <w:p>
      <w:pPr>
        <w:pStyle w:val="TextBody"/>
        <w:bidi w:val="0"/>
        <w:spacing w:before="0" w:after="0"/>
        <w:ind w:left="1580" w:right="1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seventh</w:t>
      </w:r>
      <w:r>
        <w:rPr>
          <w:rFonts w:ascii="Times New Roman;Times;Serif" w:hAnsi="Times New Roman;Times;Serif"/>
          <w:b w:val="false"/>
          <w:i w:val="false"/>
          <w:caps w:val="false"/>
          <w:smallCaps w:val="false"/>
          <w:sz w:val="20"/>
        </w:rPr>
        <w:t>, all remaining amounts to the Borrower or such other Person entitled thereto under applicable law.</w:t>
      </w:r>
    </w:p>
    <w:p>
      <w:pPr>
        <w:pStyle w:val="TextBody"/>
        <w:bidi w:val="0"/>
        <w:spacing w:before="0" w:after="0"/>
        <w:ind w:left="1580" w:right="172" w:firstLine="720"/>
        <w:jc w:val="both"/>
        <w:rPr>
          <w:caps w:val="false"/>
          <w:smallCaps w:val="false"/>
        </w:rPr>
      </w:pPr>
      <w:r>
        <w:rPr>
          <w:caps w:val="false"/>
          <w:smallCaps w:val="false"/>
        </w:rPr>
        <w:t> </w:t>
      </w:r>
    </w:p>
    <w:p>
      <w:pPr>
        <w:pStyle w:val="TextBody"/>
        <w:bidi w:val="0"/>
        <w:spacing w:before="0" w:after="0"/>
        <w:ind w:left="140" w:right="1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of Section 9.2, “paid in full” means payment in cash of all amounts owing under the Loan Documents according to the terms thereof, including loan fees, service fees, professional fees, interest (and specifically including interest accrued after the commencement of any Insolvency Proceeding), default interest, interest on interest, and expense reimbursements, whether or not the same would be or is allowed or disallowed in whole or in part in any Insolvency Proceeding.</w:t>
      </w:r>
    </w:p>
    <w:p>
      <w:pPr>
        <w:pStyle w:val="TextBody"/>
        <w:bidi w:val="0"/>
        <w:spacing w:before="0" w:after="0"/>
        <w:ind w:left="140" w:right="140" w:firstLine="1440"/>
        <w:jc w:val="both"/>
        <w:rPr>
          <w:caps w:val="false"/>
          <w:smallCaps w:val="false"/>
        </w:rPr>
      </w:pPr>
      <w:r>
        <w:rPr>
          <w:caps w:val="false"/>
          <w:smallCaps w:val="false"/>
        </w:rPr>
        <w:t> </w:t>
      </w:r>
    </w:p>
    <w:p>
      <w:pPr>
        <w:pStyle w:val="TextBody"/>
        <w:bidi w:val="0"/>
        <w:spacing w:before="0" w:after="0"/>
        <w:ind w:left="139" w:right="1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direct conflict between the priority provisions of Section 9.2 and other provisions contained in any other Loan Document, it is the intention of the parties hereto that both such priority provisions in such documents shall be read together and construed, to the fullest extent possible, to be in concert with each other.  In the event of any actual, irreconcilable conflict that cannot be  resolved as aforesaid, the terms and provisions of Section 9.2 shall control and govern.</w:t>
      </w:r>
    </w:p>
    <w:p>
      <w:pPr>
        <w:pStyle w:val="TextBody"/>
        <w:bidi w:val="0"/>
        <w:spacing w:before="0" w:after="0"/>
        <w:ind w:left="139" w:right="172" w:firstLine="720"/>
        <w:jc w:val="both"/>
        <w:rPr>
          <w:caps w:val="false"/>
          <w:smallCaps w:val="false"/>
        </w:rPr>
      </w:pPr>
      <w:r>
        <w:rPr>
          <w:caps w:val="false"/>
          <w:smallCaps w:val="false"/>
        </w:rPr>
        <w:t> </w:t>
      </w:r>
    </w:p>
    <w:p>
      <w:pPr>
        <w:pStyle w:val="TextBody"/>
        <w:bidi w:val="0"/>
        <w:spacing w:before="0" w:after="0"/>
        <w:ind w:left="139" w:right="169"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9.3    </w:t>
      </w:r>
      <w:r>
        <w:rPr>
          <w:rFonts w:ascii="Times New Roman;Times;Serif" w:hAnsi="Times New Roman;Times;Serif"/>
          <w:b w:val="false"/>
          <w:i w:val="false"/>
          <w:caps w:val="false"/>
          <w:smallCaps w:val="false"/>
          <w:sz w:val="20"/>
          <w:u w:val="single"/>
        </w:rPr>
        <w:t>Ratable Sharing</w:t>
      </w:r>
      <w:r>
        <w:rPr>
          <w:rFonts w:ascii="Times New Roman;Times;Serif" w:hAnsi="Times New Roman;Times;Serif"/>
          <w:b w:val="false"/>
          <w:i w:val="false"/>
          <w:caps w:val="false"/>
          <w:smallCaps w:val="false"/>
          <w:sz w:val="20"/>
        </w:rPr>
        <w:t>. Lenders hereby agree among themselves that if any of them shall, whether by voluntary payment (other than a voluntary prepayment of Loans made and applied in accordance with the terms hereof), through the exercise of any right of set off or banker’s lien, by counterclaim or cross action or by the enforcement of any right under the Loan Documents or otherwise, or as adequate protection of a deposit treated as cash collateral under the Bankruptcy Code, receive payment in respect of fees and other amounts then due and owing to such Lender hereunder or under the other Loan Documents (collectively, the “</w:t>
      </w:r>
      <w:r>
        <w:rPr>
          <w:rFonts w:ascii="Times New Roman;Times;Serif" w:hAnsi="Times New Roman;Times;Serif"/>
          <w:b/>
          <w:i w:val="false"/>
          <w:caps w:val="false"/>
          <w:smallCaps w:val="false"/>
          <w:sz w:val="20"/>
        </w:rPr>
        <w:t>Aggregate Amounts Due</w:t>
      </w:r>
      <w:r>
        <w:rPr>
          <w:rFonts w:ascii="Times New Roman;Times;Serif" w:hAnsi="Times New Roman;Times;Serif"/>
          <w:b w:val="false"/>
          <w:i w:val="false"/>
          <w:caps w:val="false"/>
          <w:smallCaps w:val="false"/>
          <w:sz w:val="20"/>
        </w:rPr>
        <w:t>” to such Lender) which is greater than the proportion received by any other Lender in respect of the Aggregate Amounts Due to such other Lender having Loans of the same Class, then the Lender receiving such proportionately greater payment shall (a) notify the Agent and each other Lender in writing of the receipt of such payment and (b) apply a portion of such payment to purchase participations (which it shall be deemed to have purchased from</w:t>
      </w:r>
    </w:p>
    <w:p>
      <w:pPr>
        <w:pStyle w:val="TextBody"/>
        <w:bidi w:val="0"/>
        <w:spacing w:before="0" w:after="0"/>
        <w:ind w:left="139" w:right="169"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3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seller of a participation simultaneously upon the receipt by such seller of its portion of such payment) in the Aggregate Amounts Due to the other Lenders so that all such recoveries of Aggregate Amounts Due shall be shared by all Lenders having Loans of the same Class in proportion to the Aggregate Amounts Due to them;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if all or part of such proportionately greater payment received by such purchasing Lender is thereafter recovered from such Lender upon the bankruptcy or reorganization of the Borrower or otherwise, those purchases shall be rescinded and the purchase prices paid for such participations shall be returned to such purchasing Lender ratably to the extent of such recovery, but without interest. The Borrower expressly consents to the foregoing arrangement and agrees that any holder of a participation so purchased may exercise any and all rights of banker’s lien, set off or counterclaim with respect to any and all monies owing by the Borrower to that holder with respect  thereto as fully as if that holder were owed the amount of the participation held by that holder.</w:t>
      </w:r>
    </w:p>
    <w:p>
      <w:pPr>
        <w:pStyle w:val="TextBody"/>
        <w:bidi w:val="0"/>
        <w:spacing w:before="0" w:after="0"/>
        <w:ind w:left="140" w:right="130" w:hanging="0"/>
        <w:jc w:val="both"/>
        <w:rPr>
          <w:caps w:val="false"/>
          <w:smallCaps w:val="false"/>
        </w:rPr>
      </w:pPr>
      <w:r>
        <w:rPr>
          <w:caps w:val="false"/>
          <w:smallCaps w:val="false"/>
        </w:rPr>
        <w:t> </w:t>
      </w:r>
    </w:p>
    <w:p>
      <w:pPr>
        <w:pStyle w:val="TextBody"/>
        <w:bidi w:val="0"/>
        <w:spacing w:before="0" w:after="0"/>
        <w:ind w:left="139" w:right="169"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w:t>
      </w:r>
      <w:r>
        <w:rPr>
          <w:rFonts w:ascii="Times New Roman;Times;Serif" w:hAnsi="Times New Roman;Times;Serif"/>
          <w:b w:val="false"/>
          <w:i w:val="false"/>
          <w:caps w:val="false"/>
          <w:smallCaps w:val="false"/>
          <w:sz w:val="20"/>
          <w:u w:val="single"/>
        </w:rPr>
        <w:t>Treatment of a Defaulting Lender</w:t>
      </w:r>
      <w:r>
        <w:rPr>
          <w:rFonts w:ascii="Times New Roman;Times;Serif" w:hAnsi="Times New Roman;Times;Serif"/>
          <w:b w:val="false"/>
          <w:i w:val="false"/>
          <w:caps w:val="false"/>
          <w:smallCaps w:val="false"/>
          <w:sz w:val="2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obligation of any Lender to make any Loan hereunder shall not be affected by the failure of any other Lender to make any Loan under this Agreement, and no Lender shall have any liability to the Borrower or any of its Subsidiaries, the Agent, any other Lender, or any other Person for another Lender’s failure to make any loan or Loan hereunder.</w:t>
      </w:r>
    </w:p>
    <w:p>
      <w:pPr>
        <w:pStyle w:val="TextBody"/>
        <w:bidi w:val="0"/>
        <w:spacing w:before="0" w:after="0"/>
        <w:ind w:left="140" w:right="170" w:firstLine="1440"/>
        <w:jc w:val="both"/>
        <w:rPr>
          <w:caps w:val="false"/>
          <w:smallCaps w:val="false"/>
        </w:rPr>
      </w:pPr>
      <w:r>
        <w:rPr>
          <w:caps w:val="false"/>
          <w:smallCaps w:val="false"/>
        </w:rPr>
        <w:t> </w:t>
      </w:r>
    </w:p>
    <w:p>
      <w:pPr>
        <w:pStyle w:val="TextBody"/>
        <w:bidi w:val="0"/>
        <w:spacing w:before="0" w:after="0"/>
        <w:ind w:left="140" w:right="1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Lender shall become a Defaulting Lender, then such Defaulting Lender’s right to vote in respect of any amendment, consent or waiver of the terms of this Agreement or such other Loan Documents, or to direct or approve any action or inaction by the Agent shall be subject to the restrictions set forth in Section 12.9.</w:t>
      </w:r>
    </w:p>
    <w:p>
      <w:pPr>
        <w:pStyle w:val="TextBody"/>
        <w:bidi w:val="0"/>
        <w:spacing w:before="0" w:after="0"/>
        <w:ind w:left="140" w:right="140" w:firstLine="1440"/>
        <w:jc w:val="both"/>
        <w:rPr>
          <w:caps w:val="false"/>
          <w:smallCaps w:val="false"/>
        </w:rPr>
      </w:pPr>
      <w:r>
        <w:rPr>
          <w:caps w:val="false"/>
          <w:smallCaps w:val="false"/>
        </w:rPr>
        <w:t> </w:t>
      </w:r>
    </w:p>
    <w:p>
      <w:pPr>
        <w:pStyle w:val="TextBody"/>
        <w:bidi w:val="0"/>
        <w:spacing w:before="0" w:after="0"/>
        <w:ind w:left="139" w:right="129"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payment of principal, interest, fees or other amounts received by the Agent for the account of such Defaulting Lender (whether voluntary or mandatory, at maturity, pursuant to Article 9 or otherwise) or received by the Agent from a Defaulting Lender pursuant to Section 8.6 shall be applied at such time or times as may be determined by the Agent as follows: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to the payment of any amounts owing by such Defaulting Lender to the Agent hereunder;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xml:space="preserve">, as the Borrower may request (so long as no Default or Event of Default exists), to the funding of any Loan in respect of which such Defaulting Lender has failed to fund its portion thereof as required by this Agreement, as  determined by the Agent; </w:t>
      </w: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xml:space="preserve">, if so determined by the Agent and the Borrower, to be held in a deposit account and released pro rata in order to satisfy such Defaulting Lender’s potential future funding obligations with respect to Loans under this Agreement; </w:t>
      </w:r>
      <w:r>
        <w:rPr>
          <w:rFonts w:ascii="Times New Roman;Times;Serif" w:hAnsi="Times New Roman;Times;Serif"/>
          <w:b w:val="false"/>
          <w:i/>
          <w:caps w:val="false"/>
          <w:smallCaps w:val="false"/>
          <w:sz w:val="20"/>
        </w:rPr>
        <w:t>fourth</w:t>
      </w:r>
      <w:r>
        <w:rPr>
          <w:rFonts w:ascii="Times New Roman;Times;Serif" w:hAnsi="Times New Roman;Times;Serif"/>
          <w:b w:val="false"/>
          <w:i w:val="false"/>
          <w:caps w:val="false"/>
          <w:smallCaps w:val="false"/>
          <w:sz w:val="20"/>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Times;Serif" w:hAnsi="Times New Roman;Times;Serif"/>
          <w:b w:val="false"/>
          <w:i/>
          <w:caps w:val="false"/>
          <w:smallCaps w:val="false"/>
          <w:sz w:val="20"/>
        </w:rPr>
        <w:t>fifth</w:t>
      </w:r>
      <w:r>
        <w:rPr>
          <w:rFonts w:ascii="Times New Roman;Times;Serif" w:hAnsi="Times New Roman;Times;Serif"/>
          <w:b w:val="false"/>
          <w:i w:val="false"/>
          <w:caps w:val="false"/>
          <w:smallCaps w:val="false"/>
          <w:sz w:val="20"/>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Times;Serif" w:hAnsi="Times New Roman;Times;Serif"/>
          <w:b w:val="false"/>
          <w:i/>
          <w:caps w:val="false"/>
          <w:smallCaps w:val="false"/>
          <w:sz w:val="20"/>
        </w:rPr>
        <w:t>sixth</w:t>
      </w:r>
      <w:r>
        <w:rPr>
          <w:rFonts w:ascii="Times New Roman;Times;Serif" w:hAnsi="Times New Roman;Times;Serif"/>
          <w:b w:val="false"/>
          <w:i w:val="false"/>
          <w:caps w:val="false"/>
          <w:smallCaps w:val="false"/>
          <w:sz w:val="20"/>
        </w:rPr>
        <w:t xml:space="preserve">, to such Defaulting Lender or as otherwise directed by a court of competent jurisdiction;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(x) such payment is a payment of the principal amount of any Loans in respect of which such Defaulting Lender has not fully funded its appropriate share, and (y) such Loans were made at a time when the conditions set forth in Section 4.2 were satisfied or waived, such payment shall be applied solely to pay the Loans of all Non-Defaulting Lenders in accordance with their Pro Rata Shares prior to being applied to the payment of any Loans of such Defaulting Lender until such time as all Loans are held by the Lenders pro rata in accordance with their respective Pro Rata Shares.</w:t>
      </w:r>
    </w:p>
    <w:p>
      <w:pPr>
        <w:pStyle w:val="TextBody"/>
        <w:bidi w:val="0"/>
        <w:spacing w:before="0" w:after="0"/>
        <w:ind w:left="139" w:right="129" w:firstLine="14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65"/>
        <w:gridCol w:w="9797"/>
      </w:tblGrid>
      <w:tr>
        <w:trPr/>
        <w:tc>
          <w:tcPr>
            <w:tcW w:w="4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10.</w:t>
            </w:r>
          </w:p>
        </w:tc>
        <w:tc>
          <w:tcPr>
            <w:tcW w:w="9797" w:type="dxa"/>
            <w:tcBorders/>
            <w:vAlign w:val="center"/>
          </w:tcPr>
          <w:p>
            <w:pPr>
              <w:pStyle w:val="TableContents"/>
              <w:bidi w:val="0"/>
              <w:spacing w:before="0" w:after="283"/>
              <w:jc w:val="left"/>
              <w:rPr/>
            </w:pPr>
            <w:r>
              <w:rPr/>
              <w:t>YIELD PROTECTION; INCREASED COSTS; MARGIN ADJUSTMENTS; TAXES.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72"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w:t>
      </w:r>
      <w:r>
        <w:rPr>
          <w:rFonts w:ascii="Times New Roman;Times;Serif" w:hAnsi="Times New Roman;Times;Serif"/>
          <w:b w:val="false"/>
          <w:i w:val="false"/>
          <w:caps w:val="false"/>
          <w:smallCaps w:val="false"/>
          <w:sz w:val="20"/>
          <w:u w:val="single"/>
        </w:rPr>
        <w:t>Capital Adequacy and Other Increased Costs</w:t>
      </w:r>
      <w:r>
        <w:rPr>
          <w:rFonts w:ascii="Times New Roman;Times;Serif" w:hAnsi="Times New Roman;Times;Serif"/>
          <w:b w:val="false"/>
          <w:i w:val="false"/>
          <w:caps w:val="false"/>
          <w:smallCaps w:val="false"/>
          <w:sz w:val="20"/>
        </w:rPr>
        <w:t>. If any Change in Law affects or would affect the capital or liquidity requirements of a Lender or the Agent (or any corporation controlling such</w:t>
      </w:r>
    </w:p>
    <w:p>
      <w:pPr>
        <w:pStyle w:val="TextBody"/>
        <w:bidi w:val="0"/>
        <w:spacing w:before="0" w:after="0"/>
        <w:ind w:left="140" w:right="172"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2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or the Agent) (including as a result of the imposition of Taxes other than Indemnified Taxes, Taxes described in clauses (b) through (d) of the definition of Excluded Taxes or Other Connection Taxes) and such Lender or the Agent, as the case may be, determines that the amount of required capital is increased by, or based upon the existence of such Lender’s or the Agent’s obligations or Loans hereunder, the effect of such Change in Law is to result in such an increase, and such increase has the effect of reducing the rate of return on such Lender’s or the Agent’s (or such controlling corporation’s) capital as a consequence of such obligations or Loans hereunder to a level below that which such Lender or the Agent (or such controlling corporation) could have achieved but for such circumstances (taking into consideration its policies with respect to capital adequacy or liquidity) by an amount deemed by such Lender or the Agent to be material, then the Agent or such Lender shall notify the Borrower, and thereafter the Borrower shall pay to such Lender or the Agent, as the case may be, within ten (10) Business Days of written demand therefor from such Lender or the Agent, additional amounts sufficient to compensate such Lender or the Agent (or such controlling corporation) for any such reduction which such Lender or the Agent determines to be allocable to the existence of such Lender’s or the Agent’s obligations or Loans hereunder. A statement setting forth the amount of such compensation, the methodology for the calculation and the calculation thereof which shall  also be prepared in good faith and in reasonable detail by such Lender or the Agent, as the case may be, shall be submitted by such Lender or by the Agent to the Borrower, reasonably promptly after becoming aware of any event described in this Section 10.1 and shall be conclusively presumed to be correct, absent manifest error.</w:t>
      </w:r>
    </w:p>
    <w:p>
      <w:pPr>
        <w:pStyle w:val="TextBody"/>
        <w:bidi w:val="0"/>
        <w:spacing w:before="0" w:after="0"/>
        <w:ind w:left="140" w:right="123" w:hanging="0"/>
        <w:jc w:val="both"/>
        <w:rPr>
          <w:caps w:val="false"/>
          <w:smallCaps w:val="false"/>
        </w:rPr>
      </w:pPr>
      <w:r>
        <w:rPr>
          <w:caps w:val="false"/>
          <w:smallCaps w:val="false"/>
        </w:rPr>
        <w:t> </w:t>
      </w:r>
    </w:p>
    <w:p>
      <w:pPr>
        <w:pStyle w:val="TextBody"/>
        <w:bidi w:val="0"/>
        <w:spacing w:before="0" w:after="0"/>
        <w:ind w:left="140" w:right="17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10.2    </w:t>
      </w:r>
      <w:r>
        <w:rPr>
          <w:rFonts w:ascii="Times New Roman;Times;Serif" w:hAnsi="Times New Roman;Times;Serif"/>
          <w:b w:val="false"/>
          <w:i w:val="false"/>
          <w:caps w:val="false"/>
          <w:smallCaps w:val="false"/>
          <w:sz w:val="20"/>
          <w:u w:val="single"/>
        </w:rPr>
        <w:t>Right of Lenders to Fund through Branches and Affiliates</w:t>
      </w:r>
      <w:r>
        <w:rPr>
          <w:rFonts w:ascii="Times New Roman;Times;Serif" w:hAnsi="Times New Roman;Times;Serif"/>
          <w:b w:val="false"/>
          <w:i w:val="false"/>
          <w:caps w:val="false"/>
          <w:smallCaps w:val="false"/>
          <w:sz w:val="20"/>
        </w:rPr>
        <w:t xml:space="preserve">. Each Lender may, if it so elects, fulfill its commitment as to any Loan hereunder by designating a branch or Affiliate of such Lender to make such Loan;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such Lender shall remain solely responsible for the performances of its obligations hereunder and (b) no such designation shall result in any material increased costs to the Borrower or the Agent.</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40" w:right="17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10.3    </w:t>
      </w:r>
      <w:r>
        <w:rPr>
          <w:rFonts w:ascii="Times New Roman;Times;Serif" w:hAnsi="Times New Roman;Times;Serif"/>
          <w:b w:val="false"/>
          <w:i w:val="false"/>
          <w:caps w:val="false"/>
          <w:smallCaps w:val="false"/>
          <w:sz w:val="20"/>
          <w:u w:val="single"/>
        </w:rPr>
        <w:t>Delay in Requests</w:t>
      </w:r>
      <w:r>
        <w:rPr>
          <w:rFonts w:ascii="Times New Roman;Times;Serif" w:hAnsi="Times New Roman;Times;Serif"/>
          <w:b w:val="false"/>
          <w:i w:val="false"/>
          <w:caps w:val="false"/>
          <w:smallCaps w:val="false"/>
          <w:sz w:val="20"/>
        </w:rPr>
        <w:t>. Failure or delay on the part of any Lender to demand compensation pursuant to the foregoing provisions of this Section 10.3 shall not constitute a waiver of such Lender’s right to demand such compensation, provided that the Borrower shall not be required to compensate a Lender pursuant to Section 10.1, for any increased costs incurred or reductions suffered more than 180 days prior to the date that such Lender notifies the Borrower of the Change in Law (provided that this provision will not apply to any Change in Law of the type referred to in clauses (x), (y) or (z) of the definition thereof) giving rise to such increased costs or reductions and of such Lender’s intention to claim compensation therefor (except that, if the Change in Law giving rise to such increased costs or reductions is retroactive, then the 180 day period referred to above shall be extended to include the period of retroactive effect thereof).</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40" w:right="17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24"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and all payments by or on account of any obligation of any Credit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Credit Party shall be increased as necessary so that after such deduction or withholding has been made (including such deductions and withholdings applicable to additional sums payable under this Section 10.4) the applicable Recipient receives an amount equal to the sum it would have received had no such deduction or withholding been made.</w:t>
      </w:r>
    </w:p>
    <w:p>
      <w:pPr>
        <w:pStyle w:val="TextBody"/>
        <w:bidi w:val="0"/>
        <w:spacing w:before="0" w:after="0"/>
        <w:ind w:left="140" w:right="124"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9"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duplication of Section 10.4(a), the Credit Parties shall timely pay to the relevant Governmental Authority in accordance with applicable law, or at the option of the Agent, timely reimburse it for the payment of, any Other Taxes.</w:t>
      </w:r>
    </w:p>
    <w:p>
      <w:pPr>
        <w:pStyle w:val="TextBody"/>
        <w:bidi w:val="0"/>
        <w:spacing w:before="0" w:after="0"/>
        <w:ind w:left="139" w:right="170" w:firstLine="1440"/>
        <w:jc w:val="both"/>
        <w:rPr>
          <w:caps w:val="false"/>
          <w:smallCaps w:val="false"/>
        </w:rPr>
      </w:pPr>
      <w:r>
        <w:rPr>
          <w:caps w:val="false"/>
          <w:smallCaps w:val="false"/>
        </w:rPr>
        <w:t> </w:t>
      </w:r>
    </w:p>
    <w:p>
      <w:pPr>
        <w:pStyle w:val="TextBody"/>
        <w:bidi w:val="0"/>
        <w:spacing w:before="0" w:after="0"/>
        <w:ind w:left="140" w:right="141"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soon as practicable after any payment of Taxes by any Credit Party to a Governmental Authority pursuant to this Section 10.4, such Credit Party shall deliver to the Agent the original or a certified copy of a receipt issued by such Governmental Authority evidencing such payment, a copy of the return reporting such payment or other evidence of such payment reasonably satisfactory to the Agent.</w:t>
      </w:r>
    </w:p>
    <w:p>
      <w:pPr>
        <w:pStyle w:val="TextBody"/>
        <w:bidi w:val="0"/>
        <w:spacing w:before="0" w:after="0"/>
        <w:ind w:left="140" w:right="141" w:firstLine="1440"/>
        <w:jc w:val="both"/>
        <w:rPr>
          <w:caps w:val="false"/>
          <w:smallCaps w:val="false"/>
        </w:rPr>
      </w:pPr>
      <w:r>
        <w:rPr>
          <w:caps w:val="false"/>
          <w:smallCaps w:val="false"/>
        </w:rPr>
        <w:t> </w:t>
      </w:r>
    </w:p>
    <w:p>
      <w:pPr>
        <w:pStyle w:val="TextBody"/>
        <w:bidi w:val="0"/>
        <w:spacing w:before="0" w:after="0"/>
        <w:ind w:left="139" w:right="15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any party determines, in its sole discretion exercised in good faith, that it has received a refund of any Taxes as to which it has been indemnified pursuant to this Section 10.4, (including by payment of additional amounts pursuant to this Section 10.4), it shall pay to the indemnifying party an amount equal to such refund (but only to the extent of additional amounts or indemnification paid under this Section 10.4 with respect to the Taxes giving rise to such refund), net of all reasonable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(d) (plus any penalties, interest or other charges imposed by the relevant Governmental Authority) in the event that such indemnified party is required to repay such refund to such Governmental Authority. Notwithstanding anything to the contrary in this paragraph (d), in no event will the indemnified party be required to pay any amount to an indemnifying party pursuant to this paragraph (d)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0"/>
        <w:ind w:left="139" w:right="153" w:firstLine="1440"/>
        <w:jc w:val="both"/>
        <w:rPr>
          <w:caps w:val="false"/>
          <w:smallCaps w:val="false"/>
        </w:rPr>
      </w:pPr>
      <w:r>
        <w:rPr>
          <w:caps w:val="false"/>
          <w:smallCaps w:val="false"/>
        </w:rPr>
        <w:t> </w:t>
      </w:r>
    </w:p>
    <w:p>
      <w:pPr>
        <w:pStyle w:val="TextBody"/>
        <w:bidi w:val="0"/>
        <w:spacing w:before="0" w:after="0"/>
        <w:ind w:left="139" w:right="13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shall indemnify each Recipient, within ten (10) days after demand therefor, for the full amount of any Indemnified Taxes (including Indemnified Taxes imposed or asserted on or attributable to amounts payable under this Section 10.4) payable or paid by such Person or required to be withheld or deducted from a payment to such Person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Agent) or by the Agent on its own behalf or on behalf of a Lender, shall be conclusive absent manifest error.</w:t>
      </w:r>
    </w:p>
    <w:p>
      <w:pPr>
        <w:pStyle w:val="TextBody"/>
        <w:bidi w:val="0"/>
        <w:spacing w:before="0" w:after="0"/>
        <w:ind w:left="139" w:right="130" w:firstLine="1440"/>
        <w:jc w:val="both"/>
        <w:rPr>
          <w:caps w:val="false"/>
          <w:smallCaps w:val="false"/>
        </w:rPr>
      </w:pPr>
      <w:r>
        <w:rPr>
          <w:caps w:val="false"/>
          <w:smallCaps w:val="false"/>
        </w:rPr>
        <w:t> </w:t>
      </w:r>
    </w:p>
    <w:p>
      <w:pPr>
        <w:pStyle w:val="TextBody"/>
        <w:bidi w:val="0"/>
        <w:spacing w:before="0" w:after="0"/>
        <w:ind w:left="139"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Lender shall severally indemnify the Agent, within ten (10) days after demand therefor, for (i) any Indemnified Taxes attributable to such Lender (but only to the extent the Borrower has not already indemnified the Agent for such Indemnified Taxes and without limiting the obligation of the Borrower to do so), (ii) any Taxes attributable to such Lender’s failure to comply with the provisions of Section 12.7 hereof relating to the maintenance of a Participant Register and (iii) any Excluded Taxes attributable to such Lender (or assignee or participant, if applicable), in each case, that are payable or paid by the Agent or Borrower, as and if applicable,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accompanied by reasonable supporting documentation, shall be conclusive absent manifest error. Each Lender hereby authorizes the Agent to set off and apply any and all amounts at any time owing to such</w:t>
      </w:r>
    </w:p>
    <w:p>
      <w:pPr>
        <w:pStyle w:val="TextBody"/>
        <w:bidi w:val="0"/>
        <w:spacing w:before="0" w:after="0"/>
        <w:ind w:left="139" w:right="17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21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under any Loan Document or otherwise payable by the Agent to the Lender from any other source against any amount due to the Agent under this paragraph (f).</w:t>
      </w:r>
    </w:p>
    <w:p>
      <w:pPr>
        <w:pStyle w:val="TextBody"/>
        <w:bidi w:val="0"/>
        <w:spacing w:before="0" w:after="0"/>
        <w:ind w:left="140" w:right="212" w:hanging="0"/>
        <w:jc w:val="left"/>
        <w:rPr>
          <w:caps w:val="false"/>
          <w:smallCaps w:val="false"/>
        </w:rPr>
      </w:pPr>
      <w:r>
        <w:rPr>
          <w:caps w:val="false"/>
          <w:smallCaps w:val="false"/>
        </w:rPr>
        <w:t> </w:t>
      </w:r>
    </w:p>
    <w:p>
      <w:pPr>
        <w:pStyle w:val="TextBody"/>
        <w:bidi w:val="0"/>
        <w:spacing w:before="0" w:after="0"/>
        <w:ind w:left="140"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For purposes of this Section 10.4, the term “applicable law” includes FATCA.</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party’s obligations under this Section 10.4 shall survive the resignation or replacement of the Agent or any assignment of rights by, or the replacement of a Lender, the termination of Commitments and the repayment, satisfaction or discharge of all obligations under any Loan Document.</w:t>
      </w:r>
    </w:p>
    <w:p>
      <w:pPr>
        <w:pStyle w:val="TextBody"/>
        <w:bidi w:val="0"/>
        <w:spacing w:before="0" w:after="0"/>
        <w:ind w:left="140" w:right="172" w:firstLine="14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9"/>
        <w:gridCol w:w="2526"/>
        <w:gridCol w:w="7380"/>
      </w:tblGrid>
      <w:tr>
        <w:trPr/>
        <w:tc>
          <w:tcPr>
            <w:tcW w:w="299"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pPr>
            <w:r>
              <w:rPr/>
              <w:t>11.</w:t>
            </w:r>
          </w:p>
        </w:tc>
        <w:tc>
          <w:tcPr>
            <w:tcW w:w="7380" w:type="dxa"/>
            <w:tcBorders/>
            <w:vAlign w:val="center"/>
          </w:tcPr>
          <w:p>
            <w:pPr>
              <w:pStyle w:val="TableContents"/>
              <w:bidi w:val="0"/>
              <w:spacing w:before="0" w:after="283"/>
              <w:jc w:val="both"/>
              <w:rPr/>
            </w:pPr>
            <w:r>
              <w:rPr/>
              <w:t>AGENT.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39" w:right="1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11.1    </w:t>
      </w:r>
      <w:r>
        <w:rPr>
          <w:rFonts w:ascii="Times New Roman;Times;Serif" w:hAnsi="Times New Roman;Times;Serif"/>
          <w:b w:val="false"/>
          <w:i w:val="false"/>
          <w:caps w:val="false"/>
          <w:smallCaps w:val="false"/>
          <w:sz w:val="20"/>
          <w:u w:val="single"/>
        </w:rPr>
        <w:t>Appointment of the Agent</w:t>
      </w:r>
      <w:r>
        <w:rPr>
          <w:rFonts w:ascii="Times New Roman;Times;Serif" w:hAnsi="Times New Roman;Times;Serif"/>
          <w:b w:val="false"/>
          <w:i w:val="false"/>
          <w:caps w:val="false"/>
          <w:smallCaps w:val="false"/>
          <w:sz w:val="20"/>
        </w:rPr>
        <w:t>. Each Lender and the holder of each Note (if issued) irrevocably appoints and authorizes the Agent to act on behalf of such Lender or holder under this Agreement and the other Loan Documents and to exercise such powers hereunder and thereunder as are specifically delegated to the Agent by the terms hereof and thereof, together with such powers as may be reasonably incidental thereto, including without limitation the power to execute or authorize the execution of financing or similar statements or notices, and other documents. In performing its functions and duties under this Agreement, the Agent shall act solely as a non-fiduciary agent of the Lenders and does not assume and shall not be deemed to have assumed any obligation towards or relationship of agency or trust with or for any Credit Party.</w:t>
      </w:r>
    </w:p>
    <w:p>
      <w:pPr>
        <w:pStyle w:val="TextBody"/>
        <w:bidi w:val="0"/>
        <w:spacing w:before="0" w:after="0"/>
        <w:ind w:left="139" w:right="172" w:firstLine="720"/>
        <w:jc w:val="both"/>
        <w:rPr>
          <w:caps w:val="false"/>
          <w:smallCaps w:val="false"/>
        </w:rPr>
      </w:pPr>
      <w:r>
        <w:rPr>
          <w:caps w:val="false"/>
          <w:smallCaps w:val="false"/>
        </w:rPr>
        <w:t> </w:t>
      </w:r>
    </w:p>
    <w:p>
      <w:pPr>
        <w:pStyle w:val="TextBody"/>
        <w:bidi w:val="0"/>
        <w:spacing w:before="0" w:after="0"/>
        <w:ind w:left="140" w:right="13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11.2    </w:t>
      </w:r>
      <w:r>
        <w:rPr>
          <w:rFonts w:ascii="Times New Roman;Times;Serif" w:hAnsi="Times New Roman;Times;Serif"/>
          <w:b w:val="false"/>
          <w:i w:val="false"/>
          <w:caps w:val="false"/>
          <w:smallCaps w:val="false"/>
          <w:sz w:val="20"/>
          <w:u w:val="single"/>
        </w:rPr>
        <w:t>Agency for Perfection</w:t>
      </w:r>
      <w:r>
        <w:rPr>
          <w:rFonts w:ascii="Times New Roman;Times;Serif" w:hAnsi="Times New Roman;Times;Serif"/>
          <w:b w:val="false"/>
          <w:i w:val="false"/>
          <w:caps w:val="false"/>
          <w:smallCaps w:val="false"/>
          <w:sz w:val="20"/>
        </w:rPr>
        <w:t>. Each Lender hereby appoints the Agent and each other Lender as agent and bailee for the purpose of perfection the security interests in and liens upon the Collateral in assets which, in accordance with Article 9 of the UCC, can be perfected only by possession or control (or where the security interest of a secured party with possession or control has priority over the security interest of another secured party) and the Agent and each Lender hereby acknowledges that it holds possession of or otherwise controls any such Collateral for the benefit of the Agent and the Lenders as secured party. Should any Lender obtain possession or control of any such Collateral, such Lender shall notify the Agent thereof in writing, and, promptly upon the Agent’s request therefore shall deliver such Collateral to the Agent or in accordance with the Agent’s instructions.</w:t>
      </w:r>
    </w:p>
    <w:p>
      <w:pPr>
        <w:pStyle w:val="TextBody"/>
        <w:bidi w:val="0"/>
        <w:spacing w:before="0" w:after="0"/>
        <w:ind w:left="140" w:right="136" w:firstLine="720"/>
        <w:jc w:val="both"/>
        <w:rPr>
          <w:caps w:val="false"/>
          <w:smallCaps w:val="false"/>
        </w:rPr>
      </w:pPr>
      <w:r>
        <w:rPr>
          <w:caps w:val="false"/>
          <w:smallCaps w:val="false"/>
        </w:rPr>
        <w:t> </w:t>
      </w:r>
    </w:p>
    <w:p>
      <w:pPr>
        <w:pStyle w:val="TextBody"/>
        <w:bidi w:val="0"/>
        <w:spacing w:before="0" w:after="0"/>
        <w:ind w:left="140" w:right="169"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11.3    </w:t>
      </w:r>
      <w:r>
        <w:rPr>
          <w:rFonts w:ascii="Times New Roman;Times;Serif" w:hAnsi="Times New Roman;Times;Serif"/>
          <w:b w:val="false"/>
          <w:i w:val="false"/>
          <w:caps w:val="false"/>
          <w:smallCaps w:val="false"/>
          <w:sz w:val="20"/>
          <w:u w:val="single"/>
        </w:rPr>
        <w:t>Scope of the Agent’s Duties</w:t>
      </w:r>
      <w:r>
        <w:rPr>
          <w:rFonts w:ascii="Times New Roman;Times;Serif" w:hAnsi="Times New Roman;Times;Serif"/>
          <w:b w:val="false"/>
          <w:i w:val="false"/>
          <w:caps w:val="false"/>
          <w:smallCaps w:val="false"/>
          <w:sz w:val="20"/>
        </w:rPr>
        <w:t>. The Agent shall have no duties or responsibilities except those expressly set forth herein, and shall not, by reason of this Agreement or otherwise, have a fiduciary relationship with any Lender (and no implied covenants or other obligations shall be read into this Agreement against the Agent). None of the Agent, its Affiliates nor any of their respective directors, officers, employees or agents shall be liable for any action taken or omitted to be taken by it or them under this Agreement or any document executed pursuant hereto, or in connection herewith or therewith: (i)    with the consent or at the request of the Majority Lenders (or all of the Lenders for those acts requiring consent of all of the Lenders or such other number or percentage of Lenders as shall be necessary, or as the Agent shall believe in good faith shall be necessary, under the circumstances); or (ii) in the absence of its own gross negligence or willful misconduct, as determined by a court of competent jurisdiction by a final and non-appealable judgment; provided, that, no action taken or not taken by the Agent with the consent or at the request of the Majority Lenders (or all of the Lenders for those acts requiring consent of all of the Lenders or such other number or percentage of Lenders as shall be necessary, or as the Agent shall believe in good faith shall be necessary, under the circumstances) shall be considered gross negligence or willful misconduct of the Agent. None of the Agent, its Affiliates nor any of their respective directors, officers, employees or agents shall be responsible for or have any duties to ascertain, inquire into or verify (a) any recitals or warranties made by the Credit Parties or any Affiliate of the Credit Parties, or any officer thereof contained herein or therein, (b) the effectiveness, enforceability, validity or due execution of this Agreement or any document executed pursuant hereto or</w:t>
      </w:r>
    </w:p>
    <w:p>
      <w:pPr>
        <w:pStyle w:val="TextBody"/>
        <w:bidi w:val="0"/>
        <w:spacing w:before="0" w:after="0"/>
        <w:ind w:left="139" w:right="17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9" w:right="17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security thereunder, (c) the performance by the Credit Parties of their respective obligations hereunder or thereunder, or (d) the satisfaction of any condition hereunder or thereunder, including without limitation in connection with the making of any Loan. The Agent and its Affiliates shall be entitled to rely upon, and shall not incur any liability for relying upon, any certificate, notice, document or other communication (including any cable, telegraph, telex, facsimile transmission or oral communication) believed by it to be genuine and correct and to have been sent or given by or on behalf of a proper Person. The Agent may treat the payee of any Note as the holder thereof. The Agent may employ agents and may consult with legal counsel, independent public accountants and other experts selected by it and shall not be liable to any Person for the negligence or misconduct of any such Person (except to the extent that a court of competent jurisdiction determines in a final and non-appealable judgment that the Agent acted with gross negligence or willful misconduct in the selection of such Person) or for any action taken or omitted to be taken by it in good faith in accordance with the advice of such counsel, accountants or experts.</w:t>
      </w:r>
    </w:p>
    <w:p>
      <w:pPr>
        <w:pStyle w:val="TextBody"/>
        <w:bidi w:val="0"/>
        <w:spacing w:before="0" w:after="0"/>
        <w:ind w:left="139" w:right="170" w:hanging="0"/>
        <w:jc w:val="both"/>
        <w:rPr>
          <w:caps w:val="false"/>
          <w:smallCaps w:val="false"/>
        </w:rPr>
      </w:pPr>
      <w:r>
        <w:rPr>
          <w:caps w:val="false"/>
          <w:smallCaps w:val="false"/>
        </w:rPr>
        <w:t> </w:t>
      </w:r>
    </w:p>
    <w:p>
      <w:pPr>
        <w:pStyle w:val="TextBody"/>
        <w:bidi w:val="0"/>
        <w:spacing w:before="0" w:after="0"/>
        <w:ind w:left="140" w:right="169"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w:t>
      </w:r>
      <w:r>
        <w:rPr>
          <w:rFonts w:ascii="Times New Roman;Times;Serif" w:hAnsi="Times New Roman;Times;Serif"/>
          <w:b w:val="false"/>
          <w:i w:val="false"/>
          <w:caps w:val="false"/>
          <w:smallCaps w:val="false"/>
          <w:sz w:val="20"/>
          <w:u w:val="single"/>
        </w:rPr>
        <w:t>Successor Agent</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3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Agent may resign as such at any time upon at least thirty (30) days prior notice to the Borrower and each of the Lenders. If the Agent at any time shall resign or if the office of the Agent shall become vacant for any other reason, Majority Lenders shall, by written instrument, appoint successor agent(s) (“</w:t>
      </w:r>
      <w:r>
        <w:rPr>
          <w:rFonts w:ascii="Times New Roman;Times;Serif" w:hAnsi="Times New Roman;Times;Serif"/>
          <w:b/>
          <w:i w:val="false"/>
          <w:caps w:val="false"/>
          <w:smallCaps w:val="false"/>
          <w:sz w:val="20"/>
        </w:rPr>
        <w:t>Successor Agent</w:t>
      </w:r>
      <w:r>
        <w:rPr>
          <w:rFonts w:ascii="Times New Roman;Times;Serif" w:hAnsi="Times New Roman;Times;Serif"/>
          <w:b w:val="false"/>
          <w:i w:val="false"/>
          <w:caps w:val="false"/>
          <w:smallCaps w:val="false"/>
          <w:sz w:val="20"/>
        </w:rPr>
        <w:t>”) satisfactory to such Majority Lenders and, so long as no Event  of Default has occurred and is continuing, to the Borrower (which approval shall not be unreasonably withheld or delayed); provided, however that any such successor Agent shall be a bank or a trust company or other financial institution which maintains an office in the United States, or a commercial bank organized under the laws of the United States or any state thereof, or any Affiliate of such bank or trust company or other financial institution which is engaged in the banking business, and shall have a combined capital and surplus of at least $500,000,000. Such Successor Agent shall thereupon become the Agent hereunder, as applicable, and the Agent shall deliver or cause to be delivered to any successor agent such documents of transfer and assignment as such Successor Agent may reasonably request. If a Successor Agent is not so appointed or does not accept such appointment before the resigning Agent’s resignation becomes effective, the resigning Agent may, but shall be under no obligation to, appoint a temporary successor to act until such appointment by the Majority Lenders and, if applicable, the Borrower, is made and accepted, or if no such temporary successor is appointed as provided above by the resigning the Agent, the Majority Lenders shall thereafter perform all of the duties of the resigning the Agent hereunder until such appointment by the Majority Lenders and, if applicable, the Borrower, is made and accepted. Such Successor Agent shall succeed to all of the rights and obligations of the resigning Agent as if originally named. The resigning Agent shall duly assign, transfer and deliver to  such Successor Agent all moneys at the time held by the resigning Agent hereunder after deducting therefrom its expenses for which it is entitled to be reimbursed hereunder. Upon such succession of any such Successor Agent, the resigning Agent shall be discharged from its duties and obligations, in its capacity as the Agent hereunder, and the provisions of this Article 11, Section 10.4(e)-(f) and Section 12.4 shall continue in effect for the benefit of the resigning Agent in respect of any actions taken or omitted to be taken by it while it was acting as the Agent.</w:t>
      </w:r>
    </w:p>
    <w:p>
      <w:pPr>
        <w:pStyle w:val="TextBody"/>
        <w:bidi w:val="0"/>
        <w:spacing w:before="0" w:after="0"/>
        <w:ind w:left="140" w:right="0" w:hanging="0"/>
        <w:jc w:val="both"/>
        <w:rPr>
          <w:caps w:val="false"/>
          <w:smallCaps w:val="false"/>
        </w:rPr>
      </w:pPr>
      <w:r>
        <w:rPr>
          <w:caps w:val="false"/>
          <w:smallCaps w:val="false"/>
        </w:rPr>
        <w:t> </w:t>
      </w:r>
    </w:p>
    <w:p>
      <w:pPr>
        <w:pStyle w:val="TextBody"/>
        <w:bidi w:val="0"/>
        <w:spacing w:before="0" w:after="0"/>
        <w:ind w:left="139" w:right="16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herein to the contrary, CHS may assign its rights and duties as the Agent hereunder to its Affiliates and Related Funds without the prior written consent of, or prior written notice to, the Borrower or the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and the Lenders may deem and treat such assigning Agent as the Agent for all purposes hereof, unless and until such assigning Agent provides written notice to the Borrower and the Lenders of such assignment. Upon such assignment such Person shall succeed to and become vested with all rights, powers, privileges and duties as the Agent hereunder and under the other Loan Documents.</w:t>
      </w:r>
    </w:p>
    <w:p>
      <w:pPr>
        <w:pStyle w:val="TextBody"/>
        <w:bidi w:val="0"/>
        <w:spacing w:before="0" w:after="0"/>
        <w:ind w:left="139" w:right="166"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2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Agent may perform any and all of its duties and exercise its rights and powers under this Agreement or under any other Loan Document by or through any one or more additional individuals or institutions as separate trustee, co-trustee, collateral agent, sub-agent or co-agent (“</w:t>
      </w:r>
      <w:r>
        <w:rPr>
          <w:rFonts w:ascii="Times New Roman;Times;Serif" w:hAnsi="Times New Roman;Times;Serif"/>
          <w:b w:val="false"/>
          <w:i w:val="false"/>
          <w:caps w:val="false"/>
          <w:smallCaps w:val="false"/>
          <w:sz w:val="20"/>
          <w:u w:val="single"/>
        </w:rPr>
        <w:t>Supplemental Agents</w:t>
      </w:r>
      <w:r>
        <w:rPr>
          <w:rFonts w:ascii="Times New Roman;Times;Serif" w:hAnsi="Times New Roman;Times;Serif"/>
          <w:b w:val="false"/>
          <w:i w:val="false"/>
          <w:caps w:val="false"/>
          <w:smallCaps w:val="false"/>
          <w:sz w:val="20"/>
        </w:rPr>
        <w:t>”) appointed by the Agent. The Agent and any such Supplemental Agents may perform any and all of its duties and exercise its rights and powers by or through their respective Affiliates. The exculpatory, indemnification and other provisions of this Agreement (including, without limitation, this Article 11, Section 10.4(e)-(f) and Section 12.4) shall apply to any of the Supplemental Agents of the Agent and shall apply to their respective activities in connection with its activities as the Agent. All of the rights, benefits and privileges (including the exculpatory and indemnification provisions) of this Agreement (including, without limitation, this Article 11, Section 10.4(e)-(f) and Section 12.4) shall apply to any such Supplemental Agent and to the Affiliates of any such Supplemental Agent, and shall apply to their respective activities as sub-agent as if such sub-agent and Affiliates were named herein. Notwithstanding anything herein to the contrary, with respect to each Supplemental Agent appointed by the Agent, (i) such Supplemental Agent shall be a third party beneficiary under this Agreement with respect to all such rights, benefits and privileges (including exculpatory and rights to indemnification) and shall have all of the rights, benefits and privileges of a third party beneficiary, including an independent right of action to enforce such rights, benefits and privileges (including exculpatory rights and rights to indemnification) directly, without the consent or joinder of any other Person, against any or all of the Borrower, the Guarantors and the Lenders, (ii) such rights, benefits and privileges (including exculpatory rights and rights to indemnification) shall not be modified or amended without the consent of such Supplemental Agent, and (iii) such Supplemental Agent shall only have obligations to the Agent, and not to the Borrower, Guarantor, Lender or any other Person and no Borrower, Guarantor, Lender or any other Person shall have the rights, directly or indirectly, as a third party beneficiary or otherwise, against such Supplemental Agent. The Agent shall not be responsible for the negligence or misconduct of any Supplemental Agent except to the extent that a court of competent jurisdiction determines in a final and non-appealable judgment that the Agent acted with gross  negligence or willful misconduct in the selection of such Supplemental Agent.</w:t>
      </w:r>
    </w:p>
    <w:p>
      <w:pPr>
        <w:pStyle w:val="TextBody"/>
        <w:bidi w:val="0"/>
        <w:spacing w:before="0" w:after="0"/>
        <w:ind w:left="140" w:right="125" w:firstLine="1440"/>
        <w:jc w:val="both"/>
        <w:rPr>
          <w:caps w:val="false"/>
          <w:smallCaps w:val="false"/>
        </w:rPr>
      </w:pPr>
      <w:r>
        <w:rPr>
          <w:caps w:val="false"/>
          <w:smallCaps w:val="false"/>
        </w:rPr>
        <w:t> </w:t>
      </w:r>
    </w:p>
    <w:p>
      <w:pPr>
        <w:pStyle w:val="TextBody"/>
        <w:bidi w:val="0"/>
        <w:spacing w:before="0" w:after="0"/>
        <w:ind w:left="139" w:right="119"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11.5    </w:t>
      </w:r>
      <w:r>
        <w:rPr>
          <w:rFonts w:ascii="Times New Roman;Times;Serif" w:hAnsi="Times New Roman;Times;Serif"/>
          <w:b w:val="false"/>
          <w:i w:val="false"/>
          <w:caps w:val="false"/>
          <w:smallCaps w:val="false"/>
          <w:sz w:val="20"/>
          <w:u w:val="single"/>
        </w:rPr>
        <w:t>Credit Decisions</w:t>
      </w:r>
      <w:r>
        <w:rPr>
          <w:rFonts w:ascii="Times New Roman;Times;Serif" w:hAnsi="Times New Roman;Times;Serif"/>
          <w:b w:val="false"/>
          <w:i w:val="false"/>
          <w:caps w:val="false"/>
          <w:smallCaps w:val="false"/>
          <w:sz w:val="20"/>
        </w:rPr>
        <w:t>. Each Lender acknowledges that it has, independently of the Agent and each other Lender and based on the financial statements of the Borrower and such other documents, information and investigations as it has deemed appropriate, made its own credit decision to extend credit hereunder from time to time. Each Lender also acknowledges that it will, independently of the Agent and each other Lender and based on such other documents, information and investigations as it shall deem appropriate at any time, continue to make its own credit decisions as to exercising or not exercising from time to time any rights and privileges available to it under this Agreement, any Loan Document or any other document executed pursuant hereto.</w:t>
      </w:r>
    </w:p>
    <w:p>
      <w:pPr>
        <w:pStyle w:val="TextBody"/>
        <w:bidi w:val="0"/>
        <w:spacing w:before="0" w:after="0"/>
        <w:ind w:left="139" w:right="119" w:firstLine="720"/>
        <w:jc w:val="both"/>
        <w:rPr>
          <w:caps w:val="false"/>
          <w:smallCaps w:val="false"/>
        </w:rPr>
      </w:pPr>
      <w:r>
        <w:rPr>
          <w:caps w:val="false"/>
          <w:smallCaps w:val="false"/>
        </w:rPr>
        <w:t> </w:t>
      </w:r>
    </w:p>
    <w:p>
      <w:pPr>
        <w:pStyle w:val="TextBody"/>
        <w:bidi w:val="0"/>
        <w:spacing w:before="0" w:after="0"/>
        <w:ind w:left="139" w:right="17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11.6    </w:t>
      </w:r>
      <w:r>
        <w:rPr>
          <w:rFonts w:ascii="Times New Roman;Times;Serif" w:hAnsi="Times New Roman;Times;Serif"/>
          <w:b w:val="false"/>
          <w:i w:val="false"/>
          <w:caps w:val="false"/>
          <w:smallCaps w:val="false"/>
          <w:sz w:val="20"/>
          <w:u w:val="single"/>
        </w:rPr>
        <w:t>Authority of the Agent to Enforce This Agreement</w:t>
      </w:r>
      <w:r>
        <w:rPr>
          <w:rFonts w:ascii="Times New Roman;Times;Serif" w:hAnsi="Times New Roman;Times;Serif"/>
          <w:b w:val="false"/>
          <w:i w:val="false"/>
          <w:caps w:val="false"/>
          <w:smallCaps w:val="false"/>
          <w:sz w:val="20"/>
        </w:rPr>
        <w:t>. Each Lender, subject to the terms and conditions of this Agreement, grants the Agent full power and authority as attorney-in-fact to institute and maintain actions, suits or proceedings for the collection and enforcement of any Indebtedness (including any Prepayment Premium) outstanding under this Agreement or any other Loan Document and to file such proofs of debt or other documents as may be necessary to have the claims of the Lenders allowed in any proceeding relative to any Credit Party, or their respective creditors or affecting their respective properties, and to take such other actions which the Agent considers to be necessary or desirable for the protection, collection and enforcement of the Notes, this Agreement or the other Loan Documents.</w:t>
      </w:r>
    </w:p>
    <w:p>
      <w:pPr>
        <w:pStyle w:val="TextBody"/>
        <w:bidi w:val="0"/>
        <w:spacing w:before="0" w:after="0"/>
        <w:ind w:left="139" w:right="170" w:firstLine="720"/>
        <w:jc w:val="both"/>
        <w:rPr>
          <w:caps w:val="false"/>
          <w:smallCaps w:val="false"/>
        </w:rPr>
      </w:pPr>
      <w:r>
        <w:rPr>
          <w:caps w:val="false"/>
          <w:smallCaps w:val="false"/>
        </w:rPr>
        <w:t> </w:t>
      </w:r>
    </w:p>
    <w:p>
      <w:pPr>
        <w:pStyle w:val="TextBody"/>
        <w:bidi w:val="0"/>
        <w:spacing w:before="0" w:after="0"/>
        <w:ind w:left="139" w:right="171"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11.7    </w:t>
      </w:r>
      <w:r>
        <w:rPr>
          <w:rFonts w:ascii="Times New Roman;Times;Serif" w:hAnsi="Times New Roman;Times;Serif"/>
          <w:b w:val="false"/>
          <w:i w:val="false"/>
          <w:caps w:val="false"/>
          <w:smallCaps w:val="false"/>
          <w:sz w:val="20"/>
          <w:u w:val="single"/>
        </w:rPr>
        <w:t>Indemnification of the Agent</w:t>
      </w:r>
      <w:r>
        <w:rPr>
          <w:rFonts w:ascii="Times New Roman;Times;Serif" w:hAnsi="Times New Roman;Times;Serif"/>
          <w:b w:val="false"/>
          <w:i w:val="false"/>
          <w:caps w:val="false"/>
          <w:smallCaps w:val="false"/>
          <w:sz w:val="20"/>
        </w:rPr>
        <w:t>. The Lenders agree to indemnify the Agent, its Affiliates and their respective officers, partners, directors, trustees employees and agents (each, an “</w:t>
      </w:r>
      <w:r>
        <w:rPr>
          <w:rFonts w:ascii="Times New Roman;Times;Serif" w:hAnsi="Times New Roman;Times;Serif"/>
          <w:b/>
          <w:i w:val="false"/>
          <w:caps w:val="false"/>
          <w:smallCaps w:val="false"/>
          <w:sz w:val="20"/>
        </w:rPr>
        <w:t>Indemnitee Agent Party</w:t>
      </w:r>
      <w:r>
        <w:rPr>
          <w:rFonts w:ascii="Times New Roman;Times;Serif" w:hAnsi="Times New Roman;Times;Serif"/>
          <w:b w:val="false"/>
          <w:i w:val="false"/>
          <w:caps w:val="false"/>
          <w:smallCaps w:val="false"/>
          <w:sz w:val="20"/>
        </w:rPr>
        <w:t>”) (to the extent not reimbursed by the Borrower, but without limiting any obligation of the Borrower to make such reimbursement), ratably according to their respective Pro Rata Shares (provided,</w:t>
      </w:r>
    </w:p>
    <w:p>
      <w:pPr>
        <w:pStyle w:val="TextBody"/>
        <w:bidi w:val="0"/>
        <w:spacing w:before="0" w:after="0"/>
        <w:ind w:left="139" w:right="171"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9" w:right="16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if such indemnity payment is sought after the date on which the Loans have been paid in full, such determination of such Pro Rata Shares shall be made as of the last date prior to which the Loans were paid in full), from and against any and all claims, damages, losses, liabilities, costs or expenses of any kind or nature whatsoever (including, without limitation, reasonable fees and expenses of in-house and outside counsel) which may be imposed on, incurred by, or asserted against any Indemnitee Agent Party in any way relating to or arising out of this Agreement, any of the other Loan Documents or the transactions contemplated hereby or any action taken or omitted by any Indemnitee Agent Party under this Agreement or any of the Loan Documents in all cases, whether or not caused by or arising, in whole or in part, out of the comparative, contributory, or sole negligence of such Indemnitee Agent Party; provided, however, that no Lender shall be liable for any portion of such claims, damages, losses, liabilities, costs or expenses resulting from such Indemnitee Agent Party’s gross negligence or willful misconduct as determined by a court of competent jurisdiction in a final, non-appealable order. Without limitation of the foregoing, each Lender agrees to reimburse the Indemnitee Agent Parties promptly upon demand for its ratable share of any reasonable out-of-pocket expenses (including, without limitation, reasonable fees and expenses of in-house and outside counsel) incurred by the Indemnitee Agent Parties in connection with the preparation, execution, delivery, administration, modification, amendment or enforcement (whether through negotiations, legal proceedings or otherwise) of, or legal advice in respect of rights or responsibilities under, this Agreement or any of the other Loan Documents, to the extent that the Indemnitee Agent Parties are not timely reimbursed for such expenses by the Borrower, but without limiting the obligation of the Borrower to make such reimbursement. Each Lender agrees to reimburse the Indemnitee Agent Parties promptly upon demand for its ratable share (provided, that, if such payment is sought after the date on which the Loans have been paid in full, such determination of such ratable share shall be made as of the last date prior to which the Loans were paid in full) of any amounts owing to the Indemnitee Agent Parties by the Lenders pursuant to this Section, provided that, if the Indemnitee Agent Parties are subsequently reimbursed by the Borrower for such amounts, they shall refund to the Lenders on a pro rata basis the amount of any excess reimbursement. If the indemnity furnished to the Indemnitee Agent Parties under this Section shall become impaired as determined in the Agent’s reasonable judgment or the Agent shall elect in its sole discretion to have such indemnity confirmed by the Lenders (as to specific matters or otherwise), the Agent shall give notice thereof to each Lender and, until such additional indemnity is provided or such existing indemnity is confirmed, the Agent may cease, or not commence, to take any action. Any amounts paid by the Lenders hereunder to the Indemnitee Agent Parties shall be deemed to constitute part of the Indebtedness hereunder.</w:t>
      </w:r>
    </w:p>
    <w:p>
      <w:pPr>
        <w:pStyle w:val="TextBody"/>
        <w:bidi w:val="0"/>
        <w:spacing w:before="0" w:after="0"/>
        <w:ind w:left="139" w:right="162" w:hanging="0"/>
        <w:jc w:val="both"/>
        <w:rPr>
          <w:caps w:val="false"/>
          <w:smallCaps w:val="false"/>
        </w:rPr>
      </w:pPr>
      <w:r>
        <w:rPr>
          <w:caps w:val="false"/>
          <w:smallCaps w:val="false"/>
        </w:rPr>
        <w:t> </w:t>
      </w:r>
    </w:p>
    <w:p>
      <w:pPr>
        <w:pStyle w:val="TextBody"/>
        <w:bidi w:val="0"/>
        <w:spacing w:before="0" w:after="0"/>
        <w:ind w:left="140" w:right="1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11.8    </w:t>
      </w:r>
      <w:r>
        <w:rPr>
          <w:rFonts w:ascii="Times New Roman;Times;Serif" w:hAnsi="Times New Roman;Times;Serif"/>
          <w:b w:val="false"/>
          <w:i w:val="false"/>
          <w:caps w:val="false"/>
          <w:smallCaps w:val="false"/>
          <w:sz w:val="20"/>
          <w:u w:val="single"/>
        </w:rPr>
        <w:t>Knowledge of Default</w:t>
      </w:r>
      <w:r>
        <w:rPr>
          <w:rFonts w:ascii="Times New Roman;Times;Serif" w:hAnsi="Times New Roman;Times;Serif"/>
          <w:b w:val="false"/>
          <w:i w:val="false"/>
          <w:caps w:val="false"/>
          <w:smallCaps w:val="false"/>
          <w:sz w:val="20"/>
        </w:rPr>
        <w:t>. It is expressly understood and agreed that the Agent shall be entitled to assume that no Default or Event of Default has occurred and is continuing, unless the officers of the Agent immediately responsible for matters concerning this Agreement shall have received a written notice from a Lender or the Borrower specifying such Default or Event of Default and conspicuously stating that such notice is a “notice of default”. Upon receiving such a notice, the Agent shall promptly notify each Lender of such Default or Event of Default and provide each Lender with a copy of such notice and shall endeavor to provide such notice to the Lenders within three (3) Business Days (but without any liability whatsoever in the event of its failure to do so). The Agent shall also furnish the Lenders, promptly upon receipt, with copies of all other notices or other information required to be provided by the Borrower hereunder.</w:t>
      </w:r>
    </w:p>
    <w:p>
      <w:pPr>
        <w:pStyle w:val="TextBody"/>
        <w:bidi w:val="0"/>
        <w:spacing w:before="0" w:after="0"/>
        <w:ind w:left="140" w:right="172" w:firstLine="720"/>
        <w:jc w:val="both"/>
        <w:rPr>
          <w:caps w:val="false"/>
          <w:smallCaps w:val="false"/>
        </w:rPr>
      </w:pPr>
      <w:r>
        <w:rPr>
          <w:caps w:val="false"/>
          <w:smallCaps w:val="false"/>
        </w:rPr>
        <w:t> </w:t>
      </w:r>
    </w:p>
    <w:p>
      <w:pPr>
        <w:pStyle w:val="TextBody"/>
        <w:bidi w:val="0"/>
        <w:spacing w:before="0" w:after="0"/>
        <w:ind w:left="140" w:right="17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11.9    </w:t>
      </w:r>
      <w:r>
        <w:rPr>
          <w:rFonts w:ascii="Times New Roman;Times;Serif" w:hAnsi="Times New Roman;Times;Serif"/>
          <w:b w:val="false"/>
          <w:i w:val="false"/>
          <w:caps w:val="false"/>
          <w:smallCaps w:val="false"/>
          <w:sz w:val="20"/>
          <w:u w:val="single"/>
        </w:rPr>
        <w:t>The Agent’s Authorization; Action by Lenders</w:t>
      </w:r>
      <w:r>
        <w:rPr>
          <w:rFonts w:ascii="Times New Roman;Times;Serif" w:hAnsi="Times New Roman;Times;Serif"/>
          <w:b w:val="false"/>
          <w:i w:val="false"/>
          <w:caps w:val="false"/>
          <w:smallCaps w:val="false"/>
          <w:sz w:val="20"/>
        </w:rPr>
        <w:t>. Except as otherwise expressly provided herein, whenever the Agent is authorized and empowered hereunder on behalf of the Lenders to give any approval or consent, or to make any request, or to take any other action on behalf of the Lenders (including without limitation the exercise of any right or remedy hereunder or under the other Loan Documents), the Agent shall be required to give such approval or consent, or to make such request or to take such other action only when so requested in writing by the Majority Lenders or the Lenders, as applicable hereunder, provided, however, that the Agent shall not be required to act or omit to act if, in</w:t>
      </w:r>
    </w:p>
    <w:p>
      <w:pPr>
        <w:pStyle w:val="TextBody"/>
        <w:bidi w:val="0"/>
        <w:spacing w:before="0" w:after="0"/>
        <w:ind w:left="140" w:right="17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49"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reasonable judgment of the Agent, such action or omission may expose the Agent to personal liability for which the Agent has not been satisfactorily indemnified hereunder or is contrary to this Agreement, any of the Loan Documents or applicable law. Action that may be taken by the Majority Lenders, any other specified percentage of the Lenders or all of the Lenders, as the case may be (as provided for hereunder), may be taken (i) pursuant to a vote of the requisite percentages of the Lenders as required hereunder at a meeting (which may be held by telephone conference call), provided that the Agent exercises good faith, diligent efforts to give all of the Lenders reasonable advance notice of the meeting, or (ii) pursuant to the written consent of the requisite percentages of the Lenders as required hereunder, provided that all of the Lenders are given reasonable advance notice of the requests for such consent.</w:t>
      </w:r>
    </w:p>
    <w:p>
      <w:pPr>
        <w:pStyle w:val="TextBody"/>
        <w:bidi w:val="0"/>
        <w:spacing w:before="0" w:after="0"/>
        <w:ind w:left="140" w:right="149" w:hanging="0"/>
        <w:jc w:val="both"/>
        <w:rPr>
          <w:caps w:val="false"/>
          <w:smallCaps w:val="false"/>
        </w:rPr>
      </w:pPr>
      <w:r>
        <w:rPr>
          <w:caps w:val="false"/>
          <w:smallCaps w:val="false"/>
        </w:rPr>
        <w:t> </w:t>
      </w:r>
    </w:p>
    <w:p>
      <w:pPr>
        <w:pStyle w:val="TextBody"/>
        <w:bidi w:val="0"/>
        <w:spacing w:before="0" w:after="0"/>
        <w:ind w:left="140" w:right="12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11.10    </w:t>
      </w:r>
      <w:r>
        <w:rPr>
          <w:rFonts w:ascii="Times New Roman;Times;Serif" w:hAnsi="Times New Roman;Times;Serif"/>
          <w:b w:val="false"/>
          <w:i w:val="false"/>
          <w:caps w:val="false"/>
          <w:smallCaps w:val="false"/>
          <w:sz w:val="20"/>
          <w:u w:val="single"/>
        </w:rPr>
        <w:t>Enforcement Actions by the Agent</w:t>
      </w:r>
      <w:r>
        <w:rPr>
          <w:rFonts w:ascii="Times New Roman;Times;Serif" w:hAnsi="Times New Roman;Times;Serif"/>
          <w:b w:val="false"/>
          <w:i w:val="false"/>
          <w:caps w:val="false"/>
          <w:smallCaps w:val="false"/>
          <w:sz w:val="20"/>
        </w:rPr>
        <w:t xml:space="preserve">. Except as otherwise expressly provided under this Agreement or in any of the other Loan Documents and subject to the terms hereof, the Agent will take such action, assert such rights and pursue such remedies under this Agreement and the other Loan Documents as the Majority Lenders or all of the Lenders, as the case may be (as provided for hereunder), shall direct; provided, however, that the Agent shall not be required to act or omit to act if, in the reasonable judgment of the Agent, such action or omission may expose the Agent to personal liability for which the Agent has not been satisfactorily indemnified hereunder or is contrary to this Agreement, any of the Loan Documents or applicable law. Anything contained in any of the Loan Documents to the contrary notwithstanding, the Borrower, the Agent and each Lender hereby agree (i) no Lender shall have any right individually to realize upon any of the Collateral under any Loan Document or to enforce any Guaranty, it being understood and agreed that all powers, rights and remedies under the Loan Documents may be exercised solely by the Agent for the benefit of the Lenders in accordance with the terms thereof, </w:t>
      </w:r>
    </w:p>
    <w:p>
      <w:pPr>
        <w:pStyle w:val="TextBody"/>
        <w:bidi w:val="0"/>
        <w:spacing w:before="0" w:after="0"/>
        <w:ind w:left="140" w:right="14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of a foreclosure by the Agent on any of the Collateral pursuant to a public or private sale, the Agent or any Lender may be the purchaser of any or all of such Collateral at any such sale and (iii) the Agent, as agent for and representative of the Lenders (but not any Lender or Lenders in its or their respective individual capacities unless the Majority Lenders shall otherwise agree in writing) shall be entitled (either directly or through one or more acquisition vehicles) for the purpose of bidding and making settlement or payment of the purchase price for all or any portion of the Collateral to be sold (A) at any public or private sale, (B) at any sale conducted by the Agent under the provisions of the Uniform Commercial Code (including pursuant to Sections 9-610 or 9-620 of the Uniform Commercial Code), (C) at any sale or foreclosure conducted by the Agent (whether by judicial action or otherwise) in accordance with applicable law or (D) any sale conducted pursuant to the provisions of any Debtor Relief Law (including Section 363 of the Bankruptcy Code), to use and apply all or any of the Indebtedness (including any Prepayment Premium) as a credit on account of the purchase price for any Collateral payable by the Agent at such sale.</w:t>
      </w:r>
    </w:p>
    <w:p>
      <w:pPr>
        <w:pStyle w:val="TextBody"/>
        <w:bidi w:val="0"/>
        <w:spacing w:before="0" w:after="0"/>
        <w:ind w:left="140" w:right="144" w:hanging="0"/>
        <w:jc w:val="both"/>
        <w:rPr>
          <w:caps w:val="false"/>
          <w:smallCaps w:val="false"/>
        </w:rPr>
      </w:pPr>
      <w:r>
        <w:rPr>
          <w:caps w:val="false"/>
          <w:smallCaps w:val="false"/>
        </w:rPr>
        <w:t> </w:t>
      </w:r>
    </w:p>
    <w:p>
      <w:pPr>
        <w:pStyle w:val="TextBody"/>
        <w:bidi w:val="0"/>
        <w:spacing w:before="0" w:after="0"/>
        <w:ind w:left="140" w:right="12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t>
      </w:r>
      <w:r>
        <w:rPr>
          <w:rFonts w:ascii="Times New Roman;Times;Serif" w:hAnsi="Times New Roman;Times;Serif"/>
          <w:b w:val="false"/>
          <w:i w:val="false"/>
          <w:caps w:val="false"/>
          <w:smallCaps w:val="false"/>
          <w:sz w:val="20"/>
          <w:u w:val="single"/>
        </w:rPr>
        <w:t>Collateral Matters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Agent is authorized on behalf of all the Lenders, without the necessity of any notice to or further consent from the Lenders, from time to time to take any action with respect to any Collateral or the Collateral Documents which may be necessary to perfect and maintain a perfected security interest in and Liens upon the Collateral granted pursuant to the Loan Documents.</w:t>
      </w:r>
    </w:p>
    <w:p>
      <w:pPr>
        <w:pStyle w:val="TextBody"/>
        <w:bidi w:val="0"/>
        <w:spacing w:before="0" w:after="0"/>
        <w:ind w:left="140" w:right="172" w:firstLine="1440"/>
        <w:jc w:val="both"/>
        <w:rPr>
          <w:caps w:val="false"/>
          <w:smallCaps w:val="false"/>
        </w:rPr>
      </w:pPr>
      <w:r>
        <w:rPr>
          <w:caps w:val="false"/>
          <w:smallCaps w:val="false"/>
        </w:rPr>
        <w:t> </w:t>
      </w:r>
    </w:p>
    <w:p>
      <w:pPr>
        <w:pStyle w:val="TextBody"/>
        <w:bidi w:val="0"/>
        <w:spacing w:before="0" w:after="0"/>
        <w:ind w:left="140"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Lenders irrevocably authorize the Agent, in its reasonable discretion, to the full extent set forth in Section 12.9(d) hereof, at the sole cost and expense of the Borrower (1) to release or terminate any Lien granted to or held by the Agent upon any Collateral (a) upon termination of the Commitments and payment in full of all Indebtedness (including any Prepayment Premium) payable under this Agreement and under any other Loan Document; (b) constituting property (including, without limitation, Equity Interests in any Person) sold or to be sold or disposed of as part of or in connection with any disposition (whether by sale, by merger or by any other form of transaction and including the property of any Subsidiary that is disposed of as permitted hereby) permitted in accordance with the</w:t>
      </w:r>
    </w:p>
    <w:p>
      <w:pPr>
        <w:pStyle w:val="TextBody"/>
        <w:bidi w:val="0"/>
        <w:spacing w:before="0" w:after="0"/>
        <w:ind w:left="140" w:right="172"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27"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of this Agreement to a Person that is not the Borrower or a Guarantor, subject to Section 11.11(b)(3) below; (c) constituting property in which a Credit Party owned  no interest at the time the Lien was granted or at any time thereafter; or (d) if approved, authorized or ratified in writing by the Majority Lenders, or all the Lenders, as the case may be, as provided in Section 12.9; (2) to subordinate the Lien granted to or held by the Agent on any Collateral to any other holder of a Lien on such  Collateral which is permitted by Section 7.2(b) hereto; and (3) if all of the Equity Interests held by the Credit Parties in any Person are sold or otherwise transferred to any transferee other than the Borrower, an Affiliate of the Borrower or a Subsidiary of the Borrower as part of or in connection with any disposition (whether by sale, by merger or by any other form of transaction) permitted in accordance with the terms of this Agreement, to release such Person from all of its obligations under the Loan Documents (including, without limitation, under any Guaranty). Upon request by the Agent at any time, the Lenders will confirm in writing the Agent’s authority to release particular types or items of Collateral or subordinate its interest in particular types or items of property or to release any Guarantor from its obligations under the Guaranty pursuant to this Section 11.11(b), and the  Agent shall be entitled to refrain from taking any such action until it receives such written confirmation from the Majority Lenders or Lenders (as applicable).</w:t>
      </w:r>
    </w:p>
    <w:p>
      <w:pPr>
        <w:pStyle w:val="TextBody"/>
        <w:bidi w:val="0"/>
        <w:spacing w:before="0" w:after="0"/>
        <w:ind w:left="140" w:right="127" w:hanging="0"/>
        <w:jc w:val="both"/>
        <w:rPr>
          <w:caps w:val="false"/>
          <w:smallCaps w:val="false"/>
        </w:rPr>
      </w:pPr>
      <w:r>
        <w:rPr>
          <w:caps w:val="false"/>
          <w:smallCaps w:val="false"/>
        </w:rPr>
        <w:t> </w:t>
      </w:r>
    </w:p>
    <w:p>
      <w:pPr>
        <w:pStyle w:val="TextBody"/>
        <w:bidi w:val="0"/>
        <w:spacing w:before="0" w:after="0"/>
        <w:ind w:left="140" w:right="15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11.12    </w:t>
      </w:r>
      <w:r>
        <w:rPr>
          <w:rFonts w:ascii="Times New Roman;Times;Serif" w:hAnsi="Times New Roman;Times;Serif"/>
          <w:b w:val="false"/>
          <w:i w:val="false"/>
          <w:caps w:val="false"/>
          <w:smallCaps w:val="false"/>
          <w:sz w:val="20"/>
          <w:u w:val="single"/>
        </w:rPr>
        <w:t>The Agent in its Individual Capacity</w:t>
      </w:r>
      <w:r>
        <w:rPr>
          <w:rFonts w:ascii="Times New Roman;Times;Serif" w:hAnsi="Times New Roman;Times;Serif"/>
          <w:b w:val="false"/>
          <w:i w:val="false"/>
          <w:caps w:val="false"/>
          <w:smallCaps w:val="false"/>
          <w:sz w:val="20"/>
        </w:rPr>
        <w:t>. CHS and its Affiliates, successors and assigns  shall each have the same rights and powers hereunder as any other Lender and may exercise or refrain from exercising the same as though such Lender were not the Agent. CHS and its Affiliates may (without having to account therefor to any Lender) accept deposits from, lend money to, and generally engage in any kind of banking, trust, financial advisory or other business with the Credit Parties as if such Lender were not acting as the Agent hereunder, and may accept fees and other consideration therefor without having to account for the same to the Lenders.</w:t>
      </w:r>
    </w:p>
    <w:p>
      <w:pPr>
        <w:pStyle w:val="TextBody"/>
        <w:bidi w:val="0"/>
        <w:spacing w:before="0" w:after="0"/>
        <w:ind w:left="140" w:right="152" w:firstLine="720"/>
        <w:jc w:val="both"/>
        <w:rPr>
          <w:caps w:val="false"/>
          <w:smallCaps w:val="false"/>
        </w:rPr>
      </w:pPr>
      <w:r>
        <w:rPr>
          <w:caps w:val="false"/>
          <w:smallCaps w:val="false"/>
        </w:rPr>
        <w:t> </w:t>
      </w:r>
    </w:p>
    <w:p>
      <w:pPr>
        <w:pStyle w:val="TextBody"/>
        <w:bidi w:val="0"/>
        <w:spacing w:before="0" w:after="0"/>
        <w:ind w:left="140" w:right="17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11.13    </w:t>
      </w:r>
      <w:r>
        <w:rPr>
          <w:rFonts w:ascii="Times New Roman;Times;Serif" w:hAnsi="Times New Roman;Times;Serif"/>
          <w:b w:val="false"/>
          <w:i w:val="false"/>
          <w:caps w:val="false"/>
          <w:smallCaps w:val="false"/>
          <w:sz w:val="20"/>
          <w:u w:val="single"/>
        </w:rPr>
        <w:t>Specified Subordination Agreement and Subordination Agreements</w:t>
      </w:r>
      <w:r>
        <w:rPr>
          <w:rFonts w:ascii="Times New Roman;Times;Serif" w:hAnsi="Times New Roman;Times;Serif"/>
          <w:b w:val="false"/>
          <w:i w:val="false"/>
          <w:caps w:val="false"/>
          <w:smallCaps w:val="false"/>
          <w:sz w:val="20"/>
        </w:rPr>
        <w:t>. Each Lender  hereby irrevocably appoints, designates and authorizes Agent to enter into any subordination or intercreditor agreement pertaining to the Senior Debt or any Subordinated Debt, on its behalf and to take such action on its behalf under the provisions of any such agreement. Each Lender further agrees to be bound by the terms and conditions of each subordination or intercreditor agreement pertaining to the Senior Debt or any Subordinated Debt.</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40" w:right="12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11.14   </w:t>
      </w:r>
      <w:r>
        <w:rPr>
          <w:rFonts w:ascii="Times New Roman;Times;Serif" w:hAnsi="Times New Roman;Times;Serif"/>
          <w:b w:val="false"/>
          <w:i w:val="false"/>
          <w:caps w:val="false"/>
          <w:smallCaps w:val="false"/>
          <w:sz w:val="20"/>
          <w:u w:val="single"/>
        </w:rPr>
        <w:t>No Reliance on the Agent’s Customer Identification Program</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acknowledges and agrees that neither such Lender, nor any of its Affiliates, participants or assignees, may rely on the Agent to carry out such Lender’s, Affiliate’s, participant’s or assignee’s customer identification program, or other obligations required or imposed under or pursuant to the USA Patriot Act or the regulations thereunder, including the regulations contained in 31 CFR 103.121 (as hereafter amended or replaced, the “</w:t>
      </w:r>
      <w:r>
        <w:rPr>
          <w:rFonts w:ascii="Times New Roman;Times;Serif" w:hAnsi="Times New Roman;Times;Serif"/>
          <w:b/>
          <w:i w:val="false"/>
          <w:caps w:val="false"/>
          <w:smallCaps w:val="false"/>
          <w:sz w:val="20"/>
        </w:rPr>
        <w:t>CIP Regulations</w:t>
      </w:r>
      <w:r>
        <w:rPr>
          <w:rFonts w:ascii="Times New Roman;Times;Serif" w:hAnsi="Times New Roman;Times;Serif"/>
          <w:b w:val="false"/>
          <w:i w:val="false"/>
          <w:caps w:val="false"/>
          <w:smallCaps w:val="false"/>
          <w:sz w:val="20"/>
        </w:rPr>
        <w:t>”), or any other Anti-Terrorism Law, including any programs involving any of the following items relating to or in connection with the Borrower or any of its Subsidiaries, any of their respective Affiliates or agents, the Loan Documents or the transactions hereunder: (i) any identify verification procedures, (ii) any record keeping, (iii) any comparisons with government lists, (iv) any customer notices or (v) any other procedures required under the CIP Regulations or such other laws.</w:t>
      </w:r>
    </w:p>
    <w:p>
      <w:pPr>
        <w:pStyle w:val="TextBody"/>
        <w:bidi w:val="0"/>
        <w:spacing w:before="0" w:after="0"/>
        <w:ind w:left="140" w:right="172" w:firstLine="1440"/>
        <w:jc w:val="both"/>
        <w:rPr>
          <w:caps w:val="false"/>
          <w:smallCaps w:val="false"/>
        </w:rPr>
      </w:pPr>
      <w:r>
        <w:rPr>
          <w:caps w:val="false"/>
          <w:smallCaps w:val="false"/>
        </w:rPr>
        <w:t> </w:t>
      </w:r>
    </w:p>
    <w:p>
      <w:pPr>
        <w:pStyle w:val="TextBody"/>
        <w:bidi w:val="0"/>
        <w:spacing w:before="0" w:after="0"/>
        <w:ind w:left="140" w:right="151"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Lender or assignee or participant of a Lender that is not organized under the laws of the United States or a state thereof (and is not excepted from the certification requirement contained in Section 313 of the USA Patriot Act and the applicable regulations because it is both (i) an affiliate of a depository institution or foreign bank that maintains a physical presence in the United States or foreign country, and (ii) subject to supervision by a banking authority regulating such affiliated depository institution or foreign bank) shall deliver to the Agent the certification, or, if applicable,</w:t>
      </w:r>
    </w:p>
    <w:p>
      <w:pPr>
        <w:pStyle w:val="TextBody"/>
        <w:bidi w:val="0"/>
        <w:spacing w:before="0" w:after="0"/>
        <w:ind w:left="140" w:right="151"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7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recertification, certifying that such Lender is not a “shell” and certifying to other matters as required by Section 313 of the USA Patriot Act and the applicable regulations: (x) within 10 days after the Restatement Date, and (y) at such other times as are required under the USA Patriot Act.</w:t>
      </w:r>
    </w:p>
    <w:p>
      <w:pPr>
        <w:pStyle w:val="TextBody"/>
        <w:bidi w:val="0"/>
        <w:spacing w:before="0" w:after="0"/>
        <w:ind w:left="140" w:right="17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5"/>
        <w:gridCol w:w="1310"/>
        <w:gridCol w:w="8740"/>
      </w:tblGrid>
      <w:tr>
        <w:trPr/>
        <w:tc>
          <w:tcPr>
            <w:tcW w:w="15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pPr>
            <w:r>
              <w:rPr/>
              <w:t>12.</w:t>
            </w:r>
          </w:p>
        </w:tc>
        <w:tc>
          <w:tcPr>
            <w:tcW w:w="8740" w:type="dxa"/>
            <w:tcBorders/>
            <w:vAlign w:val="center"/>
          </w:tcPr>
          <w:p>
            <w:pPr>
              <w:pStyle w:val="TableContents"/>
              <w:bidi w:val="0"/>
              <w:spacing w:before="0" w:after="283"/>
              <w:jc w:val="both"/>
              <w:rPr/>
            </w:pPr>
            <w:r>
              <w:rPr/>
              <w:t>MISCELLANEOUS.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2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29"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12.2   </w:t>
      </w:r>
      <w:r>
        <w:rPr>
          <w:rFonts w:ascii="Times New Roman;Times;Serif" w:hAnsi="Times New Roman;Times;Serif"/>
          <w:b w:val="false"/>
          <w:i w:val="false"/>
          <w:caps w:val="false"/>
          <w:smallCaps w:val="false"/>
          <w:sz w:val="20"/>
          <w:u w:val="single"/>
        </w:rPr>
        <w:t>Consent to Jurisdiction</w:t>
      </w:r>
      <w:r>
        <w:rPr>
          <w:rFonts w:ascii="Times New Roman;Times;Serif" w:hAnsi="Times New Roman;Times;Serif"/>
          <w:b w:val="false"/>
          <w:i w:val="false"/>
          <w:caps w:val="false"/>
          <w:smallCaps w:val="false"/>
          <w:sz w:val="20"/>
        </w:rPr>
        <w:t xml:space="preserve">. ALL JUDICIAL PROCEEDINGS BROUGHT AGAINST ANY THE BORROWER OR ANY GUARANTOR ARISING OUT OF OR RELATING HERETO OR ANY OTHER LOAN DOCUMENT, OR ANY OF THE INDEBTEDNESS (INCLUDING ANY PREPAYMENT PREMIUM), MAY BE BROUGHT IN ANY STATE OR FEDERAL COURT OF COMPETENT JURISDICTION IN THE STATE, COUNTY AND CITY OF NEW YORK. BY EXECUTING AND DELIVERING THIS AGREEMENT, THE BORROWER, FOR ITSELF AND IN CONNECTION WITH ITS PROPERTIES, IRREVOCABLY (I) ACCEPTS GENERALLY AND UNCONDITIONALLY THE NON-EXCLUSIVE JURISDICTION AND VENUE OF SUCH COURTS; (II) WAIVES ANY DEFENSE OF FORUM NON CONVENIENS; (III) AGREES THAT SERVICE OF ALL PROCESS IN ANY SUCH PROCEEDING IN ANY SUCH COURT MAY BE MADE BY REGISTERED OR CERTIFIED MAIL, RETURN RECEIPT REQUESTED, TO THE APPLICABLE CREDIT PARTY AT ITS ADDRESS PROVIDED IN ACCORDANCE WITH </w:t>
      </w:r>
      <w:r>
        <w:rPr>
          <w:rFonts w:ascii="Times New Roman;Times;Serif" w:hAnsi="Times New Roman;Times;Serif"/>
          <w:b w:val="false"/>
          <w:i w:val="false"/>
          <w:caps w:val="false"/>
          <w:smallCaps w:val="false"/>
          <w:sz w:val="20"/>
          <w:u w:val="single"/>
        </w:rPr>
        <w:t>SECTION 12.5</w:t>
      </w:r>
      <w:r>
        <w:rPr>
          <w:rFonts w:ascii="Times New Roman;Times;Serif" w:hAnsi="Times New Roman;Times;Serif"/>
          <w:b w:val="false"/>
          <w:i w:val="false"/>
          <w:caps w:val="false"/>
          <w:smallCaps w:val="false"/>
          <w:sz w:val="20"/>
        </w:rPr>
        <w:t xml:space="preserve"> IS SUFFICIENT TO CONFER PERSONAL JURISDICTION OVER THE APPLICABLE CREDIT PARTY IN ANY SUCH PROCEEDING IN ANY SUCH COURT, AND OTHERWISE CONSTITUTES EFFECTIVE AND BINDING SERVICE IN EVERY RESPECT; AND (iv) AGREES THAT THE AGENT AND THE LENDERS RETAIN THE RIGHT TO SERVE PROCESS IN ANY OTHER MANNER PERMITTED BY LAW OR TO BRING PROCEEDINGS AGAINST THE BORROWER OR ANY GUARANTOR IN THE COURTS OF ANY OTHER JURISDICTION.</w:t>
      </w:r>
    </w:p>
    <w:p>
      <w:pPr>
        <w:pStyle w:val="TextBody"/>
        <w:bidi w:val="0"/>
        <w:spacing w:before="0" w:after="0"/>
        <w:ind w:left="139" w:right="146" w:hanging="0"/>
        <w:jc w:val="both"/>
        <w:rPr>
          <w:caps w:val="false"/>
          <w:smallCaps w:val="false"/>
        </w:rPr>
      </w:pPr>
      <w:r>
        <w:rPr>
          <w:caps w:val="false"/>
          <w:smallCaps w:val="false"/>
        </w:rPr>
        <w:t> </w:t>
      </w:r>
    </w:p>
    <w:p>
      <w:pPr>
        <w:pStyle w:val="TextBody"/>
        <w:bidi w:val="0"/>
        <w:spacing w:before="0" w:after="0"/>
        <w:ind w:left="140" w:right="17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THE RIGHTS AND OBLIGATIONS OF THE PARTIES HEREUNDER SHALL BE GOVERNED BY, AND SHALL BE CONSTRUED AND ENFORCED IN ACCORDANCE WITH, THE LAWS OF THE STATE OF NEW YORK APPLICABLE TO CONTRACTS MADE AND TO BE PERFORMED IN THE STATE OF NEW YORK.</w:t>
      </w:r>
    </w:p>
    <w:p>
      <w:pPr>
        <w:pStyle w:val="TextBody"/>
        <w:bidi w:val="0"/>
        <w:spacing w:before="0" w:after="0"/>
        <w:ind w:left="140" w:right="177" w:firstLine="720"/>
        <w:jc w:val="both"/>
        <w:rPr>
          <w:caps w:val="false"/>
          <w:smallCaps w:val="false"/>
        </w:rPr>
      </w:pPr>
      <w:r>
        <w:rPr>
          <w:caps w:val="false"/>
          <w:smallCaps w:val="false"/>
        </w:rPr>
        <w:t> </w:t>
      </w:r>
    </w:p>
    <w:p>
      <w:pPr>
        <w:pStyle w:val="TextBody"/>
        <w:bidi w:val="0"/>
        <w:spacing w:before="0" w:after="0"/>
        <w:ind w:left="140" w:right="12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12.4   </w:t>
      </w:r>
      <w:r>
        <w:rPr>
          <w:rFonts w:ascii="Times New Roman;Times;Serif" w:hAnsi="Times New Roman;Times;Serif"/>
          <w:b w:val="false"/>
          <w:i w:val="false"/>
          <w:caps w:val="false"/>
          <w:smallCaps w:val="false"/>
          <w:sz w:val="20"/>
          <w:u w:val="single"/>
        </w:rPr>
        <w:t>Closing Costs and Other Costs; Indemnification</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39" w:right="129"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Whether or not the transactions contemplated hereby shall be consummated, the Borrower shall pay or reimburse (a) the Agent, the Lenders and their respective Affiliates for payment of, on demand, all reasonable and documented costs and expenses incurred by the Agent, Lenders and their respective Affiliates in connection with the consummation and closing of the loans contemplated hereby, the administration or enforcement of this Agreement or the other Loan Documents (including the obtaining of legal advice regarding the rights and responsibilities of the parties hereto), any refinancing  or restructuring of the Loans provided under this Agreement or the other Loan Documents or the negotiation, preparation, execution and administration of the Loan Documents and any consents, amendments, waivers or other modifications thereto and any other documents or matters requested by Borrower, including, by way of description and not limitation, reasonable outside attorney fees (which shall be limited to one outside counsel for the Agent and one outside counsel for the Lenders (absent a conflict of interest (in which case, each group of similarly situated and conflicted Lenders may engage and be reimbursed for an additional firm of outside counsel)) and if necessary, one local counsel in each relevant jurisdiction and such specialist counsel as the Agent may reasonably determine to be necessary and one local counsel in each relevant jurisdiction and such specialist counsel as the Lenders may reasonably determine to be necessary (the "</w:t>
      </w:r>
      <w:r>
        <w:rPr>
          <w:rFonts w:ascii="Times New Roman;Times;Serif" w:hAnsi="Times New Roman;Times;Serif"/>
          <w:b/>
          <w:i w:val="false"/>
          <w:caps w:val="false"/>
          <w:smallCaps w:val="false"/>
          <w:sz w:val="20"/>
        </w:rPr>
        <w:t>Legal Counsel Limitations</w:t>
      </w:r>
      <w:r>
        <w:rPr>
          <w:rFonts w:ascii="Times New Roman;Times;Serif" w:hAnsi="Times New Roman;Times;Serif"/>
          <w:b w:val="false"/>
          <w:i w:val="false"/>
          <w:caps w:val="false"/>
          <w:smallCaps w:val="false"/>
          <w:sz w:val="20"/>
        </w:rPr>
        <w:t>")) and advances, appraisal,</w:t>
      </w:r>
    </w:p>
    <w:p>
      <w:pPr>
        <w:pStyle w:val="TextBody"/>
        <w:bidi w:val="0"/>
        <w:spacing w:before="0" w:after="0"/>
        <w:ind w:left="139" w:right="129"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69"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auditing, consulting and accounting fees, costs and expenses of creating and perfecting Liens in favor of the Agent, for the benefit of Agent and the Lenders (including, without limitation, filing and recording fees and lien search fees), costs and expenses (including the fees, expenses and disbursements of any appraisers, consultants, advisors and agents retained by Agent and its counsel and Lenders and their counsel) in connection with the custody or preservation of any of the Collateral and required travel costs, and (b) the Agent and its Affiliates and each of the Lenders, as the case may be, for all stamp and other taxes and duties payable or determined to be payable in connection with the execution, delivery, filing or recording of this Agreement and the other Loan Documents and the consummation of the transactions contemplated hereby, and any and all liabilities with respect to or resulting from any delay in paying or omitting to pay such taxes or duties. Furthermore, all reasonable costs and expenses, including without limitation attorney fees (subject to the Legal Counsel Limitations), incurred by the Agent, the Lenders and their respective Affiliates in revising, preserving, protecting, exercising or enforcing any of the Agent’s and the Lenders’ rights against the Borrower or any other Credit Party, or otherwise incurred by the Agent and its Affiliates and the Lenders in connection with any Event of Default or the enforcement of their rights and remedies hereunder (whether incurred through negotiations, legal proceedings or otherwise), including by way of description and not limitation, such charges incurred in connection with the sale of, collection from or other realization upon any of the Collateral, in connection with any refinancing or restructuring of the credit arrangements provided hereunder in the nature of a “workout” or pursuant to any court or bankruptcy proceedings or arising out of any claim or action by any person against the Agent, its Affiliates, or any Lender which would not have been asserted were it not for the Agent’s or such Affiliate’s or Lender’s relationship with the Borrower hereunder or otherwise, shall also be paid by the Borrower.</w:t>
      </w:r>
    </w:p>
    <w:p>
      <w:pPr>
        <w:pStyle w:val="TextBody"/>
        <w:bidi w:val="0"/>
        <w:spacing w:before="0" w:after="0"/>
        <w:ind w:left="140" w:right="169" w:hanging="0"/>
        <w:jc w:val="both"/>
        <w:rPr>
          <w:caps w:val="false"/>
          <w:smallCaps w:val="false"/>
        </w:rPr>
      </w:pPr>
      <w:r>
        <w:rPr>
          <w:caps w:val="false"/>
          <w:smallCaps w:val="false"/>
        </w:rPr>
        <w:t> </w:t>
      </w:r>
    </w:p>
    <w:p>
      <w:pPr>
        <w:pStyle w:val="TextBody"/>
        <w:bidi w:val="0"/>
        <w:spacing w:before="0" w:after="0"/>
        <w:ind w:left="140" w:right="129"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ADDITION TO THE PAYMENT OF EXPENSES PURSUANT TO </w:t>
      </w:r>
      <w:r>
        <w:rPr>
          <w:rFonts w:ascii="Times New Roman;Times;Serif" w:hAnsi="Times New Roman;Times;Serif"/>
          <w:b w:val="false"/>
          <w:i w:val="false"/>
          <w:caps w:val="false"/>
          <w:smallCaps w:val="false"/>
          <w:sz w:val="20"/>
          <w:u w:val="single"/>
        </w:rPr>
        <w:t>SECTION 12.4(a)</w:t>
      </w:r>
      <w:r>
        <w:rPr>
          <w:rFonts w:ascii="Times New Roman;Times;Serif" w:hAnsi="Times New Roman;Times;Serif"/>
          <w:b w:val="false"/>
          <w:i w:val="false"/>
          <w:caps w:val="false"/>
          <w:smallCaps w:val="false"/>
          <w:sz w:val="20"/>
        </w:rPr>
        <w:t>, WHETHER OR NOT THE TRANSACTIONS CONTEMPLATED HEREBY SHALL BE CONSUMMATED, THE BORROWER AGREES TO DEFEND (SUBJECT TO THE LEGAL COUNSEL LIMITATIONS), INDEMNIFY, PAY AND HOLD HARMLESS, AGENT AND EACH LENDER, THEIR RESPECTIVE AFFILIATES AND THEIR RESPECTIVE OFFICERS, PARTNERS, DIRECTORS, TRUSTEES, EMPLOYEES AND AGENTS OF AGENT AND EACH LENDER (EACH, AN “</w:t>
      </w:r>
      <w:r>
        <w:rPr>
          <w:rFonts w:ascii="Times New Roman;Times;Serif" w:hAnsi="Times New Roman;Times;Serif"/>
          <w:b/>
          <w:i w:val="false"/>
          <w:caps w:val="false"/>
          <w:smallCaps w:val="false"/>
          <w:sz w:val="20"/>
        </w:rPr>
        <w:t>INDEMNITEE</w:t>
      </w:r>
      <w:r>
        <w:rPr>
          <w:rFonts w:ascii="Times New Roman;Times;Serif" w:hAnsi="Times New Roman;Times;Serif"/>
          <w:b w:val="false"/>
          <w:i w:val="false"/>
          <w:caps w:val="false"/>
          <w:smallCaps w:val="false"/>
          <w:sz w:val="20"/>
        </w:rPr>
        <w:t xml:space="preserve">”), FROM AND AGAINST ANY AND ALL INDEMNIFIED LIABILITIES, </w:t>
      </w:r>
      <w:r>
        <w:rPr>
          <w:rFonts w:ascii="Times New Roman;Times;Serif" w:hAnsi="Times New Roman;Times;Serif"/>
          <w:b/>
          <w:i w:val="false"/>
          <w:caps w:val="false"/>
          <w:smallCaps w:val="false"/>
          <w:sz w:val="20"/>
        </w:rPr>
        <w:t>IN ALL CASES, WHETHER OR NOT CAUSED BY OR ARISING, IN WHOLE OR IN PART, OUT OF THE COMPARATIVE, CONTRIBUTORY, OR SOLE NEGLIGENCE OF SUCH INDEMNITEE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THE BORROWER SHALL NOT HAVE ANY OBLIGATION TO ANY INDEMNITEE HEREUNDER WITH RESPECT TO ANY INDEMNIFIED LIABILITIES TO THE EXTENT SUCH INDEMNIFIED LIABILITIES ARISE FROM THE GROSS NEGLIGENCE OR WILLFUL MISCONDUCT, AS DETERMINED BY A COURT OF COMPETENT JURISDICTION IN A FINAL, NON-APPEALABLE ORDER, OF THAT INDEMNITEE. TO THE EXTENT THAT THE UNDERTAKINGS TO DEFEND, INDEMNIFY, PAY AND HOLD HARMLESS SET FORTH IN THIS </w:t>
      </w:r>
      <w:r>
        <w:rPr>
          <w:rFonts w:ascii="Times New Roman;Times;Serif" w:hAnsi="Times New Roman;Times;Serif"/>
          <w:b w:val="false"/>
          <w:i w:val="false"/>
          <w:caps w:val="false"/>
          <w:smallCaps w:val="false"/>
          <w:sz w:val="20"/>
          <w:u w:val="single"/>
        </w:rPr>
        <w:t>SECTION 12.4(b)</w:t>
      </w:r>
      <w:r>
        <w:rPr>
          <w:rFonts w:ascii="Times New Roman;Times;Serif" w:hAnsi="Times New Roman;Times;Serif"/>
          <w:b w:val="false"/>
          <w:i w:val="false"/>
          <w:caps w:val="false"/>
          <w:smallCaps w:val="false"/>
          <w:sz w:val="20"/>
        </w:rPr>
        <w:t xml:space="preserve"> MAY BE UNENFORCEABLE IN WHOLE OR IN PART BECAUSE THEY ARE VIOLATIVE OF ANY LAW OR PUBLIC POLICY, THE BORROWER SHALL CONTRIBUTE THE MAXIMUM PORTION THAT IT IS PERMITTED TO PAY AND SATISFY UNDER APPLICABLE LAW TO THE PAYMENT AND SATISFACTION OF ALL INDEMNIFIED LIABILITIES INCURRED BY INDEMNITEES OR ANY OF THEM.</w:t>
      </w:r>
    </w:p>
    <w:p>
      <w:pPr>
        <w:pStyle w:val="TextBody"/>
        <w:bidi w:val="0"/>
        <w:spacing w:before="0" w:after="0"/>
        <w:ind w:left="140" w:right="129" w:firstLine="1440"/>
        <w:jc w:val="both"/>
        <w:rPr>
          <w:caps w:val="false"/>
          <w:smallCaps w:val="false"/>
        </w:rPr>
      </w:pPr>
      <w:r>
        <w:rPr>
          <w:caps w:val="false"/>
          <w:smallCaps w:val="false"/>
        </w:rPr>
        <w:t> </w:t>
      </w:r>
    </w:p>
    <w:p>
      <w:pPr>
        <w:pStyle w:val="TextBody"/>
        <w:bidi w:val="0"/>
        <w:spacing w:before="0" w:after="0"/>
        <w:ind w:left="140"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permitted by applicable law, the Borrower shall not assert, and the Borrower hereby waives, any claim against Lenders, Agent and their respective Affiliates, directors, employees, attorneys or agents,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or any Loan Document or any agreement or instrument contemplated hereby or thereby or referred to herein or therein, the transactions contemplated hereby or</w:t>
      </w:r>
    </w:p>
    <w:p>
      <w:pPr>
        <w:pStyle w:val="TextBody"/>
        <w:bidi w:val="0"/>
        <w:spacing w:before="0" w:after="0"/>
        <w:ind w:left="140" w:right="172"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9" w:right="17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thereby, any Loan or the use of the proceeds thereof or any act or omission or event occurring in connection therewith, and the Borrower hereby waives, releases and agrees not to sue upon any such claim or any such damages, whether or not accrued and whether or not known or suspected to exist in its favor.</w:t>
      </w:r>
    </w:p>
    <w:p>
      <w:pPr>
        <w:pStyle w:val="TextBody"/>
        <w:bidi w:val="0"/>
        <w:spacing w:before="0" w:after="0"/>
        <w:ind w:left="139" w:right="172" w:hanging="0"/>
        <w:jc w:val="both"/>
        <w:rPr>
          <w:caps w:val="false"/>
          <w:smallCaps w:val="false"/>
        </w:rPr>
      </w:pPr>
      <w:r>
        <w:rPr>
          <w:caps w:val="false"/>
          <w:smallCaps w:val="false"/>
        </w:rPr>
        <w:t> </w:t>
      </w:r>
    </w:p>
    <w:p>
      <w:pPr>
        <w:pStyle w:val="TextBody"/>
        <w:bidi w:val="0"/>
        <w:spacing w:before="0" w:after="0"/>
        <w:ind w:left="140" w:right="12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39" w:right="16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expressly provided otherwise in this Agreement (and except as provided in clause (b) below), all notices and other communications provided to any party hereto under this Agreement or any other Loan Document shall be in writing and shall be given by personal delivery, by mail, by reputable overnight courier or by facsimile and addressed or delivered to it at its address set forth on </w:t>
      </w:r>
      <w:r>
        <w:rPr>
          <w:rFonts w:ascii="Times New Roman;Times;Serif" w:hAnsi="Times New Roman;Times;Serif"/>
          <w:b w:val="false"/>
          <w:i w:val="false"/>
          <w:caps w:val="false"/>
          <w:smallCaps w:val="false"/>
          <w:sz w:val="20"/>
          <w:u w:val="single"/>
        </w:rPr>
        <w:t>Annex II</w:t>
      </w:r>
      <w:r>
        <w:rPr>
          <w:rFonts w:ascii="Times New Roman;Times;Serif" w:hAnsi="Times New Roman;Times;Serif"/>
          <w:b w:val="false"/>
          <w:i w:val="false"/>
          <w:caps w:val="false"/>
          <w:smallCaps w:val="false"/>
          <w:sz w:val="20"/>
        </w:rPr>
        <w:t xml:space="preserve"> or at such other address as may be designated by such party in a notice to the other parties that complies as to delivery with the terms of this Section 12.5 or posted to an E-System set up by or at the direction of the Agent (as set forth below). Any notice, if personally delivered or if mailed and properly addressed with postage prepaid and sent by registered or certified mail, shall be deemed given when received or when delivery is refused; any notice, if given to a reputable overnight courier and properly addressed, shall be deemed given two (2) Business Days after the date on which it was sent, unless it is actually received sooner by the named addressee; and any notice, if transmitted by facsimile, shall be deemed given when received. The Agent may, but, except as specifically provided herein, shall not be required to, take any action on the basis of any notice given to it by telephone, but the giver of any such notice shall promptly confirm such notice in writing or by facsimile, and such notice will not be deemed to have been received until such confirmation is deemed received in accordance with the provisions of this Section set forth above. If such telephonic notice conflicts with any such confirmation, the terms of such confirmation shall control. Any notice given by the Agent or any Lender to the Borrower shall be deemed to be a notice to all of the Credit Parties.</w:t>
      </w:r>
    </w:p>
    <w:p>
      <w:pPr>
        <w:pStyle w:val="TextBody"/>
        <w:bidi w:val="0"/>
        <w:spacing w:before="0" w:after="0"/>
        <w:ind w:left="139" w:right="166" w:firstLine="1440"/>
        <w:jc w:val="both"/>
        <w:rPr>
          <w:caps w:val="false"/>
          <w:smallCaps w:val="false"/>
        </w:rPr>
      </w:pPr>
      <w:r>
        <w:rPr>
          <w:caps w:val="false"/>
          <w:smallCaps w:val="false"/>
        </w:rPr>
        <w:t> </w:t>
      </w:r>
    </w:p>
    <w:p>
      <w:pPr>
        <w:pStyle w:val="TextBody"/>
        <w:bidi w:val="0"/>
        <w:spacing w:before="0" w:after="0"/>
        <w:ind w:left="139" w:right="139"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Notices and other communications provided to the Agent and the Lenders party hereto under this Agreement or any other Loan Document may be delivered or furnished by electronic communication (including email and Internet or intranet websites) pursuant to procedures approved by the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apply to notices to any Lender pursuant to Article 2 if such Lender has notified the Agent that it is incapable of receiving notices under such Section by electronic communication. The Agent or the Borrower may, in its discretion, agree to accept notices and other communications to it hereunder by electronic communications (including email and any E-System) pursuant to procedures approved by it. Unless otherwise agreed to in a writing by and among the parties to a particular communication, (i) notices and other communications sent to an email address shall be deemed received upon the sender’s receipt of an acknowledgment from the intended recipient (such as by the “return receipt requested” function, return email, or other written acknowledgment) and (ii) notices and other communications posted to any E-System shall be deemed received upon the deemed receipt by the intended recipient at its email address as described in the foregoing clause (i) of notification that such notice or other communication is available and identifying the website address therefore;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pStyle w:val="TextBody"/>
        <w:bidi w:val="0"/>
        <w:spacing w:before="0" w:after="0"/>
        <w:ind w:left="139" w:right="139" w:firstLine="1440"/>
        <w:jc w:val="both"/>
        <w:rPr>
          <w:caps w:val="false"/>
          <w:smallCaps w:val="false"/>
        </w:rPr>
      </w:pPr>
      <w:r>
        <w:rPr>
          <w:caps w:val="false"/>
          <w:smallCaps w:val="false"/>
        </w:rPr>
        <w:t> </w:t>
      </w:r>
    </w:p>
    <w:p>
      <w:pPr>
        <w:pStyle w:val="TextBody"/>
        <w:bidi w:val="0"/>
        <w:spacing w:before="0" w:after="0"/>
        <w:ind w:left="139" w:right="16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12.6    </w:t>
      </w:r>
      <w:r>
        <w:rPr>
          <w:rFonts w:ascii="Times New Roman;Times;Serif" w:hAnsi="Times New Roman;Times;Serif"/>
          <w:b w:val="false"/>
          <w:i w:val="false"/>
          <w:caps w:val="false"/>
          <w:smallCaps w:val="false"/>
          <w:sz w:val="20"/>
          <w:u w:val="single"/>
        </w:rPr>
        <w:t>Further Action</w:t>
      </w:r>
      <w:r>
        <w:rPr>
          <w:rFonts w:ascii="Times New Roman;Times;Serif" w:hAnsi="Times New Roman;Times;Serif"/>
          <w:b w:val="false"/>
          <w:i w:val="false"/>
          <w:caps w:val="false"/>
          <w:smallCaps w:val="false"/>
          <w:sz w:val="20"/>
        </w:rPr>
        <w:t>. The Borrower, from time to time, upon written request of the Agent will make, execute, acknowledge and deliver or cause to be made, executed, acknowledged and delivered, all such further and additional instruments, and take all such further action as may reasonably be required to carry out the intent and purpose of this Agreement or the Loan Documents, and to provide for Loans under and payment of the Notes, according to the intent and purpose herein and therein expressed.</w:t>
      </w:r>
    </w:p>
    <w:p>
      <w:pPr>
        <w:pStyle w:val="TextBody"/>
        <w:bidi w:val="0"/>
        <w:spacing w:before="0" w:after="0"/>
        <w:ind w:left="139" w:right="166"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2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12.7   </w:t>
      </w:r>
      <w:r>
        <w:rPr>
          <w:rFonts w:ascii="Times New Roman;Times;Serif" w:hAnsi="Times New Roman;Times;Serif"/>
          <w:b w:val="false"/>
          <w:i w:val="false"/>
          <w:caps w:val="false"/>
          <w:smallCaps w:val="false"/>
          <w:sz w:val="20"/>
          <w:u w:val="single"/>
        </w:rPr>
        <w:t>Successors and Assigns; Participations; Assignments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shall be binding upon and shall inure to the benefit of the Borrower and the Lenders and their respective successors and assigns.</w:t>
      </w:r>
    </w:p>
    <w:p>
      <w:pPr>
        <w:pStyle w:val="TextBody"/>
        <w:bidi w:val="0"/>
        <w:spacing w:before="0" w:after="0"/>
        <w:ind w:left="140" w:right="173" w:firstLine="1440"/>
        <w:jc w:val="both"/>
        <w:rPr>
          <w:caps w:val="false"/>
          <w:smallCaps w:val="false"/>
        </w:rPr>
      </w:pPr>
      <w:r>
        <w:rPr>
          <w:caps w:val="false"/>
          <w:smallCaps w:val="false"/>
        </w:rPr>
        <w:t> </w:t>
      </w:r>
    </w:p>
    <w:p>
      <w:pPr>
        <w:pStyle w:val="TextBody"/>
        <w:bidi w:val="0"/>
        <w:spacing w:before="0" w:after="0"/>
        <w:ind w:left="140" w:right="141"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foregoing shall not authorize any assignment by the Borrower of its rights or duties hereunder, and, except as otherwise provided herein, no such assignment shall be made (or be effective) without the prior written approval of the Lenders.</w:t>
      </w:r>
    </w:p>
    <w:p>
      <w:pPr>
        <w:pStyle w:val="TextBody"/>
        <w:bidi w:val="0"/>
        <w:spacing w:before="0" w:after="0"/>
        <w:ind w:left="140" w:right="141" w:firstLine="1440"/>
        <w:jc w:val="both"/>
        <w:rPr>
          <w:caps w:val="false"/>
          <w:smallCaps w:val="false"/>
        </w:rPr>
      </w:pPr>
      <w:r>
        <w:rPr>
          <w:caps w:val="false"/>
          <w:smallCaps w:val="false"/>
        </w:rPr>
        <w:t> </w:t>
      </w:r>
    </w:p>
    <w:p>
      <w:pPr>
        <w:pStyle w:val="TextBody"/>
        <w:bidi w:val="0"/>
        <w:spacing w:before="0" w:after="0"/>
        <w:ind w:left="139" w:right="15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Lenders may at any time assign or grant participations in such Lender’s rights and obligations hereunder and under the other Loan Documents except (i) by way of assignment to any Eligible Assignee in accordance with clause (d) of this Section, (ii) by way of a participation in accordance with the provisions of clause (e) of this Section 12.7 or (iii) by way of a pledge or assignment or grant of a security interest subject to the restrictions of clause (g) of this Section 12.7 (and any other attempted assignment or transfer by any Lender shall be deemed to be null and void); provided, that, notwithstanding anything to the contrary contained in this Agreement, (a) the Agent shall not be responsible or have any liability for, or have any duty to ascertain, inquire into, monitor or enforce, compliance with the provisions hereof relating to an Eligible Assignee and (b) the Borrower and the Lenders acknowledge and agree that the Agent shall have no responsibility or obligation to determine whether any Lender or potential Lender is an Eligible Assignee and that the Agent shall have no liability with respect to any assignment or participation made to any Person which is not an Eligible Assignee.</w:t>
      </w:r>
    </w:p>
    <w:p>
      <w:pPr>
        <w:pStyle w:val="TextBody"/>
        <w:bidi w:val="0"/>
        <w:spacing w:before="0" w:after="0"/>
        <w:ind w:left="139" w:right="152" w:firstLine="1440"/>
        <w:jc w:val="both"/>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assignment by a Lender of all or any portion of its rights and obligations hereunder and under the other Loan Documents, shall be subject to the following terms and conditions:</w:t>
      </w:r>
    </w:p>
    <w:p>
      <w:pPr>
        <w:pStyle w:val="TextBody"/>
        <w:bidi w:val="0"/>
        <w:spacing w:before="0" w:after="0"/>
        <w:ind w:left="140" w:right="173" w:firstLine="1440"/>
        <w:jc w:val="both"/>
        <w:rPr>
          <w:caps w:val="false"/>
          <w:smallCaps w:val="false"/>
        </w:rPr>
      </w:pPr>
      <w:r>
        <w:rPr>
          <w:caps w:val="false"/>
          <w:smallCaps w:val="false"/>
        </w:rPr>
        <w:t> </w:t>
      </w:r>
    </w:p>
    <w:p>
      <w:pPr>
        <w:pStyle w:val="TextBody"/>
        <w:bidi w:val="0"/>
        <w:spacing w:before="0" w:after="0"/>
        <w:ind w:left="139" w:right="173"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such assignment shall be made on a pro rata basis with respect to each Class of Term Loans, and shall be in a minimum amount of the lesser of Five Million Dollars ($5,000,000) (or such lesser amount as may be agreed to by the Agent or as shall constitute the aggregate amount of the Term Loan or Incremental Term Loans of a particular tranche of the assigning Lender) with respect to the assignment of Term Loans; and</w:t>
      </w:r>
    </w:p>
    <w:p>
      <w:pPr>
        <w:pStyle w:val="TextBody"/>
        <w:bidi w:val="0"/>
        <w:spacing w:before="0" w:after="0"/>
        <w:ind w:left="139" w:right="173" w:firstLine="2160"/>
        <w:jc w:val="both"/>
        <w:rPr>
          <w:caps w:val="false"/>
          <w:smallCaps w:val="false"/>
        </w:rPr>
      </w:pPr>
      <w:r>
        <w:rPr>
          <w:caps w:val="false"/>
          <w:smallCaps w:val="false"/>
        </w:rPr>
        <w:t> </w:t>
      </w:r>
    </w:p>
    <w:p>
      <w:pPr>
        <w:pStyle w:val="TextBody"/>
        <w:bidi w:val="0"/>
        <w:spacing w:before="0" w:after="0"/>
        <w:ind w:left="140" w:right="172"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parties to any assignment shall execute and deliver to the Agent an Assignment Agreement substantially (as determined by the Agent) in the form attached hereto as Exhibit B (with appropriate insertions acceptable to the Agent), together with a processing and recordation fee in the amount, if any, required as set forth in the Assignment Agreement, and any other documents as the Agent shall reasonably request from such assignee.</w:t>
      </w:r>
    </w:p>
    <w:p>
      <w:pPr>
        <w:pStyle w:val="TextBody"/>
        <w:bidi w:val="0"/>
        <w:spacing w:before="0" w:after="0"/>
        <w:ind w:left="140" w:right="172" w:firstLine="2160"/>
        <w:jc w:val="both"/>
        <w:rPr>
          <w:caps w:val="false"/>
          <w:smallCaps w:val="false"/>
        </w:rPr>
      </w:pPr>
      <w:r>
        <w:rPr>
          <w:caps w:val="false"/>
          <w:smallCaps w:val="false"/>
        </w:rPr>
        <w:t> </w:t>
      </w:r>
    </w:p>
    <w:p>
      <w:pPr>
        <w:pStyle w:val="TextBody"/>
        <w:bidi w:val="0"/>
        <w:spacing w:before="0" w:after="0"/>
        <w:ind w:left="139" w:right="171"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Assignment Agreement becomes effective in accordance with its terms and is recorded in the Register maintained by the Agent under clause (h) of this Section 12.7, and the Agent has confirmed that the assignment satisfies the requirements of this Section 12.7, the Borrower and the Agent shall be entitled to continue to deal solely and directly with the assigning Lender in connection with the interest so assigned. From and after the effective date of each Assignment Agreement that satisfies the requirements of this Section 12.7, the assignee thereunder shall be deemed to be a party to this Agreement, such assignee shall have the rights and obligations of a Lender under this Agreement and the other Loan Documents (including without limitation the right to receive fees payable hereunder in respect of the period following such assignment) and the assigning Lender shall relinquish its rights and be released from its obligations under this Agreement and the other Loan Documents.</w:t>
      </w:r>
    </w:p>
    <w:p>
      <w:pPr>
        <w:pStyle w:val="TextBody"/>
        <w:bidi w:val="0"/>
        <w:spacing w:before="0" w:after="0"/>
        <w:ind w:left="139" w:right="171" w:hanging="0"/>
        <w:jc w:val="both"/>
        <w:rPr>
          <w:caps w:val="false"/>
          <w:smallCaps w:val="false"/>
        </w:rPr>
      </w:pPr>
      <w:r>
        <w:rPr>
          <w:caps w:val="false"/>
          <w:smallCaps w:val="false"/>
        </w:rPr>
        <w:t> </w:t>
      </w:r>
    </w:p>
    <w:p>
      <w:pPr>
        <w:pStyle w:val="TextBody"/>
        <w:bidi w:val="0"/>
        <w:spacing w:before="0" w:after="0"/>
        <w:ind w:left="140" w:right="171"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request, the Borrower shall execute and deliver to the Agent, new Note(s) payable to the order of the assignee in an amount equal to the amount assigned to the assigning Lender pursuant to such Assignment Agreement, and with respect to the portion of the Indebtedness retained by the assigning</w:t>
      </w:r>
    </w:p>
    <w:p>
      <w:pPr>
        <w:pStyle w:val="TextBody"/>
        <w:bidi w:val="0"/>
        <w:spacing w:before="0" w:after="0"/>
        <w:ind w:left="140" w:right="171"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7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to the extent applicable, new Note(s) payable to the order of the assigning Lender in an amount equal to the amount retained by such Lender hereunder. The Agent, the Lenders and the Borrower acknowledges and agrees that any such new Note(s) shall be given in renewal and replacement of the Notes issued to the assigning lender prior to such assignment and shall not effect or constitute a novation or discharge of the Indebtedness evidenced by such prior Note, and each such new Note may contain a provision confirming such agreement.</w:t>
      </w:r>
    </w:p>
    <w:p>
      <w:pPr>
        <w:pStyle w:val="TextBody"/>
        <w:bidi w:val="0"/>
        <w:spacing w:before="0" w:after="0"/>
        <w:ind w:left="140" w:right="173" w:hanging="0"/>
        <w:jc w:val="both"/>
        <w:rPr>
          <w:caps w:val="false"/>
          <w:smallCaps w:val="false"/>
        </w:rPr>
      </w:pPr>
      <w:r>
        <w:rPr>
          <w:caps w:val="false"/>
          <w:smallCaps w:val="false"/>
        </w:rPr>
        <w:t> </w:t>
      </w:r>
    </w:p>
    <w:p>
      <w:pPr>
        <w:pStyle w:val="TextBody"/>
        <w:bidi w:val="0"/>
        <w:spacing w:before="0" w:after="0"/>
        <w:ind w:left="139"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and the Agent acknowledge that each of the Lenders may at any time and from time to time, subject to the terms and conditions hereof, grant participations in such Lender’s rights and obligations hereunder (on a pro rata basis only) and under the other Loan Documents to any Person (other than a natural person or to the Borrower or any of the Borrower’s Affiliates or Subsidiaries); provided that any participation permitted hereunder shall comply with all applicable laws and shall be subject to a participation agreement that incorporates the following restrictions:</w:t>
      </w:r>
    </w:p>
    <w:p>
      <w:pPr>
        <w:pStyle w:val="TextBody"/>
        <w:bidi w:val="0"/>
        <w:spacing w:before="0" w:after="0"/>
        <w:ind w:left="139" w:right="170" w:firstLine="1440"/>
        <w:jc w:val="both"/>
        <w:rPr>
          <w:caps w:val="false"/>
          <w:smallCaps w:val="false"/>
        </w:rPr>
      </w:pPr>
      <w:r>
        <w:rPr>
          <w:caps w:val="false"/>
          <w:smallCaps w:val="false"/>
        </w:rPr>
        <w:t> </w:t>
      </w:r>
    </w:p>
    <w:p>
      <w:pPr>
        <w:pStyle w:val="TextBody"/>
        <w:bidi w:val="0"/>
        <w:spacing w:before="0" w:after="0"/>
        <w:ind w:left="140" w:right="173"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Lender shall remain the holder of its Notes hereunder (if such Notes are issued), notwithstanding any such participation;</w:t>
      </w:r>
    </w:p>
    <w:p>
      <w:pPr>
        <w:pStyle w:val="TextBody"/>
        <w:bidi w:val="0"/>
        <w:spacing w:before="0" w:after="0"/>
        <w:ind w:left="140" w:right="173" w:firstLine="2160"/>
        <w:jc w:val="both"/>
        <w:rPr>
          <w:caps w:val="false"/>
          <w:smallCaps w:val="false"/>
        </w:rPr>
      </w:pPr>
      <w:r>
        <w:rPr>
          <w:caps w:val="false"/>
          <w:smallCaps w:val="false"/>
        </w:rPr>
        <w:t> </w:t>
      </w:r>
    </w:p>
    <w:p>
      <w:pPr>
        <w:pStyle w:val="TextBody"/>
        <w:bidi w:val="0"/>
        <w:spacing w:before="0" w:after="0"/>
        <w:ind w:left="140" w:right="17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participant shall not reassign or transfer, or grant any sub-participations in its participation interest hereunder or any part thereof;</w:t>
      </w:r>
    </w:p>
    <w:p>
      <w:pPr>
        <w:pStyle w:val="TextBody"/>
        <w:bidi w:val="0"/>
        <w:spacing w:before="0" w:after="0"/>
        <w:ind w:left="140" w:right="170" w:firstLine="2160"/>
        <w:jc w:val="both"/>
        <w:rPr>
          <w:caps w:val="false"/>
          <w:smallCaps w:val="false"/>
        </w:rPr>
      </w:pPr>
      <w:r>
        <w:rPr>
          <w:caps w:val="false"/>
          <w:smallCaps w:val="false"/>
        </w:rPr>
        <w:t> </w:t>
      </w:r>
    </w:p>
    <w:p>
      <w:pPr>
        <w:pStyle w:val="TextBody"/>
        <w:bidi w:val="0"/>
        <w:spacing w:before="0" w:after="0"/>
        <w:ind w:left="140" w:right="168"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such Lender shall retain the sole right and responsibility to enforce the obligations of the Credit Parties relating to the Notes and the other Loan Documents, including, without limitation, the right to proceed against any Guarantors, or cause the Agent to do so (subject to the terms and conditions hereof), and the right to approve any amendment, modification or waiver of any provision of this Agreement without the consent of the participant (unless such participant is an Affiliate of such Lender), except for those matters requiring the consent of each of the Lenders under Section 12.9(b) (provided that a participant may exercise approval rights over such matters only on an indirect basis, acting through such Lender and the Credit Parties, the Agent and the other Lenders may continue to deal directly with such Lender in connection with such Lender’s rights and duties hereunder). Notwithstanding the foregoing, however, in the case of any participation granted by any Lender hereunder, the participant shall not have any rights under this Agreement or any of the other Loan Documents against the Agent, any other Lender or any Credit Party; provided, however that the participant may have rights against such Lender in respect of such participation as may be set forth in the applicable participation agreement and all amounts payable by the Borrower and Guarantors hereunder shall be determined as if such Lender had not sold such participation. Each such participant shall be entitled to the benefits of Article 10 of this Agreement to the same extent as if it were a Lender and had acquired its interest by assignment pursuant to clause (d) of this Section, provided that no participant shall be entitled to receive any greater amount pursuant to such the provisions of Article 10 than the issuing Lender would have been entitled to receive in respect of the amount of the participation transferred by such issuing Lender to such participant had no such transfer occurred, except to the extent that such entitlement to receive any greater payment results from a Change in Law that occurs after the participant acquired the applicable participation, and each such participant shall also be entitled to the benefits of Section 8.6 hereof as though it were a Lender, provided that such participant agrees to be subject to Section 9.3 hereof as though it were a Lender; and</w:t>
      </w:r>
    </w:p>
    <w:p>
      <w:pPr>
        <w:pStyle w:val="TextBody"/>
        <w:bidi w:val="0"/>
        <w:spacing w:before="0" w:after="0"/>
        <w:ind w:left="140" w:right="168" w:firstLine="2160"/>
        <w:jc w:val="both"/>
        <w:rPr>
          <w:caps w:val="false"/>
          <w:smallCaps w:val="false"/>
        </w:rPr>
      </w:pPr>
      <w:r>
        <w:rPr>
          <w:caps w:val="false"/>
          <w:smallCaps w:val="false"/>
        </w:rPr>
        <w:t> </w:t>
      </w:r>
    </w:p>
    <w:p>
      <w:pPr>
        <w:pStyle w:val="TextBody"/>
        <w:bidi w:val="0"/>
        <w:spacing w:before="0" w:after="0"/>
        <w:ind w:left="140" w:right="175"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participant shall provide the relevant tax form required under Section 12.12 to its participating Lender.</w:t>
      </w:r>
    </w:p>
    <w:p>
      <w:pPr>
        <w:pStyle w:val="TextBody"/>
        <w:bidi w:val="0"/>
        <w:spacing w:before="0" w:after="0"/>
        <w:ind w:left="140" w:right="175" w:firstLine="2160"/>
        <w:jc w:val="both"/>
        <w:rPr>
          <w:caps w:val="false"/>
          <w:smallCaps w:val="false"/>
        </w:rPr>
      </w:pPr>
      <w:r>
        <w:rPr>
          <w:caps w:val="false"/>
          <w:smallCaps w:val="false"/>
        </w:rPr>
        <w:t> </w:t>
      </w:r>
    </w:p>
    <w:p>
      <w:pPr>
        <w:pStyle w:val="TextBody"/>
        <w:bidi w:val="0"/>
        <w:spacing w:before="0" w:after="0"/>
        <w:ind w:left="139"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w:t>
      </w:r>
    </w:p>
    <w:p>
      <w:pPr>
        <w:pStyle w:val="TextBody"/>
        <w:bidi w:val="0"/>
        <w:spacing w:before="0" w:after="0"/>
        <w:ind w:left="139" w:right="172"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9" w:right="13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obligations under the Loan Documents (the “</w:t>
      </w:r>
      <w:r>
        <w:rPr>
          <w:rFonts w:ascii="Times New Roman;Times;Serif" w:hAnsi="Times New Roman;Times;Serif"/>
          <w:b/>
          <w:i w:val="false"/>
          <w:caps w:val="false"/>
          <w:smallCaps w:val="false"/>
          <w:sz w:val="20"/>
        </w:rPr>
        <w:t>Participant Register</w:t>
      </w:r>
      <w:r>
        <w:rPr>
          <w:rFonts w:ascii="Times New Roman;Times;Serif" w:hAnsi="Times New Roman;Times;Serif"/>
          <w:b w:val="false"/>
          <w:i w:val="false"/>
          <w:caps w:val="false"/>
          <w:smallCaps w:val="false"/>
          <w:sz w:val="20"/>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and Section 163(f), 871(h)(2) and 881(c)(2) of the Internal Revenue Code.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w:t>
      </w:r>
    </w:p>
    <w:p>
      <w:pPr>
        <w:pStyle w:val="TextBody"/>
        <w:bidi w:val="0"/>
        <w:spacing w:before="0" w:after="0"/>
        <w:ind w:left="139" w:right="138" w:hanging="0"/>
        <w:jc w:val="both"/>
        <w:rPr>
          <w:caps w:val="false"/>
          <w:smallCaps w:val="false"/>
        </w:rPr>
      </w:pPr>
      <w:r>
        <w:rPr>
          <w:caps w:val="false"/>
          <w:smallCaps w:val="false"/>
        </w:rPr>
        <w:t> </w:t>
      </w:r>
    </w:p>
    <w:p>
      <w:pPr>
        <w:pStyle w:val="TextBody"/>
        <w:bidi w:val="0"/>
        <w:spacing w:before="0" w:after="0"/>
        <w:ind w:left="140" w:right="169"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Lender may at any time pledge or assign or grant a security interest in all or any portion of its rights under this Agreement (including its Notes, if any) or any other Loan Document to secure obligations or indebtedness of such Lender, including any pledge or assignment or grant to secure obligations to a Federal Reserve Bank or other third party lender, without notice to or consent of the Borrower or the Agent; provided that no such pledge or assignment shall release such Lender from any of its obligations hereunder or substitute any such pledge or assignee for such Lender as a party hereto (except in connection with the exercise of remedies by such pledgee or assignee or grantee with respect to the obligations or indebtedness of such Lender).</w:t>
      </w:r>
    </w:p>
    <w:p>
      <w:pPr>
        <w:pStyle w:val="TextBody"/>
        <w:bidi w:val="0"/>
        <w:spacing w:before="0" w:after="0"/>
        <w:ind w:left="140" w:right="169" w:firstLine="1440"/>
        <w:jc w:val="both"/>
        <w:rPr>
          <w:caps w:val="false"/>
          <w:smallCaps w:val="false"/>
        </w:rPr>
      </w:pPr>
      <w:r>
        <w:rPr>
          <w:caps w:val="false"/>
          <w:smallCaps w:val="false"/>
        </w:rPr>
        <w:t> </w:t>
      </w:r>
    </w:p>
    <w:p>
      <w:pPr>
        <w:pStyle w:val="TextBody"/>
        <w:bidi w:val="0"/>
        <w:spacing w:before="0" w:after="0"/>
        <w:ind w:left="140" w:right="12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Borrower hereby designates the Agent, and Agent agrees to serve, as the Borrower’s non-fiduciary agent solely for purposes of this Section 12.7(h) to maintain at its principal office in the United States a copy of each Assignment Agreement delivered to it and a register (the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for the recordation of the names and addresses of the Lenders and the principal amount of each type of Loan owing to each such Lender from time to time. The entries in the Register shall be conclusive evidence, absent manifest error, and the Borrower, the Agent, and the Lenders shall treat each Person whose name is recorded in the Register as the owner of the Loans recorded therein for all  purposes of this Agreement. The Register shall be available for inspection by the Borrower or any Lender (but only with respect to any entry relating to the principal amounts owing to such Lender) upon reasonable notice to the Agent and a copy of such information shall be provided to any such party on  their prior written request. The Agent shall give prompt written notice to the Borrower of the making of any entry in the Register or any change in such entry. This Section 12.7(h) shall be construed so that the Loans are at all times maintained in “registered form” within the meaning of Section 5f.103-1(c) of the United States Treasury Regulations and Sections 163(f), 871(h)(2) and 881(c)(2) of the Internal Revenue Code.</w:t>
      </w:r>
    </w:p>
    <w:p>
      <w:pPr>
        <w:pStyle w:val="TextBody"/>
        <w:bidi w:val="0"/>
        <w:spacing w:before="0" w:after="0"/>
        <w:ind w:left="140" w:right="123" w:firstLine="1440"/>
        <w:jc w:val="both"/>
        <w:rPr>
          <w:caps w:val="false"/>
          <w:smallCaps w:val="false"/>
        </w:rPr>
      </w:pPr>
      <w:r>
        <w:rPr>
          <w:caps w:val="false"/>
          <w:smallCaps w:val="false"/>
        </w:rPr>
        <w:t> </w:t>
      </w:r>
    </w:p>
    <w:p>
      <w:pPr>
        <w:pStyle w:val="TextBody"/>
        <w:bidi w:val="0"/>
        <w:spacing w:before="0" w:after="0"/>
        <w:ind w:left="140" w:right="15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authorizes each Lender to disclose to any prospective assignee or participant which has satisfied the requirements hereunder, any and all financial information in such Lender’s possession concerning the Credit Parties which has been delivered to such Lender pursuant to this Agreement, provided that each such prospective assignee or participant shall execute a confidentiality agreement consistent with the terms of Section 12.10 hereof or shall otherwise agree to be bound by the terms thereof.</w:t>
      </w:r>
    </w:p>
    <w:p>
      <w:pPr>
        <w:pStyle w:val="TextBody"/>
        <w:bidi w:val="0"/>
        <w:spacing w:before="0" w:after="0"/>
        <w:ind w:left="140" w:right="157" w:firstLine="1440"/>
        <w:jc w:val="both"/>
        <w:rPr>
          <w:caps w:val="false"/>
          <w:smallCaps w:val="false"/>
        </w:rPr>
      </w:pPr>
      <w:r>
        <w:rPr>
          <w:caps w:val="false"/>
          <w:smallCaps w:val="false"/>
        </w:rPr>
        <w:t> </w:t>
      </w:r>
    </w:p>
    <w:p>
      <w:pPr>
        <w:pStyle w:val="TextBody"/>
        <w:bidi w:val="0"/>
        <w:spacing w:before="0" w:after="0"/>
        <w:ind w:left="140" w:right="139"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Nothing in this Agreement, the Notes or the other Loan Documents, expressed or implied, is intended to or shall confer on any Person other than the respective parties hereto and thereto and their successors and assignees and participants permitted hereunder and thereunder any benefit or  any legal or equitable right, remedy or other claim under this Agreement, the Notes or the other Loan Documents.</w:t>
      </w:r>
    </w:p>
    <w:p>
      <w:pPr>
        <w:pStyle w:val="TextBody"/>
        <w:bidi w:val="0"/>
        <w:spacing w:before="0" w:after="0"/>
        <w:ind w:left="140" w:right="139"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9" w:right="1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12.8   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several counterparts, and each executed copy shall constitute an original instrument, but such counterparts shall together constitute but one and the same instrument. The words “execution,” “execute”, “signed,” “signature,” and words of  like import in or related to any document to be signed in connection with this Agreement and the transactions contemplated hereby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Agent is under no obligation to agree to accept electronic signatures in any form or in any format unless expressly agreed to by the Agent pursuant to procedures approved by it.</w:t>
      </w:r>
    </w:p>
    <w:p>
      <w:pPr>
        <w:pStyle w:val="TextBody"/>
        <w:bidi w:val="0"/>
        <w:spacing w:before="0" w:after="0"/>
        <w:ind w:left="139" w:right="172" w:firstLine="720"/>
        <w:jc w:val="both"/>
        <w:rPr>
          <w:caps w:val="false"/>
          <w:smallCaps w:val="false"/>
        </w:rPr>
      </w:pPr>
      <w:r>
        <w:rPr>
          <w:caps w:val="false"/>
          <w:smallCaps w:val="false"/>
        </w:rPr>
        <w:t> </w:t>
      </w:r>
    </w:p>
    <w:p>
      <w:pPr>
        <w:pStyle w:val="TextBody"/>
        <w:bidi w:val="0"/>
        <w:spacing w:before="0" w:after="0"/>
        <w:ind w:left="140" w:right="12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12.9   </w:t>
      </w:r>
      <w:r>
        <w:rPr>
          <w:rFonts w:ascii="Times New Roman;Times;Serif" w:hAnsi="Times New Roman;Times;Serif"/>
          <w:b w:val="false"/>
          <w:i w:val="false"/>
          <w:caps w:val="false"/>
          <w:smallCaps w:val="false"/>
          <w:sz w:val="20"/>
          <w:u w:val="single"/>
        </w:rPr>
        <w:t>Amendment and Waiver</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39"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amendment or waiver of any provision of this Agreement or any other Loan Document, nor consent to any departure by any Credit Party therefrom, shall in any event be effective unless the same shall be in writing and signed by the Agent and the Majority Lenders (or by the Agent at the written request of the Majority Lenders) (except with respect to the Fee Letter, which shall only require the consent of the parties thereto) or, if this Agreement expressly so requires with respect to the subject matter thereof, by all Lenders (and, with respect to any amendments to this Agreement or the other Loan Documents, by any Credit Party or the Guarantors that are signatories thereto), and then such waiver or consent shall be effective only in the specific instance and for the specific purpose for which given. All references in this Agreement to “Lenders” or “the Lenders” shall refer to all Lenders, unless expressly stated to refer to Majority Lenders (or the like).</w:t>
      </w:r>
    </w:p>
    <w:p>
      <w:pPr>
        <w:pStyle w:val="TextBody"/>
        <w:bidi w:val="0"/>
        <w:spacing w:before="0" w:after="0"/>
        <w:ind w:left="139" w:right="170" w:firstLine="1440"/>
        <w:jc w:val="both"/>
        <w:rPr>
          <w:caps w:val="false"/>
          <w:smallCaps w:val="false"/>
        </w:rPr>
      </w:pPr>
      <w:r>
        <w:rPr>
          <w:caps w:val="false"/>
          <w:smallCaps w:val="false"/>
        </w:rPr>
        <w:t> </w:t>
      </w:r>
    </w:p>
    <w:p>
      <w:pPr>
        <w:pStyle w:val="TextBody"/>
        <w:bidi w:val="0"/>
        <w:spacing w:before="0" w:after="0"/>
        <w:ind w:left="139" w:right="17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herein,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27"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amendment, waiver or consent shall increase the stated amount of any Lender’s commitment hereunder without such Lender’s consent;</w:t>
      </w:r>
    </w:p>
    <w:p>
      <w:pPr>
        <w:pStyle w:val="TextBody"/>
        <w:bidi w:val="0"/>
        <w:spacing w:before="0" w:after="0"/>
        <w:ind w:left="140" w:right="127" w:firstLine="2160"/>
        <w:jc w:val="left"/>
        <w:rPr>
          <w:caps w:val="false"/>
          <w:smallCaps w:val="false"/>
        </w:rPr>
      </w:pPr>
      <w:r>
        <w:rPr>
          <w:caps w:val="false"/>
          <w:smallCaps w:val="false"/>
        </w:rPr>
        <w:t> </w:t>
      </w:r>
    </w:p>
    <w:p>
      <w:pPr>
        <w:pStyle w:val="TextBody"/>
        <w:bidi w:val="0"/>
        <w:spacing w:before="0" w:after="0"/>
        <w:ind w:left="140" w:right="17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amendment, waiver or consent shall, unless in writing and signed by the Lender or Lenders holding Indebtedness directly affected thereby, do any of the following:</w:t>
      </w:r>
    </w:p>
    <w:p>
      <w:pPr>
        <w:pStyle w:val="TextBody"/>
        <w:bidi w:val="0"/>
        <w:spacing w:before="0" w:after="0"/>
        <w:ind w:left="140" w:right="170" w:firstLine="2160"/>
        <w:jc w:val="left"/>
        <w:rPr>
          <w:caps w:val="false"/>
          <w:smallCaps w:val="false"/>
        </w:rPr>
      </w:pPr>
      <w:r>
        <w:rPr>
          <w:caps w:val="false"/>
          <w:smallCaps w:val="false"/>
        </w:rPr>
        <w:t> </w:t>
      </w:r>
    </w:p>
    <w:p>
      <w:pPr>
        <w:pStyle w:val="TextBody"/>
        <w:bidi w:val="0"/>
        <w:spacing w:before="0" w:after="0"/>
        <w:ind w:left="140" w:right="169"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reduce the principal of, or interest (other than any waiver of any increase in the interest rate applicable to any Loan pursuant to Section 2.6(d)) on, any outstanding Indebtedness or any Fees or other amounts payable hereunder (including any Prepayment Premium),</w:t>
      </w:r>
    </w:p>
    <w:p>
      <w:pPr>
        <w:pStyle w:val="TextBody"/>
        <w:bidi w:val="0"/>
        <w:spacing w:before="0" w:after="0"/>
        <w:ind w:left="140" w:right="169" w:firstLine="2880"/>
        <w:jc w:val="both"/>
        <w:rPr>
          <w:caps w:val="false"/>
          <w:smallCaps w:val="false"/>
        </w:rPr>
      </w:pPr>
      <w:r>
        <w:rPr>
          <w:caps w:val="false"/>
          <w:smallCaps w:val="false"/>
        </w:rPr>
        <w:t> </w:t>
      </w:r>
    </w:p>
    <w:p>
      <w:pPr>
        <w:pStyle w:val="TextBody"/>
        <w:bidi w:val="0"/>
        <w:spacing w:before="0" w:after="0"/>
        <w:ind w:left="140" w:right="17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postpone any date fixed for any payment of principal of, or interest on, any outstanding Indebtedness or any Fees or other amounts payable hereunder (including any Prepayment Premium),</w:t>
      </w:r>
    </w:p>
    <w:p>
      <w:pPr>
        <w:pStyle w:val="TextBody"/>
        <w:bidi w:val="0"/>
        <w:spacing w:before="0" w:after="0"/>
        <w:ind w:left="140" w:right="170" w:firstLine="2880"/>
        <w:jc w:val="both"/>
        <w:rPr>
          <w:caps w:val="false"/>
          <w:smallCaps w:val="false"/>
        </w:rPr>
      </w:pPr>
      <w:r>
        <w:rPr>
          <w:caps w:val="false"/>
          <w:smallCaps w:val="false"/>
        </w:rPr>
        <w:t> </w:t>
      </w:r>
    </w:p>
    <w:p>
      <w:pPr>
        <w:pStyle w:val="TextBody"/>
        <w:bidi w:val="0"/>
        <w:spacing w:before="0" w:after="0"/>
        <w:ind w:left="139" w:right="17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change any of the provisions of this Section 12.9 or the definition of “Majority Lenders” or any other provision of any Loan Document specifying the number or percentage of Lenders required to waive, amend or modify any rights thereunder or make any determination or grant any consent thereunder; provided that changes to the definition of “Majority Lenders” may be made with the consent of only the Majority Lenders to include the Lenders holding any</w:t>
      </w:r>
    </w:p>
    <w:p>
      <w:pPr>
        <w:pStyle w:val="TextBody"/>
        <w:bidi w:val="0"/>
        <w:spacing w:before="0" w:after="0"/>
        <w:ind w:left="139" w:right="170" w:firstLine="28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credit facilities that are added to this Agreement with the approval of the appropriate Lenders, and</w:t>
      </w:r>
    </w:p>
    <w:p>
      <w:pPr>
        <w:pStyle w:val="TextBody"/>
        <w:bidi w:val="0"/>
        <w:spacing w:before="0" w:after="0"/>
        <w:ind w:left="140" w:right="0" w:hanging="0"/>
        <w:jc w:val="left"/>
        <w:rPr>
          <w:caps w:val="false"/>
          <w:smallCaps w:val="false"/>
        </w:rPr>
      </w:pPr>
      <w:r>
        <w:rPr>
          <w:caps w:val="false"/>
          <w:smallCaps w:val="false"/>
        </w:rPr>
        <w:t> </w:t>
      </w:r>
    </w:p>
    <w:p>
      <w:pPr>
        <w:pStyle w:val="TextBody"/>
        <w:bidi w:val="0"/>
        <w:spacing w:before="0" w:after="0"/>
        <w:ind w:left="139" w:right="17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amend the definition of “Pro Rata Share”;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7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 waiver of a mandatory prepayment, </w:t>
      </w:r>
      <w:r>
        <w:rPr>
          <w:rFonts w:ascii="Times New Roman;Times;Serif" w:hAnsi="Times New Roman;Times;Serif"/>
          <w:b w:val="false"/>
          <w:i w:val="false"/>
          <w:caps w:val="false"/>
          <w:smallCaps w:val="false"/>
          <w:sz w:val="20"/>
          <w:u w:val="single"/>
        </w:rPr>
        <w:t>Section 2.11(b)(v)</w:t>
      </w:r>
      <w:r>
        <w:rPr>
          <w:rFonts w:ascii="Times New Roman;Times;Serif" w:hAnsi="Times New Roman;Times;Serif"/>
          <w:b w:val="false"/>
          <w:i w:val="false"/>
          <w:caps w:val="false"/>
          <w:smallCaps w:val="false"/>
          <w:sz w:val="20"/>
        </w:rPr>
        <w:t xml:space="preserve"> or any Default or Event of Default shall be subject only to the consent of the Majority Lenders;</w:t>
      </w:r>
    </w:p>
    <w:p>
      <w:pPr>
        <w:pStyle w:val="TextBody"/>
        <w:bidi w:val="0"/>
        <w:spacing w:before="0" w:after="0"/>
        <w:ind w:left="140" w:right="171" w:hanging="0"/>
        <w:jc w:val="left"/>
        <w:rPr>
          <w:caps w:val="false"/>
          <w:smallCaps w:val="false"/>
        </w:rPr>
      </w:pPr>
      <w:r>
        <w:rPr>
          <w:caps w:val="false"/>
          <w:smallCaps w:val="false"/>
        </w:rPr>
        <w:t> </w:t>
      </w:r>
    </w:p>
    <w:p>
      <w:pPr>
        <w:pStyle w:val="TextBody"/>
        <w:bidi w:val="0"/>
        <w:spacing w:before="0" w:after="0"/>
        <w:ind w:left="140" w:right="17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amendment, waiver or consent shall, unless in writing and signed by all Lenders, do any of the following:</w:t>
      </w:r>
    </w:p>
    <w:p>
      <w:pPr>
        <w:pStyle w:val="TextBody"/>
        <w:bidi w:val="0"/>
        <w:spacing w:before="0" w:after="0"/>
        <w:ind w:left="140" w:right="170" w:firstLine="2160"/>
        <w:jc w:val="both"/>
        <w:rPr>
          <w:caps w:val="false"/>
          <w:smallCaps w:val="false"/>
        </w:rPr>
      </w:pPr>
      <w:r>
        <w:rPr>
          <w:caps w:val="false"/>
          <w:smallCaps w:val="false"/>
        </w:rPr>
        <w:t> </w:t>
      </w:r>
    </w:p>
    <w:p>
      <w:pPr>
        <w:pStyle w:val="TextBody"/>
        <w:bidi w:val="0"/>
        <w:spacing w:before="0" w:after="0"/>
        <w:ind w:left="140" w:right="17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expressly permitted hereunder or under the Collateral Documents, release all or substantially all of the Collateral (provided that neither the Agent nor any Lender shall be prohibited thereby from proposing or participating in a consensual or nonconsensual debtor-in-possession or similar financing), or release any material guaranty provided by any Person in favor of the Agent and the Lenders, provided however that the Agent shall be entitled, without notice to or any further action or consent of the Lenders, to release any Collateral which any Credit Party is permitted to sell, assign or otherwise transfer in compliance with this Agreement or the other Loan Documents (to a Person that is not the Borrower or a Guarantor) or release any guaranty to the extent expressly permitted by Section 11.11(b)(iii) of this Agreement,</w:t>
      </w:r>
    </w:p>
    <w:p>
      <w:pPr>
        <w:pStyle w:val="TextBody"/>
        <w:bidi w:val="0"/>
        <w:spacing w:before="0" w:after="0"/>
        <w:ind w:left="140" w:right="170" w:firstLine="2880"/>
        <w:jc w:val="both"/>
        <w:rPr>
          <w:caps w:val="false"/>
          <w:smallCaps w:val="false"/>
        </w:rPr>
      </w:pPr>
      <w:r>
        <w:rPr>
          <w:caps w:val="false"/>
          <w:smallCaps w:val="false"/>
        </w:rPr>
        <w:t> </w:t>
      </w:r>
    </w:p>
    <w:p>
      <w:pPr>
        <w:pStyle w:val="TextBody"/>
        <w:bidi w:val="0"/>
        <w:spacing w:before="0" w:after="0"/>
        <w:ind w:left="140" w:right="172"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modify, directly or indirectly, Section 9.2, Section 9.3 hereof or any other provision herein or in the other Loan Documents receiving the pro rata treatment of Lenders in a manner that would alter the priorities set forth therein or the pro rata sharing of payments required thereby, or</w:t>
      </w:r>
    </w:p>
    <w:p>
      <w:pPr>
        <w:pStyle w:val="TextBody"/>
        <w:bidi w:val="0"/>
        <w:spacing w:before="0" w:after="0"/>
        <w:ind w:left="140" w:right="172" w:firstLine="2880"/>
        <w:jc w:val="both"/>
        <w:rPr>
          <w:caps w:val="false"/>
          <w:smallCaps w:val="false"/>
        </w:rPr>
      </w:pPr>
      <w:r>
        <w:rPr>
          <w:caps w:val="false"/>
          <w:smallCaps w:val="false"/>
        </w:rPr>
        <w:t> </w:t>
      </w:r>
    </w:p>
    <w:p>
      <w:pPr>
        <w:pStyle w:val="TextBody"/>
        <w:bidi w:val="0"/>
        <w:spacing w:before="0" w:after="0"/>
        <w:ind w:left="140" w:right="17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expressly permitted in Section 11.11(b)(2), subordinate the Indebtedness hereunder or the Liens granted hereunder or under the other Loan Documents, to any other Debt (other than the Senior Debt) or obligation or Lien (other than the Liens in favor of the Senior Agent under the Senior Loan Documents), as the case may be;</w:t>
      </w:r>
    </w:p>
    <w:p>
      <w:pPr>
        <w:pStyle w:val="TextBody"/>
        <w:bidi w:val="0"/>
        <w:spacing w:before="0" w:after="0"/>
        <w:ind w:left="140" w:right="170" w:firstLine="2880"/>
        <w:jc w:val="both"/>
        <w:rPr>
          <w:caps w:val="false"/>
          <w:smallCaps w:val="false"/>
        </w:rPr>
      </w:pPr>
      <w:r>
        <w:rPr>
          <w:caps w:val="false"/>
          <w:smallCaps w:val="false"/>
        </w:rPr>
        <w:t> </w:t>
      </w:r>
    </w:p>
    <w:p>
      <w:pPr>
        <w:pStyle w:val="TextBody"/>
        <w:bidi w:val="0"/>
        <w:spacing w:before="0" w:after="0"/>
        <w:ind w:left="140" w:right="161"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amendment, waiver, or consent that will affect the rights or duties of the Agent under this Agreement or any other Loan Document, shall require the written concurrence of  the Agent; and</w:t>
      </w:r>
    </w:p>
    <w:p>
      <w:pPr>
        <w:pStyle w:val="TextBody"/>
        <w:bidi w:val="0"/>
        <w:spacing w:before="0" w:after="0"/>
        <w:ind w:left="140" w:right="161" w:firstLine="2160"/>
        <w:jc w:val="both"/>
        <w:rPr>
          <w:caps w:val="false"/>
          <w:smallCaps w:val="false"/>
        </w:rPr>
      </w:pPr>
      <w:r>
        <w:rPr>
          <w:caps w:val="false"/>
          <w:smallCaps w:val="false"/>
        </w:rPr>
        <w:t> </w:t>
      </w:r>
    </w:p>
    <w:p>
      <w:pPr>
        <w:pStyle w:val="TextBody"/>
        <w:bidi w:val="0"/>
        <w:spacing w:before="0" w:after="0"/>
        <w:ind w:left="140" w:right="128"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amendment, waiver, consent or other modification to this Agreement to permit the formation or other existence of the direct parent entity of the Borrower shall require the written consent of the Agent in its sole discretion.</w:t>
      </w:r>
    </w:p>
    <w:p>
      <w:pPr>
        <w:pStyle w:val="TextBody"/>
        <w:bidi w:val="0"/>
        <w:spacing w:before="0" w:after="0"/>
        <w:ind w:left="140" w:right="128" w:firstLine="2160"/>
        <w:jc w:val="both"/>
        <w:rPr>
          <w:caps w:val="false"/>
          <w:smallCaps w:val="false"/>
        </w:rPr>
      </w:pPr>
      <w:r>
        <w:rPr>
          <w:caps w:val="false"/>
          <w:smallCaps w:val="false"/>
        </w:rPr>
        <w:t> </w:t>
      </w:r>
    </w:p>
    <w:p>
      <w:pPr>
        <w:pStyle w:val="TextBody"/>
        <w:bidi w:val="0"/>
        <w:spacing w:before="0" w:after="0"/>
        <w:ind w:left="140" w:right="129"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herein, no Defaulting Lender  shall have any right to approve or disapprove of any amendment, consent, waiver or any other modification to any Loan Document (and all amendments, consents, waivers and other modifications may be effected without the consent of the Defaulting Lenders), except that the foregoing shall not permit, in each case without such Defaulting Lender’s consent, (i) an increase in such Defaulting Lender’s stated commitment amounts, (ii) the waiver, forgiveness or reduction of the principal amount of any Indebtedness owing to such Defaulting Lender (unless all other Lenders affected thereby are treated similarly), (iii) the  extension of the final maturity date(s) of such Defaulting Lenders’ portion of any of the Indebtedness (including any Prepayment Premium) or the extension of any commitment to extend credit of such Defaulting Lender, or (iv) any other modification which requires the consent of all Lenders or the Lender(s) affected thereby which affects such Defaulting Lender more adversely than the other affected</w:t>
      </w:r>
    </w:p>
    <w:p>
      <w:pPr>
        <w:pStyle w:val="TextBody"/>
        <w:bidi w:val="0"/>
        <w:spacing w:before="0" w:after="0"/>
        <w:ind w:left="140" w:right="129"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0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Lenders (other than a modification which results in a reduction of repayment of any amounts owing to such Defaulting Lender on a non pro-rata basis).</w:t>
      </w:r>
    </w:p>
    <w:p>
      <w:pPr>
        <w:pStyle w:val="TextBody"/>
        <w:bidi w:val="0"/>
        <w:spacing w:before="0" w:after="0"/>
        <w:ind w:left="140" w:right="102" w:hanging="0"/>
        <w:jc w:val="left"/>
        <w:rPr>
          <w:caps w:val="false"/>
          <w:smallCaps w:val="false"/>
        </w:rPr>
      </w:pPr>
      <w:r>
        <w:rPr>
          <w:caps w:val="false"/>
          <w:smallCaps w:val="false"/>
        </w:rPr>
        <w:t> </w:t>
      </w:r>
    </w:p>
    <w:p>
      <w:pPr>
        <w:pStyle w:val="TextBody"/>
        <w:bidi w:val="0"/>
        <w:spacing w:before="0" w:after="0"/>
        <w:ind w:left="140" w:right="118"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Agent shall, upon the written request of the Borrower, execute and deliver to the Credit Parties such documents as may be necessary to evidence (1) the release of any Lien granted to or held by the Agent upon any Collateral: (a) upon termination of the Commitments and payment in full of all Indebtedness (including any Prepayment Premium) payable under this Agreement and under any other Loan Document; (b) which constitutes property (including, without limitation, Equity Interests in any Person) sold or to be sold or disposed of as part of or in connection with any disposition (whether by sale, by merger or by any other form of transaction and including the property of any Subsidiary that is disposed of as permitted hereby) permitted in accordance with the terms of this Agreement to a Person that is not the Borrower or a Guarantor, subject to Section 12.9(d)(2) below; (c) which constitutes property in which a Credit Party owned no interest at the time the Lien was granted or at any time thereafter; or (d) if approved, authorized or ratified in writing by the Majority Lenders, or  all  the Lenders, as the case may be, as provided in this Section 12.9; or (2) the release of any Person from its obligations under the Loan Documents (including without limitation the Guaranty) if all of the Equity Interests of such Person that were held by a Credit Party are sold or otherwise transferred to any transferee other than the Borrower, an Affiliate of the Borrower or a Subsidiary of the Borrower as part  of or in connection with any disposition (whether by sale, by merger or by any other form of transaction) permitted in accordance with the terms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Agent shall not be required to execute any such release or subordination agreement under clauses (1) or (2) above on terms which, in the Agent’s opinion, would expose the Agent to liability or create any obligation or entail any consequence other than the release of such Liens without recourse or warranty or such release shall not in any manner discharge, affect or impair the Indebtedness (including any Prepayment Premium) or any Liens upon any Collateral retained by any Credit Party, including (without limitation) the proceeds of the sale or other disposition, all of which shall constitute and remain part of the Collateral.</w:t>
      </w:r>
    </w:p>
    <w:p>
      <w:pPr>
        <w:pStyle w:val="TextBody"/>
        <w:bidi w:val="0"/>
        <w:spacing w:before="0" w:after="0"/>
        <w:ind w:left="140" w:right="118" w:firstLine="1440"/>
        <w:jc w:val="both"/>
        <w:rPr>
          <w:caps w:val="false"/>
          <w:smallCaps w:val="false"/>
        </w:rPr>
      </w:pPr>
      <w:r>
        <w:rPr>
          <w:caps w:val="false"/>
          <w:smallCaps w:val="false"/>
        </w:rPr>
        <w:t> </w:t>
      </w:r>
    </w:p>
    <w:p>
      <w:pPr>
        <w:pStyle w:val="TextBody"/>
        <w:bidi w:val="0"/>
        <w:spacing w:before="0" w:after="0"/>
        <w:ind w:left="140" w:right="15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to the contrary herein the Agent may, with the consent of the Borrower only, amend, modify or supplement this Agreement or any of the other Loan Documents to cure any ambiguity, omission, mistake, defect or inconsistency.</w:t>
      </w:r>
    </w:p>
    <w:p>
      <w:pPr>
        <w:pStyle w:val="TextBody"/>
        <w:bidi w:val="0"/>
        <w:spacing w:before="0" w:after="0"/>
        <w:ind w:left="140" w:right="153" w:firstLine="1440"/>
        <w:jc w:val="both"/>
        <w:rPr>
          <w:caps w:val="false"/>
          <w:smallCaps w:val="false"/>
        </w:rPr>
      </w:pPr>
      <w:r>
        <w:rPr>
          <w:caps w:val="false"/>
          <w:smallCaps w:val="false"/>
        </w:rPr>
        <w:t> </w:t>
      </w:r>
    </w:p>
    <w:p>
      <w:pPr>
        <w:pStyle w:val="TextBody"/>
        <w:bidi w:val="0"/>
        <w:spacing w:before="0" w:after="0"/>
        <w:ind w:left="139" w:right="171"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the foregoing, no amendment and restatement of this Agreement which is in all other respects approved by the Lenders in accordance with this Section 12.9 shall require the consent or approval of any Lender (i) which immediately after giving effect to such amendment and restatement, shall have no commitment or other obligation to maintain or extend credit under this Agreement (as so amended and restated) and (ii) which, substantially contemporaneously with the effectiveness of such amendment and restatement, shall have received payment in full of all Indebtedness (including any Prepayment Premium) owing to such Lender under the Loan Documents. From and after the effectiveness of any such amendment and restatement, any such Lender shall be deemed to no longer be a “Lender” hereunder or a party hereto, except that any such Lender shall retain the benefits of indemnification provisions hereof which, by the terms hereof would survive the termination of this Agreement.</w:t>
      </w:r>
    </w:p>
    <w:p>
      <w:pPr>
        <w:pStyle w:val="TextBody"/>
        <w:bidi w:val="0"/>
        <w:spacing w:before="0" w:after="0"/>
        <w:ind w:left="139" w:right="171" w:firstLine="1440"/>
        <w:jc w:val="left"/>
        <w:rPr>
          <w:caps w:val="false"/>
          <w:smallCaps w:val="false"/>
        </w:rPr>
      </w:pPr>
      <w:r>
        <w:rPr>
          <w:caps w:val="false"/>
          <w:smallCaps w:val="false"/>
        </w:rPr>
        <w:t> </w:t>
      </w:r>
    </w:p>
    <w:p>
      <w:pPr>
        <w:pStyle w:val="TextBody"/>
        <w:bidi w:val="0"/>
        <w:spacing w:before="0" w:after="0"/>
        <w:ind w:left="140" w:right="15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12.10   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xml:space="preserve">. Each of Agent and Lender agrees that it will not disclose without the prior consent of the Borrower (other than to its Subsidiaries, another Lender, an Affiliate of a Lender or to its auditors, agents, advisors, directors, officers, employees, shareholders, counsel or representatives (or to other Persons authorized by a Lender or the Agent to organize, present or disseminate such information in connection with disclosures otherwise made in accordance with this Section 12.10)) any information with respect to the Credit Parties which is furnished pursuant to this Agreement or any of the other Loan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Agent and Lenders may disclose any such information (a) as has become generally available to the public or has been lawfully obtained by Agent or Lender from any</w:t>
      </w:r>
    </w:p>
    <w:p>
      <w:pPr>
        <w:pStyle w:val="TextBody"/>
        <w:bidi w:val="0"/>
        <w:spacing w:before="0" w:after="0"/>
        <w:ind w:left="140" w:right="152"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7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third party under no duty of confidentiality to any Credit Party, (b) as may be required or appropriate in any report, statement or testimony submitted to, or in respect to any inquiry, by, any municipal, state or federal regulatory body having or claiming to have jurisdiction over Agent or Lender, including the Board of Governors of the Federal Reserve System of the United States, the Office of the Comptroller of the Currency or the Federal Deposit Insurance Corporation or similar organizations (whether in the United States or elsewhere) or their successors, (c) as may be required or appropriate in respect to any summons or subpoena or in connection with any litigation, (d) in order to comply with any law, order, regulation, ruling or other requirement of law applicable to such Lender, (e) to any prospective assignee or participant in accordance with Section 12.7(f) hereof, (f) disclosure to any rating agency when required by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prior to any disclosure, such rating agency shall undertake in writing to preserve the confidentiality of any confidential information relating to the Credit Parties received by it from any of the Agent or any Lender, and (g) disclosures of such information to any investors, members and partners of any Agent, Lender or their Affiliates,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prior to any disclosure, such investor, member or partner is informed of the confidential nature of the information.</w:t>
      </w:r>
    </w:p>
    <w:p>
      <w:pPr>
        <w:pStyle w:val="TextBody"/>
        <w:bidi w:val="0"/>
        <w:spacing w:before="0" w:after="0"/>
        <w:ind w:left="140" w:right="170" w:hanging="0"/>
        <w:jc w:val="both"/>
        <w:rPr>
          <w:caps w:val="false"/>
          <w:smallCaps w:val="false"/>
        </w:rPr>
      </w:pPr>
      <w:r>
        <w:rPr>
          <w:caps w:val="false"/>
          <w:smallCaps w:val="false"/>
        </w:rPr>
        <w:t> </w:t>
      </w:r>
    </w:p>
    <w:p>
      <w:pPr>
        <w:pStyle w:val="TextBody"/>
        <w:bidi w:val="0"/>
        <w:spacing w:before="0" w:after="0"/>
        <w:ind w:left="139" w:right="149"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12.11    </w:t>
      </w:r>
      <w:r>
        <w:rPr>
          <w:rFonts w:ascii="Times New Roman;Times;Serif" w:hAnsi="Times New Roman;Times;Serif"/>
          <w:b w:val="false"/>
          <w:i w:val="false"/>
          <w:caps w:val="false"/>
          <w:smallCaps w:val="false"/>
          <w:sz w:val="20"/>
          <w:u w:val="single"/>
        </w:rPr>
        <w:t>Substitution or Removal of Lenders</w:t>
      </w:r>
      <w:r>
        <w:rPr>
          <w:rFonts w:ascii="Times New Roman;Times;Serif" w:hAnsi="Times New Roman;Times;Serif"/>
          <w:b w:val="false"/>
          <w:i w:val="false"/>
          <w:caps w:val="false"/>
          <w:smallCaps w:val="false"/>
          <w:sz w:val="20"/>
        </w:rPr>
        <w:t>. Anything contained herein to the contrary notwithstanding, in the event that: (a) (i) any Lender shall give notice to the Borrower that such Lender  is entitled to receive payments under Section 10.1 or 10.4, (ii) the circumstances which entitle such Lender to receive such payments shall remain in effect, and (iii) such Lender shall fail to withdraw such notice within five Business Days after the Borrower’s request for such withdrawal; or (b)(i) any Lender shall become a Defaulting Lender, and (ii) such Defaulting Lender shall fail to cure the default as a result of which it has become a Defaulting Lender within five Business Days after the Borrower’s request that  it cure such default; or (c) in connection with any proposed amendment, modification, termination, waiver or consent with respect to any of the provisions hereof as contemplated by Section 12.9(b), the consent of the Agent and the Majority Lenders shall have been obtained but the consent of one or more  of such other Lenders whose consent is required shall not have been obtained (a “</w:t>
      </w:r>
      <w:r>
        <w:rPr>
          <w:rFonts w:ascii="Times New Roman;Times;Serif" w:hAnsi="Times New Roman;Times;Serif"/>
          <w:b/>
          <w:i w:val="false"/>
          <w:caps w:val="false"/>
          <w:smallCaps w:val="false"/>
          <w:sz w:val="20"/>
        </w:rPr>
        <w:t>Non-Consenting Lender</w:t>
      </w:r>
      <w:r>
        <w:rPr>
          <w:rFonts w:ascii="Times New Roman;Times;Serif" w:hAnsi="Times New Roman;Times;Serif"/>
          <w:b w:val="false"/>
          <w:i w:val="false"/>
          <w:caps w:val="false"/>
          <w:smallCaps w:val="false"/>
          <w:sz w:val="20"/>
        </w:rPr>
        <w:t>”); then, with respect to each such Lender (an “</w:t>
      </w:r>
      <w:r>
        <w:rPr>
          <w:rFonts w:ascii="Times New Roman;Times;Serif" w:hAnsi="Times New Roman;Times;Serif"/>
          <w:b/>
          <w:i w:val="false"/>
          <w:caps w:val="false"/>
          <w:smallCaps w:val="false"/>
          <w:sz w:val="20"/>
        </w:rPr>
        <w:t>Affected Lender</w:t>
      </w:r>
      <w:r>
        <w:rPr>
          <w:rFonts w:ascii="Times New Roman;Times;Serif" w:hAnsi="Times New Roman;Times;Serif"/>
          <w:b w:val="false"/>
          <w:i w:val="false"/>
          <w:caps w:val="false"/>
          <w:smallCaps w:val="false"/>
          <w:sz w:val="20"/>
        </w:rPr>
        <w:t>”), the Borrower or Agent may, by giving written notice to the Borrower and any Affected Lender of its election to do so, elect to cause such Affected Lender (and such Affected Lender hereby irrevocably agrees) to assign its outstanding Loans in full to one or more Eligible Assignees (each a “</w:t>
      </w:r>
      <w:r>
        <w:rPr>
          <w:rFonts w:ascii="Times New Roman;Times;Serif" w:hAnsi="Times New Roman;Times;Serif"/>
          <w:b/>
          <w:i w:val="false"/>
          <w:caps w:val="false"/>
          <w:smallCaps w:val="false"/>
          <w:sz w:val="20"/>
        </w:rPr>
        <w:t>Replacement Lender</w:t>
      </w:r>
      <w:r>
        <w:rPr>
          <w:rFonts w:ascii="Times New Roman;Times;Serif" w:hAnsi="Times New Roman;Times;Serif"/>
          <w:b w:val="false"/>
          <w:i w:val="false"/>
          <w:caps w:val="false"/>
          <w:smallCaps w:val="false"/>
          <w:sz w:val="20"/>
        </w:rPr>
        <w:t xml:space="preserve">”) in accordance with the provisions of Section 12.7 and Affected Lender shall pay any fees payable thereunder in connection with such assignment;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(1) on the date of such assignment, the Replacement Lender shall pay to Affected Lender an amount equal to the sum of (A) an amount equal to the principal of, and all accrued interest on, all outstanding Loans of the Affected Lender and (B) an amount equal to all accrued, but theretofore unpaid fees owing to such Affected Lender pursuant to the Fee Letter; (2) on the date of such assignment, the Borrower shall pay any amounts payable to such Affected Lender pursuant to Section 10.1 or 10.4; and (3) in the event such Affected Lender is a Non-Consenting Lender, each Replacement Lender shall consent, at the time of such assignment, to each matter in respect of which such Affected Lender was a Non-Consenting Lender. Upon the prepayment of all amounts owing to any Affected Lender, such Affected Lender shall no longer constitute a “Lender” for purposes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any rights of such Affected Lender to indemnification hereunder shall survive as to such Affected Lender.</w:t>
      </w:r>
    </w:p>
    <w:p>
      <w:pPr>
        <w:pStyle w:val="TextBody"/>
        <w:bidi w:val="0"/>
        <w:spacing w:before="0" w:after="0"/>
        <w:ind w:left="140" w:right="170" w:hanging="0"/>
        <w:jc w:val="both"/>
        <w:rPr>
          <w:caps w:val="false"/>
          <w:smallCaps w:val="false"/>
        </w:rPr>
      </w:pPr>
      <w:r>
        <w:rPr>
          <w:caps w:val="false"/>
          <w:smallCaps w:val="false"/>
        </w:rPr>
        <w:t> </w:t>
      </w:r>
    </w:p>
    <w:p>
      <w:pPr>
        <w:pStyle w:val="TextBody"/>
        <w:bidi w:val="0"/>
        <w:spacing w:before="0" w:after="0"/>
        <w:ind w:left="139" w:right="149"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12.12   </w:t>
      </w:r>
      <w:r>
        <w:rPr>
          <w:rFonts w:ascii="Times New Roman;Times;Serif" w:hAnsi="Times New Roman;Times;Serif"/>
          <w:b w:val="false"/>
          <w:i w:val="false"/>
          <w:caps w:val="false"/>
          <w:smallCaps w:val="false"/>
          <w:sz w:val="20"/>
          <w:u w:val="single"/>
        </w:rPr>
        <w:t>Withholding Taxes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5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Any Lender that is entitled to an exemption from or reduction of withholding Tax with respect to payments made under any Loan Document shall deliver to the Borrower and the Agent, at the time or times reasonably requested by the Borrower or the Agent, such properly completed and executed documentation reasonably requested by the Borrower or the Agent as will permit such payments to be made without withholding or at a reduced rate of withholding. In addition, any Lender, if reasonably requested by the Borrower or the Agent, shall deliver such other documentation prescribed by applicable law or reasonably requested by the Borrower or the Agent as will enable the Borrower or the</w:t>
      </w:r>
    </w:p>
    <w:p>
      <w:pPr>
        <w:pStyle w:val="TextBody"/>
        <w:bidi w:val="0"/>
        <w:spacing w:before="0" w:after="0"/>
        <w:ind w:left="140" w:right="157"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4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12.12(a)(i)(A), (i)(B) and (i)(D) 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0"/>
        <w:ind w:left="140" w:right="146" w:hanging="0"/>
        <w:jc w:val="both"/>
        <w:rPr>
          <w:caps w:val="false"/>
          <w:smallCaps w:val="false"/>
        </w:rPr>
      </w:pPr>
      <w:r>
        <w:rPr>
          <w:caps w:val="false"/>
          <w:smallCaps w:val="false"/>
        </w:rPr>
        <w:t> </w:t>
      </w:r>
    </w:p>
    <w:p>
      <w:pPr>
        <w:pStyle w:val="TextBody"/>
        <w:bidi w:val="0"/>
        <w:spacing w:before="0" w:after="0"/>
        <w:ind w:left="8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generality of the foregoing:</w:t>
      </w:r>
    </w:p>
    <w:p>
      <w:pPr>
        <w:pStyle w:val="TextBody"/>
        <w:bidi w:val="0"/>
        <w:spacing w:before="0" w:after="0"/>
        <w:ind w:left="8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3"/>
        <w:gridCol w:w="9875"/>
      </w:tblGrid>
      <w:tr>
        <w:trPr/>
        <w:tc>
          <w:tcPr>
            <w:tcW w:w="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pPr>
            <w:r>
              <w:rPr/>
              <w:t>(A)</w:t>
            </w:r>
          </w:p>
        </w:tc>
        <w:tc>
          <w:tcPr>
            <w:tcW w:w="9875" w:type="dxa"/>
            <w:tcBorders/>
            <w:vAlign w:val="center"/>
          </w:tcPr>
          <w:p>
            <w:pPr>
              <w:pStyle w:val="TableContents"/>
              <w:bidi w:val="0"/>
              <w:spacing w:before="0" w:after="283"/>
              <w:jc w:val="both"/>
              <w:rPr/>
            </w:pPr>
            <w:r>
              <w:rPr/>
              <w:t>any Lender that is a U.S. Person shall deliver to the Borrower and the Agent on or about the date on which such Lender becomes a Lender under this Agreement (and from time to time thereafter upon the reasonable request of the Borrower or the Agent), executed copies of IRS Form W-9 (or any successor form) certifying that such Lender is exempt from U.S. federal backup withholding tax;</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(B)</w:t>
            </w:r>
          </w:p>
        </w:tc>
        <w:tc>
          <w:tcPr>
            <w:tcW w:w="9891" w:type="dxa"/>
            <w:tcBorders/>
            <w:vAlign w:val="center"/>
          </w:tcPr>
          <w:p>
            <w:pPr>
              <w:pStyle w:val="TableContents"/>
              <w:bidi w:val="0"/>
              <w:spacing w:before="0" w:after="283"/>
              <w:jc w:val="both"/>
              <w:rPr/>
            </w:pPr>
            <w:r>
              <w:rPr/>
              <w:t>any Foreign Lender shall, to the extent it is legally entitled to do so, deliver to the Borrower and the Agent (in such number of copies as shall be requested by the recipient) on or about the date on which such Foreign Lender becomes a Lender under this Agreement (and from time to time thereafter upon the reasonable request of the Borrower or the Agent), whichever of the following is applicable: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5"/>
        <w:gridCol w:w="10003"/>
      </w:tblGrid>
      <w:tr>
        <w:trPr/>
        <w:tc>
          <w:tcPr>
            <w:tcW w:w="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(i)</w:t>
            </w:r>
          </w:p>
        </w:tc>
        <w:tc>
          <w:tcPr>
            <w:tcW w:w="10003" w:type="dxa"/>
            <w:tcBorders/>
            <w:vAlign w:val="center"/>
          </w:tcPr>
          <w:p>
            <w:pPr>
              <w:pStyle w:val="TableContents"/>
              <w:bidi w:val="0"/>
              <w:spacing w:before="0" w:after="283"/>
              <w:jc w:val="both"/>
              <w:rPr/>
            </w:pPr>
            <w:r>
              <w:rPr/>
              <w:t>in the case of a Foreign Lender claiming the benefits of an income tax treaty to which the United States is a party (x) with respect to payments of interest under any Loan Document, executed copies of IRS Form W-8BEN or W-8BEN-E (or any successor form), as applicable,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467"/>
        <w:gridCol w:w="9677"/>
      </w:tblGrid>
      <w:tr>
        <w:trPr/>
        <w:tc>
          <w:tcPr>
            <w:tcW w:w="6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pPr>
            <w:r>
              <w:rPr/>
              <w:t>(ii)</w:t>
            </w:r>
          </w:p>
        </w:tc>
        <w:tc>
          <w:tcPr>
            <w:tcW w:w="9677" w:type="dxa"/>
            <w:tcBorders/>
            <w:vAlign w:val="center"/>
          </w:tcPr>
          <w:p>
            <w:pPr>
              <w:pStyle w:val="TableContents"/>
              <w:bidi w:val="0"/>
              <w:spacing w:before="0" w:after="283"/>
              <w:jc w:val="left"/>
              <w:rPr/>
            </w:pPr>
            <w:r>
              <w:rPr/>
              <w:t>executed copies of IRS Form W-8ECI (or any successor form);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(iii)</w:t>
            </w:r>
          </w:p>
        </w:tc>
        <w:tc>
          <w:tcPr>
            <w:tcW w:w="9883" w:type="dxa"/>
            <w:tcBorders/>
            <w:vAlign w:val="center"/>
          </w:tcPr>
          <w:p>
            <w:pPr>
              <w:pStyle w:val="TableContents"/>
              <w:bidi w:val="0"/>
              <w:spacing w:before="0" w:after="283"/>
              <w:jc w:val="both"/>
              <w:rPr/>
            </w:pPr>
            <w:r>
              <w:rPr/>
              <w:t>in the case of a Foreign Lender claiming the benefits of the exemption for portfolio interest under Section 881(c) of the Internal Revenue Code, (x) a certificate substantially in the form of Exhibit E-1 to the effect that such Foreign Lender is not a “bank” within the meaning of Section 881(c)(3)(A) of the Internal Revenue Code, a “10 percent shareholder” of a Borrower within the meaning of Section 881(c)(3)(B) of the Internal Revenue Code, or a “controlled foreign corporation” related to the Borrower as described in Section 881(c)(3)(C) of the Internal Revenue Code (a “U.S. Tax Compliance Certificate”) and (y) executed copies of IRS Form W-8BEN or W-8BEN-E;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4"/>
        <w:gridCol w:w="9874"/>
      </w:tblGrid>
      <w:tr>
        <w:trPr/>
        <w:tc>
          <w:tcPr>
            <w:tcW w:w="3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pPr>
            <w:r>
              <w:rPr/>
              <w:t>(iv)</w:t>
            </w:r>
          </w:p>
        </w:tc>
        <w:tc>
          <w:tcPr>
            <w:tcW w:w="9874" w:type="dxa"/>
            <w:tcBorders/>
            <w:vAlign w:val="center"/>
          </w:tcPr>
          <w:p>
            <w:pPr>
              <w:pStyle w:val="TableContents"/>
              <w:bidi w:val="0"/>
              <w:spacing w:before="0" w:after="283"/>
              <w:jc w:val="both"/>
              <w:rPr/>
            </w:pPr>
            <w:r>
              <w:rPr/>
              <w:t>to the extent a Foreign Lender is not the beneficial owner, executed copies of IRS Form W-8IMY (or any successor form), accompanied by IRS Form W-8ECI, IRS Form W-8BEN, IRS Form W-8BEN-E, a U.S. Tax Compliance Certificate substantially in the form of Exhibit E-2 or Exhibit E-3, IRS Form W-9, and/or other certification documents from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20" w:right="1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beneficial owner and supplementary documentation as may be prescribed by applicable law,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E-4 on behalf of each such direct and indirect partner;</w:t>
      </w:r>
    </w:p>
    <w:p>
      <w:pPr>
        <w:pStyle w:val="TextBody"/>
        <w:bidi w:val="0"/>
        <w:spacing w:before="0" w:after="0"/>
        <w:ind w:left="3020" w:right="14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(C)</w:t>
            </w:r>
          </w:p>
        </w:tc>
        <w:tc>
          <w:tcPr>
            <w:tcW w:w="9899" w:type="dxa"/>
            <w:tcBorders/>
            <w:vAlign w:val="center"/>
          </w:tcPr>
          <w:p>
            <w:pPr>
              <w:pStyle w:val="TableContents"/>
              <w:bidi w:val="0"/>
              <w:spacing w:before="0" w:after="283"/>
              <w:jc w:val="both"/>
              <w:rPr/>
            </w:pPr>
            <w:r>
              <w:rPr/>
              <w:t>any Foreign Lender shall, to the extent it is legally entitled to do so, deliver to the Borrower and the Agent (in such number of copies as shall be requested by the recipient) on or about the date on which such Foreign Lender becomes a Lender under this Agreement (and from time to time thereafter upon the reasonable request of the Borrower or the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Agent to determine the withholding or deduction required to be made;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0"/>
        <w:gridCol w:w="9888"/>
      </w:tblGrid>
      <w:tr>
        <w:trPr/>
        <w:tc>
          <w:tcPr>
            <w:tcW w:w="3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(D)</w:t>
            </w:r>
          </w:p>
        </w:tc>
        <w:tc>
          <w:tcPr>
            <w:tcW w:w="9888" w:type="dxa"/>
            <w:tcBorders/>
            <w:vAlign w:val="center"/>
          </w:tcPr>
          <w:p>
            <w:pPr>
              <w:pStyle w:val="TableContents"/>
              <w:bidi w:val="0"/>
              <w:spacing w:before="0" w:after="283"/>
              <w:jc w:val="both"/>
              <w:rPr/>
            </w:pPr>
            <w:r>
              <w:rPr/>
              <w:t>if a payment made to a Lender or Agent under any Loan Document would be subject to U.S. federal withholding Tax imposed by FATCA if such Lender or Agent were to fail to comply with the applicable reporting requirements of FATCA (including those contained in Section 1471(b) or 1472(b) of the Internal Revenue Code, as applicable), such Lender or Agent shall deliver to the Borrower and the Agent at the time or times prescribed by law and at such time or times reasonably requested by the Borrower or the Agent such documentation prescribed by applicable law (including as prescribed by Section 1471(b)(3)(C)(i) of the Internal Revenue Code) and such additional documentation reasonably requested by the Borrower or the Agent as may be necessary for the Borrower and the Agent to comply with their obligations under FATCA and to determine that such Lender or Agent has complied with such Lender’s or Agent’s obligations under FATCA or to determine the amount to deduct and withhold from such payment. Solely for purposes of this clause (D), “FATCA” shall include any amendments made to FATCA after the date of this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7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agrees that if any form or certification it previously delivered expires or becomes obsolete or inaccurate in any respect, it shall update such form or certification or promptly notify the Borrower and the Agent in writing of its legal inability to do so.</w:t>
      </w:r>
    </w:p>
    <w:p>
      <w:pPr>
        <w:pStyle w:val="TextBody"/>
        <w:bidi w:val="0"/>
        <w:spacing w:before="0" w:after="0"/>
        <w:ind w:left="140" w:right="173"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374"/>
        <w:gridCol w:w="9782"/>
      </w:tblGrid>
      <w:tr>
        <w:trPr/>
        <w:tc>
          <w:tcPr>
            <w:tcW w:w="4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pPr>
            <w:r>
              <w:rPr/>
              <w:t>(b)</w:t>
            </w:r>
          </w:p>
        </w:tc>
        <w:tc>
          <w:tcPr>
            <w:tcW w:w="9782" w:type="dxa"/>
            <w:tcBorders/>
            <w:vAlign w:val="center"/>
          </w:tcPr>
          <w:p>
            <w:pPr>
              <w:pStyle w:val="TableContents"/>
              <w:bidi w:val="0"/>
              <w:spacing w:before="0" w:after="283"/>
              <w:jc w:val="left"/>
              <w:rPr/>
            </w:pPr>
            <w:r>
              <w:rPr/>
              <w:t>For purposes of this Section 12.12, the term “applicable law” includes FATCA.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0" w:right="15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12.13   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OF THE PARTIES HERETO HEREBY AGREES TO WAIVE ITS RESPECTIVE RIGHTS TO A JURY TRIAL OF ANY CLAIM OR CAUSE OF ACTION BASED UPON OR ARISING HEREUNDER OR UNDER ANY OF THE OTHER LOAN DOCUMENTS OR ANY DEALINGS BETWEEN THEM RELATING TO THE SUBJECT MATTER OF THIS LOAN TRANSACTION OR THE LENDER/BORROWER RELATIONSHIP THAT IS BEING ESTABLISHED. THE SCOPE OF THIS WAIVER IS INTENDED TO BE ALL ENCOMPASSING OF ANY AND ALL DISPUTES THAT MAY BE FILED IN ANY COURT AND THAT RELATE TO THE SUBJECT MATTER OF THIS TRANSACTION, INCLUDING CONTRACT CLAIMS, TORT CLAIMS, BREACH OF DUTY CLAIMS AND ALL OTHER COMMON LAW AND</w:t>
      </w:r>
    </w:p>
    <w:p>
      <w:pPr>
        <w:pStyle w:val="TextBody"/>
        <w:bidi w:val="0"/>
        <w:spacing w:before="0" w:after="0"/>
        <w:ind w:left="140" w:right="15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6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CLAIMS. EACH PARTY HERETO ACKNOWLEDGES THAT THIS WAIVER IS A MATERIAL INDUCEMENT TO ENTER INTO A BUSINESS RELATIONSHIP,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SECTION 12.13 AND EXECUTED BY EACH OF THE PARTIES HERETO), AND THIS WAIVER SHALL APPLY TO ANY SUBSEQUENT AMENDMENTS, RENEWALS, SUPPLEMENTS OR MODIFICATIONS HERETO OR ANY OF THE OTHER LOAN DOCUMENTS OR TO ANY OTHER DOCUMENTS OR AGREEMENTS RELATING TO THE LOANS MADE HEREUNDER. IN THE EVENT OF LITIGATION, A COPY OF THIS AGREEMENT MAY BE FILED AS A WRITTEN CONSENT TO A TRIAL BY THE COURT.</w:t>
      </w:r>
    </w:p>
    <w:p>
      <w:pPr>
        <w:pStyle w:val="TextBody"/>
        <w:bidi w:val="0"/>
        <w:spacing w:before="0" w:after="0"/>
        <w:ind w:left="140" w:right="167" w:hanging="0"/>
        <w:jc w:val="left"/>
        <w:rPr>
          <w:caps w:val="false"/>
          <w:smallCaps w:val="false"/>
        </w:rPr>
      </w:pPr>
      <w:r>
        <w:rPr>
          <w:caps w:val="false"/>
          <w:smallCaps w:val="false"/>
        </w:rPr>
        <w:t> </w:t>
      </w:r>
    </w:p>
    <w:p>
      <w:pPr>
        <w:pStyle w:val="TextBody"/>
        <w:bidi w:val="0"/>
        <w:spacing w:before="0" w:after="0"/>
        <w:ind w:left="140" w:right="129"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12.14    </w:t>
      </w:r>
      <w:r>
        <w:rPr>
          <w:rFonts w:ascii="Times New Roman;Times;Serif" w:hAnsi="Times New Roman;Times;Serif"/>
          <w:b w:val="false"/>
          <w:i w:val="false"/>
          <w:caps w:val="false"/>
          <w:smallCaps w:val="false"/>
          <w:sz w:val="20"/>
          <w:u w:val="single"/>
        </w:rPr>
        <w:t>USA Patriot Act Notice; Beneficial Ownership Certification</w:t>
      </w:r>
      <w:r>
        <w:rPr>
          <w:rFonts w:ascii="Times New Roman;Times;Serif" w:hAnsi="Times New Roman;Times;Serif"/>
          <w:b w:val="false"/>
          <w:i w:val="false"/>
          <w:caps w:val="false"/>
          <w:smallCaps w:val="false"/>
          <w:sz w:val="20"/>
        </w:rPr>
        <w:t>. Pursuant to Section 326 of the USA Patriot Act, the Agent and the Lenders hereby notify the Credit Parties that if they or  any of their Subsidiaries open an account, including any loan, deposit account, treasury management account, or other extension of credit with the Agent or any Lender, the Agent or the applicable Lender will request the applicable Person’s name, tax identification number, business address and other information necessary to identify such Person (and may request such Person’s organizational documents or other identifying documents) to the extent necessary for the Agent and the applicable Lender to comply with the USA Patriot Act. The Borrower shall also deliver, from time to time at the reasonable request of the Agent or any Lender, a completed certification regarding beneficial ownership to the extent required by 31 C.F.R. §1010.230, together with any other information required under such regulation.</w:t>
      </w:r>
    </w:p>
    <w:p>
      <w:pPr>
        <w:pStyle w:val="TextBody"/>
        <w:bidi w:val="0"/>
        <w:spacing w:before="0" w:after="0"/>
        <w:ind w:left="140" w:right="129" w:firstLine="720"/>
        <w:jc w:val="both"/>
        <w:rPr>
          <w:caps w:val="false"/>
          <w:smallCaps w:val="false"/>
        </w:rPr>
      </w:pPr>
      <w:r>
        <w:rPr>
          <w:caps w:val="false"/>
          <w:smallCaps w:val="false"/>
        </w:rPr>
        <w:t> </w:t>
      </w:r>
    </w:p>
    <w:p>
      <w:pPr>
        <w:pStyle w:val="TextBody"/>
        <w:bidi w:val="0"/>
        <w:spacing w:before="0" w:after="0"/>
        <w:ind w:left="139" w:right="12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12.15    </w:t>
      </w:r>
      <w:r>
        <w:rPr>
          <w:rFonts w:ascii="Times New Roman;Times;Serif" w:hAnsi="Times New Roman;Times;Serif"/>
          <w:b w:val="false"/>
          <w:i w:val="false"/>
          <w:caps w:val="false"/>
          <w:smallCaps w:val="false"/>
          <w:sz w:val="20"/>
          <w:u w:val="single"/>
        </w:rPr>
        <w:t>Complete Agreement; Conflicts</w:t>
      </w:r>
      <w:r>
        <w:rPr>
          <w:rFonts w:ascii="Times New Roman;Times;Serif" w:hAnsi="Times New Roman;Times;Serif"/>
          <w:b w:val="false"/>
          <w:i w:val="false"/>
          <w:caps w:val="false"/>
          <w:smallCaps w:val="false"/>
          <w:sz w:val="20"/>
        </w:rPr>
        <w:t>. This Agreement, the Notes (if issued), any Requests for Loan and the Loan Documents contain the entire agreement of the parties hereto, superseding all prior agreements, discussions and understandings relating to the subject matter hereof, and none of the parties shall be bound by anything not expressed in writing. In the event of any conflict between the terms of this Agreement and the other Loan Documents, this Agreement shall govern.</w:t>
      </w:r>
    </w:p>
    <w:p>
      <w:pPr>
        <w:pStyle w:val="TextBody"/>
        <w:bidi w:val="0"/>
        <w:spacing w:before="0" w:after="0"/>
        <w:ind w:left="139" w:right="122" w:firstLine="720"/>
        <w:jc w:val="both"/>
        <w:rPr>
          <w:caps w:val="false"/>
          <w:smallCaps w:val="false"/>
        </w:rPr>
      </w:pPr>
      <w:r>
        <w:rPr>
          <w:caps w:val="false"/>
          <w:smallCaps w:val="false"/>
        </w:rPr>
        <w:t> </w:t>
      </w:r>
    </w:p>
    <w:p>
      <w:pPr>
        <w:pStyle w:val="TextBody"/>
        <w:bidi w:val="0"/>
        <w:spacing w:before="0" w:after="0"/>
        <w:ind w:left="140" w:right="15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12.16   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case any one or more of the obligations of the Credit Parties under this Agreement, the Notes or any of the other Loan Documents shall be invalid, illegal or unenforceable in any jurisdiction, the validity, legality and enforceability of the remaining obligations of the Credit Parties shall not in any way be affected or impaired thereby, and such invalidity, illegality or unenforceability in one jurisdiction shall not affect the validity, legality or enforceability of the obligations of the Credit Parties under this Agreement, the Notes or any of the other Loan Documents in any other jurisdiction.</w:t>
      </w:r>
    </w:p>
    <w:p>
      <w:pPr>
        <w:pStyle w:val="TextBody"/>
        <w:bidi w:val="0"/>
        <w:spacing w:before="0" w:after="0"/>
        <w:ind w:left="140" w:right="154" w:firstLine="720"/>
        <w:jc w:val="both"/>
        <w:rPr>
          <w:caps w:val="false"/>
          <w:smallCaps w:val="false"/>
        </w:rPr>
      </w:pPr>
      <w:r>
        <w:rPr>
          <w:caps w:val="false"/>
          <w:smallCaps w:val="false"/>
        </w:rPr>
        <w:t> </w:t>
      </w:r>
    </w:p>
    <w:p>
      <w:pPr>
        <w:pStyle w:val="TextBody"/>
        <w:bidi w:val="0"/>
        <w:spacing w:before="0" w:after="0"/>
        <w:ind w:left="140" w:right="17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12.17    </w:t>
      </w:r>
      <w:r>
        <w:rPr>
          <w:rFonts w:ascii="Times New Roman;Times;Serif" w:hAnsi="Times New Roman;Times;Serif"/>
          <w:b w:val="false"/>
          <w:i w:val="false"/>
          <w:caps w:val="false"/>
          <w:smallCaps w:val="false"/>
          <w:sz w:val="20"/>
          <w:u w:val="single"/>
        </w:rPr>
        <w:t>Table of Contents and Headings; Section References</w:t>
      </w:r>
      <w:r>
        <w:rPr>
          <w:rFonts w:ascii="Times New Roman;Times;Serif" w:hAnsi="Times New Roman;Times;Serif"/>
          <w:b w:val="false"/>
          <w:i w:val="false"/>
          <w:caps w:val="false"/>
          <w:smallCaps w:val="false"/>
          <w:sz w:val="20"/>
        </w:rPr>
        <w:t>. The table of contents and the headings of the various subdivisions hereof are for convenience of reference only and shall in no way modify or affect any of the terms or provisions hereof and references herein to “sections,” “subsections,” “clauses,” “paragraphs,” “subparagraphs,” “exhibits” and “schedules” shall be to sections, subsections, clauses, paragraphs, subparagraphs, exhibits and schedules, respectively, of this Agreement unless otherwise specifically provided herein or unless the context otherwise clearly indicates.</w:t>
      </w:r>
    </w:p>
    <w:p>
      <w:pPr>
        <w:pStyle w:val="TextBody"/>
        <w:bidi w:val="0"/>
        <w:spacing w:before="0" w:after="0"/>
        <w:ind w:left="140" w:right="170" w:firstLine="720"/>
        <w:jc w:val="both"/>
        <w:rPr>
          <w:caps w:val="false"/>
          <w:smallCaps w:val="false"/>
        </w:rPr>
      </w:pPr>
      <w:r>
        <w:rPr>
          <w:caps w:val="false"/>
          <w:smallCaps w:val="false"/>
        </w:rPr>
        <w:t> </w:t>
      </w:r>
    </w:p>
    <w:p>
      <w:pPr>
        <w:pStyle w:val="TextBody"/>
        <w:bidi w:val="0"/>
        <w:spacing w:before="0" w:after="0"/>
        <w:ind w:left="140" w:right="168"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12.18    </w:t>
      </w:r>
      <w:r>
        <w:rPr>
          <w:rFonts w:ascii="Times New Roman;Times;Serif" w:hAnsi="Times New Roman;Times;Serif"/>
          <w:b w:val="false"/>
          <w:i w:val="false"/>
          <w:caps w:val="false"/>
          <w:smallCaps w:val="false"/>
          <w:sz w:val="20"/>
          <w:u w:val="single"/>
        </w:rPr>
        <w:t>Construction of Certain Provisions</w:t>
      </w:r>
      <w:r>
        <w:rPr>
          <w:rFonts w:ascii="Times New Roman;Times;Serif" w:hAnsi="Times New Roman;Times;Serif"/>
          <w:b w:val="false"/>
          <w:i w:val="false"/>
          <w:caps w:val="false"/>
          <w:smallCaps w:val="false"/>
          <w:sz w:val="20"/>
        </w:rPr>
        <w:t>. If any provision of this Agreement or any of the Loan Documents refers to any action to be taken by any Person, or which such Person is prohibited from</w:t>
      </w:r>
    </w:p>
    <w:p>
      <w:pPr>
        <w:pStyle w:val="TextBody"/>
        <w:bidi w:val="0"/>
        <w:spacing w:before="0" w:after="0"/>
        <w:ind w:left="140" w:right="168"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0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taking, such provision shall be applicable whether such action is taken directly or indirectly by such Person, whether or not expressly specified in such provision.</w:t>
      </w:r>
    </w:p>
    <w:p>
      <w:pPr>
        <w:pStyle w:val="TextBody"/>
        <w:bidi w:val="0"/>
        <w:spacing w:before="0" w:after="0"/>
        <w:ind w:left="140" w:right="102" w:hanging="0"/>
        <w:jc w:val="left"/>
        <w:rPr>
          <w:caps w:val="false"/>
          <w:smallCaps w:val="false"/>
        </w:rPr>
      </w:pPr>
      <w:r>
        <w:rPr>
          <w:caps w:val="false"/>
          <w:smallCaps w:val="false"/>
        </w:rPr>
        <w:t> </w:t>
      </w:r>
    </w:p>
    <w:p>
      <w:pPr>
        <w:pStyle w:val="TextBody"/>
        <w:bidi w:val="0"/>
        <w:spacing w:before="0" w:after="0"/>
        <w:ind w:left="139" w:right="1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12.19    </w:t>
      </w:r>
      <w:r>
        <w:rPr>
          <w:rFonts w:ascii="Times New Roman;Times;Serif" w:hAnsi="Times New Roman;Times;Serif"/>
          <w:b w:val="false"/>
          <w:i w:val="false"/>
          <w:caps w:val="false"/>
          <w:smallCaps w:val="false"/>
          <w:sz w:val="20"/>
          <w:u w:val="single"/>
        </w:rPr>
        <w:t>Independence of Covenants</w:t>
      </w:r>
      <w:r>
        <w:rPr>
          <w:rFonts w:ascii="Times New Roman;Times;Serif" w:hAnsi="Times New Roman;Times;Serif"/>
          <w:b w:val="false"/>
          <w:i w:val="false"/>
          <w:caps w:val="false"/>
          <w:smallCaps w:val="false"/>
          <w:sz w:val="20"/>
        </w:rPr>
        <w:t>. Each covenant hereunder shall be given independent effect (subject to any exceptions stated in such covenant) so that if a particular action or condition is not permitted by any such covenant (taking into account any such stated exception), the fact that it would be permitted by an exception to, or would be otherwise within the limitations of, another covenant shall not avoid the occurrence of a Default or an Event of Default.</w:t>
      </w:r>
    </w:p>
    <w:p>
      <w:pPr>
        <w:pStyle w:val="TextBody"/>
        <w:bidi w:val="0"/>
        <w:spacing w:before="0" w:after="0"/>
        <w:ind w:left="139" w:right="172" w:firstLine="720"/>
        <w:jc w:val="both"/>
        <w:rPr>
          <w:caps w:val="false"/>
          <w:smallCaps w:val="false"/>
        </w:rPr>
      </w:pPr>
      <w:r>
        <w:rPr>
          <w:caps w:val="false"/>
          <w:smallCaps w:val="false"/>
        </w:rPr>
        <w:t> </w:t>
      </w:r>
    </w:p>
    <w:p>
      <w:pPr>
        <w:pStyle w:val="TextBody"/>
        <w:bidi w:val="0"/>
        <w:spacing w:before="0" w:after="0"/>
        <w:ind w:left="140" w:right="15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12.20   </w:t>
      </w:r>
      <w:r>
        <w:rPr>
          <w:rFonts w:ascii="Times New Roman;Times;Serif" w:hAnsi="Times New Roman;Times;Serif"/>
          <w:b w:val="false"/>
          <w:i w:val="false"/>
          <w:caps w:val="false"/>
          <w:smallCaps w:val="false"/>
          <w:sz w:val="20"/>
          <w:u w:val="single"/>
        </w:rPr>
        <w:t>Electronic Transmissions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39" w:right="171"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Agent, the Credit Parties, the Lenders, and each of their Affiliates is authorized (but not required) to transmit, post or otherwise make or communicate, in its sole discretion, Electronic Transmissions in connection with any Loan Document and the transactions contemplated therein. The Borrower and each other Credit Party hereby acknowledges and agrees that the use of Electronic Transmissions is not necessarily secure and that there are risks associated with such use, including risks of interception, disclosure and abuse and each indicates it assumes and accepts such risks by hereby authorizing the transmission of Electronic Transmissions.</w:t>
      </w:r>
    </w:p>
    <w:p>
      <w:pPr>
        <w:pStyle w:val="TextBody"/>
        <w:bidi w:val="0"/>
        <w:spacing w:before="0" w:after="0"/>
        <w:ind w:left="139" w:right="171" w:firstLine="1440"/>
        <w:jc w:val="both"/>
        <w:rPr>
          <w:caps w:val="false"/>
          <w:smallCaps w:val="false"/>
        </w:rPr>
      </w:pPr>
      <w:r>
        <w:rPr>
          <w:caps w:val="false"/>
          <w:smallCaps w:val="false"/>
        </w:rPr>
        <w:t> </w:t>
      </w:r>
    </w:p>
    <w:p>
      <w:pPr>
        <w:pStyle w:val="TextBody"/>
        <w:bidi w:val="0"/>
        <w:spacing w:before="0" w:after="0"/>
        <w:ind w:left="140" w:right="15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uses of an E-System shall be governed by and subject to, in addition to Section 12.5 and this Section 12.20, separate terms and conditions posted or referenced in such E-System and related contractual obligations executed by the Agent, the Credit Parties and the Lenders in connection with the use of such E-System.</w:t>
      </w:r>
    </w:p>
    <w:p>
      <w:pPr>
        <w:pStyle w:val="TextBody"/>
        <w:bidi w:val="0"/>
        <w:spacing w:before="0" w:after="0"/>
        <w:ind w:left="140" w:right="150" w:firstLine="1440"/>
        <w:jc w:val="both"/>
        <w:rPr>
          <w:caps w:val="false"/>
          <w:smallCaps w:val="false"/>
        </w:rPr>
      </w:pPr>
      <w:r>
        <w:rPr>
          <w:caps w:val="false"/>
          <w:smallCaps w:val="false"/>
        </w:rPr>
        <w:t> </w:t>
      </w:r>
    </w:p>
    <w:p>
      <w:pPr>
        <w:pStyle w:val="TextBody"/>
        <w:bidi w:val="0"/>
        <w:spacing w:before="0" w:after="0"/>
        <w:ind w:left="139" w:right="164"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E-Systems and Electronic Transmissions shall be provided “as is” and “as available”. None of the Agent or any of its Affiliates, nor the Borrower or any of its respective Affiliates warrants the accuracy, adequacy or completeness of any E-Systems or Electronic Transmission, and each disclaims all liability for errors or omissions therein. No warranty of any kind is made by the Agent or any of its Affiliates, or the Borrower or any of its respective Affiliates in connection with any E-Systems or Electronic Transmission, including any warranty of merchantability, fitness for a particular purpose, non-infringement of third-party rights or freedom from viruses or other code defects. The Agent, the Borrower and its Subsidiaries, and the Lenders agree that the Agent has no responsibility for maintaining or providing any equipment, software, services or any testing required in connection with any Electronic Transmission or otherwise required for any E-System. The Agent and the Lenders agree that the Borrower has no responsibility for maintaining or providing any equipment, software, services or any testing required in connection with any Electronic Transmission or otherwise required for any E-System.</w:t>
      </w:r>
    </w:p>
    <w:p>
      <w:pPr>
        <w:pStyle w:val="TextBody"/>
        <w:bidi w:val="0"/>
        <w:spacing w:before="0" w:after="0"/>
        <w:ind w:left="139" w:right="164" w:firstLine="1440"/>
        <w:jc w:val="both"/>
        <w:rPr>
          <w:caps w:val="false"/>
          <w:smallCaps w:val="false"/>
        </w:rPr>
      </w:pPr>
      <w:r>
        <w:rPr>
          <w:caps w:val="false"/>
          <w:smallCaps w:val="false"/>
        </w:rPr>
        <w:t> </w:t>
      </w:r>
    </w:p>
    <w:p>
      <w:pPr>
        <w:pStyle w:val="TextBody"/>
        <w:bidi w:val="0"/>
        <w:spacing w:before="0" w:after="0"/>
        <w:ind w:left="140" w:right="15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12.21    </w:t>
      </w:r>
      <w:r>
        <w:rPr>
          <w:rFonts w:ascii="Times New Roman;Times;Serif" w:hAnsi="Times New Roman;Times;Serif"/>
          <w:b w:val="false"/>
          <w:i w:val="false"/>
          <w:caps w:val="false"/>
          <w:smallCaps w:val="false"/>
          <w:sz w:val="20"/>
          <w:u w:val="single"/>
        </w:rPr>
        <w:t>Advertisements</w:t>
      </w:r>
      <w:r>
        <w:rPr>
          <w:rFonts w:ascii="Times New Roman;Times;Serif" w:hAnsi="Times New Roman;Times;Serif"/>
          <w:b w:val="false"/>
          <w:i w:val="false"/>
          <w:caps w:val="false"/>
          <w:smallCaps w:val="false"/>
          <w:sz w:val="20"/>
        </w:rPr>
        <w:t>. The Agent and the Lenders, subject to the Borrower’s consent not to be unreasonably withheld, delayed or conditioned, may issue news releases and publish “tombstone” advertisements and other announcements relating to this transaction in newspapers, trade journals and other appropriate media (which may include use of logos of one or more of the Credit Parties) (collectively, “</w:t>
      </w:r>
      <w:r>
        <w:rPr>
          <w:rFonts w:ascii="Times New Roman;Times;Serif" w:hAnsi="Times New Roman;Times;Serif"/>
          <w:b/>
          <w:i w:val="false"/>
          <w:caps w:val="false"/>
          <w:smallCaps w:val="false"/>
          <w:sz w:val="20"/>
        </w:rPr>
        <w:t>Trade Announcements</w:t>
      </w:r>
      <w:r>
        <w:rPr>
          <w:rFonts w:ascii="Times New Roman;Times;Serif" w:hAnsi="Times New Roman;Times;Serif"/>
          <w:b w:val="false"/>
          <w:i w:val="false"/>
          <w:caps w:val="false"/>
          <w:smallCaps w:val="false"/>
          <w:sz w:val="20"/>
        </w:rPr>
        <w:t>”). No Credit Party shall issue any Trade Announcement or disclose the name of Agent or any Lender except (i) disclosures required by applicable law, regulation, legal process or the rules of the SEC or (ii) with the prior approval of Agent and such Lender not to be unreasonably withheld, delayed or conditioned.</w:t>
      </w:r>
    </w:p>
    <w:p>
      <w:pPr>
        <w:pStyle w:val="TextBody"/>
        <w:bidi w:val="0"/>
        <w:spacing w:before="0" w:after="0"/>
        <w:ind w:left="140" w:right="157" w:firstLine="720"/>
        <w:jc w:val="both"/>
        <w:rPr>
          <w:caps w:val="false"/>
          <w:smallCaps w:val="false"/>
        </w:rPr>
      </w:pPr>
      <w:r>
        <w:rPr>
          <w:caps w:val="false"/>
          <w:smallCaps w:val="false"/>
        </w:rPr>
        <w:t> </w:t>
      </w:r>
    </w:p>
    <w:p>
      <w:pPr>
        <w:pStyle w:val="TextBody"/>
        <w:bidi w:val="0"/>
        <w:spacing w:before="0" w:after="0"/>
        <w:ind w:left="140" w:right="169"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12.22    </w:t>
      </w:r>
      <w:r>
        <w:rPr>
          <w:rFonts w:ascii="Times New Roman;Times;Serif" w:hAnsi="Times New Roman;Times;Serif"/>
          <w:b w:val="false"/>
          <w:i w:val="false"/>
          <w:caps w:val="false"/>
          <w:smallCaps w:val="false"/>
          <w:sz w:val="20"/>
          <w:u w:val="single"/>
        </w:rPr>
        <w:t>Reliance on and Survival of Provisions</w:t>
      </w:r>
      <w:r>
        <w:rPr>
          <w:rFonts w:ascii="Times New Roman;Times;Serif" w:hAnsi="Times New Roman;Times;Serif"/>
          <w:b w:val="false"/>
          <w:i w:val="false"/>
          <w:caps w:val="false"/>
          <w:smallCaps w:val="false"/>
          <w:sz w:val="20"/>
        </w:rPr>
        <w:t>. All terms, covenants, agreements, representations and warranties of the Credit Parties to any of the Loan Documents made herein or in any of the Loan Documents or in any certificate, report, financial statement or other document furnished by or on behalf of any Credit Party in connection with this Agreement or any of the Loan Documents shall be deemed to have been relied upon by the Lenders, notwithstanding any investigation heretofore or</w:t>
      </w:r>
    </w:p>
    <w:p>
      <w:pPr>
        <w:pStyle w:val="TextBody"/>
        <w:bidi w:val="0"/>
        <w:spacing w:before="0" w:after="0"/>
        <w:ind w:left="140" w:right="169"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7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hereafter made by any Lender or on such Lender’s behalf, and those covenants and agreements of the Borrower and the Lenders, as applicable, set forth in Sections 8.3, 8.6, 9.3, 10.1, 10.4, 11.3, 11.7 and</w:t>
      </w:r>
    </w:p>
    <w:p>
      <w:pPr>
        <w:pStyle w:val="TextBody"/>
        <w:bidi w:val="0"/>
        <w:spacing w:before="0" w:after="0"/>
        <w:ind w:left="140" w:right="173" w:hanging="0"/>
        <w:jc w:val="both"/>
        <w:rPr>
          <w:caps w:val="false"/>
          <w:smallCaps w:val="false"/>
        </w:rPr>
      </w:pPr>
      <w:r>
        <w:rPr>
          <w:caps w:val="false"/>
          <w:smallCaps w:val="false"/>
        </w:rPr>
        <w:t> </w:t>
      </w:r>
    </w:p>
    <w:p>
      <w:pPr>
        <w:pStyle w:val="TextBody"/>
        <w:bidi w:val="0"/>
        <w:spacing w:before="0" w:after="0"/>
        <w:ind w:left="140" w:right="17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   hereof (together with any other indemnities of any Credit Party or Lender contained elsewhere in this Agreement or in any of the other Loan Documents) shall survive the repayment in full of the Indebtedness (including any Prepayment Premium) and the termination of this Agreement and the other Loan Documents, including any commitment to extend credit thereunder.</w:t>
      </w:r>
    </w:p>
    <w:p>
      <w:pPr>
        <w:pStyle w:val="TextBody"/>
        <w:bidi w:val="0"/>
        <w:spacing w:before="0" w:after="0"/>
        <w:ind w:left="140" w:right="173" w:hanging="0"/>
        <w:jc w:val="both"/>
        <w:rPr>
          <w:caps w:val="false"/>
          <w:smallCaps w:val="false"/>
        </w:rPr>
      </w:pPr>
      <w:r>
        <w:rPr>
          <w:caps w:val="false"/>
          <w:smallCaps w:val="false"/>
        </w:rPr>
        <w:t> </w:t>
      </w:r>
    </w:p>
    <w:p>
      <w:pPr>
        <w:pStyle w:val="TextBody"/>
        <w:bidi w:val="0"/>
        <w:spacing w:before="0" w:after="0"/>
        <w:ind w:left="139" w:right="16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12.23   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Notwithstanding any other provision herein, the aggregate interest rate charged or agreed to be paid with respect to any of the Indebtedness (including any Prepayment Premium), including all charges or fees in connection therewith deemed in the nature of interest under applicable law shall not exceed the Highest Lawful Rate. If the rate of interest (determined without regard to the preceding sentence) under this Agreement at any time exceeds the Highest Lawful Rate, the outstanding amount of the Loans made hereunder shall bear interest at the Highest Lawful Rate until the total amount of interest due hereunder equals the amount of interest which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the Borrower shall pay to the Agent an amount equal to the difference between the amount of interest paid and the amount of interest which would have been paid if the Highest Lawful Rate had at all times been in effect. Notwithstanding the foregoing, it is the intention of Lenders and the Borrower to conform strictly to any applicable usury laws. Accordingly, if any Lender contracts for, charges, or receives any consideration which constitutes interest in excess of the Highest Lawful Rate, then any such excess shall be cancelled automatically and, if previously paid, shall at such Lender’s option be applied to the outstanding amount of the Loans made hereunder or be refunded to the Borrower. In determining whether the interest contracted for, charged, or received by the Agent or a Lender exceeds the Highest Lawful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Indebtedness hereunder.</w:t>
      </w:r>
    </w:p>
    <w:p>
      <w:pPr>
        <w:pStyle w:val="TextBody"/>
        <w:bidi w:val="0"/>
        <w:spacing w:before="0" w:after="0"/>
        <w:ind w:left="139" w:right="167" w:firstLine="720"/>
        <w:jc w:val="both"/>
        <w:rPr>
          <w:caps w:val="false"/>
          <w:smallCaps w:val="false"/>
        </w:rPr>
      </w:pPr>
      <w:r>
        <w:rPr>
          <w:caps w:val="false"/>
          <w:smallCaps w:val="false"/>
        </w:rPr>
        <w:t> </w:t>
      </w:r>
    </w:p>
    <w:p>
      <w:pPr>
        <w:pStyle w:val="TextBody"/>
        <w:bidi w:val="0"/>
        <w:spacing w:before="0" w:after="0"/>
        <w:ind w:left="140" w:right="12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12.24    </w:t>
      </w:r>
      <w:r>
        <w:rPr>
          <w:rFonts w:ascii="Times New Roman;Times;Serif" w:hAnsi="Times New Roman;Times;Serif"/>
          <w:b w:val="false"/>
          <w:i w:val="false"/>
          <w:caps w:val="false"/>
          <w:smallCaps w:val="false"/>
          <w:sz w:val="20"/>
          <w:u w:val="single"/>
        </w:rPr>
        <w:t>Acknowledgment and Consent to Bail-In of EEA Financial Institutions</w:t>
      </w:r>
      <w:r>
        <w:rPr>
          <w:rFonts w:ascii="Times New Roman;Times;Serif" w:hAnsi="Times New Roman;Times;Serif"/>
          <w:b w:val="false"/>
          <w:i w:val="false"/>
          <w:caps w:val="false"/>
          <w:smallCaps w:val="false"/>
          <w:sz w:val="20"/>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 down and conversion powers of an EEA Resolution Authority and agrees and consents to, and acknowledges and agrees to be bound by:</w:t>
      </w:r>
    </w:p>
    <w:p>
      <w:pPr>
        <w:pStyle w:val="TextBody"/>
        <w:bidi w:val="0"/>
        <w:spacing w:before="0" w:after="0"/>
        <w:ind w:left="140" w:right="123"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(a)</w:t>
            </w:r>
          </w:p>
        </w:tc>
        <w:tc>
          <w:tcPr>
            <w:tcW w:w="9935" w:type="dxa"/>
            <w:tcBorders/>
            <w:vAlign w:val="center"/>
          </w:tcPr>
          <w:p>
            <w:pPr>
              <w:pStyle w:val="TableContents"/>
              <w:bidi w:val="0"/>
              <w:spacing w:before="0" w:after="283"/>
              <w:jc w:val="both"/>
              <w:rPr/>
            </w:pPr>
            <w:r>
              <w:rPr/>
              <w:t>the application of any Write-Down and Conversion Powers by an EEA Resolution Authority to any such liabilities arising hereunder which may be payable to it by any party hereto that is an EEA Financial Institution;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383"/>
        <w:gridCol w:w="9772"/>
      </w:tblGrid>
      <w:tr>
        <w:trPr/>
        <w:tc>
          <w:tcPr>
            <w:tcW w:w="5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pPr>
            <w:r>
              <w:rPr/>
              <w:t>(b)</w:t>
            </w:r>
          </w:p>
        </w:tc>
        <w:tc>
          <w:tcPr>
            <w:tcW w:w="9772" w:type="dxa"/>
            <w:tcBorders/>
            <w:vAlign w:val="center"/>
          </w:tcPr>
          <w:p>
            <w:pPr>
              <w:pStyle w:val="TableContents"/>
              <w:bidi w:val="0"/>
              <w:spacing w:before="0" w:after="283"/>
              <w:jc w:val="left"/>
              <w:rPr/>
            </w:pPr>
            <w:r>
              <w:rPr/>
              <w:t>the effects of any Bail-In Action on any such liability, including, if applicable: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372"/>
        <w:gridCol w:w="9772"/>
      </w:tblGrid>
      <w:tr>
        <w:trPr/>
        <w:tc>
          <w:tcPr>
            <w:tcW w:w="6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pPr>
            <w:r>
              <w:rPr/>
              <w:t>(i)</w:t>
            </w:r>
          </w:p>
        </w:tc>
        <w:tc>
          <w:tcPr>
            <w:tcW w:w="9772" w:type="dxa"/>
            <w:tcBorders/>
            <w:vAlign w:val="center"/>
          </w:tcPr>
          <w:p>
            <w:pPr>
              <w:pStyle w:val="TableContents"/>
              <w:bidi w:val="0"/>
              <w:spacing w:before="0" w:after="283"/>
              <w:jc w:val="left"/>
              <w:rPr/>
            </w:pPr>
            <w:r>
              <w:rPr/>
              <w:t>a reduction in full or in part or cancellation of any such liability;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(ii)</w:t>
            </w:r>
          </w:p>
        </w:tc>
        <w:tc>
          <w:tcPr>
            <w:tcW w:w="9928" w:type="dxa"/>
            <w:tcBorders/>
            <w:vAlign w:val="center"/>
          </w:tcPr>
          <w:p>
            <w:pPr>
              <w:pStyle w:val="TableContents"/>
              <w:bidi w:val="0"/>
              <w:spacing w:before="0" w:after="283"/>
              <w:jc w:val="both"/>
              <w:rPr/>
            </w:pPr>
            <w:r>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20" w:right="10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be accepted by it in lieu of any rights with respect to any such liability under this Agreement or any other Loan Document; or</w:t>
      </w:r>
    </w:p>
    <w:p>
      <w:pPr>
        <w:pStyle w:val="TextBody"/>
        <w:bidi w:val="0"/>
        <w:spacing w:before="0" w:after="0"/>
        <w:ind w:left="3020" w:right="102"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5"/>
        <w:gridCol w:w="9843"/>
      </w:tblGrid>
      <w:tr>
        <w:trPr/>
        <w:tc>
          <w:tcPr>
            <w:tcW w:w="3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pPr>
            <w:r>
              <w:rPr/>
              <w:t>(iii)</w:t>
            </w:r>
          </w:p>
        </w:tc>
        <w:tc>
          <w:tcPr>
            <w:tcW w:w="9843" w:type="dxa"/>
            <w:tcBorders/>
            <w:vAlign w:val="center"/>
          </w:tcPr>
          <w:p>
            <w:pPr>
              <w:pStyle w:val="TableContents"/>
              <w:bidi w:val="0"/>
              <w:spacing w:before="0" w:after="283"/>
              <w:jc w:val="both"/>
              <w:rPr/>
            </w:pPr>
            <w:r>
              <w:rPr/>
              <w:t>the variation of the terms of such liability in connection with the exercise of the write-down and conversion powers of any EEA Resolution Authority.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39" w:right="13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12.25    </w:t>
      </w:r>
      <w:r>
        <w:rPr>
          <w:rFonts w:ascii="Times New Roman;Times;Serif" w:hAnsi="Times New Roman;Times;Serif"/>
          <w:b w:val="false"/>
          <w:i w:val="false"/>
          <w:caps w:val="false"/>
          <w:smallCaps w:val="false"/>
          <w:sz w:val="20"/>
          <w:u w:val="single"/>
        </w:rPr>
        <w:t>Specified Subordination Agreement</w:t>
      </w:r>
      <w:r>
        <w:rPr>
          <w:rFonts w:ascii="Times New Roman;Times;Serif" w:hAnsi="Times New Roman;Times;Serif"/>
          <w:b w:val="false"/>
          <w:i w:val="false"/>
          <w:caps w:val="false"/>
          <w:smallCaps w:val="false"/>
          <w:sz w:val="20"/>
        </w:rPr>
        <w:t>.  Notwithstanding anything herein to the contrary, the Indebtedness evidenced by this Agreement and the other Loan Documents and the exercise of any right or remedy by the Agent or the Lenders hereunder or thereunder are subject to the provisions of the Specified Subordination Agreement (to the extent such Specified Subordination Agreement is then in effect). In the event of any direct conflict between the terms of the Specified Subordination Agreement and any other Loan Document, the terms of the Specified Subordination Agreement (to the extent such Specified Subordination Agreement is  then in effect) shall govern.  Notwithstanding anything that may be contained herein to the contrary, all of the provisions of this Agreement and the other Loan Documents, including without limitation, the covenants of the Credit Parties contained herein and therein and all of the rights, remedies and powers provided for herein and therein, are subject to the provisions of the Specified Subordination Agreement to the extent such Specified Subordination Agreement is then in effect (it being understood that any breach by any Credit Party of its obligations hereunder or thereunder shall nonetheless constitute a default (and to the extent provided herein or therein, an Event of Default) hereunder or thereunder, as applicable, notwithstanding the foregoing).</w:t>
      </w:r>
    </w:p>
    <w:p>
      <w:pPr>
        <w:pStyle w:val="TextBody"/>
        <w:bidi w:val="0"/>
        <w:spacing w:before="0" w:after="0"/>
        <w:ind w:left="139" w:right="130" w:firstLine="720"/>
        <w:jc w:val="both"/>
        <w:rPr>
          <w:caps w:val="false"/>
          <w:smallCaps w:val="false"/>
        </w:rPr>
      </w:pPr>
      <w:r>
        <w:rPr>
          <w:caps w:val="false"/>
          <w:smallCaps w:val="false"/>
        </w:rPr>
        <w:t> </w:t>
      </w:r>
    </w:p>
    <w:p>
      <w:pPr>
        <w:pStyle w:val="TextBody"/>
        <w:bidi w:val="0"/>
        <w:spacing w:before="0" w:after="0"/>
        <w:ind w:left="140" w:right="17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12.26    </w:t>
      </w:r>
      <w:r>
        <w:rPr>
          <w:rFonts w:ascii="Times New Roman;Times;Serif" w:hAnsi="Times New Roman;Times;Serif"/>
          <w:b w:val="false"/>
          <w:i w:val="false"/>
          <w:caps w:val="false"/>
          <w:smallCaps w:val="false"/>
          <w:sz w:val="20"/>
          <w:u w:val="single"/>
        </w:rPr>
        <w:t>Restatement of Original Credit Agreement</w:t>
      </w:r>
      <w:r>
        <w:rPr>
          <w:rFonts w:ascii="Times New Roman;Times;Serif" w:hAnsi="Times New Roman;Times;Serif"/>
          <w:b w:val="false"/>
          <w:i w:val="false"/>
          <w:caps w:val="false"/>
          <w:smallCaps w:val="false"/>
          <w:sz w:val="20"/>
        </w:rPr>
        <w:t>. The parties hereto agree that, on the Restatement Date, the following transactions shall be deemed to occur automatically, without further action by any party hereto:</w:t>
      </w:r>
    </w:p>
    <w:p>
      <w:pPr>
        <w:pStyle w:val="TextBody"/>
        <w:bidi w:val="0"/>
        <w:spacing w:before="0" w:after="0"/>
        <w:ind w:left="140" w:right="173" w:firstLine="720"/>
        <w:jc w:val="both"/>
        <w:rPr>
          <w:caps w:val="false"/>
          <w:smallCaps w:val="false"/>
        </w:rPr>
      </w:pPr>
      <w:r>
        <w:rPr>
          <w:caps w:val="false"/>
          <w:smallCaps w:val="false"/>
        </w:rPr>
        <w:t> </w:t>
      </w:r>
    </w:p>
    <w:p>
      <w:pPr>
        <w:pStyle w:val="TextBody"/>
        <w:bidi w:val="0"/>
        <w:spacing w:before="0" w:after="0"/>
        <w:ind w:left="139" w:right="1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Original Credit Agreement shall be deemed to be amended and restated in its entirety in the form of this Agreement;</w:t>
      </w:r>
    </w:p>
    <w:p>
      <w:pPr>
        <w:pStyle w:val="TextBody"/>
        <w:bidi w:val="0"/>
        <w:spacing w:before="0" w:after="0"/>
        <w:ind w:left="139" w:right="172" w:firstLine="1440"/>
        <w:jc w:val="both"/>
        <w:rPr>
          <w:caps w:val="false"/>
          <w:smallCaps w:val="false"/>
        </w:rPr>
      </w:pPr>
      <w:r>
        <w:rPr>
          <w:caps w:val="false"/>
          <w:smallCaps w:val="false"/>
        </w:rPr>
        <w:t> </w:t>
      </w:r>
    </w:p>
    <w:p>
      <w:pPr>
        <w:pStyle w:val="TextBody"/>
        <w:bidi w:val="0"/>
        <w:spacing w:before="0" w:after="0"/>
        <w:ind w:left="140" w:right="169"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Credit Party reaffirms and confirms its obligations under each Loan Document (as defined in the Original Credit Agreement) to which it is a party (including all Collateral Documents (as defined in the Original Credit Agreement) and the security interests previously granted thereunder), as amended, supplemented, or otherwise modified or replaced by the Agreement and by any other Loan Document delivered on the Restatement Date continue in full force and effect and extend to all Indebtedness of each Credit Party under the Loan Documents as modified on the Restatement Date;</w:t>
      </w:r>
    </w:p>
    <w:p>
      <w:pPr>
        <w:pStyle w:val="TextBody"/>
        <w:bidi w:val="0"/>
        <w:spacing w:before="0" w:after="0"/>
        <w:ind w:left="140" w:right="169" w:firstLine="1440"/>
        <w:jc w:val="both"/>
        <w:rPr>
          <w:caps w:val="false"/>
          <w:smallCaps w:val="false"/>
        </w:rPr>
      </w:pPr>
      <w:r>
        <w:rPr>
          <w:caps w:val="false"/>
          <w:smallCaps w:val="false"/>
        </w:rPr>
        <w:t> </w:t>
      </w:r>
    </w:p>
    <w:p>
      <w:pPr>
        <w:pStyle w:val="TextBody"/>
        <w:bidi w:val="0"/>
        <w:spacing w:before="0" w:after="0"/>
        <w:ind w:left="140" w:right="171"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Term Loans (including the Exchanged Term Loans) shall continue to be secured by all Liens provided in connection with the Original Credit Agreement as and to the extent provided in, and subject to the terms of, this Agreement (and from and after the Restatement Date, shall be secured by all Liens provided in connection with this Agreement as and to the extent provided for in, and subject to the terms of, this Agreement);</w:t>
      </w:r>
    </w:p>
    <w:p>
      <w:pPr>
        <w:pStyle w:val="TextBody"/>
        <w:bidi w:val="0"/>
        <w:spacing w:before="0" w:after="0"/>
        <w:ind w:left="140" w:right="171" w:firstLine="1440"/>
        <w:jc w:val="both"/>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references in the Loan Documents (as defined in the Original Credit Agreement) to the “Credit Agreement” shall be deemed to refer without further amendment to this Agreement;</w:t>
      </w:r>
    </w:p>
    <w:p>
      <w:pPr>
        <w:pStyle w:val="TextBody"/>
        <w:bidi w:val="0"/>
        <w:spacing w:before="0" w:after="0"/>
        <w:ind w:left="140" w:right="173" w:firstLine="1440"/>
        <w:jc w:val="both"/>
        <w:rPr>
          <w:caps w:val="false"/>
          <w:smallCaps w:val="false"/>
        </w:rPr>
      </w:pPr>
      <w:r>
        <w:rPr>
          <w:caps w:val="false"/>
          <w:smallCaps w:val="false"/>
        </w:rPr>
        <w:t> </w:t>
      </w:r>
    </w:p>
    <w:p>
      <w:pPr>
        <w:pStyle w:val="TextBody"/>
        <w:bidi w:val="0"/>
        <w:spacing w:before="0" w:after="0"/>
        <w:ind w:left="140" w:right="169"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this Agreement and the other Loan Documents do not constitute a novation or termination of the Existing Term Loans and that, to the extent not exchanged for Equity Interests of the Borrower on the Restatement Date, such Existing Term Loans shall in all respects continue and remain outstanding as Exchanged Term Loans under this Agreement with only the terms being modified from</w:t>
      </w:r>
    </w:p>
    <w:p>
      <w:pPr>
        <w:pStyle w:val="TextBody"/>
        <w:bidi w:val="0"/>
        <w:spacing w:before="0" w:after="0"/>
        <w:ind w:left="140" w:right="169"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after the Restatement Date of this Agreement as provided in this Agreement and the other Loan Documents; and</w:t>
      </w:r>
    </w:p>
    <w:p>
      <w:pPr>
        <w:pStyle w:val="TextBody"/>
        <w:bidi w:val="0"/>
        <w:spacing w:before="0" w:after="0"/>
        <w:ind w:left="140" w:right="0" w:hanging="0"/>
        <w:jc w:val="left"/>
        <w:rPr>
          <w:caps w:val="false"/>
          <w:smallCaps w:val="false"/>
        </w:rPr>
      </w:pPr>
      <w:r>
        <w:rPr>
          <w:caps w:val="false"/>
          <w:smallCaps w:val="false"/>
        </w:rPr>
        <w:t> </w:t>
      </w:r>
    </w:p>
    <w:p>
      <w:pPr>
        <w:pStyle w:val="TextBody"/>
        <w:bidi w:val="0"/>
        <w:spacing w:before="0" w:after="0"/>
        <w:ind w:left="140" w:right="17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Credit Parties acknowledge that this Agreement does not constitute a waiver by any Lender or any Agent of any Default or Event of Default under the Original Credit Agreement and any such Default or Event of Default that exists on the Restatement Date shall continue to exist under this Agreement.</w:t>
      </w:r>
    </w:p>
    <w:p>
      <w:pPr>
        <w:pStyle w:val="TextBody"/>
        <w:bidi w:val="0"/>
        <w:spacing w:before="0" w:after="0"/>
        <w:ind w:left="140" w:right="173" w:firstLine="1440"/>
        <w:jc w:val="both"/>
        <w:rPr>
          <w:caps w:val="false"/>
          <w:smallCaps w:val="false"/>
        </w:rPr>
      </w:pPr>
      <w:r>
        <w:rPr>
          <w:caps w:val="false"/>
          <w:smallCaps w:val="false"/>
        </w:rPr>
        <w:t> </w:t>
      </w:r>
    </w:p>
    <w:p>
      <w:pPr>
        <w:pStyle w:val="TextBody"/>
        <w:bidi w:val="0"/>
        <w:spacing w:before="0" w:after="0"/>
        <w:ind w:left="1499" w:right="1481"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[Remainder of Page Intentionally Left Blank]</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97" w:right="1481"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I – LOANS AND COMMITMENTS</w:t>
      </w:r>
    </w:p>
    <w:p>
      <w:pPr>
        <w:pStyle w:val="TextBody"/>
        <w:bidi w:val="0"/>
        <w:spacing w:before="0" w:after="0"/>
        <w:ind w:left="1497" w:right="1481"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0"/>
        <w:gridCol w:w="844"/>
        <w:gridCol w:w="9201"/>
      </w:tblGrid>
      <w:tr>
        <w:trPr/>
        <w:tc>
          <w:tcPr>
            <w:tcW w:w="1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b/>
              </w:rPr>
            </w:pPr>
            <w:r>
              <w:rPr>
                <w:b/>
              </w:rPr>
              <w:t>1.</w:t>
            </w:r>
          </w:p>
        </w:tc>
        <w:tc>
          <w:tcPr>
            <w:tcW w:w="9201" w:type="dxa"/>
            <w:tcBorders/>
            <w:vAlign w:val="center"/>
          </w:tcPr>
          <w:p>
            <w:pPr>
              <w:pStyle w:val="TableContents"/>
              <w:bidi w:val="0"/>
              <w:spacing w:before="0" w:after="283"/>
              <w:jc w:val="left"/>
              <w:rPr>
                <w:b/>
              </w:rPr>
            </w:pPr>
            <w:r>
              <w:rPr>
                <w:b/>
              </w:rPr>
              <w:t>Existing Term Loans</w:t>
            </w:r>
          </w:p>
        </w:tc>
      </w:tr>
    </w:tbl>
    <w:p>
      <w:pPr>
        <w:pStyle w:val="TextBody"/>
        <w:bidi w:val="0"/>
        <w:spacing w:before="0" w:after="0"/>
        <w:jc w:val="left"/>
        <w:rPr>
          <w:caps w:val="false"/>
          <w:smallCaps w:val="false"/>
        </w:rPr>
      </w:pPr>
      <w:r>
        <w:rPr>
          <w:caps w:val="false"/>
          <w:smallCaps w:val="false"/>
        </w:rPr>
        <w:t> </w:t>
      </w:r>
    </w:p>
    <w:tbl>
      <w:tblPr>
        <w:tblW w:w="4930" w:type="dxa"/>
        <w:jc w:val="left"/>
        <w:tblInd w:w="-10" w:type="dxa"/>
        <w:tblLayout w:type="fixed"/>
        <w:tblCellMar>
          <w:top w:w="28" w:type="dxa"/>
          <w:left w:w="1170" w:type="dxa"/>
          <w:bottom w:w="28" w:type="dxa"/>
          <w:right w:w="28" w:type="dxa"/>
        </w:tblCellMar>
      </w:tblPr>
      <w:tblGrid>
        <w:gridCol w:w="2720"/>
        <w:gridCol w:w="2210"/>
      </w:tblGrid>
      <w:tr>
        <w:trPr/>
        <w:tc>
          <w:tcPr>
            <w:tcW w:w="2720" w:type="dxa"/>
            <w:tcBorders>
              <w:top w:val="single" w:sz="8" w:space="0" w:color="010101"/>
              <w:left w:val="single" w:sz="8" w:space="0" w:color="010101"/>
              <w:bottom w:val="single" w:sz="8" w:space="0" w:color="010101"/>
              <w:right w:val="single" w:sz="8" w:space="0" w:color="010101"/>
            </w:tcBorders>
            <w:vAlign w:val="center"/>
          </w:tcPr>
          <w:p>
            <w:pPr>
              <w:pStyle w:val="TableContents"/>
              <w:bidi w:val="0"/>
              <w:spacing w:before="0" w:after="283"/>
              <w:jc w:val="center"/>
              <w:rPr>
                <w:b/>
                <w:u w:val="single"/>
              </w:rPr>
            </w:pPr>
            <w:r>
              <w:rPr>
                <w:b/>
                <w:u w:val="single"/>
              </w:rPr>
              <w:t>Lender</w:t>
            </w:r>
          </w:p>
        </w:tc>
        <w:tc>
          <w:tcPr>
            <w:tcW w:w="2210" w:type="dxa"/>
            <w:tcBorders>
              <w:top w:val="single" w:sz="8" w:space="0" w:color="010101"/>
              <w:bottom w:val="single" w:sz="8" w:space="0" w:color="010101"/>
              <w:right w:val="single" w:sz="8" w:space="0" w:color="010101"/>
            </w:tcBorders>
            <w:tcMar>
              <w:left w:w="0" w:type="dxa"/>
            </w:tcMar>
            <w:vAlign w:val="center"/>
          </w:tcPr>
          <w:p>
            <w:pPr>
              <w:pStyle w:val="TableContents"/>
              <w:bidi w:val="0"/>
              <w:spacing w:before="0" w:after="283"/>
              <w:jc w:val="center"/>
              <w:rPr>
                <w:b/>
                <w:u w:val="single"/>
              </w:rPr>
            </w:pPr>
            <w:r>
              <w:rPr>
                <w:b/>
                <w:u w:val="single"/>
              </w:rPr>
              <w:t>Existing Term Loan</w:t>
            </w:r>
          </w:p>
        </w:tc>
      </w:tr>
      <w:tr>
        <w:trPr/>
        <w:tc>
          <w:tcPr>
            <w:tcW w:w="2720" w:type="dxa"/>
            <w:tcBorders>
              <w:left w:val="single" w:sz="8" w:space="0" w:color="010101"/>
              <w:bottom w:val="single" w:sz="8" w:space="0" w:color="010101"/>
              <w:right w:val="single" w:sz="8" w:space="0" w:color="010101"/>
            </w:tcBorders>
            <w:tcMar>
              <w:top w:w="0" w:type="dxa"/>
              <w:left w:w="103" w:type="dxa"/>
            </w:tcMar>
            <w:vAlign w:val="center"/>
          </w:tcPr>
          <w:p>
            <w:pPr>
              <w:pStyle w:val="TableContents"/>
              <w:bidi w:val="0"/>
              <w:spacing w:before="0" w:after="283"/>
              <w:jc w:val="left"/>
              <w:rPr/>
            </w:pPr>
            <w:r>
              <w:rPr/>
              <w:t>CHS US Investments LLC</w:t>
            </w:r>
          </w:p>
        </w:tc>
        <w:tc>
          <w:tcPr>
            <w:tcW w:w="2210" w:type="dxa"/>
            <w:tcBorders>
              <w:bottom w:val="single" w:sz="8" w:space="0" w:color="010101"/>
              <w:right w:val="single" w:sz="8" w:space="0" w:color="010101"/>
            </w:tcBorders>
            <w:tcMar>
              <w:top w:w="0" w:type="dxa"/>
              <w:left w:w="0" w:type="dxa"/>
            </w:tcMar>
            <w:vAlign w:val="center"/>
          </w:tcPr>
          <w:p>
            <w:pPr>
              <w:pStyle w:val="TableContents"/>
              <w:bidi w:val="0"/>
              <w:spacing w:before="0" w:after="283"/>
              <w:jc w:val="center"/>
              <w:rPr/>
            </w:pPr>
            <w:r>
              <w:rPr/>
              <w:t>$334,165,275.12</w:t>
            </w:r>
          </w:p>
        </w:tc>
      </w:tr>
      <w:tr>
        <w:trPr/>
        <w:tc>
          <w:tcPr>
            <w:tcW w:w="2720" w:type="dxa"/>
            <w:tcBorders>
              <w:left w:val="single" w:sz="8" w:space="0" w:color="010101"/>
              <w:bottom w:val="single" w:sz="8" w:space="0" w:color="010101"/>
              <w:right w:val="single" w:sz="8" w:space="0" w:color="010101"/>
            </w:tcBorders>
            <w:tcMar>
              <w:top w:w="0" w:type="dxa"/>
              <w:left w:w="102" w:type="dxa"/>
            </w:tcMar>
            <w:vAlign w:val="center"/>
          </w:tcPr>
          <w:p>
            <w:pPr>
              <w:pStyle w:val="TableContents"/>
              <w:bidi w:val="0"/>
              <w:spacing w:before="0" w:after="283"/>
              <w:jc w:val="left"/>
              <w:rPr>
                <w:b/>
              </w:rPr>
            </w:pPr>
            <w:r>
              <w:rPr>
                <w:b/>
              </w:rPr>
              <w:t>Total</w:t>
            </w:r>
          </w:p>
        </w:tc>
        <w:tc>
          <w:tcPr>
            <w:tcW w:w="2210" w:type="dxa"/>
            <w:tcBorders>
              <w:bottom w:val="single" w:sz="8" w:space="0" w:color="010101"/>
              <w:right w:val="single" w:sz="8" w:space="0" w:color="010101"/>
            </w:tcBorders>
            <w:tcMar>
              <w:top w:w="0" w:type="dxa"/>
              <w:left w:w="0" w:type="dxa"/>
            </w:tcMar>
            <w:vAlign w:val="center"/>
          </w:tcPr>
          <w:p>
            <w:pPr>
              <w:pStyle w:val="TableContents"/>
              <w:bidi w:val="0"/>
              <w:spacing w:before="0" w:after="283"/>
              <w:jc w:val="center"/>
              <w:rPr>
                <w:b/>
              </w:rPr>
            </w:pPr>
            <w:r>
              <w:rPr>
                <w:b/>
              </w:rPr>
              <w:t>$334,165,275.12</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0"/>
        <w:gridCol w:w="427"/>
        <w:gridCol w:w="9698"/>
      </w:tblGrid>
      <w:tr>
        <w:trPr/>
        <w:tc>
          <w:tcPr>
            <w:tcW w:w="8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b/>
              </w:rPr>
            </w:pPr>
            <w:r>
              <w:rPr>
                <w:b/>
              </w:rPr>
              <w:t>2.</w:t>
            </w:r>
          </w:p>
        </w:tc>
        <w:tc>
          <w:tcPr>
            <w:tcW w:w="9698" w:type="dxa"/>
            <w:tcBorders/>
            <w:vAlign w:val="center"/>
          </w:tcPr>
          <w:p>
            <w:pPr>
              <w:pStyle w:val="TableContents"/>
              <w:bidi w:val="0"/>
              <w:spacing w:before="0" w:after="283"/>
              <w:jc w:val="left"/>
              <w:rPr>
                <w:b/>
              </w:rPr>
            </w:pPr>
            <w:r>
              <w:rPr>
                <w:b/>
              </w:rPr>
              <w:t>Restatement Date Term Loan Commitments</w:t>
            </w:r>
          </w:p>
        </w:tc>
      </w:tr>
    </w:tbl>
    <w:p>
      <w:pPr>
        <w:pStyle w:val="TextBody"/>
        <w:bidi w:val="0"/>
        <w:spacing w:before="0" w:after="0"/>
        <w:jc w:val="left"/>
        <w:rPr>
          <w:caps w:val="false"/>
          <w:smallCaps w:val="false"/>
        </w:rPr>
      </w:pPr>
      <w:r>
        <w:rPr>
          <w:caps w:val="false"/>
          <w:smallCaps w:val="false"/>
        </w:rPr>
        <w:t> </w:t>
      </w:r>
    </w:p>
    <w:tbl>
      <w:tblPr>
        <w:tblW w:w="7300" w:type="dxa"/>
        <w:jc w:val="left"/>
        <w:tblInd w:w="-10" w:type="dxa"/>
        <w:tblLayout w:type="fixed"/>
        <w:tblCellMar>
          <w:top w:w="28" w:type="dxa"/>
          <w:left w:w="1789" w:type="dxa"/>
          <w:bottom w:w="28" w:type="dxa"/>
          <w:right w:w="28" w:type="dxa"/>
        </w:tblCellMar>
      </w:tblPr>
      <w:tblGrid>
        <w:gridCol w:w="2720"/>
        <w:gridCol w:w="4580"/>
      </w:tblGrid>
      <w:tr>
        <w:trPr/>
        <w:tc>
          <w:tcPr>
            <w:tcW w:w="2720" w:type="dxa"/>
            <w:tcBorders>
              <w:top w:val="single" w:sz="8" w:space="0" w:color="010101"/>
              <w:left w:val="single" w:sz="8" w:space="0" w:color="010101"/>
              <w:bottom w:val="single" w:sz="8" w:space="0" w:color="010101"/>
              <w:right w:val="single" w:sz="8" w:space="0" w:color="010101"/>
            </w:tcBorders>
            <w:vAlign w:val="center"/>
          </w:tcPr>
          <w:p>
            <w:pPr>
              <w:pStyle w:val="TableContents"/>
              <w:bidi w:val="0"/>
              <w:spacing w:before="0" w:after="283"/>
              <w:jc w:val="center"/>
              <w:rPr>
                <w:b/>
                <w:u w:val="single"/>
              </w:rPr>
            </w:pPr>
            <w:r>
              <w:rPr>
                <w:b/>
                <w:u w:val="single"/>
              </w:rPr>
              <w:t>Lender</w:t>
            </w:r>
          </w:p>
        </w:tc>
        <w:tc>
          <w:tcPr>
            <w:tcW w:w="4580" w:type="dxa"/>
            <w:tcBorders>
              <w:top w:val="single" w:sz="8" w:space="0" w:color="010101"/>
              <w:bottom w:val="single" w:sz="8" w:space="0" w:color="010101"/>
              <w:right w:val="single" w:sz="8" w:space="0" w:color="010101"/>
            </w:tcBorders>
            <w:tcMar>
              <w:left w:w="0" w:type="dxa"/>
            </w:tcMar>
            <w:vAlign w:val="center"/>
          </w:tcPr>
          <w:p>
            <w:pPr>
              <w:pStyle w:val="TableContents"/>
              <w:bidi w:val="0"/>
              <w:spacing w:before="0" w:after="283"/>
              <w:jc w:val="center"/>
              <w:rPr>
                <w:b/>
                <w:u w:val="single"/>
              </w:rPr>
            </w:pPr>
            <w:r>
              <w:rPr>
                <w:b/>
                <w:u w:val="single"/>
              </w:rPr>
              <w:t>Restatement Date Term Loan Commitment</w:t>
            </w:r>
          </w:p>
        </w:tc>
      </w:tr>
      <w:tr>
        <w:trPr/>
        <w:tc>
          <w:tcPr>
            <w:tcW w:w="2720" w:type="dxa"/>
            <w:tcBorders>
              <w:left w:val="single" w:sz="8" w:space="0" w:color="010101"/>
              <w:bottom w:val="single" w:sz="8" w:space="0" w:color="010101"/>
              <w:right w:val="single" w:sz="8" w:space="0" w:color="010101"/>
            </w:tcBorders>
            <w:tcMar>
              <w:top w:w="0" w:type="dxa"/>
              <w:left w:w="103" w:type="dxa"/>
            </w:tcMar>
            <w:vAlign w:val="center"/>
          </w:tcPr>
          <w:p>
            <w:pPr>
              <w:pStyle w:val="TableContents"/>
              <w:bidi w:val="0"/>
              <w:spacing w:before="0" w:after="283"/>
              <w:jc w:val="left"/>
              <w:rPr/>
            </w:pPr>
            <w:r>
              <w:rPr/>
              <w:t>CHS US Investments LLC</w:t>
            </w:r>
          </w:p>
        </w:tc>
        <w:tc>
          <w:tcPr>
            <w:tcW w:w="4580" w:type="dxa"/>
            <w:tcBorders>
              <w:bottom w:val="single" w:sz="8" w:space="0" w:color="010101"/>
              <w:right w:val="single" w:sz="8" w:space="0" w:color="010101"/>
            </w:tcBorders>
            <w:tcMar>
              <w:top w:w="0" w:type="dxa"/>
              <w:left w:w="0" w:type="dxa"/>
            </w:tcMar>
            <w:vAlign w:val="center"/>
          </w:tcPr>
          <w:p>
            <w:pPr>
              <w:pStyle w:val="TableContents"/>
              <w:bidi w:val="0"/>
              <w:spacing w:before="0" w:after="283"/>
              <w:jc w:val="center"/>
              <w:rPr/>
            </w:pPr>
            <w:r>
              <w:rPr/>
              <w:t>$10,000,000.00</w:t>
            </w:r>
          </w:p>
        </w:tc>
      </w:tr>
      <w:tr>
        <w:trPr/>
        <w:tc>
          <w:tcPr>
            <w:tcW w:w="2720" w:type="dxa"/>
            <w:tcBorders>
              <w:left w:val="single" w:sz="8" w:space="0" w:color="010101"/>
              <w:bottom w:val="single" w:sz="8" w:space="0" w:color="010101"/>
              <w:right w:val="single" w:sz="8" w:space="0" w:color="010101"/>
            </w:tcBorders>
            <w:tcMar>
              <w:top w:w="0" w:type="dxa"/>
              <w:left w:w="103" w:type="dxa"/>
            </w:tcMar>
            <w:vAlign w:val="center"/>
          </w:tcPr>
          <w:p>
            <w:pPr>
              <w:pStyle w:val="TableContents"/>
              <w:bidi w:val="0"/>
              <w:spacing w:before="0" w:after="283"/>
              <w:jc w:val="left"/>
              <w:rPr/>
            </w:pPr>
            <w:r>
              <w:rPr/>
              <w:t>Gateway Runway, LLC</w:t>
            </w:r>
          </w:p>
        </w:tc>
        <w:tc>
          <w:tcPr>
            <w:tcW w:w="4580" w:type="dxa"/>
            <w:tcBorders>
              <w:bottom w:val="single" w:sz="8" w:space="0" w:color="010101"/>
              <w:right w:val="single" w:sz="8" w:space="0" w:color="010101"/>
            </w:tcBorders>
            <w:tcMar>
              <w:top w:w="0" w:type="dxa"/>
              <w:left w:w="0" w:type="dxa"/>
            </w:tcMar>
            <w:vAlign w:val="center"/>
          </w:tcPr>
          <w:p>
            <w:pPr>
              <w:pStyle w:val="TableContents"/>
              <w:bidi w:val="0"/>
              <w:spacing w:before="0" w:after="283"/>
              <w:jc w:val="center"/>
              <w:rPr/>
            </w:pPr>
            <w:r>
              <w:rPr/>
              <w:t>$5,000,000.00</w:t>
            </w:r>
          </w:p>
        </w:tc>
      </w:tr>
      <w:tr>
        <w:trPr/>
        <w:tc>
          <w:tcPr>
            <w:tcW w:w="2720" w:type="dxa"/>
            <w:tcBorders>
              <w:left w:val="single" w:sz="8" w:space="0" w:color="010101"/>
              <w:bottom w:val="single" w:sz="8" w:space="0" w:color="010101"/>
              <w:right w:val="single" w:sz="8" w:space="0" w:color="010101"/>
            </w:tcBorders>
            <w:tcMar>
              <w:top w:w="0" w:type="dxa"/>
              <w:left w:w="103" w:type="dxa"/>
            </w:tcMar>
            <w:vAlign w:val="center"/>
          </w:tcPr>
          <w:p>
            <w:pPr>
              <w:pStyle w:val="TableContents"/>
              <w:bidi w:val="0"/>
              <w:spacing w:before="0" w:after="283"/>
              <w:jc w:val="left"/>
              <w:rPr/>
            </w:pPr>
            <w:r>
              <w:rPr/>
              <w:t>S3 RR Aggregator, LLC</w:t>
            </w:r>
          </w:p>
        </w:tc>
        <w:tc>
          <w:tcPr>
            <w:tcW w:w="4580" w:type="dxa"/>
            <w:tcBorders>
              <w:bottom w:val="single" w:sz="8" w:space="0" w:color="010101"/>
              <w:right w:val="single" w:sz="8" w:space="0" w:color="010101"/>
            </w:tcBorders>
            <w:tcMar>
              <w:top w:w="0" w:type="dxa"/>
              <w:left w:w="0" w:type="dxa"/>
            </w:tcMar>
            <w:vAlign w:val="center"/>
          </w:tcPr>
          <w:p>
            <w:pPr>
              <w:pStyle w:val="TableContents"/>
              <w:bidi w:val="0"/>
              <w:spacing w:before="0" w:after="283"/>
              <w:jc w:val="center"/>
              <w:rPr/>
            </w:pPr>
            <w:r>
              <w:rPr/>
              <w:t>$5,000,000.00</w:t>
            </w:r>
          </w:p>
        </w:tc>
      </w:tr>
      <w:tr>
        <w:trPr/>
        <w:tc>
          <w:tcPr>
            <w:tcW w:w="2720" w:type="dxa"/>
            <w:tcBorders>
              <w:left w:val="single" w:sz="8" w:space="0" w:color="010101"/>
              <w:bottom w:val="single" w:sz="8" w:space="0" w:color="010101"/>
              <w:right w:val="single" w:sz="8" w:space="0" w:color="010101"/>
            </w:tcBorders>
            <w:tcMar>
              <w:top w:w="0" w:type="dxa"/>
              <w:left w:w="103" w:type="dxa"/>
            </w:tcMar>
            <w:vAlign w:val="center"/>
          </w:tcPr>
          <w:p>
            <w:pPr>
              <w:pStyle w:val="TableContents"/>
              <w:bidi w:val="0"/>
              <w:spacing w:before="0" w:after="283"/>
              <w:jc w:val="left"/>
              <w:rPr>
                <w:b/>
              </w:rPr>
            </w:pPr>
            <w:r>
              <w:rPr>
                <w:b/>
              </w:rPr>
              <w:t>Total</w:t>
            </w:r>
          </w:p>
        </w:tc>
        <w:tc>
          <w:tcPr>
            <w:tcW w:w="4580" w:type="dxa"/>
            <w:tcBorders>
              <w:bottom w:val="single" w:sz="8" w:space="0" w:color="010101"/>
              <w:right w:val="single" w:sz="8" w:space="0" w:color="010101"/>
            </w:tcBorders>
            <w:tcMar>
              <w:top w:w="0" w:type="dxa"/>
              <w:left w:w="0" w:type="dxa"/>
            </w:tcMar>
            <w:vAlign w:val="center"/>
          </w:tcPr>
          <w:p>
            <w:pPr>
              <w:pStyle w:val="TableContents"/>
              <w:bidi w:val="0"/>
              <w:spacing w:before="0" w:after="283"/>
              <w:jc w:val="center"/>
              <w:rPr>
                <w:b/>
              </w:rPr>
            </w:pPr>
            <w:r>
              <w:rPr>
                <w:b/>
              </w:rPr>
              <w:t>$20,000,000.00</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0"/>
        <w:gridCol w:w="216"/>
        <w:gridCol w:w="9949"/>
      </w:tblGrid>
      <w:tr>
        <w:trPr/>
        <w:tc>
          <w:tcPr>
            <w:tcW w:w="4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b/>
              </w:rPr>
            </w:pPr>
            <w:r>
              <w:rPr>
                <w:b/>
              </w:rPr>
              <w:t>3.</w:t>
            </w:r>
          </w:p>
        </w:tc>
        <w:tc>
          <w:tcPr>
            <w:tcW w:w="9949" w:type="dxa"/>
            <w:tcBorders/>
            <w:vAlign w:val="center"/>
          </w:tcPr>
          <w:p>
            <w:pPr>
              <w:pStyle w:val="TableContents"/>
              <w:bidi w:val="0"/>
              <w:spacing w:before="0" w:after="283"/>
              <w:jc w:val="left"/>
              <w:rPr>
                <w:b/>
              </w:rPr>
            </w:pPr>
            <w:r>
              <w:rPr>
                <w:b/>
              </w:rPr>
              <w:t>Term Loans held by the Lenders (after giving effect to the Restatement Date Transactions)</w:t>
            </w:r>
          </w:p>
        </w:tc>
      </w:tr>
    </w:tbl>
    <w:p>
      <w:pPr>
        <w:pStyle w:val="TextBody"/>
        <w:bidi w:val="0"/>
        <w:spacing w:before="0" w:after="0"/>
        <w:jc w:val="left"/>
        <w:rPr>
          <w:caps w:val="false"/>
          <w:smallCaps w:val="false"/>
        </w:rPr>
      </w:pPr>
      <w:r>
        <w:rPr>
          <w:caps w:val="false"/>
          <w:smallCaps w:val="false"/>
        </w:rPr>
        <w:t> </w:t>
      </w:r>
    </w:p>
    <w:tbl>
      <w:tblPr>
        <w:tblW w:w="4495" w:type="dxa"/>
        <w:jc w:val="left"/>
        <w:tblInd w:w="-10" w:type="dxa"/>
        <w:tblLayout w:type="fixed"/>
        <w:tblCellMar>
          <w:top w:w="28" w:type="dxa"/>
          <w:left w:w="1789" w:type="dxa"/>
          <w:bottom w:w="28" w:type="dxa"/>
          <w:right w:w="28" w:type="dxa"/>
        </w:tblCellMar>
      </w:tblPr>
      <w:tblGrid>
        <w:gridCol w:w="2720"/>
        <w:gridCol w:w="1775"/>
      </w:tblGrid>
      <w:tr>
        <w:trPr/>
        <w:tc>
          <w:tcPr>
            <w:tcW w:w="2720" w:type="dxa"/>
            <w:tcBorders>
              <w:top w:val="single" w:sz="8" w:space="0" w:color="010101"/>
              <w:left w:val="single" w:sz="8" w:space="0" w:color="010101"/>
              <w:bottom w:val="single" w:sz="8" w:space="0" w:color="010101"/>
              <w:right w:val="single" w:sz="8" w:space="0" w:color="010101"/>
            </w:tcBorders>
            <w:vAlign w:val="center"/>
          </w:tcPr>
          <w:p>
            <w:pPr>
              <w:pStyle w:val="TableContents"/>
              <w:bidi w:val="0"/>
              <w:spacing w:before="0" w:after="283"/>
              <w:jc w:val="center"/>
              <w:rPr>
                <w:b/>
                <w:u w:val="single"/>
              </w:rPr>
            </w:pPr>
            <w:r>
              <w:rPr>
                <w:b/>
                <w:u w:val="single"/>
              </w:rPr>
              <w:t>Lender</w:t>
            </w:r>
          </w:p>
        </w:tc>
        <w:tc>
          <w:tcPr>
            <w:tcW w:w="1775" w:type="dxa"/>
            <w:tcBorders>
              <w:top w:val="single" w:sz="8" w:space="0" w:color="010101"/>
              <w:bottom w:val="single" w:sz="8" w:space="0" w:color="010101"/>
              <w:right w:val="single" w:sz="8" w:space="0" w:color="010101"/>
            </w:tcBorders>
            <w:tcMar>
              <w:left w:w="0" w:type="dxa"/>
            </w:tcMar>
            <w:vAlign w:val="center"/>
          </w:tcPr>
          <w:p>
            <w:pPr>
              <w:pStyle w:val="TableContents"/>
              <w:bidi w:val="0"/>
              <w:spacing w:before="0" w:after="283"/>
              <w:jc w:val="center"/>
              <w:rPr>
                <w:b/>
                <w:u w:val="single"/>
              </w:rPr>
            </w:pPr>
            <w:r>
              <w:rPr>
                <w:b/>
                <w:u w:val="single"/>
              </w:rPr>
              <w:t>Term Loans</w:t>
            </w:r>
          </w:p>
        </w:tc>
      </w:tr>
      <w:tr>
        <w:trPr/>
        <w:tc>
          <w:tcPr>
            <w:tcW w:w="2720" w:type="dxa"/>
            <w:tcBorders>
              <w:left w:val="single" w:sz="8" w:space="0" w:color="010101"/>
              <w:bottom w:val="single" w:sz="8" w:space="0" w:color="010101"/>
              <w:right w:val="single" w:sz="8" w:space="0" w:color="010101"/>
            </w:tcBorders>
            <w:tcMar>
              <w:top w:w="0" w:type="dxa"/>
              <w:left w:w="103" w:type="dxa"/>
            </w:tcMar>
            <w:vAlign w:val="center"/>
          </w:tcPr>
          <w:p>
            <w:pPr>
              <w:pStyle w:val="TableContents"/>
              <w:bidi w:val="0"/>
              <w:spacing w:before="0" w:after="283"/>
              <w:jc w:val="left"/>
              <w:rPr/>
            </w:pPr>
            <w:r>
              <w:rPr/>
              <w:t>CHS US Investments LLC</w:t>
            </w:r>
          </w:p>
        </w:tc>
        <w:tc>
          <w:tcPr>
            <w:tcW w:w="1775" w:type="dxa"/>
            <w:tcBorders>
              <w:bottom w:val="single" w:sz="8" w:space="0" w:color="010101"/>
              <w:right w:val="single" w:sz="8" w:space="0" w:color="010101"/>
            </w:tcBorders>
            <w:tcMar>
              <w:top w:w="0" w:type="dxa"/>
              <w:left w:w="0" w:type="dxa"/>
            </w:tcMar>
            <w:vAlign w:val="center"/>
          </w:tcPr>
          <w:p>
            <w:pPr>
              <w:pStyle w:val="TableContents"/>
              <w:bidi w:val="0"/>
              <w:spacing w:before="0" w:after="283"/>
              <w:jc w:val="center"/>
              <w:rPr/>
            </w:pPr>
            <w:r>
              <w:rPr/>
              <w:t>$80,000,000</w:t>
            </w:r>
          </w:p>
        </w:tc>
      </w:tr>
      <w:tr>
        <w:trPr/>
        <w:tc>
          <w:tcPr>
            <w:tcW w:w="2720" w:type="dxa"/>
            <w:tcBorders>
              <w:left w:val="single" w:sz="8" w:space="0" w:color="010101"/>
              <w:bottom w:val="single" w:sz="8" w:space="0" w:color="010101"/>
              <w:right w:val="single" w:sz="8" w:space="0" w:color="010101"/>
            </w:tcBorders>
            <w:tcMar>
              <w:top w:w="0" w:type="dxa"/>
              <w:left w:w="103" w:type="dxa"/>
            </w:tcMar>
            <w:vAlign w:val="center"/>
          </w:tcPr>
          <w:p>
            <w:pPr>
              <w:pStyle w:val="TableContents"/>
              <w:bidi w:val="0"/>
              <w:spacing w:before="0" w:after="283"/>
              <w:jc w:val="left"/>
              <w:rPr/>
            </w:pPr>
            <w:r>
              <w:rPr/>
              <w:t>Gateway Runway, LLC</w:t>
            </w:r>
          </w:p>
        </w:tc>
        <w:tc>
          <w:tcPr>
            <w:tcW w:w="1775" w:type="dxa"/>
            <w:tcBorders>
              <w:bottom w:val="single" w:sz="8" w:space="0" w:color="010101"/>
              <w:right w:val="single" w:sz="8" w:space="0" w:color="010101"/>
            </w:tcBorders>
            <w:tcMar>
              <w:top w:w="0" w:type="dxa"/>
              <w:left w:w="0" w:type="dxa"/>
            </w:tcMar>
            <w:vAlign w:val="center"/>
          </w:tcPr>
          <w:p>
            <w:pPr>
              <w:pStyle w:val="TableContents"/>
              <w:bidi w:val="0"/>
              <w:spacing w:before="0" w:after="283"/>
              <w:jc w:val="center"/>
              <w:rPr/>
            </w:pPr>
            <w:r>
              <w:rPr/>
              <w:t>$20,000,000</w:t>
            </w:r>
          </w:p>
        </w:tc>
      </w:tr>
      <w:tr>
        <w:trPr/>
        <w:tc>
          <w:tcPr>
            <w:tcW w:w="2720" w:type="dxa"/>
            <w:tcBorders>
              <w:left w:val="single" w:sz="8" w:space="0" w:color="010101"/>
              <w:bottom w:val="single" w:sz="8" w:space="0" w:color="010101"/>
              <w:right w:val="single" w:sz="8" w:space="0" w:color="010101"/>
            </w:tcBorders>
            <w:tcMar>
              <w:top w:w="0" w:type="dxa"/>
              <w:left w:w="103" w:type="dxa"/>
            </w:tcMar>
            <w:vAlign w:val="center"/>
          </w:tcPr>
          <w:p>
            <w:pPr>
              <w:pStyle w:val="TableContents"/>
              <w:bidi w:val="0"/>
              <w:spacing w:before="0" w:after="283"/>
              <w:jc w:val="left"/>
              <w:rPr/>
            </w:pPr>
            <w:r>
              <w:rPr/>
              <w:t>S3 RR Aggregator, LLC</w:t>
            </w:r>
          </w:p>
        </w:tc>
        <w:tc>
          <w:tcPr>
            <w:tcW w:w="1775" w:type="dxa"/>
            <w:tcBorders>
              <w:bottom w:val="single" w:sz="8" w:space="0" w:color="010101"/>
              <w:right w:val="single" w:sz="8" w:space="0" w:color="010101"/>
            </w:tcBorders>
            <w:tcMar>
              <w:top w:w="0" w:type="dxa"/>
              <w:left w:w="0" w:type="dxa"/>
            </w:tcMar>
            <w:vAlign w:val="center"/>
          </w:tcPr>
          <w:p>
            <w:pPr>
              <w:pStyle w:val="TableContents"/>
              <w:bidi w:val="0"/>
              <w:spacing w:before="0" w:after="283"/>
              <w:jc w:val="center"/>
              <w:rPr/>
            </w:pPr>
            <w:r>
              <w:rPr/>
              <w:t>$20,000,000</w:t>
            </w:r>
          </w:p>
        </w:tc>
      </w:tr>
      <w:tr>
        <w:trPr/>
        <w:tc>
          <w:tcPr>
            <w:tcW w:w="2720" w:type="dxa"/>
            <w:tcBorders>
              <w:left w:val="single" w:sz="8" w:space="0" w:color="010101"/>
              <w:bottom w:val="single" w:sz="8" w:space="0" w:color="010101"/>
              <w:right w:val="single" w:sz="8" w:space="0" w:color="010101"/>
            </w:tcBorders>
            <w:tcMar>
              <w:top w:w="0" w:type="dxa"/>
              <w:left w:w="103" w:type="dxa"/>
            </w:tcMar>
            <w:vAlign w:val="center"/>
          </w:tcPr>
          <w:p>
            <w:pPr>
              <w:pStyle w:val="TableContents"/>
              <w:bidi w:val="0"/>
              <w:spacing w:before="0" w:after="283"/>
              <w:jc w:val="left"/>
              <w:rPr>
                <w:b/>
              </w:rPr>
            </w:pPr>
            <w:r>
              <w:rPr>
                <w:b/>
              </w:rPr>
              <w:t>Total</w:t>
            </w:r>
          </w:p>
        </w:tc>
        <w:tc>
          <w:tcPr>
            <w:tcW w:w="1775" w:type="dxa"/>
            <w:tcBorders>
              <w:bottom w:val="single" w:sz="8" w:space="0" w:color="010101"/>
              <w:right w:val="single" w:sz="8" w:space="0" w:color="010101"/>
            </w:tcBorders>
            <w:tcMar>
              <w:top w:w="0" w:type="dxa"/>
              <w:left w:w="0" w:type="dxa"/>
            </w:tcMar>
            <w:vAlign w:val="center"/>
          </w:tcPr>
          <w:p>
            <w:pPr>
              <w:pStyle w:val="TableContents"/>
              <w:bidi w:val="0"/>
              <w:spacing w:before="0" w:after="283"/>
              <w:jc w:val="center"/>
              <w:rPr>
                <w:b/>
              </w:rPr>
            </w:pPr>
            <w:r>
              <w:rPr>
                <w:b/>
              </w:rPr>
              <w:t>$120,000,000.00</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image" Target="media/image2.gif"/><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72143</Words>
  <Characters>376415</Characters>
  <CharactersWithSpaces>449820</CharactersWithSpaces>
  <Paragraphs>3196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