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76"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of the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Securities Exchange Act of 1934 </w:t>
      </w:r>
    </w:p>
    <w:p>
      <w:pPr>
        <w:pStyle w:val="TextBody"/>
        <w:bidi w:val="0"/>
        <w:spacing w:lineRule="auto" w:line="276" w:before="12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October 16, 2023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Rent the Runway, Inc.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80-0376379</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Number)</w:t>
            </w:r>
          </w:p>
        </w:tc>
      </w:tr>
    </w:tbl>
    <w:p>
      <w:pPr>
        <w:pStyle w:val="TextBody"/>
        <w:bidi w:val="0"/>
        <w:spacing w:lineRule="auto" w:line="276"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Rent the Runway, Inc.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10 Jay Street</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Brooklyn, New York 11201</w:t>
      </w:r>
    </w:p>
    <w:p>
      <w:pPr>
        <w:pStyle w:val="TextBody"/>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including Zip Code) </w:t>
      </w:r>
    </w:p>
    <w:p>
      <w:pPr>
        <w:pStyle w:val="TextBody"/>
        <w:bidi w:val="0"/>
        <w:spacing w:lineRule="auto" w:line="276"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(212) 524-6860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76" w:before="0" w:after="0"/>
        <w:jc w:val="left"/>
        <w:rPr>
          <w:color w:val="000000"/>
        </w:rPr>
      </w:pPr>
      <w:r>
        <w:rPr>
          <w:color w:val="000000"/>
        </w:rPr>
        <w:t>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p>
      <w:pPr>
        <w:pStyle w:val="TextBody"/>
        <w:bidi w:val="0"/>
        <w:spacing w:lineRule="auto" w:line="276" w:before="0" w:after="0"/>
        <w:jc w:val="left"/>
        <w:rPr>
          <w:color w:val="000000"/>
        </w:rPr>
      </w:pPr>
      <w:r>
        <w:rPr>
          <w:color w:val="000000"/>
        </w:rPr>
        <w:t> </w:t>
      </w:r>
    </w:p>
    <w:tbl>
      <w:tblPr>
        <w:tblW w:w="9157" w:type="dxa"/>
        <w:jc w:val="left"/>
        <w:tblInd w:w="0" w:type="dxa"/>
        <w:tblLayout w:type="fixed"/>
        <w:tblCellMar>
          <w:top w:w="28" w:type="dxa"/>
          <w:left w:w="28" w:type="dxa"/>
          <w:bottom w:w="28" w:type="dxa"/>
          <w:right w:w="28" w:type="dxa"/>
        </w:tblCellMar>
      </w:tblPr>
      <w:tblGrid>
        <w:gridCol w:w="1578"/>
        <w:gridCol w:w="1384"/>
        <w:gridCol w:w="1403"/>
        <w:gridCol w:w="109"/>
        <w:gridCol w:w="109"/>
        <w:gridCol w:w="109"/>
        <w:gridCol w:w="274"/>
        <w:gridCol w:w="274"/>
        <w:gridCol w:w="276"/>
        <w:gridCol w:w="109"/>
        <w:gridCol w:w="109"/>
        <w:gridCol w:w="109"/>
        <w:gridCol w:w="970"/>
        <w:gridCol w:w="970"/>
        <w:gridCol w:w="1374"/>
      </w:tblGrid>
      <w:tr>
        <w:trPr/>
        <w:tc>
          <w:tcPr>
            <w:tcW w:w="157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w:t>
            </w:r>
          </w:p>
        </w:tc>
      </w:tr>
    </w:tbl>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76" w:before="120" w:after="283"/>
        <w:jc w:val="left"/>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76" w:before="120"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76"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2"/>
        <w:gridCol w:w="291"/>
        <w:gridCol w:w="293"/>
        <w:gridCol w:w="2719"/>
        <w:gridCol w:w="2719"/>
        <w:gridCol w:w="3851"/>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5.02</w:t>
            </w:r>
          </w:p>
        </w:tc>
        <w:tc>
          <w:tcPr>
            <w:tcW w:w="9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Departure of Directors or Certain Officers; Election of Directors; Appointment of Certain Officers; Compensatory Arrangements of Certain Officers.</w:t>
            </w:r>
          </w:p>
        </w:tc>
      </w:tr>
    </w:tbl>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16, 2023, Rent the Runway, Inc. (the “Company”) approved the payment to its executive officers (“Participants”) and other eligible employees who participate in the Company’s fiscal year 2023 annual bonus program (the “2023 Bonus Program”) of the bonuses payable under the 2023 Bonus Program at the target achievement level. In addition, the Participants and certain eligible employees will receive an additional incremental amount for retention purposes (the “Incremental Retention Amount” and, together with the target bonus amount under the 2023 Bonus Program, the “Bonus”). The Bonus will be payable in lieu of any bonus otherwise payable under the 2023 Bonus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Participant will receive one-third of the Bonus on each of February 1, 2024, April 15, 2024 and July 15, 2024 (each, a “Retention Date”), provided that the Participant remains actively employed with the Company through each such Retention Date (and the Participant has not provided notice of Participant’s intent to terminate his or her employment with the Company on or prior to such Retention Date (“Notice”)). Notwithstanding the foregoing, in the event of a Change in Control (as defined in the Amended &amp; Restated 2021 Incentive Award Plan), the Participant will be paid any portion of the Bonus not paid previously upon such Change in Control, provided that the Participant remains actively employed with the Company through the date of such Change in Control and has not provided Notice. In addition, in the event the Participant’s employment is terminated by the Company for any reason other than for Cause (as defined in the Amended and Restated Executive Severance Plan) or for performance-related reasons (as determined by the Company in its sole discretion), and a Change in Control is consummated within three months of such termination date, the Participant will be paid any portion of the Bonus not paid previously upon such Change in Control.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Jennifer Hyman, the Company’s Co-Founder, Chief Executive Officer and Chair, Siddharth Thacker, the Company’s Chief Financial Officer, and Anushka Salinas, the Company’s President and Chief Operating Officer will receive Incremental Retention Amounts of $360,000, $250,000, and $360,000, respectively, subject to the terms and conditions of the Retention Program. A description of Ms. Hyman’s and Ms. Salinas’s target bonus amount under the 2023 Bonus Program can be found under the heading “Annual Cash Incentive Bonus Compensation” in the Executive Compensation section of the Company’s definitive proxy statement filed with the Securities and Exchange Commission (the “SEC”) on May 25, 2023. A description of Mr. Thacker’s target bonus amount under the 2023 Bonus Program can be found in Item 5.02 of the Company’s Current Report on Form 8-K filed with the SEC on April 12, 2023.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76"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lineRule="auto" w:line="276" w:before="0" w:after="0"/>
        <w:jc w:val="left"/>
        <w:rPr>
          <w:color w:val="000000"/>
        </w:rPr>
      </w:pPr>
      <w:r>
        <w:rPr>
          <w:color w:val="000000"/>
        </w:rPr>
        <w:t> </w:t>
      </w:r>
    </w:p>
    <w:tbl>
      <w:tblPr>
        <w:tblW w:w="7450"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270"/>
        <w:gridCol w:w="270"/>
        <w:gridCol w:w="270"/>
        <w:gridCol w:w="270"/>
        <w:gridCol w:w="270"/>
        <w:gridCol w:w="270"/>
        <w:gridCol w:w="1018"/>
        <w:gridCol w:w="1018"/>
        <w:gridCol w:w="1458"/>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RENT THE RUNWAY,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20,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Cara Schembri</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Cara Schembri</w:t>
            </w:r>
          </w:p>
          <w:p>
            <w:pPr>
              <w:pStyle w:val="TableContents"/>
              <w:bidi w:val="0"/>
              <w:spacing w:lineRule="auto" w:line="276"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Corporate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809</Words>
  <Characters>4422</Characters>
  <CharactersWithSpaces>5212</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