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4060" w:type="dxa"/>
            <w:vAlign w:val="bottom"/>
          </w:tcPr>
          <w:p>
            <w:pPr>
              <w:ind w:left="40"/>
              <w:spacing w:after="0"/>
              <w:rPr>
                <w:sz w:val="20"/>
                <w:szCs w:val="20"/>
                <w:color w:val="auto"/>
              </w:rPr>
            </w:pPr>
            <w:r>
              <w:rPr>
                <w:rFonts w:ascii="Arial" w:cs="Arial" w:eastAsia="Arial" w:hAnsi="Arial"/>
                <w:sz w:val="22"/>
                <w:szCs w:val="22"/>
                <w:color w:val="auto"/>
              </w:rPr>
              <w:t>0001961707</w:t>
            </w:r>
          </w:p>
        </w:tc>
        <w:tc>
          <w:tcPr>
            <w:tcW w:w="32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40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40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w w:val="87"/>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Arial" w:cs="Arial" w:eastAsia="Arial" w:hAnsi="Arial"/>
                <w:sz w:val="22"/>
                <w:szCs w:val="22"/>
                <w:color w:val="auto"/>
              </w:rPr>
              <w:t>Andrew Rau</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3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Arial" w:cs="Arial" w:eastAsia="Arial" w:hAnsi="Arial"/>
                <w:sz w:val="22"/>
                <w:szCs w:val="22"/>
                <w:color w:val="auto"/>
                <w:w w:val="99"/>
              </w:rPr>
              <w:t>Class A Common Stock</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14513</w:t>
            </w:r>
          </w:p>
        </w:tc>
        <w:tc>
          <w:tcPr>
            <w:tcW w:w="1140" w:type="dxa"/>
            <w:vAlign w:val="bottom"/>
          </w:tcPr>
          <w:p>
            <w:pPr>
              <w:jc w:val="right"/>
              <w:ind w:right="192"/>
              <w:spacing w:after="0" w:line="243" w:lineRule="exact"/>
              <w:rPr>
                <w:sz w:val="20"/>
                <w:szCs w:val="20"/>
                <w:color w:val="auto"/>
              </w:rPr>
            </w:pPr>
            <w:r>
              <w:rPr>
                <w:rFonts w:ascii="Arial" w:cs="Arial" w:eastAsia="Arial" w:hAnsi="Arial"/>
                <w:sz w:val="22"/>
                <w:szCs w:val="22"/>
                <w:color w:val="auto"/>
                <w:w w:val="89"/>
              </w:rPr>
              <w:t>13026.87</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65858662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09/15/2023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040" w:type="dxa"/>
            <w:vAlign w:val="bottom"/>
          </w:tcPr>
          <w:p>
            <w:pPr>
              <w:ind w:left="120"/>
              <w:spacing w:after="0"/>
              <w:rPr>
                <w:sz w:val="20"/>
                <w:szCs w:val="20"/>
                <w:color w:val="auto"/>
              </w:rPr>
            </w:pPr>
            <w:r>
              <w:rPr>
                <w:rFonts w:ascii="Arial" w:cs="Arial" w:eastAsia="Arial" w:hAnsi="Arial"/>
                <w:sz w:val="22"/>
                <w:szCs w:val="22"/>
                <w:b w:val="1"/>
                <w:bCs w:val="1"/>
                <w:color w:val="auto"/>
                <w:w w:val="94"/>
              </w:rPr>
              <w:t>Acquired</w:t>
            </w:r>
          </w:p>
        </w:tc>
        <w:tc>
          <w:tcPr>
            <w:tcW w:w="1620" w:type="dxa"/>
            <w:vAlign w:val="bottom"/>
          </w:tcPr>
          <w:p>
            <w:pPr>
              <w:ind w:left="360"/>
              <w:spacing w:after="0"/>
              <w:rPr>
                <w:sz w:val="20"/>
                <w:szCs w:val="20"/>
                <w:color w:val="auto"/>
              </w:rPr>
            </w:pPr>
            <w:r>
              <w:rPr>
                <w:rFonts w:ascii="Arial" w:cs="Arial" w:eastAsia="Arial" w:hAnsi="Arial"/>
                <w:sz w:val="22"/>
                <w:szCs w:val="22"/>
                <w:b w:val="1"/>
                <w:bCs w:val="1"/>
                <w:color w:val="auto"/>
              </w:rPr>
              <w:t>Acquisition</w:t>
            </w: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520" w:type="dxa"/>
            <w:vAlign w:val="bottom"/>
          </w:tcPr>
          <w:p>
            <w:pPr>
              <w:ind w:left="240"/>
              <w:spacing w:after="0"/>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Arial" w:cs="Arial" w:eastAsia="Arial" w:hAnsi="Arial"/>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Arial" w:cs="Arial" w:eastAsia="Arial" w:hAnsi="Arial"/>
                <w:sz w:val="22"/>
                <w:szCs w:val="22"/>
                <w:color w:val="auto"/>
                <w:w w:val="96"/>
              </w:rPr>
              <w:t>Shares acquired</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upon vesting of</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restricted stock</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units awarded</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60" w:type="dxa"/>
            <w:vAlign w:val="bottom"/>
            <w:gridSpan w:val="2"/>
            <w:vMerge w:val="restart"/>
          </w:tcPr>
          <w:p>
            <w:pPr>
              <w:ind w:left="60"/>
              <w:spacing w:after="0"/>
              <w:rPr>
                <w:sz w:val="20"/>
                <w:szCs w:val="20"/>
                <w:color w:val="auto"/>
              </w:rPr>
            </w:pPr>
            <w:r>
              <w:rPr>
                <w:rFonts w:ascii="Arial" w:cs="Arial" w:eastAsia="Arial" w:hAnsi="Arial"/>
                <w:sz w:val="22"/>
                <w:szCs w:val="22"/>
                <w:color w:val="auto"/>
              </w:rPr>
              <w:t>09/15/2023 under Issuers</w:t>
            </w:r>
          </w:p>
        </w:tc>
        <w:tc>
          <w:tcPr>
            <w:tcW w:w="154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Arial" w:cs="Arial" w:eastAsia="Arial" w:hAnsi="Arial"/>
                <w:sz w:val="22"/>
                <w:szCs w:val="22"/>
                <w:color w:val="auto"/>
              </w:rPr>
              <w:t>5000</w:t>
            </w:r>
          </w:p>
        </w:tc>
        <w:tc>
          <w:tcPr>
            <w:tcW w:w="2760" w:type="dxa"/>
            <w:vAlign w:val="bottom"/>
            <w:gridSpan w:val="2"/>
            <w:vMerge w:val="restart"/>
          </w:tcPr>
          <w:p>
            <w:pPr>
              <w:ind w:left="100"/>
              <w:spacing w:after="0"/>
              <w:rPr>
                <w:sz w:val="20"/>
                <w:szCs w:val="20"/>
                <w:color w:val="auto"/>
              </w:rPr>
            </w:pPr>
            <w:r>
              <w:rPr>
                <w:rFonts w:ascii="Arial" w:cs="Arial" w:eastAsia="Arial" w:hAnsi="Arial"/>
                <w:sz w:val="22"/>
                <w:szCs w:val="22"/>
                <w:color w:val="auto"/>
                <w:w w:val="87"/>
              </w:rPr>
              <w:t>09/12/2022 Services Rendered</w:t>
            </w:r>
          </w:p>
        </w:tc>
        <w:tc>
          <w:tcPr>
            <w:tcW w:w="0" w:type="dxa"/>
            <w:vAlign w:val="bottom"/>
          </w:tcPr>
          <w:p>
            <w:pPr>
              <w:spacing w:after="0"/>
              <w:rPr>
                <w:sz w:val="1"/>
                <w:szCs w:val="1"/>
                <w:color w:val="auto"/>
              </w:rPr>
            </w:pPr>
          </w:p>
        </w:tc>
      </w:tr>
      <w:tr>
        <w:trPr>
          <w:trHeight w:val="140"/>
        </w:trPr>
        <w:tc>
          <w:tcPr>
            <w:tcW w:w="1420" w:type="dxa"/>
            <w:vAlign w:val="bottom"/>
          </w:tcPr>
          <w:p>
            <w:pPr>
              <w:spacing w:after="0" w:line="139" w:lineRule="exact"/>
              <w:rPr>
                <w:sz w:val="20"/>
                <w:szCs w:val="20"/>
                <w:color w:val="auto"/>
              </w:rPr>
            </w:pPr>
            <w:r>
              <w:rPr>
                <w:rFonts w:ascii="Arial" w:cs="Arial" w:eastAsia="Arial" w:hAnsi="Arial"/>
                <w:sz w:val="16"/>
                <w:szCs w:val="16"/>
                <w:color w:val="auto"/>
              </w:rPr>
              <w:t>Common Stock</w:t>
            </w:r>
          </w:p>
        </w:tc>
        <w:tc>
          <w:tcPr>
            <w:tcW w:w="266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20" w:type="dxa"/>
            <w:vAlign w:val="bottom"/>
          </w:tcPr>
          <w:p>
            <w:pPr>
              <w:ind w:left="60"/>
              <w:spacing w:after="0" w:line="225" w:lineRule="exact"/>
              <w:rPr>
                <w:sz w:val="20"/>
                <w:szCs w:val="20"/>
                <w:color w:val="auto"/>
              </w:rPr>
            </w:pPr>
            <w:r>
              <w:rPr>
                <w:rFonts w:ascii="Arial" w:cs="Arial" w:eastAsia="Arial" w:hAnsi="Arial"/>
                <w:sz w:val="22"/>
                <w:szCs w:val="22"/>
                <w:color w:val="auto"/>
              </w:rPr>
              <w:t>Amended and</w:t>
            </w:r>
          </w:p>
        </w:tc>
        <w:tc>
          <w:tcPr>
            <w:tcW w:w="1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Restated 2021</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w w:val="98"/>
              </w:rPr>
              <w:t>Incentive Award</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Arial" w:cs="Arial" w:eastAsia="Arial" w:hAnsi="Arial"/>
                <w:sz w:val="22"/>
                <w:szCs w:val="22"/>
                <w:color w:val="auto"/>
              </w:rPr>
              <w:t>Plan</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Arial" w:cs="Arial" w:eastAsia="Arial" w:hAnsi="Arial"/>
                <w:sz w:val="22"/>
                <w:szCs w:val="22"/>
                <w:color w:val="auto"/>
                <w:w w:val="96"/>
              </w:rPr>
              <w:t>Shares acquired</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upon vesting of</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restricted stock</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units awarded</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60" w:type="dxa"/>
            <w:vAlign w:val="bottom"/>
            <w:gridSpan w:val="2"/>
            <w:vMerge w:val="restart"/>
          </w:tcPr>
          <w:p>
            <w:pPr>
              <w:ind w:left="60"/>
              <w:spacing w:after="0"/>
              <w:rPr>
                <w:sz w:val="20"/>
                <w:szCs w:val="20"/>
                <w:color w:val="auto"/>
              </w:rPr>
            </w:pPr>
            <w:r>
              <w:rPr>
                <w:rFonts w:ascii="Arial" w:cs="Arial" w:eastAsia="Arial" w:hAnsi="Arial"/>
                <w:sz w:val="22"/>
                <w:szCs w:val="22"/>
                <w:color w:val="auto"/>
              </w:rPr>
              <w:t>09/15/2023 under Issuers</w:t>
            </w:r>
          </w:p>
        </w:tc>
        <w:tc>
          <w:tcPr>
            <w:tcW w:w="154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Arial" w:cs="Arial" w:eastAsia="Arial" w:hAnsi="Arial"/>
                <w:sz w:val="22"/>
                <w:szCs w:val="22"/>
                <w:color w:val="auto"/>
              </w:rPr>
              <w:t>28125</w:t>
            </w:r>
          </w:p>
        </w:tc>
        <w:tc>
          <w:tcPr>
            <w:tcW w:w="2760" w:type="dxa"/>
            <w:vAlign w:val="bottom"/>
            <w:gridSpan w:val="2"/>
            <w:vMerge w:val="restart"/>
          </w:tcPr>
          <w:p>
            <w:pPr>
              <w:ind w:left="100"/>
              <w:spacing w:after="0"/>
              <w:rPr>
                <w:sz w:val="20"/>
                <w:szCs w:val="20"/>
                <w:color w:val="auto"/>
              </w:rPr>
            </w:pPr>
            <w:r>
              <w:rPr>
                <w:rFonts w:ascii="Arial" w:cs="Arial" w:eastAsia="Arial" w:hAnsi="Arial"/>
                <w:sz w:val="22"/>
                <w:szCs w:val="22"/>
                <w:color w:val="auto"/>
                <w:w w:val="87"/>
              </w:rPr>
              <w:t>04/13/2023 Services Rendered</w:t>
            </w:r>
          </w:p>
        </w:tc>
        <w:tc>
          <w:tcPr>
            <w:tcW w:w="0" w:type="dxa"/>
            <w:vAlign w:val="bottom"/>
          </w:tcPr>
          <w:p>
            <w:pPr>
              <w:spacing w:after="0"/>
              <w:rPr>
                <w:sz w:val="1"/>
                <w:szCs w:val="1"/>
                <w:color w:val="auto"/>
              </w:rPr>
            </w:pPr>
          </w:p>
        </w:tc>
      </w:tr>
      <w:tr>
        <w:trPr>
          <w:trHeight w:val="140"/>
        </w:trPr>
        <w:tc>
          <w:tcPr>
            <w:tcW w:w="1420" w:type="dxa"/>
            <w:vAlign w:val="bottom"/>
          </w:tcPr>
          <w:p>
            <w:pPr>
              <w:spacing w:after="0" w:line="139" w:lineRule="exact"/>
              <w:rPr>
                <w:sz w:val="20"/>
                <w:szCs w:val="20"/>
                <w:color w:val="auto"/>
              </w:rPr>
            </w:pPr>
            <w:r>
              <w:rPr>
                <w:rFonts w:ascii="Arial" w:cs="Arial" w:eastAsia="Arial" w:hAnsi="Arial"/>
                <w:sz w:val="16"/>
                <w:szCs w:val="16"/>
                <w:color w:val="auto"/>
              </w:rPr>
              <w:t>Common Stock</w:t>
            </w:r>
          </w:p>
        </w:tc>
        <w:tc>
          <w:tcPr>
            <w:tcW w:w="266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-1565910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-142875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Arial" w:cs="Arial" w:eastAsia="Arial" w:hAnsi="Arial"/>
          <w:sz w:val="22"/>
          <w:szCs w:val="22"/>
          <w:color w:val="auto"/>
        </w:rPr>
        <w:t>Amended and</w:t>
      </w:r>
    </w:p>
    <w:p>
      <w:pPr>
        <w:ind w:left="2560"/>
        <w:spacing w:after="0" w:line="231" w:lineRule="auto"/>
        <w:rPr>
          <w:sz w:val="20"/>
          <w:szCs w:val="20"/>
          <w:color w:val="auto"/>
        </w:rPr>
      </w:pPr>
      <w:r>
        <w:rPr>
          <w:rFonts w:ascii="Arial" w:cs="Arial" w:eastAsia="Arial" w:hAnsi="Arial"/>
          <w:sz w:val="22"/>
          <w:szCs w:val="22"/>
          <w:color w:val="auto"/>
        </w:rPr>
        <w:t>Restated 2021</w:t>
      </w:r>
    </w:p>
    <w:p>
      <w:pPr>
        <w:ind w:left="2560"/>
        <w:spacing w:after="0" w:line="230" w:lineRule="auto"/>
        <w:rPr>
          <w:sz w:val="20"/>
          <w:szCs w:val="20"/>
          <w:color w:val="auto"/>
        </w:rPr>
      </w:pPr>
      <w:r>
        <w:rPr>
          <w:rFonts w:ascii="Arial" w:cs="Arial" w:eastAsia="Arial" w:hAnsi="Arial"/>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Plan</w:t>
      </w:r>
    </w:p>
    <w:p>
      <w:pPr>
        <w:spacing w:after="0" w:line="2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9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Andrew Rau</w:t>
            </w:r>
          </w:p>
        </w:tc>
        <w:tc>
          <w:tcPr>
            <w:tcW w:w="19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88"/>
              </w:rPr>
              <w:t>06/02/2023 2131</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4440.15</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Andrew Rau</w:t>
            </w:r>
          </w:p>
        </w:tc>
        <w:tc>
          <w:tcPr>
            <w:tcW w:w="19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88"/>
              </w:rPr>
              <w:t>06/16/2023 1906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4436.79</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Andrew Rau</w:t>
            </w:r>
          </w:p>
        </w:tc>
        <w:tc>
          <w:tcPr>
            <w:tcW w:w="19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3"/>
            <w:vMerge w:val="restart"/>
          </w:tcPr>
          <w:p>
            <w:pPr>
              <w:ind w:left="400"/>
              <w:spacing w:after="0"/>
              <w:rPr>
                <w:sz w:val="20"/>
                <w:szCs w:val="20"/>
                <w:color w:val="auto"/>
              </w:rPr>
            </w:pPr>
            <w:r>
              <w:rPr>
                <w:rFonts w:ascii="Arial" w:cs="Arial" w:eastAsia="Arial" w:hAnsi="Arial"/>
                <w:sz w:val="22"/>
                <w:szCs w:val="22"/>
                <w:color w:val="auto"/>
              </w:rPr>
              <w:t>06/16/2023 10705</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24919.1</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Andrew Rau</w:t>
            </w:r>
          </w:p>
        </w:tc>
        <w:tc>
          <w:tcPr>
            <w:tcW w:w="19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95"/>
              </w:rPr>
              <w:t>08/02/2023 294</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489.19</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Andrew Rau</w:t>
            </w:r>
          </w:p>
        </w:tc>
        <w:tc>
          <w:tcPr>
            <w:tcW w:w="19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88"/>
              </w:rPr>
              <w:t>09/05/2023 2132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3168.58</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0" w:gutter="0" w:footer="0" w:header="0"/>
        </w:sectPr>
      </w:pP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280" w:type="dxa"/>
            <w:vAlign w:val="bottom"/>
            <w:vMerge w:val="restart"/>
          </w:tcPr>
          <w:p>
            <w:pPr>
              <w:spacing w:after="0"/>
              <w:rPr>
                <w:sz w:val="20"/>
                <w:szCs w:val="20"/>
                <w:color w:val="auto"/>
              </w:rPr>
            </w:pPr>
            <w:r>
              <w:rPr>
                <w:rFonts w:ascii="Arial" w:cs="Arial" w:eastAsia="Arial" w:hAnsi="Arial"/>
                <w:sz w:val="22"/>
                <w:szCs w:val="22"/>
                <w:color w:val="auto"/>
              </w:rPr>
              <w:t>Remarks</w:t>
            </w:r>
          </w:p>
        </w:tc>
        <w:tc>
          <w:tcPr>
            <w:tcW w:w="8480" w:type="dxa"/>
            <w:vAlign w:val="bottom"/>
          </w:tcPr>
          <w:p>
            <w:pPr>
              <w:ind w:left="1500"/>
              <w:spacing w:after="0"/>
              <w:rPr>
                <w:sz w:val="20"/>
                <w:szCs w:val="20"/>
                <w:color w:val="auto"/>
              </w:rPr>
            </w:pPr>
            <w:r>
              <w:rPr>
                <w:rFonts w:ascii="Arial" w:cs="Arial" w:eastAsia="Arial" w:hAnsi="Arial"/>
                <w:sz w:val="22"/>
                <w:szCs w:val="22"/>
                <w:color w:val="auto"/>
                <w:w w:val="89"/>
              </w:rPr>
              <w:t>Shares to be sold to cover withholding taxes upon vesting of restricted stock unit</w:t>
            </w:r>
          </w:p>
        </w:tc>
        <w:tc>
          <w:tcPr>
            <w:tcW w:w="0" w:type="dxa"/>
            <w:vAlign w:val="bottom"/>
          </w:tcPr>
          <w:p>
            <w:pPr>
              <w:spacing w:after="0"/>
              <w:rPr>
                <w:sz w:val="1"/>
                <w:szCs w:val="1"/>
                <w:color w:val="auto"/>
              </w:rPr>
            </w:pPr>
          </w:p>
        </w:tc>
      </w:tr>
      <w:tr>
        <w:trPr>
          <w:trHeight w:val="153"/>
        </w:trPr>
        <w:tc>
          <w:tcPr>
            <w:tcW w:w="2280" w:type="dxa"/>
            <w:vAlign w:val="bottom"/>
            <w:vMerge w:val="continue"/>
          </w:tcPr>
          <w:p>
            <w:pPr>
              <w:spacing w:after="0"/>
              <w:rPr>
                <w:sz w:val="13"/>
                <w:szCs w:val="13"/>
                <w:color w:val="auto"/>
              </w:rPr>
            </w:pPr>
          </w:p>
        </w:tc>
        <w:tc>
          <w:tcPr>
            <w:tcW w:w="8480" w:type="dxa"/>
            <w:vAlign w:val="bottom"/>
            <w:vMerge w:val="restart"/>
          </w:tcPr>
          <w:p>
            <w:pPr>
              <w:ind w:left="1500"/>
              <w:spacing w:after="0"/>
              <w:rPr>
                <w:sz w:val="20"/>
                <w:szCs w:val="20"/>
                <w:color w:val="auto"/>
              </w:rPr>
            </w:pPr>
            <w:r>
              <w:rPr>
                <w:rFonts w:ascii="Arial" w:cs="Arial" w:eastAsia="Arial" w:hAnsi="Arial"/>
                <w:sz w:val="22"/>
                <w:szCs w:val="22"/>
                <w:color w:val="auto"/>
              </w:rPr>
              <w:t>awards pursuant to standing Rule 10b5-1 sell to cover instruction.</w:t>
            </w:r>
          </w:p>
        </w:tc>
        <w:tc>
          <w:tcPr>
            <w:tcW w:w="0" w:type="dxa"/>
            <w:vAlign w:val="bottom"/>
          </w:tcPr>
          <w:p>
            <w:pPr>
              <w:spacing w:after="0"/>
              <w:rPr>
                <w:sz w:val="1"/>
                <w:szCs w:val="1"/>
                <w:color w:val="auto"/>
              </w:rPr>
            </w:pPr>
          </w:p>
        </w:tc>
      </w:tr>
      <w:tr>
        <w:trPr>
          <w:trHeight w:val="121"/>
        </w:trPr>
        <w:tc>
          <w:tcPr>
            <w:tcW w:w="2280" w:type="dxa"/>
            <w:vAlign w:val="bottom"/>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 w:right="339" w:bottom="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color w:val="auto"/>
        </w:rPr>
        <w:t>Date of Notice</w:t>
      </w:r>
    </w:p>
    <w:p>
      <w:pPr>
        <w:spacing w:after="0" w:line="45" w:lineRule="exact"/>
        <w:rPr>
          <w:sz w:val="20"/>
          <w:szCs w:val="20"/>
          <w:color w:val="auto"/>
        </w:rPr>
      </w:pPr>
    </w:p>
    <w:p>
      <w:pPr>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09/15/2023</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06/09/2023</w:t>
      </w:r>
    </w:p>
    <w:p>
      <w:pPr>
        <w:spacing w:after="0" w:line="652" w:lineRule="exact"/>
        <w:rPr>
          <w:sz w:val="20"/>
          <w:szCs w:val="20"/>
          <w:color w:val="auto"/>
        </w:rPr>
      </w:pPr>
    </w:p>
    <w:p>
      <w:pPr>
        <w:sectPr>
          <w:pgSz w:w="11900" w:h="16838" w:orient="portrait"/>
          <w:cols w:equalWidth="0" w:num="2">
            <w:col w:w="3340" w:space="440"/>
            <w:col w:w="7380"/>
          </w:cols>
          <w:pgMar w:left="360" w:top="118" w:right="379" w:bottom="1440" w:gutter="0" w:footer="0" w:header="0"/>
        </w:sectPr>
      </w:pPr>
    </w:p>
    <w:p>
      <w:pPr>
        <w:spacing w:after="0" w:line="128"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spacing w:after="0"/>
        <w:tabs>
          <w:tab w:leader="none" w:pos="37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Andrew Rau</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8"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2023-09-15T08:13:37Z</dcterms:created>
  <dcterms:modified xsi:type="dcterms:W3CDTF">2023-09-15T08:13:37Z</dcterms:modified>
</cp:coreProperties>
</file>