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160" w:right="3520" w:hanging="4136"/>
        <w:spacing w:after="0" w:line="429" w:lineRule="auto"/>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July 31, 2022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21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5502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95"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9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10 Jay Street</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Brooklyn, New York 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502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8"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68580</wp:posOffset>
            </wp:positionV>
            <wp:extent cx="3557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9"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82550</wp:posOffset>
            </wp:positionV>
            <wp:extent cx="3557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220" w:space="720"/>
            <w:col w:w="3360"/>
          </w:cols>
          <w:pgMar w:left="300" w:top="1008" w:right="299" w:bottom="144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(212) 524-6860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68"/>
        </w:trPr>
        <w:tc>
          <w:tcPr>
            <w:tcW w:w="5700" w:type="dxa"/>
            <w:vAlign w:val="bottom"/>
          </w:tcPr>
          <w:p>
            <w:pPr>
              <w:jc w:val="right"/>
              <w:spacing w:after="0"/>
              <w:rPr>
                <w:sz w:val="20"/>
                <w:szCs w:val="20"/>
                <w:color w:val="auto"/>
              </w:rPr>
            </w:pPr>
            <w:r>
              <w:rPr>
                <w:rFonts w:ascii="Arial" w:cs="Arial" w:eastAsia="Arial" w:hAnsi="Arial"/>
                <w:sz w:val="14"/>
                <w:szCs w:val="14"/>
                <w:color w:val="auto"/>
              </w:rPr>
              <w:t>months (or for such shorter period that the registrant was required to file such reports); and</w:t>
            </w:r>
          </w:p>
        </w:tc>
        <w:tc>
          <w:tcPr>
            <w:tcW w:w="558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r>
      <w:tr>
        <w:trPr>
          <w:trHeight w:val="571"/>
        </w:trPr>
        <w:tc>
          <w:tcPr>
            <w:tcW w:w="570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tcPr>
          <w:p>
            <w:pPr>
              <w:spacing w:after="0"/>
              <w:rPr>
                <w:sz w:val="24"/>
                <w:szCs w:val="24"/>
                <w:color w:val="auto"/>
              </w:rPr>
            </w:pPr>
          </w:p>
        </w:tc>
      </w:tr>
      <w:tr>
        <w:trPr>
          <w:trHeight w:val="85"/>
        </w:trPr>
        <w:tc>
          <w:tcPr>
            <w:tcW w:w="570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ind w:right="80"/>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7"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1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7"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spacing w:after="0" w:line="4" w:lineRule="exact"/>
        <w:rPr>
          <w:sz w:val="20"/>
          <w:szCs w:val="20"/>
          <w:color w:val="auto"/>
        </w:rPr>
      </w:pP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899" w:right="319" w:bottom="1440" w:gutter="0" w:footer="0" w:header="0"/>
          <w:type w:val="continuous"/>
        </w:sectPr>
      </w:pPr>
    </w:p>
    <w:p>
      <w:pPr>
        <w:spacing w:after="0" w:line="279" w:lineRule="exact"/>
        <w:rPr>
          <w:sz w:val="20"/>
          <w:szCs w:val="20"/>
          <w:color w:val="auto"/>
        </w:rPr>
      </w:pPr>
    </w:p>
    <w:p>
      <w:pPr>
        <w:ind w:right="54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5" w:lineRule="exact"/>
        <w:rPr>
          <w:sz w:val="20"/>
          <w:szCs w:val="20"/>
          <w:color w:val="auto"/>
        </w:rPr>
      </w:pPr>
    </w:p>
    <w:p>
      <w:pPr>
        <w:spacing w:after="0" w:line="176" w:lineRule="exact"/>
        <w:tabs>
          <w:tab w:leader="none" w:pos="724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61,647,599 shares of Class A common stock and 3,056,086 shares of Class B common stock as of September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210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4"/>
                <w:szCs w:val="14"/>
                <w:color w:val="0000FF"/>
              </w:rPr>
              <w:t>Financial Statements (Unaudited)</w:t>
            </w:r>
          </w:p>
        </w:tc>
        <w:tc>
          <w:tcPr>
            <w:tcW w:w="732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2.</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3.</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3700" w:type="dxa"/>
            <w:vAlign w:val="bottom"/>
            <w:tcBorders>
              <w:bottom w:val="single" w:sz="8" w:color="0000FF"/>
            </w:tcBorders>
            <w:gridSpan w:val="9"/>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5720" w:type="dxa"/>
            <w:vAlign w:val="bottom"/>
            <w:tcBorders>
              <w:bottom w:val="single" w:sz="8" w:color="CCEEFF"/>
            </w:tcBorders>
            <w:gridSpan w:val="3"/>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4.</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right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gridSpan w:val="2"/>
            <w:shd w:val="clear" w:color="auto" w:fill="CCEEFF"/>
          </w:tcPr>
          <w:p>
            <w:pPr>
              <w:spacing w:after="0"/>
              <w:rPr>
                <w:sz w:val="12"/>
                <w:szCs w:val="12"/>
                <w:color w:val="auto"/>
              </w:rPr>
            </w:pPr>
          </w:p>
        </w:tc>
        <w:tc>
          <w:tcPr>
            <w:tcW w:w="942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8"/>
              </w:rPr>
              <w:t>Item 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8"/>
              </w:rPr>
              <w:t>Item 3.</w:t>
            </w:r>
          </w:p>
        </w:tc>
        <w:tc>
          <w:tcPr>
            <w:tcW w:w="580" w:type="dxa"/>
            <w:vAlign w:val="bottom"/>
            <w:tcBorders>
              <w:top w:val="single" w:sz="8" w:color="CCEEFF"/>
            </w:tcBorders>
            <w:gridSpan w:val="2"/>
          </w:tcPr>
          <w:p>
            <w:pPr>
              <w:spacing w:after="0"/>
              <w:rPr>
                <w:sz w:val="13"/>
                <w:szCs w:val="13"/>
                <w:color w:val="auto"/>
              </w:rPr>
            </w:pPr>
          </w:p>
        </w:tc>
        <w:tc>
          <w:tcPr>
            <w:tcW w:w="3800" w:type="dxa"/>
            <w:vAlign w:val="bottom"/>
            <w:tcBorders>
              <w:top w:val="single" w:sz="8" w:color="0000FF"/>
            </w:tcBorders>
            <w:gridSpan w:val="10"/>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5620" w:type="dxa"/>
            <w:vAlign w:val="bottom"/>
            <w:tcBorders>
              <w:top w:val="single" w:sz="8" w:color="CCEEFF"/>
            </w:tcBorders>
            <w:gridSpan w:val="2"/>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4.</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9"/>
              </w:rPr>
              <w:t>Mine Safety Disclosures</w:t>
            </w:r>
          </w:p>
        </w:tc>
        <w:tc>
          <w:tcPr>
            <w:tcW w:w="4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420" w:type="dxa"/>
            <w:vAlign w:val="bottom"/>
            <w:tcBorders>
              <w:bottom w:val="single" w:sz="8" w:color="CCEEFF"/>
            </w:tcBorders>
            <w:gridSpan w:val="5"/>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5.</w:t>
            </w:r>
          </w:p>
        </w:tc>
        <w:tc>
          <w:tcPr>
            <w:tcW w:w="580" w:type="dxa"/>
            <w:vAlign w:val="bottom"/>
            <w:gridSpan w:val="2"/>
          </w:tcPr>
          <w:p>
            <w:pPr>
              <w:spacing w:after="0"/>
              <w:rPr>
                <w:sz w:val="13"/>
                <w:szCs w:val="13"/>
                <w:color w:val="auto"/>
              </w:rPr>
            </w:pPr>
          </w:p>
        </w:tc>
        <w:tc>
          <w:tcPr>
            <w:tcW w:w="116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rPr>
              <w:t>Other Information</w:t>
            </w:r>
          </w:p>
        </w:tc>
        <w:tc>
          <w:tcPr>
            <w:tcW w:w="8260" w:type="dxa"/>
            <w:vAlign w:val="bottom"/>
            <w:gridSpan w:val="8"/>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6.</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7"/>
              </w:rPr>
              <w:t>Exhibits</w:t>
            </w:r>
          </w:p>
        </w:tc>
        <w:tc>
          <w:tcPr>
            <w:tcW w:w="8920" w:type="dxa"/>
            <w:vAlign w:val="bottom"/>
            <w:tcBorders>
              <w:bottom w:val="single" w:sz="8" w:color="CCEEFF"/>
            </w:tcBorders>
            <w:gridSpan w:val="11"/>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8"/>
              </w:rPr>
              <w:t>Signatures</w:t>
            </w:r>
          </w:p>
        </w:tc>
        <w:tc>
          <w:tcPr>
            <w:tcW w:w="8740" w:type="dxa"/>
            <w:vAlign w:val="bottom"/>
            <w:gridSpan w:val="10"/>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17" w:lineRule="exact"/>
        <w:rPr>
          <w:sz w:val="20"/>
          <w:szCs w:val="20"/>
          <w:color w:val="auto"/>
        </w:rPr>
      </w:pPr>
    </w:p>
    <w:p>
      <w:pPr>
        <w:ind w:left="520" w:righ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grown rapidly in recent years and have limited experience at our current scale of operations. If we are unable to manage our growth effectively, our brand, company culture, and financial performance may suffer.</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has had, and may in the future continue to have, a material adverse impact on our business.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accurately forecast customer demand,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520" w:right="80" w:hanging="260"/>
        <w:spacing w:after="0" w:line="291" w:lineRule="auto"/>
        <w:tabs>
          <w:tab w:leader="none" w:pos="514" w:val="left"/>
        </w:tabs>
        <w:numPr>
          <w:ilvl w:val="0"/>
          <w:numId w:val="3"/>
        </w:numPr>
        <w:rPr>
          <w:rFonts w:ascii="Calibri" w:cs="Calibri" w:eastAsia="Calibri" w:hAnsi="Calibri"/>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w:t>
      </w:r>
    </w:p>
    <w:p>
      <w:pPr>
        <w:spacing w:after="0" w:line="11" w:lineRule="exact"/>
        <w:rPr>
          <w:rFonts w:ascii="Calibri" w:cs="Calibri" w:eastAsia="Calibri" w:hAnsi="Calibri"/>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our restructuring plan, which could adversely affect our financial condition, results of operations, cash flows, or business reputation.</w:t>
      </w:r>
    </w:p>
    <w:p>
      <w:pPr>
        <w:spacing w:after="0" w:line="61"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14"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spacing w:after="0" w:line="2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61" w:lineRule="exact"/>
        <w:rPr>
          <w:rFonts w:ascii="Arial" w:cs="Arial" w:eastAsia="Arial" w:hAnsi="Arial"/>
          <w:sz w:val="14"/>
          <w:szCs w:val="14"/>
          <w:color w:val="auto"/>
        </w:rPr>
      </w:pPr>
    </w:p>
    <w:p>
      <w:pPr>
        <w:ind w:left="520" w:right="38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4"/>
          <w:szCs w:val="14"/>
          <w:color w:val="auto"/>
        </w:rPr>
      </w:pPr>
    </w:p>
    <w:p>
      <w:pPr>
        <w:ind w:left="520" w:right="1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adequately maintain and protect our intellectual property and proprietary rights could harm our brand, devalue our proprietary content, and adversely affect our ability to compete effectively.</w:t>
      </w:r>
    </w:p>
    <w:p>
      <w:pPr>
        <w:spacing w:after="0" w:line="3"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associated with brand partners from whom our products are sourced or co-manufactured.</w:t>
      </w:r>
    </w:p>
    <w:p>
      <w:pPr>
        <w:spacing w:after="0" w:line="72"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8" w:right="379" w:bottom="1440" w:gutter="0" w:footer="0" w:header="0"/>
        </w:sectPr>
      </w:pPr>
    </w:p>
    <w:bookmarkStart w:id="4" w:name="page5"/>
    <w:bookmarkEnd w:id="4"/>
    <w:p>
      <w:pPr>
        <w:jc w:val="both"/>
        <w:ind w:left="520" w:right="2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7" w:lineRule="exact"/>
        <w:rPr>
          <w:rFonts w:ascii="Arial" w:cs="Arial" w:eastAsia="Arial" w:hAnsi="Arial"/>
          <w:sz w:val="14"/>
          <w:szCs w:val="14"/>
          <w:color w:val="auto"/>
        </w:rPr>
      </w:pPr>
    </w:p>
    <w:p>
      <w:pPr>
        <w:ind w:left="520" w:right="300" w:hanging="260"/>
        <w:spacing w:after="0" w:line="265"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15" w:lineRule="exact"/>
        <w:rPr>
          <w:rFonts w:ascii="Arial" w:cs="Arial" w:eastAsia="Arial" w:hAnsi="Arial"/>
          <w:sz w:val="14"/>
          <w:szCs w:val="14"/>
          <w:color w:val="auto"/>
        </w:rPr>
      </w:pPr>
    </w:p>
    <w:p>
      <w:pPr>
        <w:ind w:left="520" w:right="60" w:hanging="260"/>
        <w:spacing w:after="0" w:line="239"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We face risks associated with our indebtedness and potential need for additional capital, including that financing or refinancing may not be available on acceptable terms at all.</w:t>
      </w:r>
    </w:p>
    <w:p>
      <w:pPr>
        <w:spacing w:after="0" w:line="37" w:lineRule="exact"/>
        <w:rPr>
          <w:rFonts w:ascii="Arial" w:cs="Arial" w:eastAsia="Arial" w:hAnsi="Arial"/>
          <w:sz w:val="17"/>
          <w:szCs w:val="17"/>
          <w:color w:val="auto"/>
        </w:rPr>
      </w:pPr>
    </w:p>
    <w:p>
      <w:pPr>
        <w:jc w:val="both"/>
        <w:ind w:left="5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4"/>
          <w:szCs w:val="14"/>
          <w:b w:val="1"/>
          <w:bCs w:val="1"/>
          <w:color w:val="auto"/>
        </w:rPr>
        <w:t>FORWARD-LOOKING STATEMENTS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plans, impact from our restructuring plan, product acquisition expectations, market growth and our objectives for future operations.</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July 31, 2022.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60" w:type="dxa"/>
            <w:vAlign w:val="bottom"/>
            <w:gridSpan w:val="5"/>
          </w:tcPr>
          <w:p>
            <w:pPr>
              <w:ind w:left="740"/>
              <w:spacing w:after="0"/>
              <w:rPr>
                <w:sz w:val="20"/>
                <w:szCs w:val="20"/>
                <w:color w:val="auto"/>
              </w:rPr>
            </w:pPr>
            <w:r>
              <w:rPr>
                <w:rFonts w:ascii="Arial" w:cs="Arial" w:eastAsia="Arial" w:hAnsi="Arial"/>
                <w:sz w:val="14"/>
                <w:szCs w:val="14"/>
                <w:b w:val="1"/>
                <w:bCs w:val="1"/>
                <w:color w:val="auto"/>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0200" w:type="dxa"/>
            <w:vAlign w:val="bottom"/>
            <w:gridSpan w:val="23"/>
          </w:tcPr>
          <w:p>
            <w:pPr>
              <w:spacing w:after="0"/>
              <w:rPr>
                <w:sz w:val="20"/>
                <w:szCs w:val="20"/>
                <w:color w:val="auto"/>
              </w:rPr>
            </w:pPr>
            <w:r>
              <w:rPr>
                <w:rFonts w:ascii="Arial" w:cs="Arial" w:eastAsia="Arial" w:hAnsi="Arial"/>
                <w:sz w:val="14"/>
                <w:szCs w:val="14"/>
                <w:b w:val="1"/>
                <w:bCs w:val="1"/>
                <w:color w:val="auto"/>
              </w:rPr>
              <w:t>Item 1.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0180" w:type="dxa"/>
            <w:vAlign w:val="bottom"/>
            <w:gridSpan w:val="22"/>
            <w:vMerge w:val="restart"/>
          </w:tcPr>
          <w:p>
            <w:pPr>
              <w:spacing w:after="0"/>
              <w:rPr>
                <w:sz w:val="20"/>
                <w:szCs w:val="20"/>
                <w:color w:val="auto"/>
              </w:rPr>
            </w:pPr>
            <w:r>
              <w:rPr>
                <w:rFonts w:ascii="Arial" w:cs="Arial" w:eastAsia="Arial" w:hAnsi="Arial"/>
                <w:sz w:val="14"/>
                <w:szCs w:val="14"/>
                <w:color w:val="0000FF"/>
              </w:rPr>
              <w:t>Condensed Consolidated Balance Sheets - Unaudited as of July 31, 2022 and January 31, 2022</w:t>
            </w: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180" w:type="dxa"/>
            <w:vAlign w:val="bottom"/>
            <w:gridSpan w:val="22"/>
            <w:vMerge w:val="continue"/>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74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rPr>
              <w:t>Condensed Consolidated Statements of Operations - Unaudited for the three and six months ended July 31, 2022 and 2021</w:t>
            </w:r>
          </w:p>
        </w:tc>
        <w:tc>
          <w:tcPr>
            <w:tcW w:w="2440" w:type="dxa"/>
            <w:vAlign w:val="bottom"/>
            <w:gridSpan w:val="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180" w:type="dxa"/>
            <w:vAlign w:val="bottom"/>
            <w:gridSpan w:val="22"/>
          </w:tcPr>
          <w:p>
            <w:pPr>
              <w:spacing w:after="0"/>
              <w:rPr>
                <w:sz w:val="20"/>
                <w:szCs w:val="20"/>
                <w:color w:val="auto"/>
              </w:rPr>
            </w:pPr>
            <w:r>
              <w:rPr>
                <w:rFonts w:ascii="Arial" w:cs="Arial" w:eastAsia="Arial" w:hAnsi="Arial"/>
                <w:sz w:val="14"/>
                <w:szCs w:val="14"/>
                <w:color w:val="0000FF"/>
              </w:rPr>
              <w:t>Condensed Consolidated Statements of Changes in Redeemable Preferred Stock and Stockholders’ Equity (Deficit) - Unaudited for the three and six months</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0" w:type="dxa"/>
            <w:vAlign w:val="bottom"/>
            <w:tcBorders>
              <w:top w:val="single" w:sz="8" w:color="0000FF"/>
            </w:tcBorders>
            <w:gridSpan w:val="21"/>
          </w:tcPr>
          <w:p>
            <w:pPr>
              <w:spacing w:after="0" w:line="107" w:lineRule="exact"/>
              <w:rPr>
                <w:sz w:val="20"/>
                <w:szCs w:val="20"/>
                <w:color w:val="auto"/>
              </w:rPr>
            </w:pPr>
            <w:r>
              <w:rPr>
                <w:rFonts w:ascii="Arial" w:cs="Arial" w:eastAsia="Arial" w:hAnsi="Arial"/>
                <w:sz w:val="12"/>
                <w:szCs w:val="12"/>
                <w:color w:val="0000FF"/>
              </w:rPr>
              <w:t>ended July 31, 2022 and 2021</w:t>
            </w:r>
          </w:p>
        </w:tc>
        <w:tc>
          <w:tcPr>
            <w:tcW w:w="3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0180" w:type="dxa"/>
            <w:vAlign w:val="bottom"/>
            <w:gridSpan w:val="22"/>
          </w:tcPr>
          <w:p>
            <w:pPr>
              <w:spacing w:after="0"/>
              <w:rPr>
                <w:sz w:val="20"/>
                <w:szCs w:val="20"/>
                <w:color w:val="auto"/>
              </w:rPr>
            </w:pPr>
            <w:r>
              <w:rPr>
                <w:rFonts w:ascii="Arial" w:cs="Arial" w:eastAsia="Arial" w:hAnsi="Arial"/>
                <w:sz w:val="14"/>
                <w:szCs w:val="14"/>
                <w:color w:val="0000FF"/>
              </w:rPr>
              <w:t>Condensed Consolidated Statements of Cash Flows - Unaudited for the six months ended July 31, 2022 and 2021</w:t>
            </w: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Borders>
              <w:top w:val="single" w:sz="8" w:color="0000FF"/>
            </w:tcBorders>
            <w:gridSpan w:val="19"/>
          </w:tcPr>
          <w:p>
            <w:pPr>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304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9360" w:type="dxa"/>
            <w:vAlign w:val="bottom"/>
            <w:gridSpan w:val="17"/>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1"/>
          </w:tcPr>
          <w:p>
            <w:pPr>
              <w:spacing w:after="0"/>
              <w:rPr>
                <w:sz w:val="13"/>
                <w:szCs w:val="13"/>
                <w:color w:val="auto"/>
              </w:rPr>
            </w:pPr>
          </w:p>
        </w:tc>
        <w:tc>
          <w:tcPr>
            <w:tcW w:w="7220" w:type="dxa"/>
            <w:vAlign w:val="bottom"/>
            <w:gridSpan w:val="7"/>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4.</w:t>
            </w:r>
          </w:p>
        </w:tc>
        <w:tc>
          <w:tcPr>
            <w:tcW w:w="1800" w:type="dxa"/>
            <w:vAlign w:val="bottom"/>
            <w:tcBorders>
              <w:bottom w:val="single" w:sz="8" w:color="0000FF"/>
            </w:tcBorders>
            <w:gridSpan w:val="9"/>
          </w:tcPr>
          <w:p>
            <w:pPr>
              <w:ind w:left="20"/>
              <w:spacing w:after="0"/>
              <w:rPr>
                <w:sz w:val="20"/>
                <w:szCs w:val="20"/>
                <w:color w:val="auto"/>
              </w:rPr>
            </w:pPr>
            <w:r>
              <w:rPr>
                <w:rFonts w:ascii="Arial" w:cs="Arial" w:eastAsia="Arial" w:hAnsi="Arial"/>
                <w:sz w:val="14"/>
                <w:szCs w:val="14"/>
                <w:color w:val="0000FF"/>
              </w:rPr>
              <w:t>Leases - Lessee Accounting</w:t>
            </w:r>
          </w:p>
        </w:tc>
        <w:tc>
          <w:tcPr>
            <w:tcW w:w="816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132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rPr>
              <w:t>Rental Product, Net</w:t>
            </w:r>
          </w:p>
        </w:tc>
        <w:tc>
          <w:tcPr>
            <w:tcW w:w="8640" w:type="dxa"/>
            <w:vAlign w:val="bottom"/>
            <w:gridSpan w:val="14"/>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0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8"/>
              </w:rPr>
              <w:t>Long-Term Debt</w:t>
            </w:r>
          </w:p>
        </w:tc>
        <w:tc>
          <w:tcPr>
            <w:tcW w:w="8920" w:type="dxa"/>
            <w:vAlign w:val="bottom"/>
            <w:gridSpan w:val="1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9060" w:type="dxa"/>
            <w:vAlign w:val="bottom"/>
            <w:gridSpan w:val="1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300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6960" w:type="dxa"/>
            <w:vAlign w:val="bottom"/>
            <w:gridSpan w:val="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9.</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10.</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Redeemable Preferred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4"/>
                <w:szCs w:val="14"/>
                <w:color w:val="0000FF"/>
                <w:w w:val="99"/>
              </w:rPr>
              <w:t>11. Stockholders’ Equity</w:t>
            </w:r>
          </w:p>
        </w:tc>
        <w:tc>
          <w:tcPr>
            <w:tcW w:w="540" w:type="dxa"/>
            <w:vAlign w:val="bottom"/>
            <w:tcBorders>
              <w:top w:val="single" w:sz="8" w:color="0000FF"/>
            </w:tcBorders>
            <w:gridSpan w:val="3"/>
          </w:tcPr>
          <w:p>
            <w:pPr>
              <w:spacing w:after="0"/>
              <w:rPr>
                <w:sz w:val="13"/>
                <w:szCs w:val="13"/>
                <w:color w:val="auto"/>
              </w:rPr>
            </w:pPr>
          </w:p>
        </w:tc>
        <w:tc>
          <w:tcPr>
            <w:tcW w:w="8040" w:type="dxa"/>
            <w:vAlign w:val="bottom"/>
            <w:gridSpan w:val="10"/>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12.</w:t>
            </w:r>
          </w:p>
        </w:tc>
        <w:tc>
          <w:tcPr>
            <w:tcW w:w="218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Share-based Compensation Plans</w:t>
            </w:r>
          </w:p>
        </w:tc>
        <w:tc>
          <w:tcPr>
            <w:tcW w:w="7700" w:type="dxa"/>
            <w:vAlign w:val="bottom"/>
            <w:gridSpan w:val="8"/>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362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Net Loss per Share Attributable to Common Stockholders</w:t>
            </w:r>
          </w:p>
        </w:tc>
        <w:tc>
          <w:tcPr>
            <w:tcW w:w="6260" w:type="dxa"/>
            <w:vAlign w:val="bottom"/>
            <w:gridSpan w:val="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2100" w:type="dxa"/>
            <w:vAlign w:val="bottom"/>
            <w:tcBorders>
              <w:top w:val="single" w:sz="8" w:color="0000FF"/>
            </w:tcBorders>
            <w:gridSpan w:val="10"/>
          </w:tcPr>
          <w:p>
            <w:pPr>
              <w:ind w:left="20"/>
              <w:spacing w:after="0"/>
              <w:rPr>
                <w:sz w:val="20"/>
                <w:szCs w:val="20"/>
                <w:color w:val="auto"/>
              </w:rPr>
            </w:pPr>
            <w:r>
              <w:rPr>
                <w:rFonts w:ascii="Arial" w:cs="Arial" w:eastAsia="Arial" w:hAnsi="Arial"/>
                <w:sz w:val="14"/>
                <w:szCs w:val="14"/>
                <w:color w:val="0000FF"/>
              </w:rPr>
              <w:t>Subsequent Events</w:t>
            </w:r>
          </w:p>
        </w:tc>
        <w:tc>
          <w:tcPr>
            <w:tcW w:w="778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00" w:type="dxa"/>
            <w:vAlign w:val="bottom"/>
          </w:tcPr>
          <w:p>
            <w:pPr>
              <w:spacing w:after="0"/>
              <w:rPr>
                <w:sz w:val="13"/>
                <w:szCs w:val="1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July 31,</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2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1"/>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192.3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247.6</w:t>
            </w: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4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76"/>
        </w:trPr>
        <w:tc>
          <w:tcPr>
            <w:tcW w:w="820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40" w:type="dxa"/>
            <w:vAlign w:val="bottom"/>
          </w:tcPr>
          <w:p>
            <w:pPr>
              <w:spacing w:after="0"/>
              <w:rPr>
                <w:sz w:val="15"/>
                <w:szCs w:val="15"/>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207.7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264.7</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40" w:type="dxa"/>
            <w:vAlign w:val="bottom"/>
          </w:tcPr>
          <w:p>
            <w:pPr>
              <w:spacing w:after="0"/>
              <w:rPr>
                <w:sz w:val="15"/>
                <w:szCs w:val="15"/>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76.9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76.3</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57.2</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40" w:type="dxa"/>
            <w:vAlign w:val="bottom"/>
          </w:tcPr>
          <w:p>
            <w:pPr>
              <w:spacing w:after="0"/>
              <w:rPr>
                <w:sz w:val="15"/>
                <w:szCs w:val="15"/>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7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99"/>
        </w:trPr>
        <w:tc>
          <w:tcPr>
            <w:tcW w:w="8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381.9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447.5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Redeemable Preferred Stock and Stockholders’ Equity (Deficit)</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17.6</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4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liabilities</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72"/>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68.8</w:t>
            </w: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4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269.8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260.8</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46.4</w:t>
            </w:r>
          </w:p>
        </w:tc>
        <w:tc>
          <w:tcPr>
            <w:tcW w:w="0" w:type="dxa"/>
            <w:vAlign w:val="bottom"/>
          </w:tcPr>
          <w:p>
            <w:pPr>
              <w:spacing w:after="0"/>
              <w:rPr>
                <w:sz w:val="1"/>
                <w:szCs w:val="1"/>
                <w:color w:val="auto"/>
              </w:rPr>
            </w:pPr>
          </w:p>
        </w:tc>
      </w:tr>
      <w:tr>
        <w:trPr>
          <w:trHeight w:val="17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374.8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376.4</w:t>
            </w:r>
          </w:p>
        </w:tc>
        <w:tc>
          <w:tcPr>
            <w:tcW w:w="0" w:type="dxa"/>
            <w:vAlign w:val="bottom"/>
          </w:tcPr>
          <w:p>
            <w:pPr>
              <w:spacing w:after="0"/>
              <w:rPr>
                <w:sz w:val="1"/>
                <w:szCs w:val="1"/>
                <w:color w:val="auto"/>
              </w:rPr>
            </w:pPr>
          </w:p>
        </w:tc>
      </w:tr>
      <w:tr>
        <w:trPr>
          <w:trHeight w:val="152"/>
        </w:trPr>
        <w:tc>
          <w:tcPr>
            <w:tcW w:w="8200" w:type="dxa"/>
            <w:vAlign w:val="bottom"/>
          </w:tcPr>
          <w:p>
            <w:pPr>
              <w:ind w:left="20"/>
              <w:spacing w:after="0"/>
              <w:rPr>
                <w:sz w:val="20"/>
                <w:szCs w:val="20"/>
                <w:color w:val="auto"/>
              </w:rPr>
            </w:pPr>
            <w:r>
              <w:rPr>
                <w:rFonts w:ascii="Arial" w:cs="Arial" w:eastAsia="Arial" w:hAnsi="Arial"/>
                <w:sz w:val="11"/>
                <w:szCs w:val="11"/>
                <w:color w:val="auto"/>
              </w:rPr>
              <w:t>Commitments and Contingencies (Note 14)</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Redeemable preferred stock, $0.001 par value; 0 shares authorized as of July 31, 2022 and January 31, 2022; 0 shares issued and outstanding as of July 31, 2022</w:t>
            </w:r>
          </w:p>
        </w:tc>
        <w:tc>
          <w:tcPr>
            <w:tcW w:w="10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and January 31, 2022; liquidation preference of $0.0 million as of July 31, 2022 and January 31, 2022</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Stockholders’ equity (deficit)</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Class A common stock, $0.001 par value; 300,000,000 shares authorized as of July 31, 2022 and January 31, 2022; 61,038,901 and 60,104,058 shares</w:t>
            </w: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5"/>
        </w:trPr>
        <w:tc>
          <w:tcPr>
            <w:tcW w:w="82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issued and outstanding as of July 31, 2022 and January 31, 2022, respectively</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00" w:type="dxa"/>
            <w:vAlign w:val="bottom"/>
          </w:tcPr>
          <w:p>
            <w:pPr>
              <w:ind w:left="280"/>
              <w:spacing w:after="0" w:line="121" w:lineRule="exact"/>
              <w:rPr>
                <w:sz w:val="20"/>
                <w:szCs w:val="20"/>
                <w:color w:val="auto"/>
              </w:rPr>
            </w:pPr>
            <w:r>
              <w:rPr>
                <w:rFonts w:ascii="Arial" w:cs="Arial" w:eastAsia="Arial" w:hAnsi="Arial"/>
                <w:sz w:val="11"/>
                <w:szCs w:val="11"/>
                <w:color w:val="auto"/>
              </w:rPr>
              <w:t>Class B common stock, $0.001 par value; 50,000,000 shares authorized as of July 31, 2022 and January 31, 2022; 3,045,917 and 2,932,739 shares issued</w:t>
            </w:r>
          </w:p>
        </w:tc>
        <w:tc>
          <w:tcPr>
            <w:tcW w:w="1040" w:type="dxa"/>
            <w:vAlign w:val="bottom"/>
          </w:tcPr>
          <w:p>
            <w:pPr>
              <w:spacing w:after="0"/>
              <w:rPr>
                <w:sz w:val="10"/>
                <w:szCs w:val="10"/>
                <w:color w:val="auto"/>
              </w:rPr>
            </w:pPr>
          </w:p>
        </w:tc>
        <w:tc>
          <w:tcPr>
            <w:tcW w:w="54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220" w:type="dxa"/>
            <w:vAlign w:val="bottom"/>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tcPr>
          <w:p>
            <w:pPr>
              <w:ind w:left="400"/>
              <w:spacing w:after="0"/>
              <w:rPr>
                <w:sz w:val="20"/>
                <w:szCs w:val="20"/>
                <w:color w:val="auto"/>
              </w:rPr>
            </w:pPr>
            <w:r>
              <w:rPr>
                <w:rFonts w:ascii="Arial" w:cs="Arial" w:eastAsia="Arial" w:hAnsi="Arial"/>
                <w:sz w:val="11"/>
                <w:szCs w:val="11"/>
                <w:color w:val="auto"/>
              </w:rPr>
              <w:t>and outstanding as of July 31, 2022 and January 31, 2022, respectively</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00" w:type="dxa"/>
            <w:vAlign w:val="bottom"/>
            <w:shd w:val="clear" w:color="auto" w:fill="CCEEFF"/>
          </w:tcPr>
          <w:p>
            <w:pPr>
              <w:ind w:left="280"/>
              <w:spacing w:after="0" w:line="121" w:lineRule="exact"/>
              <w:rPr>
                <w:sz w:val="20"/>
                <w:szCs w:val="20"/>
                <w:color w:val="auto"/>
              </w:rPr>
            </w:pPr>
            <w:r>
              <w:rPr>
                <w:rFonts w:ascii="Arial" w:cs="Arial" w:eastAsia="Arial" w:hAnsi="Arial"/>
                <w:sz w:val="11"/>
                <w:szCs w:val="11"/>
                <w:color w:val="auto"/>
              </w:rPr>
              <w:t>Preferred stock, $0.001 par value; 10,000,000 shares authorized as of July 31, 2022 and January 31, 2022; 0 shares issued and outstanding as of July 31,</w:t>
            </w:r>
          </w:p>
        </w:tc>
        <w:tc>
          <w:tcPr>
            <w:tcW w:w="10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2022 and January 31, 2022</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200" w:type="dxa"/>
            <w:vAlign w:val="bottom"/>
          </w:tcPr>
          <w:p>
            <w:pPr>
              <w:ind w:left="280"/>
              <w:spacing w:after="0"/>
              <w:rPr>
                <w:sz w:val="20"/>
                <w:szCs w:val="20"/>
                <w:color w:val="auto"/>
              </w:rPr>
            </w:pPr>
            <w:r>
              <w:rPr>
                <w:rFonts w:ascii="Arial" w:cs="Arial" w:eastAsia="Arial" w:hAnsi="Arial"/>
                <w:sz w:val="11"/>
                <w:szCs w:val="11"/>
                <w:color w:val="auto"/>
              </w:rPr>
              <w:t>Additional paid-in capital</w:t>
            </w:r>
          </w:p>
        </w:tc>
        <w:tc>
          <w:tcPr>
            <w:tcW w:w="1040" w:type="dxa"/>
            <w:vAlign w:val="bottom"/>
          </w:tcPr>
          <w:p>
            <w:pPr>
              <w:spacing w:after="0"/>
              <w:rPr>
                <w:sz w:val="15"/>
                <w:szCs w:val="15"/>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884.6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872.2</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Accumulated deficit</w:t>
            </w: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(877.6)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(801.2)</w:t>
            </w: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stockholders’ equity (deficit)</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71.1</w:t>
            </w:r>
          </w:p>
        </w:tc>
        <w:tc>
          <w:tcPr>
            <w:tcW w:w="0" w:type="dxa"/>
            <w:vAlign w:val="bottom"/>
          </w:tcPr>
          <w:p>
            <w:pPr>
              <w:spacing w:after="0"/>
              <w:rPr>
                <w:sz w:val="1"/>
                <w:szCs w:val="1"/>
                <w:color w:val="auto"/>
              </w:rPr>
            </w:pPr>
          </w:p>
        </w:tc>
      </w:tr>
      <w:tr>
        <w:trPr>
          <w:trHeight w:val="20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liabilities, redeemable preferred stock and stockholders’ equity (deficit)</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447.5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July 31,</w:t>
            </w:r>
          </w:p>
        </w:tc>
        <w:tc>
          <w:tcPr>
            <w:tcW w:w="320" w:type="dxa"/>
            <w:vAlign w:val="bottom"/>
          </w:tcPr>
          <w:p>
            <w:pPr>
              <w:spacing w:after="0"/>
              <w:rPr>
                <w:sz w:val="15"/>
                <w:szCs w:val="15"/>
                <w:color w:val="auto"/>
              </w:rPr>
            </w:pPr>
          </w:p>
        </w:tc>
        <w:tc>
          <w:tcPr>
            <w:tcW w:w="2500" w:type="dxa"/>
            <w:vAlign w:val="bottom"/>
            <w:gridSpan w:val="4"/>
          </w:tcPr>
          <w:p>
            <w:pPr>
              <w:jc w:val="right"/>
              <w:ind w:right="536"/>
              <w:spacing w:after="0"/>
              <w:rPr>
                <w:sz w:val="20"/>
                <w:szCs w:val="20"/>
                <w:color w:val="auto"/>
              </w:rPr>
            </w:pPr>
            <w:r>
              <w:rPr>
                <w:rFonts w:ascii="Arial" w:cs="Arial" w:eastAsia="Arial" w:hAnsi="Arial"/>
                <w:sz w:val="13"/>
                <w:szCs w:val="13"/>
                <w:b w:val="1"/>
                <w:bCs w:val="1"/>
                <w:color w:val="auto"/>
              </w:rPr>
              <w:t>Six Months Ended July 31,</w:t>
            </w:r>
          </w:p>
        </w:tc>
        <w:tc>
          <w:tcPr>
            <w:tcW w:w="0" w:type="dxa"/>
            <w:vAlign w:val="bottom"/>
          </w:tcPr>
          <w:p>
            <w:pPr>
              <w:spacing w:after="0"/>
              <w:rPr>
                <w:sz w:val="1"/>
                <w:szCs w:val="1"/>
                <w:color w:val="auto"/>
              </w:rPr>
            </w:pPr>
          </w:p>
        </w:tc>
      </w:tr>
      <w:tr>
        <w:trPr>
          <w:trHeight w:val="182"/>
        </w:trPr>
        <w:tc>
          <w:tcPr>
            <w:tcW w:w="53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70.0</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42.9</w:t>
            </w:r>
          </w:p>
        </w:tc>
        <w:tc>
          <w:tcPr>
            <w:tcW w:w="8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131.4</w:t>
            </w:r>
          </w:p>
        </w:tc>
        <w:tc>
          <w:tcPr>
            <w:tcW w:w="10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72.7</w:t>
            </w:r>
          </w:p>
        </w:tc>
        <w:tc>
          <w:tcPr>
            <w:tcW w:w="0" w:type="dxa"/>
            <w:vAlign w:val="bottom"/>
          </w:tcPr>
          <w:p>
            <w:pPr>
              <w:spacing w:after="0"/>
              <w:rPr>
                <w:sz w:val="1"/>
                <w:szCs w:val="1"/>
                <w:color w:val="auto"/>
              </w:rPr>
            </w:pPr>
          </w:p>
        </w:tc>
      </w:tr>
      <w:tr>
        <w:trPr>
          <w:trHeight w:val="192"/>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 net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72"/>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6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84"/>
        </w:trPr>
        <w:tc>
          <w:tcPr>
            <w:tcW w:w="536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84"/>
        </w:trPr>
        <w:tc>
          <w:tcPr>
            <w:tcW w:w="536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costs and expenses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w:t>
            </w:r>
          </w:p>
        </w:tc>
        <w:tc>
          <w:tcPr>
            <w:tcW w:w="0" w:type="dxa"/>
            <w:vAlign w:val="bottom"/>
          </w:tcPr>
          <w:p>
            <w:pPr>
              <w:spacing w:after="0"/>
              <w:rPr>
                <w:sz w:val="1"/>
                <w:szCs w:val="1"/>
                <w:color w:val="auto"/>
              </w:rPr>
            </w:pPr>
          </w:p>
        </w:tc>
      </w:tr>
      <w:tr>
        <w:trPr>
          <w:trHeight w:val="172"/>
        </w:trPr>
        <w:tc>
          <w:tcPr>
            <w:tcW w:w="53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Operating loss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84"/>
        </w:trPr>
        <w:tc>
          <w:tcPr>
            <w:tcW w:w="5360" w:type="dxa"/>
            <w:vAlign w:val="bottom"/>
          </w:tcPr>
          <w:p>
            <w:pPr>
              <w:ind w:left="20"/>
              <w:spacing w:after="0"/>
              <w:rPr>
                <w:sz w:val="20"/>
                <w:szCs w:val="20"/>
                <w:color w:val="auto"/>
              </w:rPr>
            </w:pPr>
            <w:r>
              <w:rPr>
                <w:rFonts w:ascii="Arial" w:cs="Arial" w:eastAsia="Arial" w:hAnsi="Arial"/>
                <w:sz w:val="13"/>
                <w:szCs w:val="13"/>
                <w:color w:val="auto"/>
              </w:rPr>
              <w:t>Interest income / (expense),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 (loss) on warrant liability revaluation, net</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 (expense), net</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72"/>
        </w:trPr>
        <w:tc>
          <w:tcPr>
            <w:tcW w:w="53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Net loss before income tax benefit / (expense)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84"/>
        </w:trPr>
        <w:tc>
          <w:tcPr>
            <w:tcW w:w="5360" w:type="dxa"/>
            <w:vAlign w:val="bottom"/>
          </w:tcPr>
          <w:p>
            <w:pPr>
              <w:ind w:left="20"/>
              <w:spacing w:after="0"/>
              <w:rPr>
                <w:sz w:val="20"/>
                <w:szCs w:val="20"/>
                <w:color w:val="auto"/>
              </w:rPr>
            </w:pPr>
            <w:r>
              <w:rPr>
                <w:rFonts w:ascii="Arial" w:cs="Arial" w:eastAsia="Arial" w:hAnsi="Arial"/>
                <w:sz w:val="13"/>
                <w:szCs w:val="13"/>
                <w:color w:val="auto"/>
              </w:rPr>
              <w:t>Income tax benefit / (expense)</w:t>
            </w:r>
          </w:p>
        </w:tc>
        <w:tc>
          <w:tcPr>
            <w:tcW w:w="3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92"/>
        </w:trPr>
        <w:tc>
          <w:tcPr>
            <w:tcW w:w="536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Net loss</w:t>
            </w: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60" w:type="dxa"/>
            <w:vAlign w:val="bottom"/>
          </w:tcPr>
          <w:p>
            <w:pPr>
              <w:ind w:left="20"/>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(0.53)</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3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Weighted-average shares used in computing net loss per share attributable to common</w:t>
            </w:r>
          </w:p>
        </w:tc>
        <w:tc>
          <w:tcPr>
            <w:tcW w:w="34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64,074,681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11,300,395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63,758,256</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11,375,889</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stockholders, basic and diluted</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3"/>
          </w:tcPr>
          <w:p>
            <w:pPr>
              <w:jc w:val="right"/>
              <w:ind w:right="51"/>
              <w:spacing w:after="0"/>
              <w:rPr>
                <w:sz w:val="20"/>
                <w:szCs w:val="20"/>
                <w:color w:val="auto"/>
              </w:rPr>
            </w:pPr>
            <w:r>
              <w:rPr>
                <w:rFonts w:ascii="Arial" w:cs="Arial" w:eastAsia="Arial" w:hAnsi="Arial"/>
                <w:sz w:val="8"/>
                <w:szCs w:val="8"/>
                <w:b w:val="1"/>
                <w:bCs w:val="1"/>
                <w:color w:val="auto"/>
              </w:rPr>
              <w:t>Redeemable</w:t>
            </w: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gridSpan w:val="4"/>
            <w:vMerge w:val="restart"/>
          </w:tcPr>
          <w:p>
            <w:pPr>
              <w:jc w:val="right"/>
              <w:ind w:right="433"/>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Additional</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center"/>
              <w:ind w:right="94"/>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85"/>
        </w:trPr>
        <w:tc>
          <w:tcPr>
            <w:tcW w:w="3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3"/>
          </w:tcPr>
          <w:p>
            <w:pPr>
              <w:jc w:val="right"/>
              <w:spacing w:after="0" w:line="85" w:lineRule="exact"/>
              <w:rPr>
                <w:sz w:val="20"/>
                <w:szCs w:val="20"/>
                <w:color w:val="auto"/>
              </w:rPr>
            </w:pPr>
            <w:r>
              <w:rPr>
                <w:rFonts w:ascii="Arial" w:cs="Arial" w:eastAsia="Arial" w:hAnsi="Arial"/>
                <w:sz w:val="8"/>
                <w:szCs w:val="8"/>
                <w:b w:val="1"/>
                <w:bCs w:val="1"/>
                <w:color w:val="auto"/>
              </w:rPr>
              <w:t>Preferred Stock</w:t>
            </w: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3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jc w:val="right"/>
              <w:ind w:right="17"/>
              <w:spacing w:after="0" w:line="43" w:lineRule="exact"/>
              <w:rPr>
                <w:sz w:val="20"/>
                <w:szCs w:val="20"/>
                <w:color w:val="auto"/>
              </w:rPr>
            </w:pPr>
            <w:r>
              <w:rPr>
                <w:rFonts w:ascii="Arial" w:cs="Arial" w:eastAsia="Arial" w:hAnsi="Arial"/>
                <w:sz w:val="4"/>
                <w:szCs w:val="4"/>
                <w:b w:val="1"/>
                <w:bCs w:val="1"/>
                <w:color w:val="auto"/>
              </w:rPr>
              <w:t>Paid-in</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tcPr>
          <w:p>
            <w:pPr>
              <w:ind w:left="100"/>
              <w:spacing w:after="0" w:line="43" w:lineRule="exact"/>
              <w:rPr>
                <w:sz w:val="20"/>
                <w:szCs w:val="20"/>
                <w:color w:val="auto"/>
              </w:rPr>
            </w:pPr>
            <w:r>
              <w:rPr>
                <w:rFonts w:ascii="Arial" w:cs="Arial" w:eastAsia="Arial" w:hAnsi="Arial"/>
                <w:sz w:val="4"/>
                <w:szCs w:val="4"/>
                <w:b w:val="1"/>
                <w:bCs w:val="1"/>
                <w:color w:val="auto"/>
              </w:rPr>
              <w:t>Accumulated</w:t>
            </w:r>
          </w:p>
        </w:tc>
        <w:tc>
          <w:tcPr>
            <w:tcW w:w="140" w:type="dxa"/>
            <w:vAlign w:val="bottom"/>
          </w:tcPr>
          <w:p>
            <w:pPr>
              <w:spacing w:after="0"/>
              <w:rPr>
                <w:sz w:val="3"/>
                <w:szCs w:val="3"/>
                <w:color w:val="auto"/>
              </w:rPr>
            </w:pPr>
          </w:p>
        </w:tc>
        <w:tc>
          <w:tcPr>
            <w:tcW w:w="880" w:type="dxa"/>
            <w:vAlign w:val="bottom"/>
          </w:tcPr>
          <w:p>
            <w:pPr>
              <w:jc w:val="center"/>
              <w:ind w:right="114"/>
              <w:spacing w:after="0" w:line="43"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ind w:left="360"/>
              <w:spacing w:after="0"/>
              <w:rPr>
                <w:sz w:val="20"/>
                <w:szCs w:val="20"/>
                <w:color w:val="auto"/>
              </w:rPr>
            </w:pPr>
            <w:r>
              <w:rPr>
                <w:rFonts w:ascii="Arial" w:cs="Arial" w:eastAsia="Arial" w:hAnsi="Arial"/>
                <w:sz w:val="8"/>
                <w:szCs w:val="8"/>
                <w:b w:val="1"/>
                <w:bCs w:val="1"/>
                <w:color w:val="auto"/>
              </w:rPr>
              <w:t>Shares</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ind w:left="340"/>
              <w:spacing w:after="0"/>
              <w:rPr>
                <w:sz w:val="20"/>
                <w:szCs w:val="20"/>
                <w:color w:val="auto"/>
              </w:rPr>
            </w:pPr>
            <w:r>
              <w:rPr>
                <w:rFonts w:ascii="Arial" w:cs="Arial" w:eastAsia="Arial" w:hAnsi="Arial"/>
                <w:sz w:val="8"/>
                <w:szCs w:val="8"/>
                <w:b w:val="1"/>
                <w:bCs w:val="1"/>
                <w:color w:val="auto"/>
              </w:rPr>
              <w:t>Shares</w:t>
            </w:r>
          </w:p>
        </w:tc>
        <w:tc>
          <w:tcPr>
            <w:tcW w:w="20" w:type="dxa"/>
            <w:vAlign w:val="bottom"/>
          </w:tcPr>
          <w:p>
            <w:pPr>
              <w:spacing w:after="0"/>
              <w:rPr>
                <w:sz w:val="11"/>
                <w:szCs w:val="11"/>
                <w:color w:val="auto"/>
              </w:rPr>
            </w:pPr>
          </w:p>
        </w:tc>
        <w:tc>
          <w:tcPr>
            <w:tcW w:w="740" w:type="dxa"/>
            <w:vAlign w:val="bottom"/>
          </w:tcPr>
          <w:p>
            <w:pPr>
              <w:jc w:val="right"/>
              <w:ind w:right="33"/>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7"/>
              <w:spacing w:after="0"/>
              <w:rPr>
                <w:sz w:val="20"/>
                <w:szCs w:val="20"/>
                <w:color w:val="auto"/>
              </w:rPr>
            </w:pPr>
            <w:r>
              <w:rPr>
                <w:rFonts w:ascii="Arial" w:cs="Arial" w:eastAsia="Arial" w:hAnsi="Arial"/>
                <w:sz w:val="8"/>
                <w:szCs w:val="8"/>
                <w:b w:val="1"/>
                <w:bCs w:val="1"/>
                <w:color w:val="auto"/>
              </w:rPr>
              <w:t>Capital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40" w:type="dxa"/>
            <w:vAlign w:val="bottom"/>
          </w:tcPr>
          <w:p>
            <w:pPr>
              <w:spacing w:after="0"/>
              <w:rPr>
                <w:sz w:val="11"/>
                <w:szCs w:val="11"/>
                <w:color w:val="auto"/>
              </w:rPr>
            </w:pPr>
          </w:p>
        </w:tc>
        <w:tc>
          <w:tcPr>
            <w:tcW w:w="880" w:type="dxa"/>
            <w:vAlign w:val="bottom"/>
          </w:tcPr>
          <w:p>
            <w:pPr>
              <w:jc w:val="center"/>
              <w:ind w:right="114"/>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Balances as of April 30, 2022</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63,930,902</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ind w:right="633"/>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877.7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(843.7)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34.1</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153,916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(33.9)</w:t>
            </w:r>
          </w:p>
        </w:tc>
        <w:tc>
          <w:tcPr>
            <w:tcW w:w="0" w:type="dxa"/>
            <w:vAlign w:val="bottom"/>
          </w:tcPr>
          <w:p>
            <w:pPr>
              <w:spacing w:after="0"/>
              <w:rPr>
                <w:sz w:val="1"/>
                <w:szCs w:val="1"/>
                <w:color w:val="auto"/>
              </w:rPr>
            </w:pPr>
          </w:p>
        </w:tc>
      </w:tr>
      <w:tr>
        <w:trPr>
          <w:trHeight w:val="158"/>
        </w:trPr>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Balances as of July 31, 2022</w:t>
            </w:r>
          </w:p>
        </w:tc>
        <w:tc>
          <w:tcPr>
            <w:tcW w:w="10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64,084,818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ind w:right="633"/>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884.6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April 30, 2021</w:t>
            </w:r>
          </w:p>
        </w:tc>
        <w:tc>
          <w:tcPr>
            <w:tcW w:w="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32,295,319</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405.2</w:t>
            </w:r>
          </w:p>
        </w:tc>
        <w:tc>
          <w:tcPr>
            <w:tcW w:w="12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10,718,493</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33"/>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65.9</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(631.7)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(565.8)</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Issuance of redeemable preferred stock</w:t>
            </w:r>
          </w:p>
        </w:tc>
        <w:tc>
          <w:tcPr>
            <w:tcW w:w="1000" w:type="dxa"/>
            <w:vAlign w:val="bottom"/>
          </w:tcPr>
          <w:p>
            <w:pPr>
              <w:jc w:val="right"/>
              <w:ind w:right="12"/>
              <w:spacing w:after="0"/>
              <w:rPr>
                <w:sz w:val="20"/>
                <w:szCs w:val="20"/>
                <w:color w:val="auto"/>
              </w:rPr>
            </w:pPr>
            <w:r>
              <w:rPr>
                <w:rFonts w:ascii="Arial" w:cs="Arial" w:eastAsia="Arial" w:hAnsi="Arial"/>
                <w:sz w:val="10"/>
                <w:szCs w:val="10"/>
                <w:color w:val="auto"/>
              </w:rPr>
              <w:t>280,143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4.1</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72,760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Share-based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Net loss</w:t>
            </w:r>
          </w:p>
        </w:tc>
        <w:tc>
          <w:tcPr>
            <w:tcW w:w="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(42.4)</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(42.4)</w:t>
            </w: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Arial" w:cs="Arial" w:eastAsia="Arial" w:hAnsi="Arial"/>
                <w:sz w:val="10"/>
                <w:szCs w:val="10"/>
                <w:color w:val="auto"/>
              </w:rPr>
              <w:t>Balances as of July 31, 2021</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32,575,462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409.3</w:t>
            </w:r>
          </w:p>
        </w:tc>
        <w:tc>
          <w:tcPr>
            <w:tcW w:w="12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10,791,253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ind w:right="633"/>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(674.1)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(605.2)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3"/>
          </w:tcPr>
          <w:p>
            <w:pPr>
              <w:jc w:val="right"/>
              <w:ind w:right="51"/>
              <w:spacing w:after="0"/>
              <w:rPr>
                <w:sz w:val="20"/>
                <w:szCs w:val="20"/>
                <w:color w:val="auto"/>
              </w:rPr>
            </w:pPr>
            <w:r>
              <w:rPr>
                <w:rFonts w:ascii="Arial" w:cs="Arial" w:eastAsia="Arial" w:hAnsi="Arial"/>
                <w:sz w:val="8"/>
                <w:szCs w:val="8"/>
                <w:b w:val="1"/>
                <w:bCs w:val="1"/>
                <w:color w:val="auto"/>
              </w:rPr>
              <w:t>Redeemable</w:t>
            </w: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gridSpan w:val="4"/>
            <w:vMerge w:val="restart"/>
          </w:tcPr>
          <w:p>
            <w:pPr>
              <w:jc w:val="right"/>
              <w:ind w:right="433"/>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Additional</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center"/>
              <w:ind w:right="94"/>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85"/>
        </w:trPr>
        <w:tc>
          <w:tcPr>
            <w:tcW w:w="3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3"/>
          </w:tcPr>
          <w:p>
            <w:pPr>
              <w:jc w:val="right"/>
              <w:spacing w:after="0" w:line="85" w:lineRule="exact"/>
              <w:rPr>
                <w:sz w:val="20"/>
                <w:szCs w:val="20"/>
                <w:color w:val="auto"/>
              </w:rPr>
            </w:pPr>
            <w:r>
              <w:rPr>
                <w:rFonts w:ascii="Arial" w:cs="Arial" w:eastAsia="Arial" w:hAnsi="Arial"/>
                <w:sz w:val="8"/>
                <w:szCs w:val="8"/>
                <w:b w:val="1"/>
                <w:bCs w:val="1"/>
                <w:color w:val="auto"/>
              </w:rPr>
              <w:t>Preferred Stock</w:t>
            </w: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3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jc w:val="right"/>
              <w:ind w:right="17"/>
              <w:spacing w:after="0" w:line="43" w:lineRule="exact"/>
              <w:rPr>
                <w:sz w:val="20"/>
                <w:szCs w:val="20"/>
                <w:color w:val="auto"/>
              </w:rPr>
            </w:pPr>
            <w:r>
              <w:rPr>
                <w:rFonts w:ascii="Arial" w:cs="Arial" w:eastAsia="Arial" w:hAnsi="Arial"/>
                <w:sz w:val="4"/>
                <w:szCs w:val="4"/>
                <w:b w:val="1"/>
                <w:bCs w:val="1"/>
                <w:color w:val="auto"/>
              </w:rPr>
              <w:t>Paid-in</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tcPr>
          <w:p>
            <w:pPr>
              <w:ind w:left="100"/>
              <w:spacing w:after="0" w:line="43" w:lineRule="exact"/>
              <w:rPr>
                <w:sz w:val="20"/>
                <w:szCs w:val="20"/>
                <w:color w:val="auto"/>
              </w:rPr>
            </w:pPr>
            <w:r>
              <w:rPr>
                <w:rFonts w:ascii="Arial" w:cs="Arial" w:eastAsia="Arial" w:hAnsi="Arial"/>
                <w:sz w:val="4"/>
                <w:szCs w:val="4"/>
                <w:b w:val="1"/>
                <w:bCs w:val="1"/>
                <w:color w:val="auto"/>
              </w:rPr>
              <w:t>Accumulated</w:t>
            </w:r>
          </w:p>
        </w:tc>
        <w:tc>
          <w:tcPr>
            <w:tcW w:w="140" w:type="dxa"/>
            <w:vAlign w:val="bottom"/>
          </w:tcPr>
          <w:p>
            <w:pPr>
              <w:spacing w:after="0"/>
              <w:rPr>
                <w:sz w:val="3"/>
                <w:szCs w:val="3"/>
                <w:color w:val="auto"/>
              </w:rPr>
            </w:pPr>
          </w:p>
        </w:tc>
        <w:tc>
          <w:tcPr>
            <w:tcW w:w="880" w:type="dxa"/>
            <w:vAlign w:val="bottom"/>
          </w:tcPr>
          <w:p>
            <w:pPr>
              <w:jc w:val="center"/>
              <w:ind w:right="114"/>
              <w:spacing w:after="0" w:line="43"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ind w:left="360"/>
              <w:spacing w:after="0"/>
              <w:rPr>
                <w:sz w:val="20"/>
                <w:szCs w:val="20"/>
                <w:color w:val="auto"/>
              </w:rPr>
            </w:pPr>
            <w:r>
              <w:rPr>
                <w:rFonts w:ascii="Arial" w:cs="Arial" w:eastAsia="Arial" w:hAnsi="Arial"/>
                <w:sz w:val="8"/>
                <w:szCs w:val="8"/>
                <w:b w:val="1"/>
                <w:bCs w:val="1"/>
                <w:color w:val="auto"/>
              </w:rPr>
              <w:t>Shares</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ind w:left="340"/>
              <w:spacing w:after="0"/>
              <w:rPr>
                <w:sz w:val="20"/>
                <w:szCs w:val="20"/>
                <w:color w:val="auto"/>
              </w:rPr>
            </w:pPr>
            <w:r>
              <w:rPr>
                <w:rFonts w:ascii="Arial" w:cs="Arial" w:eastAsia="Arial" w:hAnsi="Arial"/>
                <w:sz w:val="8"/>
                <w:szCs w:val="8"/>
                <w:b w:val="1"/>
                <w:bCs w:val="1"/>
                <w:color w:val="auto"/>
              </w:rPr>
              <w:t>Shares</w:t>
            </w:r>
          </w:p>
        </w:tc>
        <w:tc>
          <w:tcPr>
            <w:tcW w:w="20" w:type="dxa"/>
            <w:vAlign w:val="bottom"/>
          </w:tcPr>
          <w:p>
            <w:pPr>
              <w:spacing w:after="0"/>
              <w:rPr>
                <w:sz w:val="11"/>
                <w:szCs w:val="11"/>
                <w:color w:val="auto"/>
              </w:rPr>
            </w:pPr>
          </w:p>
        </w:tc>
        <w:tc>
          <w:tcPr>
            <w:tcW w:w="740" w:type="dxa"/>
            <w:vAlign w:val="bottom"/>
          </w:tcPr>
          <w:p>
            <w:pPr>
              <w:jc w:val="right"/>
              <w:ind w:right="33"/>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7"/>
              <w:spacing w:after="0"/>
              <w:rPr>
                <w:sz w:val="20"/>
                <w:szCs w:val="20"/>
                <w:color w:val="auto"/>
              </w:rPr>
            </w:pPr>
            <w:r>
              <w:rPr>
                <w:rFonts w:ascii="Arial" w:cs="Arial" w:eastAsia="Arial" w:hAnsi="Arial"/>
                <w:sz w:val="8"/>
                <w:szCs w:val="8"/>
                <w:b w:val="1"/>
                <w:bCs w:val="1"/>
                <w:color w:val="auto"/>
              </w:rPr>
              <w:t>Capital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40" w:type="dxa"/>
            <w:vAlign w:val="bottom"/>
          </w:tcPr>
          <w:p>
            <w:pPr>
              <w:spacing w:after="0"/>
              <w:rPr>
                <w:sz w:val="11"/>
                <w:szCs w:val="11"/>
                <w:color w:val="auto"/>
              </w:rPr>
            </w:pPr>
          </w:p>
        </w:tc>
        <w:tc>
          <w:tcPr>
            <w:tcW w:w="880" w:type="dxa"/>
            <w:vAlign w:val="bottom"/>
          </w:tcPr>
          <w:p>
            <w:pPr>
              <w:jc w:val="center"/>
              <w:ind w:right="114"/>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Balances as of January 31, 2022</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63,036,797</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ind w:right="633"/>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872.2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(801.2)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71.1</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1,048,021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(76.4)</w:t>
            </w:r>
          </w:p>
        </w:tc>
        <w:tc>
          <w:tcPr>
            <w:tcW w:w="0" w:type="dxa"/>
            <w:vAlign w:val="bottom"/>
          </w:tcPr>
          <w:p>
            <w:pPr>
              <w:spacing w:after="0"/>
              <w:rPr>
                <w:sz w:val="1"/>
                <w:szCs w:val="1"/>
                <w:color w:val="auto"/>
              </w:rPr>
            </w:pPr>
          </w:p>
        </w:tc>
      </w:tr>
      <w:tr>
        <w:trPr>
          <w:trHeight w:val="158"/>
        </w:trPr>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Balances as of July 31, 2022</w:t>
            </w:r>
          </w:p>
        </w:tc>
        <w:tc>
          <w:tcPr>
            <w:tcW w:w="10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64,084,818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ind w:right="633"/>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884.6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2021</w:t>
            </w:r>
          </w:p>
        </w:tc>
        <w:tc>
          <w:tcPr>
            <w:tcW w:w="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31,137,921</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388.1</w:t>
            </w:r>
          </w:p>
        </w:tc>
        <w:tc>
          <w:tcPr>
            <w:tcW w:w="12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10,456,521</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33"/>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(589.4)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(526.7)</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Issuance of redeemable preferred stock</w:t>
            </w:r>
          </w:p>
        </w:tc>
        <w:tc>
          <w:tcPr>
            <w:tcW w:w="1000" w:type="dxa"/>
            <w:vAlign w:val="bottom"/>
          </w:tcPr>
          <w:p>
            <w:pPr>
              <w:jc w:val="right"/>
              <w:ind w:right="12"/>
              <w:spacing w:after="0"/>
              <w:rPr>
                <w:sz w:val="20"/>
                <w:szCs w:val="20"/>
                <w:color w:val="auto"/>
              </w:rPr>
            </w:pPr>
            <w:r>
              <w:rPr>
                <w:rFonts w:ascii="Arial" w:cs="Arial" w:eastAsia="Arial" w:hAnsi="Arial"/>
                <w:sz w:val="10"/>
                <w:szCs w:val="10"/>
                <w:color w:val="auto"/>
              </w:rPr>
              <w:t>1,437,541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21.2</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334,732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34"/>
        </w:trPr>
        <w:tc>
          <w:tcPr>
            <w:tcW w:w="3580" w:type="dxa"/>
            <w:vAlign w:val="bottom"/>
            <w:gridSpan w:val="2"/>
          </w:tcPr>
          <w:p>
            <w:pPr>
              <w:ind w:left="280"/>
              <w:spacing w:after="0"/>
              <w:rPr>
                <w:sz w:val="20"/>
                <w:szCs w:val="20"/>
                <w:color w:val="auto"/>
              </w:rPr>
            </w:pPr>
            <w:r>
              <w:rPr>
                <w:rFonts w:ascii="Arial" w:cs="Arial" w:eastAsia="Arial" w:hAnsi="Arial"/>
                <w:sz w:val="10"/>
                <w:szCs w:val="10"/>
                <w:color w:val="auto"/>
              </w:rPr>
              <w:t>Share-based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Net loss</w:t>
            </w:r>
          </w:p>
        </w:tc>
        <w:tc>
          <w:tcPr>
            <w:tcW w:w="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(84.7)</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(84.7)</w:t>
            </w: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Arial" w:cs="Arial" w:eastAsia="Arial" w:hAnsi="Arial"/>
                <w:sz w:val="10"/>
                <w:szCs w:val="10"/>
                <w:color w:val="auto"/>
              </w:rPr>
              <w:t>Balances as of July 31, 2021</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32,575,462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409.3</w:t>
            </w:r>
          </w:p>
        </w:tc>
        <w:tc>
          <w:tcPr>
            <w:tcW w:w="12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10,791,253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ind w:right="633"/>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97"/>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(674.1)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(605.2)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02" w:lineRule="exact"/>
        <w:rPr>
          <w:sz w:val="20"/>
          <w:szCs w:val="20"/>
          <w:color w:val="auto"/>
        </w:rPr>
      </w:pPr>
    </w:p>
    <w:p>
      <w:pPr>
        <w:jc w:val="center"/>
        <w:ind w:left="8220"/>
        <w:spacing w:after="0"/>
        <w:rPr>
          <w:sz w:val="20"/>
          <w:szCs w:val="20"/>
          <w:color w:val="auto"/>
        </w:rPr>
      </w:pPr>
      <w:r>
        <w:rPr>
          <w:rFonts w:ascii="Arial" w:cs="Arial" w:eastAsia="Arial" w:hAnsi="Arial"/>
          <w:sz w:val="13"/>
          <w:szCs w:val="13"/>
          <w:b w:val="1"/>
          <w:bCs w:val="1"/>
          <w:color w:val="auto"/>
        </w:rPr>
        <w:t>Six Months Ended</w:t>
      </w:r>
    </w:p>
    <w:p>
      <w:pPr>
        <w:jc w:val="center"/>
        <w:ind w:left="8220"/>
        <w:spacing w:after="0"/>
        <w:rPr>
          <w:sz w:val="20"/>
          <w:szCs w:val="20"/>
          <w:color w:val="auto"/>
        </w:rPr>
      </w:pPr>
      <w:r>
        <w:rPr>
          <w:rFonts w:ascii="Arial" w:cs="Arial" w:eastAsia="Arial" w:hAnsi="Arial"/>
          <w:sz w:val="13"/>
          <w:szCs w:val="13"/>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5080</wp:posOffset>
            </wp:positionV>
            <wp:extent cx="194056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75"/>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4"/>
        </w:trPr>
        <w:tc>
          <w:tcPr>
            <w:tcW w:w="82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0" w:type="dxa"/>
            <w:vAlign w:val="bottom"/>
          </w:tcPr>
          <w:p>
            <w:pPr>
              <w:jc w:val="right"/>
              <w:ind w:right="836"/>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(84.7)</w:t>
            </w:r>
          </w:p>
        </w:tc>
      </w:tr>
      <w:tr>
        <w:trPr>
          <w:trHeight w:val="198"/>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8220" w:type="dxa"/>
            <w:vAlign w:val="bottom"/>
          </w:tcPr>
          <w:p>
            <w:pPr>
              <w:ind w:left="280"/>
              <w:spacing w:after="0"/>
              <w:rPr>
                <w:sz w:val="20"/>
                <w:szCs w:val="20"/>
                <w:color w:val="auto"/>
              </w:rPr>
            </w:pPr>
            <w:r>
              <w:rPr>
                <w:rFonts w:ascii="Arial" w:cs="Arial" w:eastAsia="Arial" w:hAnsi="Arial"/>
                <w:sz w:val="13"/>
                <w:szCs w:val="13"/>
                <w:color w:val="auto"/>
              </w:rPr>
              <w:t>Rental product depreciation and write-offs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198"/>
        </w:trPr>
        <w:tc>
          <w:tcPr>
            <w:tcW w:w="8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Write-off of rental product sold</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84"/>
        </w:trPr>
        <w:tc>
          <w:tcPr>
            <w:tcW w:w="8220" w:type="dxa"/>
            <w:vAlign w:val="bottom"/>
          </w:tcPr>
          <w:p>
            <w:pPr>
              <w:ind w:left="280"/>
              <w:spacing w:after="0"/>
              <w:rPr>
                <w:sz w:val="20"/>
                <w:szCs w:val="20"/>
                <w:color w:val="auto"/>
              </w:rPr>
            </w:pPr>
            <w:r>
              <w:rPr>
                <w:rFonts w:ascii="Arial" w:cs="Arial" w:eastAsia="Arial" w:hAnsi="Arial"/>
                <w:sz w:val="13"/>
                <w:szCs w:val="13"/>
                <w:color w:val="auto"/>
              </w:rPr>
              <w:t>Other depreciation and amortization</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98"/>
        </w:trPr>
        <w:tc>
          <w:tcPr>
            <w:tcW w:w="8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 loss from write-off of fixed assets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220" w:type="dxa"/>
            <w:vAlign w:val="bottom"/>
          </w:tcPr>
          <w:p>
            <w:pPr>
              <w:ind w:left="280"/>
              <w:spacing w:after="0"/>
              <w:rPr>
                <w:sz w:val="20"/>
                <w:szCs w:val="20"/>
                <w:color w:val="auto"/>
              </w:rPr>
            </w:pPr>
            <w:r>
              <w:rPr>
                <w:rFonts w:ascii="Arial" w:cs="Arial" w:eastAsia="Arial" w:hAnsi="Arial"/>
                <w:sz w:val="13"/>
                <w:szCs w:val="13"/>
                <w:color w:val="auto"/>
              </w:rPr>
              <w:t>Proceeds from rental product sold</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98"/>
        </w:trPr>
        <w:tc>
          <w:tcPr>
            <w:tcW w:w="8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 loss from liquidation of rental product</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84"/>
        </w:trPr>
        <w:tc>
          <w:tcPr>
            <w:tcW w:w="8220" w:type="dxa"/>
            <w:vAlign w:val="bottom"/>
          </w:tcPr>
          <w:p>
            <w:pPr>
              <w:ind w:left="280"/>
              <w:spacing w:after="0"/>
              <w:rPr>
                <w:sz w:val="20"/>
                <w:szCs w:val="20"/>
                <w:color w:val="auto"/>
              </w:rPr>
            </w:pPr>
            <w:r>
              <w:rPr>
                <w:rFonts w:ascii="Arial" w:cs="Arial" w:eastAsia="Arial" w:hAnsi="Arial"/>
                <w:sz w:val="13"/>
                <w:szCs w:val="13"/>
                <w:color w:val="auto"/>
              </w:rPr>
              <w:t>Accrual of paid-in-kind interest</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23.2</w:t>
            </w:r>
          </w:p>
        </w:tc>
      </w:tr>
      <w:tr>
        <w:trPr>
          <w:trHeight w:val="198"/>
        </w:trPr>
        <w:tc>
          <w:tcPr>
            <w:tcW w:w="8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debt discount</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84"/>
        </w:trPr>
        <w:tc>
          <w:tcPr>
            <w:tcW w:w="8220" w:type="dxa"/>
            <w:vAlign w:val="bottom"/>
          </w:tcPr>
          <w:p>
            <w:pPr>
              <w:ind w:left="280"/>
              <w:spacing w:after="0"/>
              <w:rPr>
                <w:sz w:val="20"/>
                <w:szCs w:val="20"/>
                <w:color w:val="auto"/>
              </w:rPr>
            </w:pPr>
            <w:r>
              <w:rPr>
                <w:rFonts w:ascii="Arial" w:cs="Arial" w:eastAsia="Arial" w:hAnsi="Arial"/>
                <w:sz w:val="13"/>
                <w:szCs w:val="13"/>
                <w:color w:val="auto"/>
              </w:rPr>
              <w:t>Share-based compensation expense</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98"/>
        </w:trPr>
        <w:tc>
          <w:tcPr>
            <w:tcW w:w="8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Remeasurement of warrant liability</w:t>
            </w:r>
          </w:p>
        </w:tc>
        <w:tc>
          <w:tcPr>
            <w:tcW w:w="10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84"/>
        </w:trPr>
        <w:tc>
          <w:tcPr>
            <w:tcW w:w="822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84"/>
        </w:trPr>
        <w:tc>
          <w:tcPr>
            <w:tcW w:w="8220" w:type="dxa"/>
            <w:vAlign w:val="bottom"/>
          </w:tcPr>
          <w:p>
            <w:pPr>
              <w:ind w:left="520"/>
              <w:spacing w:after="0"/>
              <w:rPr>
                <w:sz w:val="20"/>
                <w:szCs w:val="20"/>
                <w:color w:val="auto"/>
              </w:rPr>
            </w:pPr>
            <w:r>
              <w:rPr>
                <w:rFonts w:ascii="Arial" w:cs="Arial" w:eastAsia="Arial" w:hAnsi="Arial"/>
                <w:sz w:val="13"/>
                <w:szCs w:val="13"/>
                <w:color w:val="auto"/>
              </w:rPr>
              <w:t>Operating lease right-of-use assets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98"/>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assets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84"/>
        </w:trPr>
        <w:tc>
          <w:tcPr>
            <w:tcW w:w="8220" w:type="dxa"/>
            <w:vAlign w:val="bottom"/>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8"/>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84"/>
        </w:trPr>
        <w:tc>
          <w:tcPr>
            <w:tcW w:w="8220" w:type="dxa"/>
            <w:vAlign w:val="bottom"/>
          </w:tcPr>
          <w:p>
            <w:pPr>
              <w:ind w:left="520"/>
              <w:spacing w:after="0"/>
              <w:rPr>
                <w:sz w:val="20"/>
                <w:szCs w:val="20"/>
                <w:color w:val="auto"/>
              </w:rPr>
            </w:pPr>
            <w:r>
              <w:rPr>
                <w:rFonts w:ascii="Arial" w:cs="Arial" w:eastAsia="Arial" w:hAnsi="Arial"/>
                <w:sz w:val="13"/>
                <w:szCs w:val="13"/>
                <w:color w:val="auto"/>
              </w:rPr>
              <w:t>Operating lease liabilities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8"/>
        </w:trPr>
        <w:tc>
          <w:tcPr>
            <w:tcW w:w="82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liabilities</w:t>
            </w: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70"/>
        </w:trPr>
        <w:tc>
          <w:tcPr>
            <w:tcW w:w="822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operating activities</w:t>
            </w: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4"/>
        </w:trPr>
        <w:tc>
          <w:tcPr>
            <w:tcW w:w="8220" w:type="dxa"/>
            <w:vAlign w:val="bottom"/>
          </w:tcPr>
          <w:p>
            <w:pPr>
              <w:ind w:left="20"/>
              <w:spacing w:after="0"/>
              <w:rPr>
                <w:sz w:val="20"/>
                <w:szCs w:val="20"/>
                <w:color w:val="auto"/>
              </w:rPr>
            </w:pPr>
            <w:r>
              <w:rPr>
                <w:rFonts w:ascii="Arial" w:cs="Arial" w:eastAsia="Arial" w:hAnsi="Arial"/>
                <w:sz w:val="13"/>
                <w:szCs w:val="13"/>
                <w:color w:val="auto"/>
              </w:rPr>
              <w:t>Purchases of rental product</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98"/>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84"/>
        </w:trPr>
        <w:tc>
          <w:tcPr>
            <w:tcW w:w="8220" w:type="dxa"/>
            <w:vAlign w:val="bottom"/>
          </w:tcPr>
          <w:p>
            <w:pPr>
              <w:ind w:left="20"/>
              <w:spacing w:after="0"/>
              <w:rPr>
                <w:sz w:val="20"/>
                <w:szCs w:val="20"/>
                <w:color w:val="auto"/>
              </w:rPr>
            </w:pPr>
            <w:r>
              <w:rPr>
                <w:rFonts w:ascii="Arial" w:cs="Arial" w:eastAsia="Arial" w:hAnsi="Arial"/>
                <w:sz w:val="13"/>
                <w:szCs w:val="13"/>
                <w:color w:val="auto"/>
              </w:rPr>
              <w:t>Proceeds from sale of rental product</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98"/>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70"/>
        </w:trPr>
        <w:tc>
          <w:tcPr>
            <w:tcW w:w="822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investing activities</w:t>
            </w: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r>
      <w:tr>
        <w:trPr>
          <w:trHeight w:val="15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Proceeds from issuance of redeemable preferred stock</w:t>
            </w:r>
          </w:p>
        </w:tc>
        <w:tc>
          <w:tcPr>
            <w:tcW w:w="10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21.2</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stock options under stock incentive plan</w:t>
            </w:r>
          </w:p>
        </w:tc>
        <w:tc>
          <w:tcPr>
            <w:tcW w:w="10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Principal repayments on long-term debt</w:t>
            </w:r>
          </w:p>
        </w:tc>
        <w:tc>
          <w:tcPr>
            <w:tcW w:w="10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financing payments</w:t>
            </w:r>
          </w:p>
        </w:tc>
        <w:tc>
          <w:tcPr>
            <w:tcW w:w="10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59"/>
        </w:trPr>
        <w:tc>
          <w:tcPr>
            <w:tcW w:w="822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financing activities</w:t>
            </w: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109.2</w:t>
            </w:r>
          </w:p>
        </w:tc>
      </w:tr>
      <w:tr>
        <w:trPr>
          <w:trHeight w:val="18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23" w:lineRule="exact"/>
        <w:rPr>
          <w:sz w:val="20"/>
          <w:szCs w:val="20"/>
          <w:color w:val="auto"/>
        </w:rPr>
      </w:pPr>
    </w:p>
    <w:p>
      <w:pPr>
        <w:jc w:val="center"/>
        <w:ind w:left="8220"/>
        <w:spacing w:after="0"/>
        <w:rPr>
          <w:sz w:val="20"/>
          <w:szCs w:val="20"/>
          <w:color w:val="auto"/>
        </w:rPr>
      </w:pPr>
      <w:r>
        <w:rPr>
          <w:rFonts w:ascii="Arial" w:cs="Arial" w:eastAsia="Arial" w:hAnsi="Arial"/>
          <w:sz w:val="13"/>
          <w:szCs w:val="13"/>
          <w:b w:val="1"/>
          <w:bCs w:val="1"/>
          <w:color w:val="auto"/>
        </w:rPr>
        <w:t>Six Months Ended</w:t>
      </w:r>
    </w:p>
    <w:p>
      <w:pPr>
        <w:spacing w:after="0" w:line="11" w:lineRule="exact"/>
        <w:rPr>
          <w:sz w:val="20"/>
          <w:szCs w:val="20"/>
          <w:color w:val="auto"/>
        </w:rPr>
      </w:pPr>
    </w:p>
    <w:p>
      <w:pPr>
        <w:jc w:val="center"/>
        <w:ind w:left="8220"/>
        <w:spacing w:after="0"/>
        <w:rPr>
          <w:sz w:val="20"/>
          <w:szCs w:val="20"/>
          <w:color w:val="auto"/>
        </w:rPr>
      </w:pPr>
      <w:r>
        <w:rPr>
          <w:rFonts w:ascii="Arial" w:cs="Arial" w:eastAsia="Arial" w:hAnsi="Arial"/>
          <w:sz w:val="13"/>
          <w:szCs w:val="13"/>
          <w:b w:val="1"/>
          <w:bCs w:val="1"/>
          <w:color w:val="auto"/>
        </w:rPr>
        <w:t>July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and Cash Equivalents and Restricted Cash to the Condensed Consolidated Balance Sheets: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4"/>
        </w:trPr>
        <w:tc>
          <w:tcPr>
            <w:tcW w:w="82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000" w:type="dxa"/>
            <w:vAlign w:val="bottom"/>
          </w:tcPr>
          <w:p>
            <w:pPr>
              <w:jc w:val="right"/>
              <w:ind w:right="836"/>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192.3</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104.0</w:t>
            </w:r>
          </w:p>
        </w:tc>
      </w:tr>
      <w:tr>
        <w:trPr>
          <w:trHeight w:val="198"/>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current</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8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noncurrent</w:t>
            </w: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8220" w:type="dxa"/>
            <w:vAlign w:val="bottom"/>
          </w:tcPr>
          <w:p>
            <w:pPr>
              <w:ind w:left="20"/>
              <w:spacing w:after="0"/>
              <w:rPr>
                <w:sz w:val="20"/>
                <w:szCs w:val="20"/>
                <w:color w:val="auto"/>
              </w:rPr>
            </w:pPr>
            <w:r>
              <w:rPr>
                <w:rFonts w:ascii="Arial" w:cs="Arial" w:eastAsia="Arial" w:hAnsi="Arial"/>
                <w:sz w:val="13"/>
                <w:szCs w:val="13"/>
                <w:color w:val="auto"/>
              </w:rPr>
              <w:t>Cash payments (receipts) for:</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operating leases payments (reimbursements), net</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90"/>
        </w:trPr>
        <w:tc>
          <w:tcPr>
            <w:tcW w:w="8220" w:type="dxa"/>
            <w:vAlign w:val="bottom"/>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92"/>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8220" w:type="dxa"/>
            <w:vAlign w:val="bottom"/>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Financing leases right-of-use asset amortization</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84"/>
        </w:trPr>
        <w:tc>
          <w:tcPr>
            <w:tcW w:w="8220" w:type="dxa"/>
            <w:vAlign w:val="bottom"/>
          </w:tcPr>
          <w:p>
            <w:pPr>
              <w:ind w:left="360"/>
              <w:spacing w:after="0"/>
              <w:rPr>
                <w:sz w:val="20"/>
                <w:szCs w:val="20"/>
                <w:color w:val="auto"/>
              </w:rPr>
            </w:pPr>
            <w:r>
              <w:rPr>
                <w:rFonts w:ascii="Arial" w:cs="Arial" w:eastAsia="Arial" w:hAnsi="Arial"/>
                <w:sz w:val="13"/>
                <w:szCs w:val="13"/>
                <w:color w:val="auto"/>
              </w:rPr>
              <w:t>ROU assets obtained in exchange for lease liabilities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98"/>
        </w:trPr>
        <w:tc>
          <w:tcPr>
            <w:tcW w:w="8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89"/>
        </w:trPr>
        <w:tc>
          <w:tcPr>
            <w:tcW w:w="8220" w:type="dxa"/>
            <w:vAlign w:val="bottom"/>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0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right="22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and largest shared designer closet with approximately 20,000 styles by over 800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is located in Galway, Ireland, and is focused on software development and support activities.</w:t>
      </w:r>
    </w:p>
    <w:p>
      <w:pPr>
        <w:spacing w:after="0" w:line="139" w:lineRule="exact"/>
        <w:rPr>
          <w:rFonts w:ascii="Arial" w:cs="Arial" w:eastAsia="Arial" w:hAnsi="Arial"/>
          <w:sz w:val="14"/>
          <w:szCs w:val="14"/>
          <w:b w:val="1"/>
          <w:bCs w:val="1"/>
          <w:color w:val="auto"/>
        </w:rPr>
      </w:pPr>
    </w:p>
    <w:p>
      <w:pPr>
        <w:ind w:left="380" w:right="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5" w:lineRule="exact"/>
        <w:rPr>
          <w:rFonts w:ascii="Arial" w:cs="Arial" w:eastAsia="Arial" w:hAnsi="Arial"/>
          <w:sz w:val="14"/>
          <w:szCs w:val="14"/>
          <w:b w:val="1"/>
          <w:bCs w:val="1"/>
          <w:color w:val="auto"/>
        </w:rPr>
      </w:pPr>
    </w:p>
    <w:p>
      <w:pPr>
        <w:ind w:left="380" w:right="7880" w:hanging="375"/>
        <w:spacing w:after="0" w:line="379" w:lineRule="auto"/>
        <w:tabs>
          <w:tab w:leader="none" w:pos="37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48" w:lineRule="exact"/>
        <w:rPr>
          <w:rFonts w:ascii="Arial" w:cs="Arial" w:eastAsia="Arial" w:hAnsi="Arial"/>
          <w:sz w:val="14"/>
          <w:szCs w:val="14"/>
          <w:b w:val="1"/>
          <w:bCs w:val="1"/>
          <w:color w:val="auto"/>
        </w:rPr>
      </w:pPr>
    </w:p>
    <w:p>
      <w:pPr>
        <w:ind w:left="380" w:right="1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35"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results for the three and six months ended July 31, 2022 are not necessarily indicative of the operating results expected for the year ended January 31, 2023 or any future period.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2022, which can be found in the Company’s Annual Report on Form 10-K filed with the SEC on April 14, 2022.</w:t>
      </w:r>
    </w:p>
    <w:p>
      <w:pPr>
        <w:spacing w:after="0" w:line="22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0" w:right="1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operates on a fiscal calendar ending January 31. All references to fiscal year 2020 reflect the results of the 12-month period ending January 31, 2021. All references to fiscal year 2021 reflect the results of the 12-month period ending January 31, 2022. All references to fiscal year 2022 reflect the results of the 12-month period ending January 31, 2023.</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Segment Information</w:t>
      </w:r>
    </w:p>
    <w:p>
      <w:pPr>
        <w:spacing w:after="0" w:line="9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Initial Public Offering</w:t>
      </w:r>
    </w:p>
    <w:p>
      <w:pPr>
        <w:spacing w:after="0" w:line="94" w:lineRule="exact"/>
        <w:rPr>
          <w:sz w:val="20"/>
          <w:szCs w:val="20"/>
          <w:color w:val="auto"/>
        </w:rPr>
      </w:pPr>
    </w:p>
    <w:p>
      <w:pPr>
        <w:ind w:left="380" w:right="60"/>
        <w:spacing w:after="0" w:line="262" w:lineRule="auto"/>
        <w:rPr>
          <w:sz w:val="20"/>
          <w:szCs w:val="20"/>
          <w:color w:val="auto"/>
        </w:rPr>
      </w:pPr>
      <w:r>
        <w:rPr>
          <w:rFonts w:ascii="Arial" w:cs="Arial" w:eastAsia="Arial" w:hAnsi="Arial"/>
          <w:sz w:val="14"/>
          <w:szCs w:val="14"/>
          <w:color w:val="auto"/>
        </w:rPr>
        <w:t>On October 27, 2021, the Company completed its initial public offering (“IPO”) and the Company’s Class A common stock began public trading on the Nasdaq Stock Market LLC under the symbol “RENT”. In connection with the IPO, the Company issued and sold 17,000,000 shares of its Class A common stock at a public offering price of $21.00 per share. The Company received proceeds of $327.3 million from the IPO which are net of underwriting discounts of $24.1 million and offering costs paid by the Company of $5.6 million. Offering costs, including legal, accounting, printing and other costs directly related to the IPO have been recorded in Additional paid-in capital against the proceeds from the IPO on the Company’s condensed consolidated balance sheet.</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 the closing of the IPO, the Company’s then outstanding redeemable preferred stock converted into 32,575,462 shares of the Company’s Class A common stock.</w:t>
      </w:r>
    </w:p>
    <w:p>
      <w:pPr>
        <w:spacing w:after="0" w:line="200" w:lineRule="exact"/>
        <w:rPr>
          <w:sz w:val="20"/>
          <w:szCs w:val="20"/>
          <w:color w:val="auto"/>
        </w:rPr>
      </w:pPr>
    </w:p>
    <w:p>
      <w:pPr>
        <w:ind w:left="380" w:right="180"/>
        <w:spacing w:after="0" w:line="263" w:lineRule="auto"/>
        <w:rPr>
          <w:sz w:val="20"/>
          <w:szCs w:val="20"/>
          <w:color w:val="auto"/>
        </w:rPr>
      </w:pPr>
      <w:r>
        <w:rPr>
          <w:rFonts w:ascii="Arial" w:cs="Arial" w:eastAsia="Arial" w:hAnsi="Arial"/>
          <w:sz w:val="14"/>
          <w:szCs w:val="14"/>
          <w:color w:val="auto"/>
        </w:rPr>
        <w:t>In connection with the IPO, the Company adopted an amended and restated certificate of incorporation (the “amended charter”) and adopted amended and restated bylaws (the “amended bylaws”). The amended charter authorized capital stock consisting of:</w:t>
      </w:r>
    </w:p>
    <w:p>
      <w:pPr>
        <w:spacing w:after="0" w:line="1" w:lineRule="exact"/>
        <w:rPr>
          <w:sz w:val="20"/>
          <w:szCs w:val="20"/>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300,000,000 shares of Class A common stock, par value $0.001 per share;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50,000,000 shares of Class B common stock, par value $0.001 per share;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10,000,000 shares of preferred stock, par value $0.001 per share.</w:t>
      </w:r>
    </w:p>
    <w:p>
      <w:pPr>
        <w:spacing w:after="0" w:line="186"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Holders of Class A common stock are entitled to one vote per share, and the holders of Class B common stock are entitled to twenty votes per share. Immediately after the effectiveness of the amended charter, 2,932,739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right="18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and the valuation of share-based compensation and warrants.</w:t>
      </w:r>
    </w:p>
    <w:p>
      <w:pPr>
        <w:spacing w:after="0" w:line="140" w:lineRule="exact"/>
        <w:rPr>
          <w:sz w:val="20"/>
          <w:szCs w:val="20"/>
          <w:color w:val="auto"/>
        </w:rPr>
      </w:pPr>
    </w:p>
    <w:p>
      <w:pPr>
        <w:ind w:left="380" w:right="320"/>
        <w:spacing w:after="0" w:line="271" w:lineRule="auto"/>
        <w:rPr>
          <w:sz w:val="20"/>
          <w:szCs w:val="20"/>
          <w:color w:val="auto"/>
        </w:rPr>
      </w:pPr>
      <w:r>
        <w:rPr>
          <w:rFonts w:ascii="Arial" w:cs="Arial" w:eastAsia="Arial" w:hAnsi="Arial"/>
          <w:sz w:val="14"/>
          <w:szCs w:val="14"/>
          <w:color w:val="auto"/>
        </w:rPr>
        <w:t>As of July 31, 2022, the effects of the ongoing COVID-19 pandemic and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three or six months ended July 31, 2022 and 2021.</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condensed consolidated balance sheets.</w:t>
      </w:r>
    </w:p>
    <w:p>
      <w:pPr>
        <w:spacing w:after="0" w:line="179" w:lineRule="exact"/>
        <w:rPr>
          <w:sz w:val="20"/>
          <w:szCs w:val="20"/>
          <w:color w:val="auto"/>
        </w:rPr>
      </w:pPr>
    </w:p>
    <w:p>
      <w:pPr>
        <w:jc w:val="both"/>
        <w:ind w:left="380" w:right="80"/>
        <w:spacing w:after="0" w:line="271"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2260" w:type="dxa"/>
            <w:vAlign w:val="bottom"/>
            <w:gridSpan w:val="2"/>
          </w:tcPr>
          <w:p>
            <w:pPr>
              <w:ind w:left="400"/>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3360" w:type="dxa"/>
            <w:vAlign w:val="bottom"/>
          </w:tcPr>
          <w:p>
            <w:pPr>
              <w:ind w:left="400"/>
              <w:spacing w:after="0"/>
              <w:rPr>
                <w:sz w:val="20"/>
                <w:szCs w:val="20"/>
                <w:color w:val="auto"/>
              </w:rPr>
            </w:pPr>
            <w:r>
              <w:rPr>
                <w:rFonts w:ascii="Arial" w:cs="Arial" w:eastAsia="Arial" w:hAnsi="Arial"/>
                <w:sz w:val="14"/>
                <w:szCs w:val="14"/>
                <w:color w:val="auto"/>
              </w:rPr>
              <w:t>Apparel</w:t>
            </w:r>
          </w:p>
        </w:tc>
        <w:tc>
          <w:tcPr>
            <w:tcW w:w="4160" w:type="dxa"/>
            <w:vAlign w:val="bottom"/>
          </w:tcPr>
          <w:p>
            <w:pPr>
              <w:spacing w:after="0"/>
              <w:rPr>
                <w:sz w:val="14"/>
                <w:szCs w:val="14"/>
                <w:color w:val="auto"/>
              </w:rPr>
            </w:pP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700" w:type="dxa"/>
            <w:vAlign w:val="bottom"/>
          </w:tcPr>
          <w:p>
            <w:pPr>
              <w:spacing w:after="0"/>
              <w:rPr>
                <w:sz w:val="14"/>
                <w:szCs w:val="14"/>
                <w:color w:val="auto"/>
              </w:rPr>
            </w:pPr>
          </w:p>
        </w:tc>
      </w:tr>
      <w:tr>
        <w:trPr>
          <w:trHeight w:val="186"/>
        </w:trPr>
        <w:tc>
          <w:tcPr>
            <w:tcW w:w="3360" w:type="dxa"/>
            <w:vAlign w:val="bottom"/>
          </w:tcPr>
          <w:p>
            <w:pPr>
              <w:ind w:left="400"/>
              <w:spacing w:after="0"/>
              <w:rPr>
                <w:sz w:val="20"/>
                <w:szCs w:val="20"/>
                <w:color w:val="auto"/>
              </w:rPr>
            </w:pPr>
            <w:r>
              <w:rPr>
                <w:rFonts w:ascii="Arial" w:cs="Arial" w:eastAsia="Arial" w:hAnsi="Arial"/>
                <w:sz w:val="14"/>
                <w:szCs w:val="14"/>
                <w:color w:val="auto"/>
              </w:rPr>
              <w:t>Accessories</w:t>
            </w:r>
          </w:p>
        </w:tc>
        <w:tc>
          <w:tcPr>
            <w:tcW w:w="4160" w:type="dxa"/>
            <w:vAlign w:val="bottom"/>
          </w:tcPr>
          <w:p>
            <w:pPr>
              <w:spacing w:after="0"/>
              <w:rPr>
                <w:sz w:val="16"/>
                <w:szCs w:val="16"/>
                <w:color w:val="auto"/>
              </w:rPr>
            </w:pP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30 %</w:t>
            </w:r>
          </w:p>
        </w:tc>
        <w:tc>
          <w:tcPr>
            <w:tcW w:w="700" w:type="dxa"/>
            <w:vAlign w:val="bottom"/>
          </w:tcPr>
          <w:p>
            <w:pPr>
              <w:spacing w:after="0"/>
              <w:rPr>
                <w:sz w:val="16"/>
                <w:szCs w:val="16"/>
                <w:color w:val="auto"/>
              </w:rPr>
            </w:pPr>
          </w:p>
        </w:tc>
      </w:tr>
      <w:tr>
        <w:trPr>
          <w:trHeight w:val="796"/>
        </w:trPr>
        <w:tc>
          <w:tcPr>
            <w:tcW w:w="3360" w:type="dxa"/>
            <w:vAlign w:val="bottom"/>
          </w:tcPr>
          <w:p>
            <w:pPr>
              <w:spacing w:after="0"/>
              <w:rPr>
                <w:sz w:val="24"/>
                <w:szCs w:val="24"/>
                <w:color w:val="auto"/>
              </w:rPr>
            </w:pPr>
          </w:p>
        </w:tc>
        <w:tc>
          <w:tcPr>
            <w:tcW w:w="4160" w:type="dxa"/>
            <w:vAlign w:val="bottom"/>
          </w:tcPr>
          <w:p>
            <w:pPr>
              <w:jc w:val="right"/>
              <w:ind w:right="1729"/>
              <w:spacing w:after="0"/>
              <w:rPr>
                <w:sz w:val="20"/>
                <w:szCs w:val="20"/>
                <w:color w:val="auto"/>
              </w:rPr>
            </w:pPr>
            <w:r>
              <w:rPr>
                <w:rFonts w:ascii="Arial" w:cs="Arial" w:eastAsia="Arial" w:hAnsi="Arial"/>
                <w:sz w:val="14"/>
                <w:szCs w:val="14"/>
                <w:color w:val="auto"/>
              </w:rPr>
              <w:t>13</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5"/>
        </w:trPr>
        <w:tc>
          <w:tcPr>
            <w:tcW w:w="336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179" w:lineRule="exact"/>
        <w:rPr>
          <w:sz w:val="20"/>
          <w:szCs w:val="20"/>
          <w:color w:val="auto"/>
        </w:rPr>
      </w:pPr>
    </w:p>
    <w:p>
      <w:pPr>
        <w:ind w:left="380" w:right="180"/>
        <w:spacing w:after="0" w:line="265" w:lineRule="auto"/>
        <w:rPr>
          <w:sz w:val="20"/>
          <w:szCs w:val="20"/>
          <w:color w:val="auto"/>
        </w:rPr>
      </w:pPr>
      <w:r>
        <w:rPr>
          <w:rFonts w:ascii="Arial" w:cs="Arial" w:eastAsia="Arial" w:hAnsi="Arial"/>
          <w:sz w:val="14"/>
          <w:szCs w:val="14"/>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sale as of July 31, 2022 and January 31, 2022 was $3.3 million and $2.1 million, respectively. The accelerated depreciation related to rental product held for sale was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$2.1 million and $1.7 million for the three months ended July 31, 2022 and 2021, respectively, and $3.4 million and $2.3 million, for the six months ended July 31, 2022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2021, respectively. The accelerated depreciation is presented on the condensed consolidated statements of operations within rental product depreciation and revenue share.</w:t>
      </w:r>
    </w:p>
    <w:p>
      <w:pPr>
        <w:spacing w:after="0" w:line="165"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$8.8 million and $5.6 million for the six months ended July 31, 2022 and 2021, respectively.</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40"/>
        <w:spacing w:after="0" w:line="263" w:lineRule="auto"/>
        <w:rPr>
          <w:sz w:val="20"/>
          <w:szCs w:val="20"/>
          <w:color w:val="auto"/>
        </w:rPr>
      </w:pPr>
      <w:r>
        <w:rPr>
          <w:rFonts w:ascii="Arial" w:cs="Arial" w:eastAsia="Arial" w:hAnsi="Arial"/>
          <w:sz w:val="14"/>
          <w:szCs w:val="14"/>
          <w:color w:val="auto"/>
        </w:rPr>
        <w:t>Subscription and a-la-carte rental fees (“Subscription and Reserve rental revenue”) are recognized in accordance with Accounting Standard Update (“ASU”) 2016-02</w:t>
      </w:r>
      <w:r>
        <w:rPr>
          <w:rFonts w:ascii="Arial" w:cs="Arial" w:eastAsia="Arial" w:hAnsi="Arial"/>
          <w:sz w:val="14"/>
          <w:szCs w:val="14"/>
          <w:i w:val="1"/>
          <w:iCs w:val="1"/>
          <w:color w:val="auto"/>
        </w:rPr>
        <w:t>, Leases,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842 </w:t>
      </w:r>
      <w:r>
        <w:rPr>
          <w:rFonts w:ascii="Arial" w:cs="Arial" w:eastAsia="Arial" w:hAnsi="Arial"/>
          <w:sz w:val="14"/>
          <w:szCs w:val="14"/>
          <w:color w:val="auto"/>
        </w:rPr>
        <w:t>(“ASC 842”). Other revenue, primarily related to the sale of rental product, is recognized under ASU 2014-09,</w:t>
      </w:r>
      <w:r>
        <w:rPr>
          <w:rFonts w:ascii="Arial" w:cs="Arial" w:eastAsia="Arial" w:hAnsi="Arial"/>
          <w:sz w:val="14"/>
          <w:szCs w:val="14"/>
          <w:i w:val="1"/>
          <w:iCs w:val="1"/>
          <w:color w:val="auto"/>
        </w:rPr>
        <w:t xml:space="preserve"> Revenue from Contracts with Customers, Topic</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 xml:space="preserve">606 </w:t>
      </w:r>
      <w:r>
        <w:rPr>
          <w:rFonts w:ascii="Arial" w:cs="Arial" w:eastAsia="Arial" w:hAnsi="Arial"/>
          <w:sz w:val="14"/>
          <w:szCs w:val="14"/>
          <w:color w:val="auto"/>
        </w:rPr>
        <w:t>(“ASC 606”) at the date of delivery of the product to the customer. Other revenue represented 8% and 8% of total revenue for the three months ended July 31, 2022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2021, respectively, and 8% and 9% of total revenue for the six months ended July 31, 2022 and 2021, respectively.</w:t>
      </w:r>
    </w:p>
    <w:p>
      <w:pPr>
        <w:spacing w:after="0" w:line="165"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55"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July 31, 2022 and 2021, $0.5 million and $0.6 million of credits included in the customer credit liability as of April 30, 2022 and 2021, respectively, were redeemed. During the six months ended July 31, 2022 and 2021, $1.3 million and $1.2 million of credits included in the customer credit liability as of January 31, 2022 and 2021, respectively,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420"/>
        <w:spacing w:after="0" w:line="290"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20"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34" w:lineRule="exact"/>
        <w:rPr>
          <w:sz w:val="20"/>
          <w:szCs w:val="20"/>
          <w:color w:val="auto"/>
        </w:rPr>
      </w:pPr>
    </w:p>
    <w:p>
      <w:pPr>
        <w:ind w:left="380" w:right="30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July 31, 2022 and January 31, 2022.</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220"/>
        <w:spacing w:after="0" w:line="262"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July 31, 2022 and January 31,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Stock Market. Upon grant of awards, the Company also estimates an amount of forfeitures that will occur prior to vesting.</w:t>
      </w:r>
    </w:p>
    <w:p>
      <w:pPr>
        <w:spacing w:after="0" w:line="142" w:lineRule="exact"/>
        <w:rPr>
          <w:sz w:val="20"/>
          <w:szCs w:val="20"/>
          <w:color w:val="auto"/>
        </w:rPr>
      </w:pPr>
    </w:p>
    <w:p>
      <w:pPr>
        <w:ind w:left="380" w:right="20"/>
        <w:spacing w:after="0" w:line="259" w:lineRule="auto"/>
        <w:rPr>
          <w:sz w:val="20"/>
          <w:szCs w:val="20"/>
          <w:color w:val="auto"/>
        </w:rPr>
      </w:pPr>
      <w:r>
        <w:rPr>
          <w:rFonts w:ascii="Arial" w:cs="Arial" w:eastAsia="Arial" w:hAnsi="Arial"/>
          <w:sz w:val="14"/>
          <w:szCs w:val="14"/>
          <w:color w:val="auto"/>
        </w:rPr>
        <w:t>The Company has granted two types of restricted stock units (“RSUs”). Prior to the effectiveness of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12 - Share-based Compensation Plans for a description of the accounting for share-based awards.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Insurance Proceeds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During the three months ended July 31, 2021, the Company recorded insurance recoveries of $4.0 million related to a network issue during the year ended January 31, 2020.</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This amount is recorded in other income / (expense), net in the condensed consolidated statements of operations.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Adopted Accounting Pronouncements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w:t>
      </w:r>
    </w:p>
    <w:p>
      <w:pPr>
        <w:spacing w:after="0" w:line="92"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adopted this standard on February 1, 2022, and the adoption of this standard did not have a material impact on the condensed consolidated financial statements.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Debt - Debt with Conversion and Other Options and Derivatives and Hedging</w:t>
      </w:r>
    </w:p>
    <w:p>
      <w:pPr>
        <w:spacing w:after="0" w:line="92"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Accounting for Convertible Instruments and Contracts in an Entity’s Own Equity. </w:t>
      </w:r>
      <w:r>
        <w:rPr>
          <w:rFonts w:ascii="Arial" w:cs="Arial" w:eastAsia="Arial" w:hAnsi="Arial"/>
          <w:sz w:val="14"/>
          <w:szCs w:val="14"/>
          <w:color w:val="auto"/>
        </w:rPr>
        <w:t>The new guidance reduces complexity and improves comparability</w:t>
      </w:r>
      <w:r>
        <w:rPr>
          <w:rFonts w:ascii="Arial" w:cs="Arial" w:eastAsia="Arial" w:hAnsi="Arial"/>
          <w:sz w:val="14"/>
          <w:szCs w:val="14"/>
          <w:i w:val="1"/>
          <w:iCs w:val="1"/>
          <w:color w:val="auto"/>
        </w:rPr>
        <w:t xml:space="preserve"> </w:t>
      </w:r>
      <w:r>
        <w:rPr>
          <w:rFonts w:ascii="Arial" w:cs="Arial" w:eastAsia="Arial" w:hAnsi="Arial"/>
          <w:sz w:val="14"/>
          <w:szCs w:val="14"/>
          <w:color w:val="auto"/>
        </w:rPr>
        <w:t>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condensed consolidated financial statements.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Financial Instruments – Credit Losses</w:t>
      </w:r>
    </w:p>
    <w:p>
      <w:pPr>
        <w:spacing w:after="0" w:line="92" w:lineRule="exact"/>
        <w:rPr>
          <w:sz w:val="20"/>
          <w:szCs w:val="20"/>
          <w:color w:val="auto"/>
        </w:rPr>
      </w:pPr>
    </w:p>
    <w:p>
      <w:pPr>
        <w:ind w:left="380" w:right="40"/>
        <w:spacing w:after="0" w:line="26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 Measurement of Credit Losses on Financial Instruments</w:t>
      </w:r>
      <w:r>
        <w:rPr>
          <w:rFonts w:ascii="Arial" w:cs="Arial" w:eastAsia="Arial" w:hAnsi="Arial"/>
          <w:sz w:val="14"/>
          <w:szCs w:val="14"/>
          <w:color w:val="auto"/>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adoption of this standard is not expected to have a material impact on the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6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a net loss from operations since inception and has historically relied upon debt and equity financing to fund its operations. In addition, the COVID-19 pandemic and related variants have had a significant adverse impact on the Company’s business over the last two fiscal years. While the Company has experienced revenue growth in fiscal year 2021 and the six months ended July 31, 2022, to the extent that the Company is further impacted by existing or new COVID-19 variants or macro trends, the Company has established plans to preserve existing cash liquidity, which could include reducing labor, operating expenses, and/or capital expenditures.</w:t>
      </w:r>
    </w:p>
    <w:p>
      <w:pPr>
        <w:spacing w:after="0" w:line="137" w:lineRule="exact"/>
        <w:rPr>
          <w:rFonts w:ascii="Arial" w:cs="Arial" w:eastAsia="Arial" w:hAnsi="Arial"/>
          <w:sz w:val="14"/>
          <w:szCs w:val="14"/>
          <w:b w:val="1"/>
          <w:bCs w:val="1"/>
          <w:color w:val="auto"/>
        </w:rPr>
      </w:pPr>
    </w:p>
    <w:p>
      <w:pPr>
        <w:ind w:left="380" w:right="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Additionally, in September 2022, the Company announced a restructuring plan to reduce costs, streamline its organizational structure and drive operational efficiencies, which is expected to generate annual operating expense savings of $25 to $27 million (relative to the second quarter of fiscal 2022 run rate) in fiscal 2023.</w:t>
      </w:r>
    </w:p>
    <w:p>
      <w:pPr>
        <w:spacing w:after="0" w:line="120" w:lineRule="exact"/>
        <w:rPr>
          <w:rFonts w:ascii="Arial" w:cs="Arial" w:eastAsia="Arial" w:hAnsi="Arial"/>
          <w:sz w:val="14"/>
          <w:szCs w:val="14"/>
          <w:b w:val="1"/>
          <w:bCs w:val="1"/>
          <w:color w:val="auto"/>
        </w:rPr>
      </w:pPr>
    </w:p>
    <w:p>
      <w:pPr>
        <w:ind w:left="3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In October 2021, the Company completed its IPO and issued 17,000,000 shares of its Class A common stock at $21.00 per share. The Company received proceeds of $327.3 million which are net of the underwriting discounts of $24.1 million and direct offering costs of $5.6 million.</w:t>
      </w:r>
    </w:p>
    <w:p>
      <w:pPr>
        <w:spacing w:after="0" w:line="120" w:lineRule="exact"/>
        <w:rPr>
          <w:rFonts w:ascii="Arial" w:cs="Arial" w:eastAsia="Arial" w:hAnsi="Arial"/>
          <w:sz w:val="14"/>
          <w:szCs w:val="14"/>
          <w:b w:val="1"/>
          <w:bCs w:val="1"/>
          <w:color w:val="auto"/>
        </w:rPr>
      </w:pPr>
    </w:p>
    <w:p>
      <w:pPr>
        <w:jc w:val="both"/>
        <w:ind w:left="380" w:right="1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As of July 31, 2022 and January 31, 2022, the Company held cash and cash equivalents of $192.3 million and $247.6 million, respectively. The Company believes that it will have sufficient liquidity from cash on-hand and future operations to sustain its business operations, to satisfy its debt service obligations and to comply with its amended debt covenants for at least the next twelve months from the date these financial statements are issued.</w:t>
      </w:r>
    </w:p>
    <w:p>
      <w:pPr>
        <w:spacing w:after="0" w:line="218" w:lineRule="exact"/>
        <w:rPr>
          <w:rFonts w:ascii="Arial" w:cs="Arial" w:eastAsia="Arial" w:hAnsi="Arial"/>
          <w:sz w:val="14"/>
          <w:szCs w:val="14"/>
          <w:b w:val="1"/>
          <w:bCs w:val="1"/>
          <w:color w:val="auto"/>
        </w:rPr>
      </w:pPr>
    </w:p>
    <w:p>
      <w:pPr>
        <w:ind w:left="380" w:hanging="375"/>
        <w:spacing w:after="0"/>
        <w:tabs>
          <w:tab w:leader="none" w:pos="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178" w:lineRule="exact"/>
        <w:rPr>
          <w:rFonts w:ascii="Arial" w:cs="Arial" w:eastAsia="Arial" w:hAnsi="Arial"/>
          <w:sz w:val="14"/>
          <w:szCs w:val="14"/>
          <w:b w:val="1"/>
          <w:bCs w:val="1"/>
          <w:color w:val="auto"/>
        </w:rPr>
      </w:pPr>
    </w:p>
    <w:p>
      <w:pPr>
        <w:ind w:left="380" w:right="6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During the three months ended April 30, 2022,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condensed consolidated statements of operations within general and administrative expenses.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100"/>
        <w:spacing w:after="0" w:line="290" w:lineRule="auto"/>
        <w:rPr>
          <w:sz w:val="20"/>
          <w:szCs w:val="20"/>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July 31, 2022:</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Finance</w:t>
            </w: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year:</w:t>
            </w: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2022</w:t>
            </w: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2023</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2024</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2026</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Thereafter</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Total minimum lease payments</w:t>
            </w:r>
          </w:p>
        </w:tc>
        <w:tc>
          <w:tcPr>
            <w:tcW w:w="106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Imputed interest</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Lease liabilities as of July 31, 2022</w:t>
            </w:r>
          </w:p>
        </w:tc>
        <w:tc>
          <w:tcPr>
            <w:tcW w:w="10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July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r>
      <w:tr>
        <w:trPr>
          <w:trHeight w:val="150"/>
        </w:trPr>
        <w:tc>
          <w:tcPr>
            <w:tcW w:w="7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171"/>
        </w:trPr>
        <w:tc>
          <w:tcPr>
            <w:tcW w:w="7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r>
      <w:tr>
        <w:trPr>
          <w:trHeight w:val="212"/>
        </w:trPr>
        <w:tc>
          <w:tcPr>
            <w:tcW w:w="73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r>
      <w:tr>
        <w:trPr>
          <w:trHeight w:val="196"/>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$13.5 million and $11.2 million for the three months ended July 31, 2022 and 2021, respectively, and $27.1 million and $23.9 million for the six months ended July 31, 2022 and 2021, respectively.</w:t>
      </w: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760" w:hanging="375"/>
        <w:spacing w:after="0" w:line="379" w:lineRule="auto"/>
        <w:tabs>
          <w:tab w:leader="none" w:pos="371"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line of credit and long-term debt outstanding as of July 31, 2022 and January 31, 2022:</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r>
      <w:tr>
        <w:trPr>
          <w:trHeight w:val="362"/>
        </w:trPr>
        <w:tc>
          <w:tcPr>
            <w:tcW w:w="7380" w:type="dxa"/>
            <w:vAlign w:val="bottom"/>
          </w:tcPr>
          <w:p>
            <w:pPr>
              <w:ind w:left="20"/>
              <w:spacing w:after="0"/>
              <w:rPr>
                <w:sz w:val="20"/>
                <w:szCs w:val="20"/>
                <w:color w:val="auto"/>
              </w:rPr>
            </w:pPr>
            <w:r>
              <w:rPr>
                <w:rFonts w:ascii="Arial" w:cs="Arial" w:eastAsia="Arial" w:hAnsi="Arial"/>
                <w:sz w:val="14"/>
                <w:szCs w:val="14"/>
                <w:color w:val="auto"/>
              </w:rPr>
              <w:t>Temasek Facility principal outstanding</w:t>
            </w:r>
          </w:p>
        </w:tc>
        <w:tc>
          <w:tcPr>
            <w:tcW w:w="960" w:type="dxa"/>
            <w:vAlign w:val="bottom"/>
          </w:tcPr>
          <w:p>
            <w:pPr>
              <w:jc w:val="right"/>
              <w:ind w:right="816"/>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271.6</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unamortized debt discount</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19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Temasek Facility,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9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line of credit and long-term debt</w:t>
            </w: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Temasek Facility</w:t>
      </w:r>
    </w:p>
    <w:p>
      <w:pPr>
        <w:spacing w:after="0" w:line="94" w:lineRule="exact"/>
        <w:rPr>
          <w:sz w:val="20"/>
          <w:szCs w:val="20"/>
          <w:color w:val="auto"/>
        </w:rPr>
      </w:pPr>
    </w:p>
    <w:p>
      <w:pPr>
        <w:ind w:left="380" w:right="180"/>
        <w:spacing w:after="0" w:line="271" w:lineRule="auto"/>
        <w:rPr>
          <w:sz w:val="20"/>
          <w:szCs w:val="20"/>
          <w:color w:val="auto"/>
        </w:rPr>
      </w:pPr>
      <w:r>
        <w:rPr>
          <w:rFonts w:ascii="Arial" w:cs="Arial" w:eastAsia="Arial" w:hAnsi="Arial"/>
          <w:sz w:val="14"/>
          <w:szCs w:val="14"/>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34" w:lineRule="exact"/>
        <w:rPr>
          <w:sz w:val="20"/>
          <w:szCs w:val="20"/>
          <w:color w:val="auto"/>
        </w:rPr>
      </w:pPr>
    </w:p>
    <w:p>
      <w:pPr>
        <w:ind w:left="380" w:right="340"/>
        <w:spacing w:after="0" w:line="271" w:lineRule="auto"/>
        <w:rPr>
          <w:sz w:val="20"/>
          <w:szCs w:val="20"/>
          <w:color w:val="auto"/>
        </w:rPr>
      </w:pPr>
      <w:r>
        <w:rPr>
          <w:rFonts w:ascii="Arial" w:cs="Arial" w:eastAsia="Arial" w:hAnsi="Arial"/>
          <w:sz w:val="14"/>
          <w:szCs w:val="14"/>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155" w:lineRule="exact"/>
        <w:rPr>
          <w:sz w:val="20"/>
          <w:szCs w:val="20"/>
          <w:color w:val="auto"/>
        </w:rPr>
      </w:pPr>
    </w:p>
    <w:p>
      <w:pPr>
        <w:ind w:left="380" w:right="180"/>
        <w:spacing w:after="0" w:line="271" w:lineRule="auto"/>
        <w:rPr>
          <w:sz w:val="20"/>
          <w:szCs w:val="20"/>
          <w:color w:val="auto"/>
        </w:rPr>
      </w:pPr>
      <w:r>
        <w:rPr>
          <w:rFonts w:ascii="Arial" w:cs="Arial" w:eastAsia="Arial" w:hAnsi="Arial"/>
          <w:sz w:val="14"/>
          <w:szCs w:val="14"/>
          <w:color w:val="auto"/>
        </w:rPr>
        <w:t>Prior to the termination of the Ares Facility, the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pacing w:after="0" w:line="134" w:lineRule="exact"/>
        <w:rPr>
          <w:sz w:val="20"/>
          <w:szCs w:val="20"/>
          <w:color w:val="auto"/>
        </w:rPr>
      </w:pPr>
    </w:p>
    <w:p>
      <w:pPr>
        <w:jc w:val="both"/>
        <w:ind w:left="380"/>
        <w:spacing w:after="0" w:line="271" w:lineRule="auto"/>
        <w:rPr>
          <w:sz w:val="20"/>
          <w:szCs w:val="20"/>
          <w:color w:val="auto"/>
        </w:rPr>
      </w:pPr>
      <w:r>
        <w:rPr>
          <w:rFonts w:ascii="Arial" w:cs="Arial" w:eastAsia="Arial" w:hAnsi="Arial"/>
          <w:sz w:val="14"/>
          <w:szCs w:val="14"/>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right="220"/>
        <w:spacing w:after="0" w:line="257" w:lineRule="auto"/>
        <w:rPr>
          <w:sz w:val="20"/>
          <w:szCs w:val="20"/>
          <w:color w:val="auto"/>
        </w:rPr>
      </w:pPr>
      <w:r>
        <w:rPr>
          <w:rFonts w:ascii="Arial" w:cs="Arial" w:eastAsia="Arial" w:hAnsi="Arial"/>
          <w:sz w:val="14"/>
          <w:szCs w:val="14"/>
          <w:color w:val="auto"/>
        </w:rPr>
        <w:t>In October 2021, the Company used proceeds from the IPO to pay down the Subsequent Temasek Commitments of $30.0 million outstanding principal and interest in full. Concurrently, the Company entered into an amendment to the Temasek Facility (the “Temasek Facility Amendment”). The Temasek Facility as amended by the Temasek Facility Amendment is referred to as the “Amended Temasek Facility”. This transaction was accounted for as a debt modification. The terms of the Temasek Facility Amendment provides for, among other things, (i) an extension of the maturity to October 2024, (ii) an outstanding principal under the Amended Temasek Facility of $271.6 million (with no additional debt proceeds having been funded and after giving effect to the repayment described below), and (iii) an amended interest rate of 12% with up to</w:t>
      </w:r>
    </w:p>
    <w:p>
      <w:pPr>
        <w:spacing w:after="0" w:line="1" w:lineRule="exact"/>
        <w:rPr>
          <w:sz w:val="20"/>
          <w:szCs w:val="20"/>
          <w:color w:val="auto"/>
        </w:rPr>
      </w:pPr>
    </w:p>
    <w:p>
      <w:pPr>
        <w:ind w:left="380"/>
        <w:spacing w:after="0" w:line="269" w:lineRule="auto"/>
        <w:rPr>
          <w:sz w:val="20"/>
          <w:szCs w:val="20"/>
          <w:color w:val="auto"/>
        </w:rPr>
      </w:pPr>
      <w:r>
        <w:rPr>
          <w:rFonts w:ascii="Arial" w:cs="Arial" w:eastAsia="Arial" w:hAnsi="Arial"/>
          <w:sz w:val="14"/>
          <w:szCs w:val="14"/>
          <w:color w:val="auto"/>
        </w:rPr>
        <w:t>5% payable in kind. On the effective date of the Temasek Facility Amendment, the Company paid down an additional $30.0 million of the outstanding principal of the Amended Temasek Facility, for a total of $60.0 million principal paydown on the Temasek Facility and Amended Temasek Facility.</w:t>
      </w:r>
    </w:p>
    <w:p>
      <w:pPr>
        <w:spacing w:after="0" w:line="134"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The Amended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Amended Temasek Facility includes a minimum liquidity maintenance covenant of $50.0 million and amends the call protection applicable to the loans outstanding thereunder including the ability to refinance at a lower penalty within 12 months from the date of the amendment. The Amended Temasek Facility contains various events of default, the occurrence of which could result in the acceleration of obligations under each respective facility.</w:t>
      </w:r>
    </w:p>
    <w:p>
      <w:pPr>
        <w:spacing w:after="0" w:line="140"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The effective interest rate for the Temasek Facility for the period from the date of issuance through the date of the Temasek Facility Amendment was 15.95%. The debt discount associated with the Initial Temasek Commitments was fully accreted when the Company entered into the Temasek Facility Amendment.</w:t>
      </w:r>
    </w:p>
    <w:p>
      <w:pPr>
        <w:spacing w:after="0" w:line="131" w:lineRule="exact"/>
        <w:rPr>
          <w:sz w:val="20"/>
          <w:szCs w:val="20"/>
          <w:color w:val="auto"/>
        </w:rPr>
      </w:pPr>
    </w:p>
    <w:p>
      <w:pPr>
        <w:ind w:left="380" w:right="60"/>
        <w:spacing w:after="0" w:line="246" w:lineRule="auto"/>
        <w:rPr>
          <w:sz w:val="20"/>
          <w:szCs w:val="20"/>
          <w:color w:val="auto"/>
        </w:rPr>
      </w:pPr>
      <w:r>
        <w:rPr>
          <w:rFonts w:ascii="Arial" w:cs="Arial" w:eastAsia="Arial" w:hAnsi="Arial"/>
          <w:sz w:val="14"/>
          <w:szCs w:val="14"/>
          <w:color w:val="auto"/>
        </w:rPr>
        <w:t>In October 2021, in connection with the Amended Temasek Facility, the Company recorded a debt discount of $15.3 million, of which $0.2 million related to lender fees, $5.3 million related to the allocation of proceeds to warrants issued in relation to the Amended Temasek Facility, $ 1.0 million related to the extension of the term of warrants issued in relation to the Temasek Facility, and $8.8 million related to fees incurred to amend the Amended Temasek Facility. These amounts are being accreted to the principal amount of the Amended Temasek Facility through the recognition of noncash interest expense. The effective interest rate for the Amended Temasek Facility for the period from the date of issuance through July 31, 2022 was 14.29%.</w:t>
      </w:r>
    </w:p>
    <w:p>
      <w:pPr>
        <w:spacing w:after="0" w:line="151" w:lineRule="exact"/>
        <w:rPr>
          <w:sz w:val="20"/>
          <w:szCs w:val="20"/>
          <w:color w:val="auto"/>
        </w:rPr>
      </w:pPr>
    </w:p>
    <w:p>
      <w:pPr>
        <w:ind w:left="380" w:right="140"/>
        <w:spacing w:after="0" w:line="290" w:lineRule="auto"/>
        <w:rPr>
          <w:sz w:val="20"/>
          <w:szCs w:val="20"/>
          <w:color w:val="auto"/>
        </w:rPr>
      </w:pPr>
      <w:r>
        <w:rPr>
          <w:rFonts w:ascii="Arial" w:cs="Arial" w:eastAsia="Arial" w:hAnsi="Arial"/>
          <w:sz w:val="14"/>
          <w:szCs w:val="14"/>
          <w:color w:val="auto"/>
        </w:rPr>
        <w:t>The Company determined that all of the embedded features of the Temasek Facility and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Ares Facility</w:t>
      </w:r>
    </w:p>
    <w:p>
      <w:pPr>
        <w:spacing w:after="0" w:line="92"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134" w:lineRule="exact"/>
        <w:rPr>
          <w:sz w:val="20"/>
          <w:szCs w:val="20"/>
          <w:color w:val="auto"/>
        </w:rPr>
      </w:pPr>
    </w:p>
    <w:p>
      <w:pPr>
        <w:ind w:left="380" w:right="40"/>
        <w:spacing w:after="0" w:line="260" w:lineRule="auto"/>
        <w:rPr>
          <w:sz w:val="20"/>
          <w:szCs w:val="20"/>
          <w:color w:val="auto"/>
        </w:rPr>
      </w:pPr>
      <w:r>
        <w:rPr>
          <w:rFonts w:ascii="Arial" w:cs="Arial" w:eastAsia="Arial" w:hAnsi="Arial"/>
          <w:sz w:val="14"/>
          <w:szCs w:val="14"/>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were measured based on predefined consolidated EBITDA thresholds. The Ares Facility required mandatory prepayment upon defined triggering events and permitted optional prepayments, and certain of the mandatory prepayment triggering items were subject to a prepayment premium. The Ares Facility contained various events of default, the occurrence of which could result in the acceleration of obligations under the Ares Facility.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effective interest rate for the period from the date of issuance through the date of repayment was 13.35%.</w:t>
      </w:r>
    </w:p>
    <w:p>
      <w:pPr>
        <w:spacing w:after="0" w:line="179" w:lineRule="exact"/>
        <w:rPr>
          <w:sz w:val="20"/>
          <w:szCs w:val="20"/>
          <w:color w:val="auto"/>
        </w:rPr>
      </w:pPr>
    </w:p>
    <w:p>
      <w:pPr>
        <w:ind w:left="380" w:right="320"/>
        <w:spacing w:after="0" w:line="290" w:lineRule="auto"/>
        <w:rPr>
          <w:sz w:val="20"/>
          <w:szCs w:val="20"/>
          <w:color w:val="auto"/>
        </w:rPr>
      </w:pPr>
      <w:r>
        <w:rPr>
          <w:rFonts w:ascii="Arial" w:cs="Arial" w:eastAsia="Arial" w:hAnsi="Arial"/>
          <w:sz w:val="14"/>
          <w:szCs w:val="14"/>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condensed consolidated financial statements.</w:t>
      </w:r>
    </w:p>
    <w:p>
      <w:pPr>
        <w:spacing w:after="0" w:line="141" w:lineRule="exact"/>
        <w:rPr>
          <w:sz w:val="20"/>
          <w:szCs w:val="20"/>
          <w:color w:val="auto"/>
        </w:rPr>
      </w:pPr>
    </w:p>
    <w:p>
      <w:pPr>
        <w:ind w:left="380" w:right="380"/>
        <w:spacing w:after="0" w:line="290" w:lineRule="auto"/>
        <w:rPr>
          <w:sz w:val="20"/>
          <w:szCs w:val="20"/>
          <w:color w:val="auto"/>
        </w:rPr>
      </w:pPr>
      <w:r>
        <w:rPr>
          <w:rFonts w:ascii="Arial" w:cs="Arial" w:eastAsia="Arial" w:hAnsi="Arial"/>
          <w:sz w:val="14"/>
          <w:szCs w:val="14"/>
          <w:color w:val="auto"/>
        </w:rPr>
        <w:t>In October 2021, the Company paid down the Ares Facility outstanding principal and accrued interest in full and terminated the Ares Facility. The Company recognized a $12.2 million loss on debt extinguishment related to this transaction.</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and nonfinancial covenants as of July 31, 2022.</w:t>
      </w:r>
    </w:p>
    <w:p>
      <w:pPr>
        <w:spacing w:after="0" w:line="263"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15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continues to maintain a full valuation allowance on all United States net deferred tax assets for all periods presented.</w:t>
      </w:r>
    </w:p>
    <w:p>
      <w:pPr>
        <w:spacing w:after="0" w:line="199" w:lineRule="exact"/>
        <w:rPr>
          <w:rFonts w:ascii="Arial" w:cs="Arial" w:eastAsia="Arial" w:hAnsi="Arial"/>
          <w:sz w:val="14"/>
          <w:szCs w:val="14"/>
          <w:b w:val="1"/>
          <w:bCs w:val="1"/>
          <w:color w:val="auto"/>
        </w:rPr>
      </w:pPr>
    </w:p>
    <w:p>
      <w:pPr>
        <w:ind w:left="38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The amount of unrecognized tax benefits as of July 31, 2022 and January 31, 2022 was $0.8 million and $0.7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0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July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2022</w:t>
            </w: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12"/>
        </w:trPr>
        <w:tc>
          <w:tcPr>
            <w:tcW w:w="730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related expenses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12"/>
        </w:trPr>
        <w:tc>
          <w:tcPr>
            <w:tcW w:w="7300" w:type="dxa"/>
            <w:vAlign w:val="bottom"/>
          </w:tcPr>
          <w:p>
            <w:pPr>
              <w:ind w:left="20"/>
              <w:spacing w:after="0"/>
              <w:rPr>
                <w:sz w:val="20"/>
                <w:szCs w:val="20"/>
                <w:color w:val="auto"/>
              </w:rPr>
            </w:pPr>
            <w:r>
              <w:rPr>
                <w:rFonts w:ascii="Arial" w:cs="Arial" w:eastAsia="Arial" w:hAnsi="Arial"/>
                <w:sz w:val="14"/>
                <w:szCs w:val="14"/>
                <w:color w:val="auto"/>
              </w:rPr>
              <w:t>Sales and other taxes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financing</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Gift card liability</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2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02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8" w:lineRule="exact"/>
        <w:rPr>
          <w:rFonts w:ascii="Arial" w:cs="Arial" w:eastAsia="Arial" w:hAnsi="Arial"/>
          <w:sz w:val="14"/>
          <w:szCs w:val="14"/>
          <w:b w:val="1"/>
          <w:bCs w:val="1"/>
          <w:color w:val="auto"/>
        </w:rPr>
      </w:pPr>
    </w:p>
    <w:p>
      <w:pPr>
        <w:ind w:left="380" w:right="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July 31, 2022 and January 31, 2022,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226" w:lineRule="exact"/>
        <w:rPr>
          <w:rFonts w:ascii="Arial" w:cs="Arial" w:eastAsia="Arial" w:hAnsi="Arial"/>
          <w:sz w:val="14"/>
          <w:szCs w:val="14"/>
          <w:b w:val="1"/>
          <w:bCs w:val="1"/>
          <w:color w:val="auto"/>
        </w:rPr>
      </w:pPr>
    </w:p>
    <w:p>
      <w:pPr>
        <w:ind w:left="380" w:right="1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Company’s condensed consolidated balance sheet. Refer to Note 6 — Long-Term Debt. The Company estimates the fair value of its long-term debt based on recently reported market transactions for similar financial instruments by companies with similar credit ratings and, as such, are classified as Level 2 within the fair value hierarchy. As of July 31, 2022, the estimated fair value of the Company’s long-term debt was $255.0 million.</w:t>
      </w:r>
    </w:p>
    <w:p>
      <w:pPr>
        <w:spacing w:after="0" w:line="239"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warrant liabilities were reported at fair value on the Company’s condensed consolidated balance sheet. 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37"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a roll forward of the fair value of the level 3 liabilities for the six months ended July 31, 2021:</w:t>
      </w:r>
    </w:p>
    <w:p>
      <w:pPr>
        <w:spacing w:after="0" w:line="205"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8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right"/>
              <w:ind w:right="434"/>
              <w:spacing w:after="0"/>
              <w:rPr>
                <w:sz w:val="20"/>
                <w:szCs w:val="20"/>
                <w:color w:val="auto"/>
              </w:rPr>
            </w:pPr>
            <w:r>
              <w:rPr>
                <w:rFonts w:ascii="Arial" w:cs="Arial" w:eastAsia="Arial" w:hAnsi="Arial"/>
                <w:sz w:val="11"/>
                <w:szCs w:val="11"/>
                <w:b w:val="1"/>
                <w:bCs w:val="1"/>
                <w:color w:val="auto"/>
              </w:rPr>
              <w:t>Warrant</w:t>
            </w:r>
          </w:p>
        </w:tc>
      </w:tr>
      <w:tr>
        <w:trPr>
          <w:trHeight w:val="149"/>
        </w:trPr>
        <w:tc>
          <w:tcPr>
            <w:tcW w:w="88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Liability</w:t>
            </w:r>
          </w:p>
        </w:tc>
      </w:tr>
      <w:tr>
        <w:trPr>
          <w:trHeight w:val="20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12"/>
        </w:trPr>
        <w:tc>
          <w:tcPr>
            <w:tcW w:w="8860" w:type="dxa"/>
            <w:vAlign w:val="bottom"/>
          </w:tcPr>
          <w:p>
            <w:pPr>
              <w:ind w:left="360"/>
              <w:spacing w:after="0"/>
              <w:rPr>
                <w:sz w:val="20"/>
                <w:szCs w:val="20"/>
                <w:color w:val="auto"/>
              </w:rPr>
            </w:pPr>
            <w:r>
              <w:rPr>
                <w:rFonts w:ascii="Arial" w:cs="Arial" w:eastAsia="Arial" w:hAnsi="Arial"/>
                <w:sz w:val="14"/>
                <w:szCs w:val="14"/>
                <w:color w:val="auto"/>
              </w:rPr>
              <w:t>Issuance of common stock warrants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2"/>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estimated fair value</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3"/>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Balance as of July 31, 2021</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r>
      <w:tr>
        <w:trPr>
          <w:trHeight w:val="20"/>
        </w:trPr>
        <w:tc>
          <w:tcPr>
            <w:tcW w:w="8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80" w:right="500"/>
        <w:spacing w:after="0" w:line="274" w:lineRule="auto"/>
        <w:rPr>
          <w:sz w:val="20"/>
          <w:szCs w:val="20"/>
          <w:color w:val="auto"/>
        </w:rPr>
      </w:pPr>
      <w:r>
        <w:rPr>
          <w:rFonts w:ascii="Arial" w:cs="Arial" w:eastAsia="Arial" w:hAnsi="Arial"/>
          <w:sz w:val="14"/>
          <w:szCs w:val="14"/>
          <w:color w:val="auto"/>
        </w:rPr>
        <w:t>There were no outstanding liability-classified warrants as of July 31, 2022 and January 31, 2022. The (gain) / loss resulting from changes in the estimated fair value of common and preferred stock warrants are recorded within other income / (expense) on the consolidated statements of operations.</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issued a warrant for 40,828 shares of common stock with a fair value at issuance of $0.5 million during the six months ended July 31, 2021.</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Preferred Stock</w:t>
      </w:r>
    </w:p>
    <w:p>
      <w:pPr>
        <w:spacing w:after="0" w:line="178" w:lineRule="exact"/>
        <w:rPr>
          <w:rFonts w:ascii="Arial" w:cs="Arial" w:eastAsia="Arial" w:hAnsi="Arial"/>
          <w:sz w:val="14"/>
          <w:szCs w:val="14"/>
          <w:b w:val="1"/>
          <w:bCs w:val="1"/>
          <w:color w:val="auto"/>
        </w:rPr>
      </w:pPr>
    </w:p>
    <w:p>
      <w:pPr>
        <w:ind w:left="380" w:right="1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During the six months ended July 31, 2021, the Company sold 1,437,541 shares of Series G redeemable preferred stock in exchange for $21.2 million. Upon consummation of the IPO, the Company’s outstanding redeemable preferred stock converted into an equivalent amount of shares of Class A common stock. There was no outstanding redeemable preferred stock as of July 31, 2022 and January 31, 2022.</w:t>
      </w:r>
    </w:p>
    <w:p>
      <w:pPr>
        <w:spacing w:after="0" w:line="218" w:lineRule="exact"/>
        <w:rPr>
          <w:rFonts w:ascii="Arial" w:cs="Arial" w:eastAsia="Arial" w:hAnsi="Arial"/>
          <w:sz w:val="14"/>
          <w:szCs w:val="14"/>
          <w:b w:val="1"/>
          <w:bCs w:val="1"/>
          <w:color w:val="auto"/>
        </w:rPr>
      </w:pPr>
    </w:p>
    <w:p>
      <w:pPr>
        <w:ind w:left="380" w:right="9480" w:hanging="375"/>
        <w:spacing w:after="0" w:line="379" w:lineRule="auto"/>
        <w:tabs>
          <w:tab w:leader="none" w:pos="367"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Common Stock</w:t>
      </w:r>
    </w:p>
    <w:p>
      <w:pPr>
        <w:ind w:left="380" w:right="1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2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July 31, 2022.</w:t>
      </w:r>
    </w:p>
    <w:p>
      <w:pPr>
        <w:spacing w:after="0" w:line="286"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Warrants</w:t>
      </w:r>
    </w:p>
    <w:p>
      <w:pPr>
        <w:spacing w:after="0" w:line="9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As of July 31, 2022 and January 31, 2022,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1"/>
                <w:szCs w:val="11"/>
                <w:b w:val="1"/>
                <w:bCs w:val="1"/>
                <w:color w:val="auto"/>
              </w:rPr>
              <w:t>July 31, 2022</w:t>
            </w: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9"/>
        </w:trPr>
        <w:tc>
          <w:tcPr>
            <w:tcW w:w="2860" w:type="dxa"/>
            <w:vAlign w:val="bottom"/>
          </w:tcPr>
          <w:p>
            <w:pPr>
              <w:spacing w:after="0"/>
              <w:rPr>
                <w:sz w:val="12"/>
                <w:szCs w:val="12"/>
                <w:color w:val="auto"/>
              </w:rPr>
            </w:pPr>
          </w:p>
        </w:tc>
        <w:tc>
          <w:tcPr>
            <w:tcW w:w="920" w:type="dxa"/>
            <w:vAlign w:val="bottom"/>
          </w:tcPr>
          <w:p>
            <w:pPr>
              <w:jc w:val="center"/>
              <w:ind w:left="44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352"/>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2"/>
                <w:szCs w:val="12"/>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Class of</w:t>
            </w:r>
          </w:p>
        </w:tc>
        <w:tc>
          <w:tcPr>
            <w:tcW w:w="12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Exercise</w:t>
            </w:r>
          </w:p>
        </w:tc>
        <w:tc>
          <w:tcPr>
            <w:tcW w:w="260" w:type="dxa"/>
            <w:vAlign w:val="bottom"/>
          </w:tcPr>
          <w:p>
            <w:pPr>
              <w:spacing w:after="0"/>
              <w:rPr>
                <w:sz w:val="12"/>
                <w:szCs w:val="12"/>
                <w:color w:val="auto"/>
              </w:rPr>
            </w:pPr>
          </w:p>
        </w:tc>
        <w:tc>
          <w:tcPr>
            <w:tcW w:w="1180" w:type="dxa"/>
            <w:vAlign w:val="bottom"/>
          </w:tcPr>
          <w:p>
            <w:pPr>
              <w:jc w:val="right"/>
              <w:ind w:right="372"/>
              <w:spacing w:after="0"/>
              <w:rPr>
                <w:sz w:val="20"/>
                <w:szCs w:val="20"/>
                <w:color w:val="auto"/>
              </w:rPr>
            </w:pPr>
            <w:r>
              <w:rPr>
                <w:rFonts w:ascii="Arial" w:cs="Arial" w:eastAsia="Arial" w:hAnsi="Arial"/>
                <w:sz w:val="11"/>
                <w:szCs w:val="11"/>
                <w:b w:val="1"/>
                <w:bCs w:val="1"/>
                <w:color w:val="auto"/>
              </w:rPr>
              <w:t>Fair Value</w:t>
            </w:r>
          </w:p>
        </w:tc>
      </w:tr>
      <w:tr>
        <w:trPr>
          <w:trHeight w:val="165"/>
        </w:trPr>
        <w:tc>
          <w:tcPr>
            <w:tcW w:w="2860" w:type="dxa"/>
            <w:vAlign w:val="bottom"/>
          </w:tcPr>
          <w:p>
            <w:pPr>
              <w:ind w:left="84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6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452"/>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rPr>
              <w:t>Shares</w:t>
            </w: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260" w:type="dxa"/>
            <w:vAlign w:val="bottom"/>
          </w:tcPr>
          <w:p>
            <w:pPr>
              <w:spacing w:after="0"/>
              <w:rPr>
                <w:sz w:val="14"/>
                <w:szCs w:val="14"/>
                <w:color w:val="auto"/>
              </w:rPr>
            </w:pPr>
          </w:p>
        </w:tc>
        <w:tc>
          <w:tcPr>
            <w:tcW w:w="1180" w:type="dxa"/>
            <w:vAlign w:val="bottom"/>
          </w:tcPr>
          <w:p>
            <w:pPr>
              <w:jc w:val="right"/>
              <w:ind w:right="332"/>
              <w:spacing w:after="0"/>
              <w:rPr>
                <w:sz w:val="20"/>
                <w:szCs w:val="20"/>
                <w:color w:val="auto"/>
              </w:rPr>
            </w:pPr>
            <w:r>
              <w:rPr>
                <w:rFonts w:ascii="Arial" w:cs="Arial" w:eastAsia="Arial" w:hAnsi="Arial"/>
                <w:sz w:val="11"/>
                <w:szCs w:val="11"/>
                <w:b w:val="1"/>
                <w:bCs w:val="1"/>
                <w:color w:val="auto"/>
              </w:rPr>
              <w:t>at Issuance</w:t>
            </w:r>
          </w:p>
        </w:tc>
      </w:tr>
      <w:tr>
        <w:trPr>
          <w:trHeight w:val="19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20" w:type="dxa"/>
            <w:vAlign w:val="bottom"/>
          </w:tcPr>
          <w:p>
            <w:pPr>
              <w:jc w:val="right"/>
              <w:spacing w:after="0"/>
              <w:rPr>
                <w:sz w:val="20"/>
                <w:szCs w:val="20"/>
                <w:color w:val="auto"/>
              </w:rPr>
            </w:pPr>
            <w:r>
              <w:rPr>
                <w:rFonts w:ascii="Arial" w:cs="Arial" w:eastAsia="Arial" w:hAnsi="Arial"/>
                <w:sz w:val="14"/>
                <w:szCs w:val="14"/>
                <w:color w:val="auto"/>
              </w:rPr>
              <w:t>82,891</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20" w:type="dxa"/>
            <w:vAlign w:val="bottom"/>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20" w:type="dxa"/>
            <w:vAlign w:val="bottom"/>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35,215</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20" w:type="dxa"/>
            <w:vAlign w:val="bottom"/>
          </w:tcPr>
          <w:p>
            <w:pPr>
              <w:jc w:val="right"/>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Oct-21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394,343</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21.00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28"/>
        </w:trPr>
        <w:tc>
          <w:tcPr>
            <w:tcW w:w="2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631,583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line="337" w:lineRule="auto"/>
        <w:rPr>
          <w:sz w:val="20"/>
          <w:szCs w:val="20"/>
          <w:color w:val="auto"/>
        </w:rPr>
      </w:pPr>
      <w:r>
        <w:rPr>
          <w:rFonts w:ascii="Arial" w:cs="Arial" w:eastAsia="Arial" w:hAnsi="Arial"/>
          <w:sz w:val="14"/>
          <w:szCs w:val="14"/>
          <w:color w:val="auto"/>
        </w:rPr>
        <w:t>The warrant for 730,000 shares of common stock issued to Double Helix (Temasek) in July 2018 with an exercise price of $27.40 per share expired unexercised during the six months ended July 31,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1"/>
                <w:szCs w:val="11"/>
                <w:b w:val="1"/>
                <w:bCs w:val="1"/>
                <w:color w:val="auto"/>
              </w:rPr>
              <w:t>January 31, 2022</w:t>
            </w: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9"/>
        </w:trPr>
        <w:tc>
          <w:tcPr>
            <w:tcW w:w="2860" w:type="dxa"/>
            <w:vAlign w:val="bottom"/>
          </w:tcPr>
          <w:p>
            <w:pPr>
              <w:spacing w:after="0"/>
              <w:rPr>
                <w:sz w:val="12"/>
                <w:szCs w:val="12"/>
                <w:color w:val="auto"/>
              </w:rPr>
            </w:pP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35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2"/>
                <w:szCs w:val="12"/>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Class of</w:t>
            </w:r>
          </w:p>
        </w:tc>
        <w:tc>
          <w:tcPr>
            <w:tcW w:w="12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Exercise</w:t>
            </w:r>
          </w:p>
        </w:tc>
        <w:tc>
          <w:tcPr>
            <w:tcW w:w="260" w:type="dxa"/>
            <w:vAlign w:val="bottom"/>
          </w:tcPr>
          <w:p>
            <w:pPr>
              <w:spacing w:after="0"/>
              <w:rPr>
                <w:sz w:val="12"/>
                <w:szCs w:val="12"/>
                <w:color w:val="auto"/>
              </w:rPr>
            </w:pPr>
          </w:p>
        </w:tc>
        <w:tc>
          <w:tcPr>
            <w:tcW w:w="1180" w:type="dxa"/>
            <w:vAlign w:val="bottom"/>
          </w:tcPr>
          <w:p>
            <w:pPr>
              <w:jc w:val="right"/>
              <w:ind w:right="371"/>
              <w:spacing w:after="0"/>
              <w:rPr>
                <w:sz w:val="20"/>
                <w:szCs w:val="20"/>
                <w:color w:val="auto"/>
              </w:rPr>
            </w:pPr>
            <w:r>
              <w:rPr>
                <w:rFonts w:ascii="Arial" w:cs="Arial" w:eastAsia="Arial" w:hAnsi="Arial"/>
                <w:sz w:val="11"/>
                <w:szCs w:val="11"/>
                <w:b w:val="1"/>
                <w:bCs w:val="1"/>
                <w:color w:val="auto"/>
              </w:rPr>
              <w:t>Fair Value</w:t>
            </w:r>
          </w:p>
        </w:tc>
      </w:tr>
      <w:tr>
        <w:trPr>
          <w:trHeight w:val="160"/>
        </w:trPr>
        <w:tc>
          <w:tcPr>
            <w:tcW w:w="2860" w:type="dxa"/>
            <w:vAlign w:val="bottom"/>
          </w:tcPr>
          <w:p>
            <w:pPr>
              <w:ind w:left="84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rPr>
              <w:t>Shares</w:t>
            </w: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260" w:type="dxa"/>
            <w:vAlign w:val="bottom"/>
          </w:tcPr>
          <w:p>
            <w:pPr>
              <w:spacing w:after="0"/>
              <w:rPr>
                <w:sz w:val="13"/>
                <w:szCs w:val="13"/>
                <w:color w:val="auto"/>
              </w:rPr>
            </w:pPr>
          </w:p>
        </w:tc>
        <w:tc>
          <w:tcPr>
            <w:tcW w:w="1180" w:type="dxa"/>
            <w:vAlign w:val="bottom"/>
          </w:tcPr>
          <w:p>
            <w:pPr>
              <w:jc w:val="right"/>
              <w:ind w:right="331"/>
              <w:spacing w:after="0"/>
              <w:rPr>
                <w:sz w:val="20"/>
                <w:szCs w:val="20"/>
                <w:color w:val="auto"/>
              </w:rPr>
            </w:pPr>
            <w:r>
              <w:rPr>
                <w:rFonts w:ascii="Arial" w:cs="Arial" w:eastAsia="Arial" w:hAnsi="Arial"/>
                <w:sz w:val="11"/>
                <w:szCs w:val="11"/>
                <w:b w:val="1"/>
                <w:bCs w:val="1"/>
                <w:color w:val="auto"/>
              </w:rPr>
              <w:t>at Issuance</w:t>
            </w:r>
          </w:p>
        </w:tc>
      </w:tr>
      <w:tr>
        <w:trPr>
          <w:trHeight w:val="198"/>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20" w:type="dxa"/>
            <w:vAlign w:val="bottom"/>
          </w:tcPr>
          <w:p>
            <w:pPr>
              <w:jc w:val="right"/>
              <w:spacing w:after="0"/>
              <w:rPr>
                <w:sz w:val="20"/>
                <w:szCs w:val="20"/>
                <w:color w:val="auto"/>
              </w:rPr>
            </w:pPr>
            <w:r>
              <w:rPr>
                <w:rFonts w:ascii="Arial" w:cs="Arial" w:eastAsia="Arial" w:hAnsi="Arial"/>
                <w:sz w:val="14"/>
                <w:szCs w:val="14"/>
                <w:color w:val="auto"/>
              </w:rPr>
              <w:t>82,891</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20" w:type="dxa"/>
            <w:vAlign w:val="bottom"/>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20" w:type="dxa"/>
            <w:vAlign w:val="bottom"/>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35,215</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20" w:type="dxa"/>
            <w:vAlign w:val="bottom"/>
          </w:tcPr>
          <w:p>
            <w:pPr>
              <w:jc w:val="right"/>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Jul-18</w:t>
            </w:r>
          </w:p>
        </w:tc>
        <w:tc>
          <w:tcPr>
            <w:tcW w:w="1420" w:type="dxa"/>
            <w:vAlign w:val="bottom"/>
          </w:tcPr>
          <w:p>
            <w:pPr>
              <w:jc w:val="right"/>
              <w:spacing w:after="0"/>
              <w:rPr>
                <w:sz w:val="20"/>
                <w:szCs w:val="20"/>
                <w:color w:val="auto"/>
              </w:rPr>
            </w:pPr>
            <w:r>
              <w:rPr>
                <w:rFonts w:ascii="Arial" w:cs="Arial" w:eastAsia="Arial" w:hAnsi="Arial"/>
                <w:sz w:val="14"/>
                <w:szCs w:val="14"/>
                <w:color w:val="auto"/>
              </w:rPr>
              <w:t>730,000</w:t>
            </w:r>
          </w:p>
        </w:tc>
        <w:tc>
          <w:tcPr>
            <w:tcW w:w="10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27.40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Oct-21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394,343</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3"/>
        </w:trPr>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1,361,583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1"/>
        </w:trPr>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There were no outstanding liability-classified warrants as of July 31, 2022 and January 31, 2022.</w:t>
      </w:r>
    </w:p>
    <w:p>
      <w:pPr>
        <w:spacing w:after="0" w:line="179" w:lineRule="exact"/>
        <w:rPr>
          <w:sz w:val="20"/>
          <w:szCs w:val="20"/>
          <w:color w:val="auto"/>
        </w:rPr>
      </w:pPr>
    </w:p>
    <w:p>
      <w:pPr>
        <w:jc w:val="both"/>
        <w:ind w:left="380" w:right="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13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condensed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140" w:lineRule="exact"/>
        <w:rPr>
          <w:sz w:val="20"/>
          <w:szCs w:val="20"/>
          <w:color w:val="auto"/>
        </w:rPr>
      </w:pPr>
    </w:p>
    <w:p>
      <w:pPr>
        <w:ind w:left="380" w:right="400"/>
        <w:spacing w:after="0" w:line="290" w:lineRule="auto"/>
        <w:rPr>
          <w:sz w:val="20"/>
          <w:szCs w:val="20"/>
          <w:color w:val="auto"/>
        </w:rPr>
      </w:pPr>
      <w:r>
        <w:rPr>
          <w:rFonts w:ascii="Arial" w:cs="Arial" w:eastAsia="Arial" w:hAnsi="Arial"/>
          <w:sz w:val="14"/>
          <w:szCs w:val="14"/>
          <w:color w:val="auto"/>
        </w:rPr>
        <w:t>As of July 31, 2022 and January 31, 2022, all outstanding warrants were equity-classified and recorded as additional paid-in capital. Equity-classified contracts are not subsequently remeasured unless reclassification is required from equity to liability classification.</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0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197" w:lineRule="exact"/>
        <w:rPr>
          <w:rFonts w:ascii="Arial" w:cs="Arial" w:eastAsia="Arial" w:hAnsi="Arial"/>
          <w:sz w:val="14"/>
          <w:szCs w:val="14"/>
          <w:b w:val="1"/>
          <w:bCs w:val="1"/>
          <w:color w:val="auto"/>
        </w:rPr>
      </w:pPr>
    </w:p>
    <w:p>
      <w:pPr>
        <w:ind w:left="380" w:right="2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165"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Amended and Restated 2021 Incentive Award Plan</w:t>
      </w:r>
    </w:p>
    <w:p>
      <w:pPr>
        <w:spacing w:after="0" w:line="197" w:lineRule="exact"/>
        <w:rPr>
          <w:rFonts w:ascii="Arial" w:cs="Arial" w:eastAsia="Arial" w:hAnsi="Arial"/>
          <w:sz w:val="14"/>
          <w:szCs w:val="14"/>
          <w:b w:val="1"/>
          <w:bCs w:val="1"/>
          <w:color w:val="auto"/>
        </w:rPr>
      </w:pPr>
    </w:p>
    <w:p>
      <w:pPr>
        <w:ind w:left="380" w:right="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six months ended July 31, 2022 have a shorter vesting period of one to two years. As of July 31, 2022, there were 4,109,333 shares of Class A common stock available for issuance under the 2021 Plan. There will not be any further equity grants of Class B common stock.</w:t>
      </w:r>
    </w:p>
    <w:p>
      <w:pPr>
        <w:spacing w:after="0" w:line="16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27"/>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4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Remaining</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4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Contract</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Aggregate</w:t>
            </w:r>
          </w:p>
        </w:tc>
      </w:tr>
      <w:tr>
        <w:trPr>
          <w:trHeight w:val="138"/>
        </w:trPr>
        <w:tc>
          <w:tcPr>
            <w:tcW w:w="4340" w:type="dxa"/>
            <w:vAlign w:val="bottom"/>
          </w:tcPr>
          <w:p>
            <w:pPr>
              <w:spacing w:after="0"/>
              <w:rPr>
                <w:sz w:val="11"/>
                <w:szCs w:val="11"/>
                <w:color w:val="auto"/>
              </w:rPr>
            </w:pPr>
          </w:p>
        </w:tc>
        <w:tc>
          <w:tcPr>
            <w:tcW w:w="1420" w:type="dxa"/>
            <w:vAlign w:val="bottom"/>
          </w:tcPr>
          <w:p>
            <w:pPr>
              <w:jc w:val="right"/>
              <w:ind w:right="353"/>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1020" w:type="dxa"/>
            <w:vAlign w:val="bottom"/>
          </w:tcPr>
          <w:p>
            <w:pPr>
              <w:jc w:val="center"/>
              <w:ind w:left="343"/>
              <w:spacing w:after="0"/>
              <w:rPr>
                <w:sz w:val="20"/>
                <w:szCs w:val="20"/>
                <w:color w:val="auto"/>
              </w:rPr>
            </w:pPr>
            <w:r>
              <w:rPr>
                <w:rFonts w:ascii="Arial" w:cs="Arial" w:eastAsia="Arial" w:hAnsi="Arial"/>
                <w:sz w:val="11"/>
                <w:szCs w:val="11"/>
                <w:b w:val="1"/>
                <w:bCs w:val="1"/>
                <w:color w:val="auto"/>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Intrinsic</w:t>
            </w:r>
          </w:p>
        </w:tc>
      </w:tr>
      <w:tr>
        <w:trPr>
          <w:trHeight w:val="165"/>
        </w:trPr>
        <w:tc>
          <w:tcPr>
            <w:tcW w:w="43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343"/>
              <w:spacing w:after="0"/>
              <w:rPr>
                <w:sz w:val="20"/>
                <w:szCs w:val="20"/>
                <w:color w:val="auto"/>
              </w:rPr>
            </w:pPr>
            <w:r>
              <w:rPr>
                <w:rFonts w:ascii="Arial" w:cs="Arial" w:eastAsia="Arial" w:hAnsi="Arial"/>
                <w:sz w:val="11"/>
                <w:szCs w:val="11"/>
                <w:b w:val="1"/>
                <w:bCs w:val="1"/>
                <w:color w:val="auto"/>
                <w:w w:val="96"/>
              </w:rPr>
              <w:t>Price</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2022</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9,470,170</w:t>
            </w:r>
          </w:p>
        </w:tc>
        <w:tc>
          <w:tcPr>
            <w:tcW w:w="1120" w:type="dxa"/>
            <w:vAlign w:val="bottom"/>
            <w:gridSpan w:val="2"/>
            <w:shd w:val="clear" w:color="auto" w:fill="CCEEFF"/>
          </w:tcPr>
          <w:p>
            <w:pPr>
              <w:jc w:val="right"/>
              <w:ind w:right="883"/>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12"/>
        </w:trPr>
        <w:tc>
          <w:tcPr>
            <w:tcW w:w="434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4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(12,450)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4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(564,672)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r>
      <w:tr>
        <w:trPr>
          <w:trHeight w:val="19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July 31, 2022</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8,893,048</w:t>
            </w:r>
          </w:p>
        </w:tc>
        <w:tc>
          <w:tcPr>
            <w:tcW w:w="1120" w:type="dxa"/>
            <w:vAlign w:val="bottom"/>
            <w:gridSpan w:val="2"/>
            <w:shd w:val="clear" w:color="auto" w:fill="CCEEFF"/>
          </w:tcPr>
          <w:p>
            <w:pPr>
              <w:jc w:val="right"/>
              <w:ind w:right="883"/>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14"/>
        </w:trPr>
        <w:tc>
          <w:tcPr>
            <w:tcW w:w="4340" w:type="dxa"/>
            <w:vAlign w:val="bottom"/>
          </w:tcPr>
          <w:p>
            <w:pPr>
              <w:ind w:left="20"/>
              <w:spacing w:after="0"/>
              <w:rPr>
                <w:sz w:val="20"/>
                <w:szCs w:val="20"/>
                <w:color w:val="auto"/>
              </w:rPr>
            </w:pPr>
            <w:r>
              <w:rPr>
                <w:rFonts w:ascii="Arial" w:cs="Arial" w:eastAsia="Arial" w:hAnsi="Arial"/>
                <w:sz w:val="14"/>
                <w:szCs w:val="14"/>
                <w:color w:val="auto"/>
              </w:rPr>
              <w:t>Exercisable as of July 31, 2022</w:t>
            </w:r>
          </w:p>
        </w:tc>
        <w:tc>
          <w:tcPr>
            <w:tcW w:w="1420" w:type="dxa"/>
            <w:vAlign w:val="bottom"/>
          </w:tcPr>
          <w:p>
            <w:pPr>
              <w:jc w:val="right"/>
              <w:ind w:right="33"/>
              <w:spacing w:after="0"/>
              <w:rPr>
                <w:sz w:val="20"/>
                <w:szCs w:val="20"/>
                <w:color w:val="auto"/>
              </w:rPr>
            </w:pPr>
            <w:r>
              <w:rPr>
                <w:rFonts w:ascii="Arial" w:cs="Arial" w:eastAsia="Arial" w:hAnsi="Arial"/>
                <w:sz w:val="14"/>
                <w:szCs w:val="14"/>
                <w:color w:val="auto"/>
              </w:rPr>
              <w:t>5,470,427</w:t>
            </w:r>
          </w:p>
        </w:tc>
        <w:tc>
          <w:tcPr>
            <w:tcW w:w="1120" w:type="dxa"/>
            <w:vAlign w:val="bottom"/>
            <w:gridSpan w:val="2"/>
          </w:tcPr>
          <w:p>
            <w:pPr>
              <w:jc w:val="right"/>
              <w:ind w:right="883"/>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total intrinsic value of stock options exercised for the six months ended July 31, 2022 was nominal.</w:t>
      </w:r>
    </w:p>
    <w:p>
      <w:pPr>
        <w:spacing w:after="0" w:line="179"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As of July 31, 2022, there was $12.6 million of unrecognized compensation cost related to stock options granted that is expected to be recognized over a weighted average period of 2.6 years.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27"/>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Weighted</w:t>
            </w:r>
          </w:p>
        </w:tc>
      </w:t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Grant-Date</w:t>
            </w:r>
          </w:p>
        </w:tc>
      </w:tr>
      <w:tr>
        <w:trPr>
          <w:trHeight w:val="127"/>
        </w:trPr>
        <w:tc>
          <w:tcPr>
            <w:tcW w:w="7400" w:type="dxa"/>
            <w:vAlign w:val="bottom"/>
          </w:tcPr>
          <w:p>
            <w:pPr>
              <w:spacing w:after="0"/>
              <w:rPr>
                <w:sz w:val="11"/>
                <w:szCs w:val="11"/>
                <w:color w:val="auto"/>
              </w:rPr>
            </w:pPr>
          </w:p>
        </w:tc>
        <w:tc>
          <w:tcPr>
            <w:tcW w:w="1420" w:type="dxa"/>
            <w:vAlign w:val="bottom"/>
          </w:tcPr>
          <w:p>
            <w:pPr>
              <w:jc w:val="right"/>
              <w:ind w:right="35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Fair Value</w:t>
            </w:r>
          </w:p>
        </w:tc>
      </w:tr>
      <w:tr>
        <w:trPr>
          <w:trHeight w:val="170"/>
        </w:trPr>
        <w:tc>
          <w:tcPr>
            <w:tcW w:w="74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2,428,574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r>
      <w:tr>
        <w:trPr>
          <w:trHeight w:val="202"/>
        </w:trPr>
        <w:tc>
          <w:tcPr>
            <w:tcW w:w="7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4,999,257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5.19</w:t>
            </w:r>
          </w:p>
        </w:tc>
      </w:tr>
      <w:tr>
        <w:trPr>
          <w:trHeight w:val="22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(1,035,571)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r>
      <w:tr>
        <w:trPr>
          <w:trHeight w:val="20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(292,779)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6.99</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July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6,099,481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July 31, 2022, there was $18.9 million of unrecognized compensation cost related to RSUs granted that is expected to be recognized over a weighted average period of 1.8 years.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92" w:lineRule="exact"/>
        <w:rPr>
          <w:sz w:val="20"/>
          <w:szCs w:val="20"/>
          <w:color w:val="auto"/>
        </w:rPr>
      </w:pPr>
    </w:p>
    <w:p>
      <w:pPr>
        <w:ind w:left="380" w:right="140"/>
        <w:spacing w:after="0" w:line="290" w:lineRule="auto"/>
        <w:rPr>
          <w:sz w:val="20"/>
          <w:szCs w:val="20"/>
          <w:color w:val="auto"/>
        </w:rPr>
      </w:pPr>
      <w:r>
        <w:rPr>
          <w:rFonts w:ascii="Arial" w:cs="Arial" w:eastAsia="Arial" w:hAnsi="Arial"/>
          <w:sz w:val="14"/>
          <w:szCs w:val="14"/>
          <w:color w:val="auto"/>
        </w:rPr>
        <w:t>The classification of share-based compensation for the three and six months ended July 31, 2022 presented within each line item of the condensed consolidated statements of operations is as follows: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460" w:type="dxa"/>
            <w:vAlign w:val="bottom"/>
            <w:tcBorders>
              <w:bottom w:val="single" w:sz="8" w:color="CCEEFF"/>
            </w:tcBorders>
          </w:tcPr>
          <w:p>
            <w:pPr>
              <w:spacing w:after="0"/>
              <w:rPr>
                <w:sz w:val="13"/>
                <w:szCs w:val="13"/>
                <w:color w:val="auto"/>
              </w:rPr>
            </w:pPr>
          </w:p>
        </w:tc>
        <w:tc>
          <w:tcPr>
            <w:tcW w:w="25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July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1"/>
                <w:szCs w:val="11"/>
                <w:b w:val="1"/>
                <w:bCs w:val="1"/>
                <w:color w:val="auto"/>
              </w:rPr>
              <w:t>Six Months Ended July 31,</w:t>
            </w:r>
          </w:p>
        </w:tc>
      </w:tr>
      <w:tr>
        <w:trPr>
          <w:trHeight w:val="155"/>
        </w:trPr>
        <w:tc>
          <w:tcPr>
            <w:tcW w:w="446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1"/>
                <w:szCs w:val="11"/>
                <w:b w:val="1"/>
                <w:bCs w:val="1"/>
                <w:color w:val="auto"/>
              </w:rPr>
              <w:t>2022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203"/>
        </w:trPr>
        <w:tc>
          <w:tcPr>
            <w:tcW w:w="446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020" w:type="dxa"/>
            <w:vAlign w:val="bottom"/>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28"/>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0" w:right="1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3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ind w:left="300"/>
              <w:spacing w:after="0"/>
              <w:rPr>
                <w:sz w:val="20"/>
                <w:szCs w:val="20"/>
                <w:color w:val="auto"/>
              </w:rPr>
            </w:pPr>
            <w:r>
              <w:rPr>
                <w:rFonts w:ascii="Arial" w:cs="Arial" w:eastAsia="Arial" w:hAnsi="Arial"/>
                <w:sz w:val="11"/>
                <w:szCs w:val="11"/>
                <w:b w:val="1"/>
                <w:bCs w:val="1"/>
                <w:color w:val="auto"/>
              </w:rPr>
              <w:t>Three Months Ended July 31,</w:t>
            </w:r>
          </w:p>
        </w:tc>
        <w:tc>
          <w:tcPr>
            <w:tcW w:w="320" w:type="dxa"/>
            <w:vAlign w:val="bottom"/>
          </w:tcPr>
          <w:p>
            <w:pPr>
              <w:spacing w:after="0"/>
              <w:rPr>
                <w:sz w:val="13"/>
                <w:szCs w:val="13"/>
                <w:color w:val="auto"/>
              </w:rPr>
            </w:pPr>
          </w:p>
        </w:tc>
        <w:tc>
          <w:tcPr>
            <w:tcW w:w="2500" w:type="dxa"/>
            <w:vAlign w:val="bottom"/>
            <w:gridSpan w:val="4"/>
          </w:tcPr>
          <w:p>
            <w:pPr>
              <w:jc w:val="right"/>
              <w:ind w:right="633"/>
              <w:spacing w:after="0"/>
              <w:rPr>
                <w:sz w:val="20"/>
                <w:szCs w:val="20"/>
                <w:color w:val="auto"/>
              </w:rPr>
            </w:pPr>
            <w:r>
              <w:rPr>
                <w:rFonts w:ascii="Arial" w:cs="Arial" w:eastAsia="Arial" w:hAnsi="Arial"/>
                <w:sz w:val="11"/>
                <w:szCs w:val="11"/>
                <w:b w:val="1"/>
                <w:bCs w:val="1"/>
                <w:color w:val="auto"/>
              </w:rPr>
              <w:t>Six Months Ended July 31,</w:t>
            </w:r>
          </w:p>
        </w:tc>
      </w:tr>
      <w:tr>
        <w:trPr>
          <w:trHeight w:val="155"/>
        </w:trPr>
        <w:tc>
          <w:tcPr>
            <w:tcW w:w="484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2021</w:t>
            </w:r>
          </w:p>
        </w:tc>
      </w:tr>
      <w:tr>
        <w:trPr>
          <w:trHeight w:val="192"/>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2"/>
        </w:trPr>
        <w:tc>
          <w:tcPr>
            <w:tcW w:w="484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484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48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attributable to common stockholders, basic and diluted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64,074,681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11,300,395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63,758,256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11,375,889</w:t>
            </w: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right="46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74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13"/>
                <w:szCs w:val="13"/>
                <w:color w:val="auto"/>
              </w:rPr>
            </w:pPr>
          </w:p>
        </w:tc>
        <w:tc>
          <w:tcPr>
            <w:tcW w:w="17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July 31,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280" w:type="dxa"/>
            <w:vAlign w:val="bottom"/>
            <w:gridSpan w:val="2"/>
          </w:tcPr>
          <w:p>
            <w:pPr>
              <w:jc w:val="right"/>
              <w:ind w:right="67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4"/>
                <w:szCs w:val="14"/>
                <w:color w:val="auto"/>
              </w:rPr>
            </w:pPr>
          </w:p>
        </w:tc>
        <w:tc>
          <w:tcPr>
            <w:tcW w:w="1700" w:type="dxa"/>
            <w:vAlign w:val="bottom"/>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preferred stock</w:t>
            </w:r>
          </w:p>
        </w:tc>
        <w:tc>
          <w:tcPr>
            <w:tcW w:w="35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32,575,462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5280" w:type="dxa"/>
            <w:vAlign w:val="bottom"/>
            <w:gridSpan w:val="2"/>
          </w:tcPr>
          <w:p>
            <w:pPr>
              <w:jc w:val="right"/>
              <w:spacing w:after="0"/>
              <w:rPr>
                <w:sz w:val="20"/>
                <w:szCs w:val="20"/>
                <w:color w:val="auto"/>
              </w:rPr>
            </w:pPr>
            <w:r>
              <w:rPr>
                <w:rFonts w:ascii="Arial" w:cs="Arial" w:eastAsia="Arial" w:hAnsi="Arial"/>
                <w:sz w:val="14"/>
                <w:szCs w:val="14"/>
                <w:color w:val="auto"/>
              </w:rPr>
              <w:t>8,893,048</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9,314,605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631,583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2,571,732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Preferred stock warrants</w:t>
            </w:r>
          </w:p>
        </w:tc>
        <w:tc>
          <w:tcPr>
            <w:tcW w:w="3540" w:type="dxa"/>
            <w:vAlign w:val="bottom"/>
          </w:tcPr>
          <w:p>
            <w:pPr>
              <w:spacing w:after="0"/>
              <w:rPr>
                <w:sz w:val="17"/>
                <w:szCs w:val="17"/>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88,037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354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6,099,481</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00" w:type="dxa"/>
            <w:vAlign w:val="bottom"/>
          </w:tcPr>
          <w:p>
            <w:pPr>
              <w:ind w:left="360"/>
              <w:spacing w:after="0"/>
              <w:rPr>
                <w:sz w:val="20"/>
                <w:szCs w:val="20"/>
                <w:color w:val="auto"/>
              </w:rPr>
            </w:pPr>
            <w:r>
              <w:rPr>
                <w:rFonts w:ascii="Arial" w:cs="Arial" w:eastAsia="Arial" w:hAnsi="Arial"/>
                <w:sz w:val="14"/>
                <w:szCs w:val="14"/>
                <w:color w:val="auto"/>
              </w:rPr>
              <w:t>Total</w:t>
            </w:r>
          </w:p>
        </w:tc>
        <w:tc>
          <w:tcPr>
            <w:tcW w:w="5280" w:type="dxa"/>
            <w:vAlign w:val="bottom"/>
            <w:gridSpan w:val="2"/>
          </w:tcPr>
          <w:p>
            <w:pPr>
              <w:jc w:val="right"/>
              <w:spacing w:after="0"/>
              <w:rPr>
                <w:sz w:val="20"/>
                <w:szCs w:val="20"/>
                <w:color w:val="auto"/>
              </w:rPr>
            </w:pPr>
            <w:r>
              <w:rPr>
                <w:rFonts w:ascii="Arial" w:cs="Arial" w:eastAsia="Arial" w:hAnsi="Arial"/>
                <w:sz w:val="14"/>
                <w:szCs w:val="14"/>
                <w:color w:val="auto"/>
              </w:rPr>
              <w:t>15,624,112</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44,549,836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40" w:type="dxa"/>
            <w:vAlign w:val="bottom"/>
            <w:vMerge w:val="restart"/>
          </w:tcPr>
          <w:p>
            <w:pPr>
              <w:jc w:val="right"/>
              <w:ind w:right="1632"/>
              <w:spacing w:after="0"/>
              <w:rPr>
                <w:sz w:val="20"/>
                <w:szCs w:val="20"/>
                <w:color w:val="auto"/>
              </w:rPr>
            </w:pPr>
            <w:r>
              <w:rPr>
                <w:rFonts w:ascii="Arial" w:cs="Arial" w:eastAsia="Arial" w:hAnsi="Arial"/>
                <w:sz w:val="14"/>
                <w:szCs w:val="14"/>
                <w:color w:val="auto"/>
              </w:rPr>
              <w:t>27</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460"/>
        <w:spacing w:after="0" w:line="290" w:lineRule="auto"/>
        <w:rPr>
          <w:sz w:val="20"/>
          <w:szCs w:val="20"/>
          <w:color w:val="auto"/>
        </w:rPr>
      </w:pPr>
      <w:r>
        <w:rPr>
          <w:rFonts w:ascii="Arial" w:cs="Arial" w:eastAsia="Arial" w:hAnsi="Arial"/>
          <w:sz w:val="14"/>
          <w:szCs w:val="14"/>
          <w:color w:val="auto"/>
        </w:rPr>
        <w:t>As of July 31, 2021, RSUs to be settled in 2,187,173 shares of common stock were excluded from the table above because they were subject to liquidity-based vesting conditions that were not satisfied.</w:t>
      </w:r>
    </w:p>
    <w:p>
      <w:pPr>
        <w:spacing w:after="0" w:line="205"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0" w:right="4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July 31, 2022 and January 31, 2022 of $10.4 million and $12.0 million, respectively, primarily to satisfy security deposit requirements on its leases.</w:t>
      </w:r>
    </w:p>
    <w:p>
      <w:pPr>
        <w:spacing w:after="0" w:line="14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Legal Proceedings</w:t>
      </w:r>
    </w:p>
    <w:p>
      <w:pPr>
        <w:spacing w:after="0" w:line="91" w:lineRule="exact"/>
        <w:rPr>
          <w:rFonts w:ascii="Arial" w:cs="Arial" w:eastAsia="Arial" w:hAnsi="Arial"/>
          <w:sz w:val="14"/>
          <w:szCs w:val="14"/>
          <w:b w:val="1"/>
          <w:bCs w:val="1"/>
          <w:color w:val="auto"/>
        </w:rPr>
      </w:pPr>
    </w:p>
    <w:p>
      <w:pPr>
        <w:ind w:left="3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 Although the results of litigation and claims cannot be predicted with certainty, the Company currently believes that the final outcome of these ordinary course matters will not have a material adverse effect on its business.</w:t>
      </w:r>
    </w:p>
    <w:p>
      <w:pPr>
        <w:spacing w:after="0" w:line="1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As of July 31, 2022, there was no litigation or contingency with at least a reasonable possibility of a material loss.</w:t>
      </w:r>
    </w:p>
    <w:p>
      <w:pPr>
        <w:spacing w:after="0" w:line="263" w:lineRule="exact"/>
        <w:rPr>
          <w:rFonts w:ascii="Arial" w:cs="Arial" w:eastAsia="Arial" w:hAnsi="Arial"/>
          <w:sz w:val="14"/>
          <w:szCs w:val="14"/>
          <w:b w:val="1"/>
          <w:bCs w:val="1"/>
          <w:color w:val="auto"/>
        </w:rPr>
      </w:pPr>
    </w:p>
    <w:p>
      <w:pPr>
        <w:ind w:left="380" w:hanging="375"/>
        <w:spacing w:after="0"/>
        <w:tabs>
          <w:tab w:leader="none" w:pos="3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3" w:lineRule="exact"/>
        <w:rPr>
          <w:rFonts w:ascii="Arial" w:cs="Arial" w:eastAsia="Arial" w:hAnsi="Arial"/>
          <w:sz w:val="14"/>
          <w:szCs w:val="14"/>
          <w:b w:val="1"/>
          <w:bCs w:val="1"/>
          <w:color w:val="auto"/>
        </w:rPr>
      </w:pPr>
    </w:p>
    <w:p>
      <w:pPr>
        <w:jc w:val="both"/>
        <w:ind w:left="380" w:right="2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September 12, 2022, the Company announced a restructuring plan to reduce costs, streamline its organizational structure and drive operational efficiencies. The plan primarily includes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133" w:lineRule="exact"/>
        <w:rPr>
          <w:rFonts w:ascii="Arial" w:cs="Arial" w:eastAsia="Arial" w:hAnsi="Arial"/>
          <w:sz w:val="14"/>
          <w:szCs w:val="14"/>
          <w:b w:val="1"/>
          <w:bCs w:val="1"/>
          <w:color w:val="auto"/>
        </w:rPr>
      </w:pPr>
    </w:p>
    <w:p>
      <w:pPr>
        <w:ind w:left="380" w:right="1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estimates that it will incur total cash charges for employee severance and related costs of approximately $2.5 million and certain immaterial non-cash charges associated with stock-based compensation, both of which are expected to be primarily recognized in the third quarter of fiscal 2022.</w:t>
      </w:r>
    </w:p>
    <w:p>
      <w:pPr>
        <w:spacing w:after="0" w:line="120" w:lineRule="exact"/>
        <w:rPr>
          <w:rFonts w:ascii="Arial" w:cs="Arial" w:eastAsia="Arial" w:hAnsi="Arial"/>
          <w:sz w:val="14"/>
          <w:szCs w:val="14"/>
          <w:b w:val="1"/>
          <w:bCs w:val="1"/>
          <w:color w:val="auto"/>
        </w:rPr>
      </w:pPr>
    </w:p>
    <w:p>
      <w:pPr>
        <w:ind w:left="380" w:right="4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expects this restructuring plan to be substantially completed by the end of the fourth quarter of 2022. The charges that the Company expects to incur are subject to a number of assumptions, and actual expenses may differ from the estimates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3" w:lineRule="exact"/>
        <w:rPr>
          <w:sz w:val="20"/>
          <w:szCs w:val="20"/>
          <w:color w:val="auto"/>
        </w:rPr>
      </w:pPr>
    </w:p>
    <w:p>
      <w:pPr>
        <w:jc w:val="both"/>
        <w:ind w:right="140"/>
        <w:spacing w:after="0" w:line="247"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2022 and the related Management’s Discussion and Analysis of Financial Condition and Results of Operations in our Annual Report on Form 10-K for the year ended January 31, 2022 (the “2021 Annual Report on Form 10-K”).</w:t>
      </w:r>
    </w:p>
    <w:p>
      <w:pPr>
        <w:spacing w:after="0" w:line="163"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We give customers ongoing access to our “unlimited closet” — with approximately 20,000 styles by over 800 designer brands —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173,321 ending total subscribers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(active and paused) as of July 31, 2022. The majority of our revenue is highly recurring and is generated by our subscribers. For the six months ended July 31, 2022 and 2021, respectively, 87% and 80% of our total revenue (including Reserve and Resale revenue) was generated by subscribers while they were active or paused.</w:t>
      </w:r>
    </w:p>
    <w:p>
      <w:pPr>
        <w:spacing w:after="0" w:line="15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134"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4747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9" w:lineRule="exact"/>
        <w:rPr>
          <w:sz w:val="20"/>
          <w:szCs w:val="20"/>
          <w:color w:val="auto"/>
        </w:rPr>
      </w:pPr>
    </w:p>
    <w:p>
      <w:pPr>
        <w:ind w:right="80" w:firstLine="5"/>
        <w:spacing w:after="0" w:line="187" w:lineRule="auto"/>
        <w:tabs>
          <w:tab w:leader="none" w:pos="108" w:val="left"/>
        </w:tabs>
        <w:numPr>
          <w:ilvl w:val="0"/>
          <w:numId w:val="17"/>
        </w:numPr>
        <w:rPr>
          <w:rFonts w:ascii="Arial" w:cs="Arial" w:eastAsia="Arial" w:hAnsi="Arial"/>
          <w:sz w:val="22"/>
          <w:szCs w:val="22"/>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Business Developments</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b w:val="1"/>
          <w:bCs w:val="1"/>
          <w:i w:val="1"/>
          <w:iCs w:val="1"/>
          <w:color w:val="auto"/>
        </w:rPr>
        <w:t xml:space="preserve">Initial Public Offering. </w:t>
      </w:r>
      <w:r>
        <w:rPr>
          <w:rFonts w:ascii="Arial" w:cs="Arial" w:eastAsia="Arial" w:hAnsi="Arial"/>
          <w:sz w:val="14"/>
          <w:szCs w:val="14"/>
          <w:color w:val="auto"/>
        </w:rPr>
        <w:t>On October 29, 2021, we closed our initial public offering (the “IPO”), in which we issued and sold 17,000,000 shares at the public offering price of $21.00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 share. We received net proceeds of $327.3 million after deducting underwriting discounts and commissions and offering expenses.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 xml:space="preserve">Debt Paydown and Amendment. </w:t>
      </w:r>
      <w:r>
        <w:rPr>
          <w:rFonts w:ascii="Arial" w:cs="Arial" w:eastAsia="Arial" w:hAnsi="Arial"/>
          <w:sz w:val="14"/>
          <w:szCs w:val="14"/>
          <w:color w:val="auto"/>
        </w:rPr>
        <w:t>Concurrent with our IPO, we paid down our senior secured term loan with Ares Corporate Opportunities Fund V, L.P. (the “Ares Facility”) of $80.7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in full and $60.0 million of our subordinated, junior lien term loan with Double Helix Pte Ltd. as administrative agent for Temasek Holdings (the “Temasek Facility”), resulting in a total debt repayment of $140.7 million. We also refinanced the remaining Temasek Facility (the “Amended Temasek Facility”).</w:t>
      </w:r>
    </w:p>
    <w:p>
      <w:pPr>
        <w:spacing w:after="0" w:line="155"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b w:val="1"/>
          <w:bCs w:val="1"/>
          <w:i w:val="1"/>
          <w:iCs w:val="1"/>
          <w:color w:val="auto"/>
        </w:rPr>
        <w:t>Restructuring plan</w:t>
      </w:r>
      <w:r>
        <w:rPr>
          <w:rFonts w:ascii="Arial" w:cs="Arial" w:eastAsia="Arial" w:hAnsi="Arial"/>
          <w:sz w:val="14"/>
          <w:szCs w:val="14"/>
          <w:color w:val="auto"/>
        </w:rPr>
        <w:t>. On September 12, 2022, we announced a restructuring plan to reduce costs, streamline our organizational structure and drive operational efficiencies.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plan primarily includes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166"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We estimate that we will incur total cash charges for employee severance and related costs of approximately $2.5 million and certain immaterial non-cash charges associated with stock-based compensation, both of which are expected to be primarily recognized in the third quarter of fiscal 2022.</w:t>
      </w:r>
    </w:p>
    <w:p>
      <w:pPr>
        <w:spacing w:after="0" w:line="141" w:lineRule="exact"/>
        <w:rPr>
          <w:sz w:val="20"/>
          <w:szCs w:val="20"/>
          <w:color w:val="auto"/>
        </w:rPr>
      </w:pPr>
    </w:p>
    <w:p>
      <w:pPr>
        <w:ind w:right="860"/>
        <w:spacing w:after="0" w:line="290" w:lineRule="auto"/>
        <w:rPr>
          <w:sz w:val="20"/>
          <w:szCs w:val="20"/>
          <w:color w:val="auto"/>
        </w:rPr>
      </w:pPr>
      <w:r>
        <w:rPr>
          <w:rFonts w:ascii="Arial" w:cs="Arial" w:eastAsia="Arial" w:hAnsi="Arial"/>
          <w:sz w:val="14"/>
          <w:szCs w:val="14"/>
          <w:color w:val="auto"/>
        </w:rPr>
        <w:t>We expect this restructuring plan to be substantially completed by the end of the fourth quarter of 2022. The charges that we expect to incur are subject to a number of assumptions, and actual expenses may differ from the estimates disclosed above.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restructuring plan is expected to generate annual operating expense savings of $25 to $27 million (relative to the second quarter of fiscal 2022 run rate) in fiscal 2023.</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three months ended July 31, 2022 and 2021, respectively:</w:t>
      </w:r>
    </w:p>
    <w:p>
      <w:pPr>
        <w:spacing w:after="0" w:line="285" w:lineRule="exact"/>
        <w:rPr>
          <w:sz w:val="20"/>
          <w:szCs w:val="20"/>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was $76.5 million and $46.7 million, respectively, representing 63.8% growth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124,131 and 97,614 ending Active Subscribers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(excluding paused subscribers), respectively, representing 27% growth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173,321 and 126,841 ending Total Subscribers (including paused subscribers), respectively, representing 37% growth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Gross Profit was $32.4 million and $18.2 million, respectively, representing a gross margin of 42.4% and 39.0%,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Loss was $(33.9) million and $(42.4) million, respectively. Net Loss as a percentage of revenue was (44.3)% and (90.8)%,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EBITDA was $1.8 million and $(1.9) million, respectively, representing an Adjusted EBITDA margin of 2.4% and (4.1)%, respectively;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Cash and Cash Equivalents was $192.3 million and $104.0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We have achieved the following operating and financial results for the six months ended July 31, 2022 and 2021, respectively:</w:t>
      </w:r>
    </w:p>
    <w:p>
      <w:pPr>
        <w:spacing w:after="0" w:line="94" w:lineRule="exact"/>
        <w:rPr>
          <w:sz w:val="20"/>
          <w:szCs w:val="20"/>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 was $143.6 million and $80.2 million, respectively, representing 79.1% growth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Profit was $54.9 million and $26.3 million, respectively, representing a gross margin of 38.2% and 32.8%,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Loss was $(76.4) million and $(84.7) million, respectively. Net Loss as a percentage of revenue was (53.2)% and (105.6)%, respectively;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EBITDA was $(7.0) million and $(8.1) million, respectively, representing an Adjusted EBITDA margin of (4.9)% and (10.1)%, respectively.</w:t>
      </w:r>
    </w:p>
    <w:p>
      <w:pPr>
        <w:spacing w:after="0" w:line="3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Second Quarter Business Highlights</w:t>
      </w:r>
    </w:p>
    <w:p>
      <w:pPr>
        <w:spacing w:after="0" w:line="92" w:lineRule="exact"/>
        <w:rPr>
          <w:sz w:val="20"/>
          <w:szCs w:val="20"/>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Continued to drive strong subscriber engagement, with 30% of subscribers adding one or more paid additional items into their subscription program;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Drove ongoing expansion of Exclusive Designs and launched four new Exclusive Designs collections: Saunders Collective, Esteban Cortazar, Pamela Love, and Busayo;</w:t>
      </w:r>
    </w:p>
    <w:p>
      <w:pPr>
        <w:spacing w:after="0" w:line="93" w:lineRule="exact"/>
        <w:rPr>
          <w:rFonts w:ascii="Arial" w:cs="Arial" w:eastAsia="Arial" w:hAnsi="Arial"/>
          <w:sz w:val="14"/>
          <w:szCs w:val="14"/>
          <w:color w:val="auto"/>
        </w:rPr>
      </w:pPr>
    </w:p>
    <w:p>
      <w:pPr>
        <w:ind w:left="580" w:right="680" w:hanging="193"/>
        <w:spacing w:after="0" w:line="265" w:lineRule="auto"/>
        <w:tabs>
          <w:tab w:leader="none" w:pos="5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Expanded at-home pickup to over 25 markets covering over 50% of our subscriber base, achieving our year-end target ahead of plan. Launched at-home pickup scheduling in app, driving a significant lift in adoption and awareness;</w:t>
      </w:r>
    </w:p>
    <w:p>
      <w:pPr>
        <w:spacing w:after="0" w:line="6"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4"/>
          <w:szCs w:val="14"/>
          <w:color w:val="auto"/>
        </w:rPr>
        <w:t>Partnered with Saks Off 5th to offer access to a selection of previously rented Rent the Runway merchandise at SaksOFF5th.com, and;</w:t>
      </w:r>
    </w:p>
    <w:p>
      <w:pPr>
        <w:spacing w:after="0" w:line="68" w:lineRule="exact"/>
        <w:rPr>
          <w:rFonts w:ascii="Arial" w:cs="Arial" w:eastAsia="Arial" w:hAnsi="Arial"/>
          <w:sz w:val="17"/>
          <w:szCs w:val="17"/>
          <w:color w:val="auto"/>
        </w:rPr>
      </w:pPr>
    </w:p>
    <w:p>
      <w:pPr>
        <w:ind w:left="580" w:right="140" w:hanging="193"/>
        <w:spacing w:after="0" w:line="290" w:lineRule="auto"/>
        <w:tabs>
          <w:tab w:leader="none" w:pos="5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Continued to expand upon automation and productivity initiatives in our fulfillment centers, including the full rollout of our new packaging, which is both more cost-efficient and a more sustainable solution than our prior packaging.</w:t>
      </w:r>
    </w:p>
    <w:p>
      <w:pPr>
        <w:spacing w:after="0" w:line="211" w:lineRule="exact"/>
        <w:rPr>
          <w:sz w:val="20"/>
          <w:szCs w:val="20"/>
          <w:color w:val="auto"/>
        </w:rPr>
      </w:pPr>
    </w:p>
    <w:p>
      <w:pPr>
        <w:ind w:left="80" w:hanging="75"/>
        <w:spacing w:after="0"/>
        <w:tabs>
          <w:tab w:leader="none" w:pos="80"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Active Subscribers is defined as ending total subscribers as of period end, excluding paused subscribers.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94"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fiscal year 2021, 45% of new items were acquired through Wholesale, 33% through Share by RTR and 22% through Exclusive Designs, compared to 46% Wholesale, 36% Share by RTR and 18% Exclusive Designs in fiscal year 2020. In total, approximately 55% of new items were acquired through the more capital-efficient channels in fiscal year 2021, approximately 54% in fiscal year 2020 and approximately 26% in fiscal year 2019. Both our purchasing power and the diversification into Share by RTR and Exclusive Designs have led to a decrease in average upfront cost per item over time. We are executing on our strategy to further decrease the percentage of units acquired through Wholesale and increase the percentage of units acquired through our more capital-efficient channels, Exclusive Designs and Share by RTR, in fiscal year 2022.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our 2021 Annual Report on Form 10-K.</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134"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b w:val="1"/>
          <w:bCs w:val="1"/>
          <w:i w:val="1"/>
          <w:iCs w:val="1"/>
          <w:color w:val="auto"/>
        </w:rPr>
        <w:t xml:space="preserve">Ability to Acquire and Monetize Products Efficiently. </w:t>
      </w:r>
      <w:r>
        <w:rPr>
          <w:rFonts w:ascii="Arial" w:cs="Arial" w:eastAsia="Arial" w:hAnsi="Arial"/>
          <w:sz w:val="14"/>
          <w:szCs w:val="14"/>
          <w:color w:val="auto"/>
        </w:rPr>
        <w:t>Our ability to deliver an elevated experience for our subscribers and customers that keeps them loyal to RTR depends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having the right assortment. Due to our deep partnerships with brands, we can acquire products directly from them in multiple ways, and due to our expertise in reverse logistics and garment restoration we can monetize our products effectively over their useful life. Diversifying our product acquisition away from 100% Wholesale has driven higher overall product return on investment and reduced the capital needs of the business. In fiscal year 2021, approximately 55% of new items were acquired through our more capital efficient non-Wholesale channels, compared to 54% in fiscal year 2020 and 26% in fiscal year 2019. We are executing on our strategy to further increase the percentage of units acquired through Exclusive Designs and Share by RTR in fiscal year 2022. We continuously evaluate our product acquisition mix to maximize our strategic priorities.</w:t>
      </w:r>
    </w:p>
    <w:p>
      <w:pPr>
        <w:spacing w:after="0" w:line="163"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our average upfront cost per item was $95, representing a 14% decrease from an average upfront cost of $111 in fiscal year 2019. Due to seasonality factors, we track our progress on average upfront cost on a full year basis, as quarterly costs are not necessarily reflective of full year trends. Our diversification into non-Wholesale channels has meaningfully reduced our upfront spend.</w:t>
      </w:r>
    </w:p>
    <w:p>
      <w:pPr>
        <w:spacing w:after="0" w:line="16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we make investments to grow subscribers and revenue and to enhance the customer experience. In September 2022, we announced a restructuring plan to drive long-term operational efficiencies, primarily in headcount and related expenses, and in technology and general and administrative expenses. Though we anticipate quarterly fluctuations in operating leverage, with these reductions we expect our fixed costs to decrease as a percentage of total revenue in fiscal year 2023, and over time would anticipate that our operating costs would not grow at the same pace as our total revenue on an annual basis.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13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experience seasonality in our business, which has been impacted and may in the future change due to the effects of the COVID-19 pandemic and the macro environment.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We historically had typically realized a higher portion of revenue from Reserve rentals during our third and fourth fiscal quarters as a result of increased wedding and holiday events.</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third and fourth fiscal quarters of 2021 and the first and second quarters of 2022 demonstrated subscriber seasonality patterns that are generally consistent with our historical trends, although our fourth quarter of 2021 saw a higher rate of pause activity due to the Omicron variant impact. In the second quarter of 2022, we experienced seasonally lower subscriber acquisition consistent with historical trends plus an increase in pause activity and decrease in retention and resubscription, which led to a lower ending Active Subscriber count compared with the end of the first quarter of fiscal year 2022. Active Subscriber levels may have been impacted by heightened seasonal changes in consumer behavior and/or the macro environment factors described below.</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our seasonality trends are seeing effects from COVID-19 generally, as Reserve orders and revenue have been impacted by fewer large-scale holiday and special events compared to pre-COVID-19, especially those typically occurring in the third and fourth quarters. Subscriber acquisition was also impacted by COVID-19 in the fourth quarter of 2021 due to fewer large-scale holiday and special events.</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fiscal fourth quarter, given higher service levels, such as more costly expedited shipping, and competition during holidays. Our most significant product capital expenditures typically occur in the first fiscal quarter and the third fiscal quarter, when we acquire product for the upcoming fall and spring seasons, though impact on cash is dependent on timing of receipt of product.</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key factors affecting our performance, see our 2021 Annual Report on Form 10-K.</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Macro and Consumer Environment on Our Business</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the COVID-19 pandemic, the war in Ukraine, inflationary pressures, potential risk of recession, and ongoing industry-wide supply chain issues. These factors have impacted, and are expected to continue to impact, consumer discretionary spending and purchasing behavior, price sensitivity, wage rates, transportation costs, and other costs associated with our business.</w:t>
      </w:r>
    </w:p>
    <w:p>
      <w:pPr>
        <w:spacing w:after="0" w:line="155" w:lineRule="exact"/>
        <w:rPr>
          <w:sz w:val="20"/>
          <w:szCs w:val="20"/>
          <w:color w:val="auto"/>
        </w:rPr>
      </w:pPr>
    </w:p>
    <w:p>
      <w:pPr>
        <w:jc w:val="both"/>
        <w:ind w:right="60"/>
        <w:spacing w:after="0" w:line="290" w:lineRule="auto"/>
        <w:rPr>
          <w:sz w:val="20"/>
          <w:szCs w:val="20"/>
          <w:color w:val="auto"/>
        </w:rPr>
      </w:pPr>
      <w:r>
        <w:rPr>
          <w:rFonts w:ascii="Arial" w:cs="Arial" w:eastAsia="Arial" w:hAnsi="Arial"/>
          <w:sz w:val="14"/>
          <w:szCs w:val="14"/>
          <w:color w:val="auto"/>
        </w:rPr>
        <w:t>The COVID-19 pandemic materially adversely affected our fiscal year 2020 and 2021 operating and financial results. While COVID-related restrictions have eased throughout 2021 and 2022, there remains substantial uncertainty about the pandemic’s impact on the global economy, e-commerce, and macroeconomic conditions that impact consumer spending.</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believe that our customers live, work, socialize and travel differently in 2022 than they did prior to the COVID-19 pandemic and this influences what they wear. We think that the backlog of special events that have been pushed to 2022 and 2023 will contribute to our continued COVID-19 recovery in those periods. We are also still learning how these types of changes in customer behavior impact our business, particularly in a challenging macro environment. The second quarter of fiscal year 2022 saw a lower ending Active Subscriber count compared with the end of the first quarter of fiscal year 2022. Active Subscriber levels may have been impacted by heightened seasonal changes in consumer behavior and/or potential macro factors, such as higher levels of remote work and less demand for work wear, inflationary pressures and sensitivity to increased pricing, or other factors. In addition, during the second quarter of fiscal year 2022, there was higher than expected usage of high formality apparel, which may have constrained the availability of these items and our ability to meet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we increased wage rates throughout fiscal year 2021 to attract and retain talent at our fulfillment centers and we expect to continue to be impacted by rising labor costs in fiscal year 2022. We also expect transportation costs to continue to increase in fiscal year 2022, and we are focused on diversifying our transportation network to mitigate these rising costs and service delays. Examples of these mitigation efforts include increasing volumes with regional and last-mile carriers and consolidating shipments, such as through the launch of an at-home pickup service in certain markets. Although we continue to face a challenging environment due to the macro environment, including impacts from the COVID-19 pandemic, we plan to manage our staffing and are diversifying our transportation network in order to support fluctuating demand for our offerings.</w:t>
      </w:r>
    </w:p>
    <w:p>
      <w:pPr>
        <w:spacing w:after="0" w:line="16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full extent to which the macro environment, including impacts from the COVID-19 pandemic, and the spread of any new variants, will directly or indirectly impact our business, results of operations, growth rates,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see Part II, Item 1A, “Risk Factors” of this Quarterly Report on Form 10-Q.</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80" w:type="dxa"/>
            <w:vAlign w:val="bottom"/>
          </w:tcPr>
          <w:p>
            <w:pPr>
              <w:spacing w:after="0"/>
              <w:rPr>
                <w:sz w:val="13"/>
                <w:szCs w:val="13"/>
                <w:color w:val="auto"/>
              </w:rPr>
            </w:pPr>
          </w:p>
        </w:tc>
        <w:tc>
          <w:tcPr>
            <w:tcW w:w="24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1"/>
                <w:szCs w:val="11"/>
                <w:b w:val="1"/>
                <w:bCs w:val="1"/>
                <w:color w:val="auto"/>
              </w:rPr>
              <w:t>Three Months Ended July 31,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1"/>
                <w:szCs w:val="11"/>
                <w:b w:val="1"/>
                <w:bCs w:val="1"/>
                <w:color w:val="auto"/>
              </w:rPr>
              <w:t>Six Months Ended July 31,</w:t>
            </w:r>
          </w:p>
        </w:tc>
      </w:tr>
      <w:tr>
        <w:trPr>
          <w:trHeight w:val="150"/>
        </w:trPr>
        <w:tc>
          <w:tcPr>
            <w:tcW w:w="368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2021</w:t>
            </w:r>
          </w:p>
        </w:tc>
      </w:tr>
      <w:tr>
        <w:trPr>
          <w:trHeight w:val="150"/>
        </w:trPr>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2"/>
          </w:tcPr>
          <w:p>
            <w:pPr>
              <w:jc w:val="right"/>
              <w:ind w:right="534"/>
              <w:spacing w:after="0"/>
              <w:rPr>
                <w:sz w:val="20"/>
                <w:szCs w:val="20"/>
                <w:color w:val="auto"/>
              </w:rPr>
            </w:pPr>
            <w:r>
              <w:rPr>
                <w:rFonts w:ascii="Arial" w:cs="Arial" w:eastAsia="Arial" w:hAnsi="Arial"/>
                <w:sz w:val="11"/>
                <w:szCs w:val="11"/>
                <w:b w:val="1"/>
                <w:bCs w:val="1"/>
                <w:color w:val="auto"/>
              </w:rPr>
              <w:t>($ in millions)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2"/>
          </w:tcPr>
          <w:p>
            <w:pPr>
              <w:jc w:val="right"/>
              <w:ind w:right="69"/>
              <w:spacing w:after="0"/>
              <w:rPr>
                <w:sz w:val="20"/>
                <w:szCs w:val="20"/>
                <w:color w:val="auto"/>
              </w:rPr>
            </w:pPr>
            <w:r>
              <w:rPr>
                <w:rFonts w:ascii="Arial" w:cs="Arial" w:eastAsia="Arial" w:hAnsi="Arial"/>
                <w:sz w:val="11"/>
                <w:szCs w:val="11"/>
                <w:b w:val="1"/>
                <w:bCs w:val="1"/>
                <w:color w:val="auto"/>
              </w:rPr>
              <w:t>($ in millions)</w:t>
            </w:r>
          </w:p>
        </w:tc>
        <w:tc>
          <w:tcPr>
            <w:tcW w:w="1020" w:type="dxa"/>
            <w:vAlign w:val="bottom"/>
          </w:tcPr>
          <w:p>
            <w:pPr>
              <w:spacing w:after="0"/>
              <w:rPr>
                <w:sz w:val="13"/>
                <w:szCs w:val="13"/>
                <w:color w:val="auto"/>
              </w:rPr>
            </w:pPr>
          </w:p>
        </w:tc>
      </w:tr>
      <w:tr>
        <w:trPr>
          <w:trHeight w:val="18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124,131</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97,614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124,131</w:t>
            </w: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97,614</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880" w:type="dxa"/>
            <w:vAlign w:val="bottom"/>
          </w:tcPr>
          <w:p>
            <w:pPr>
              <w:jc w:val="right"/>
              <w:ind w:right="736"/>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32.4</w:t>
            </w:r>
          </w:p>
        </w:tc>
        <w:tc>
          <w:tcPr>
            <w:tcW w:w="1000" w:type="dxa"/>
            <w:vAlign w:val="bottom"/>
          </w:tcPr>
          <w:p>
            <w:pPr>
              <w:jc w:val="right"/>
              <w:ind w:right="77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6"/>
              <w:spacing w:after="0"/>
              <w:rPr>
                <w:sz w:val="20"/>
                <w:szCs w:val="20"/>
                <w:color w:val="auto"/>
              </w:rPr>
            </w:pPr>
            <w:r>
              <w:rPr>
                <w:rFonts w:ascii="Arial" w:cs="Arial" w:eastAsia="Arial" w:hAnsi="Arial"/>
                <w:sz w:val="14"/>
                <w:szCs w:val="14"/>
                <w:color w:val="auto"/>
              </w:rPr>
              <w:t>54.9</w:t>
            </w:r>
          </w:p>
        </w:tc>
        <w:tc>
          <w:tcPr>
            <w:tcW w:w="5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180"/>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(1)</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5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80" w:hanging="255"/>
        <w:spacing w:after="0" w:line="268"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51"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July 31, 2022, we had 124,131 Active Subscribers, up 27% year-over-year as the equivalent quarter of fiscal year 2021 was more heavily impacted by the COVID-19 pandemic. The second quarter of fiscal year 2022 saw a lower ending Active Subscriber count compared with the end of the first quarter of fiscal year 2022. Active Subscriber levels may have been impacted by heightened seasonal changes in consumer behavior and/or potential macro environment factors, as discussed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 Gross Profit was $32.4 million for the three months ended July 31, 2022 compared to $18.2 million in the three months ended July 31, 2021 representing Gross Margins of 42.4% and 39.0%, respectively. Gross Profit was $54.9 million for the six months ended July 31, 2022 compared to $ 26.3 million for the six months ended July 31, 2021 representing Gross Margins of 38.2% and 32.8%, respectively. The significant increase in Gross Profit and Gross Margin for the three and six months ended July 31, 2022 was driven by higher revenue per shipment than prior year due to both the price increase and high add-on activity, seasonally lower shipments per average subscriber in the summer months, and lower rental product depreciation as a percentage of total revenue than in the prior period. These benefits more than offset higher fulfillment costs driven by increases in fulfillment related transportation costs. Rental product depreciation decreased as a percentage of revenue as costs were absorbed over a larger revenue base, while revenue share increased slightly as a percentage of revenue due to a higher proportion of Share by RTR items relative to prior year. We have improved and expect to have the opportunity to further improve Gross Profit and Gross Margin over time, with quarterly fluctuations, by driving growth in total revenue and revenue per subscriber, fulfillment and operational efficiency gains, and strategically evolving our mix of product acquisition.</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rental product assets, certain non-recurring or one-time costs (see below footnotes to the reconciliation table), income taxes, warrant liability revaluation gains / losses, debt extinguishment gains / losses, other income and expense, and other gains / losses. We define Adjusted EBITDA Margin as Adjusted EBITDA as a percentage of total revenue, net for a period. Adjusted EBITDA was $1.8 million for the three months ended July 31, 2022 compared to $(1.9) million for the three months ended July 31, 2021, representing margins of 2.4% and (4.1)%, respectively. Adjusted EBITDA was $(7.0) million for the six months ended</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July 31, 2022 compared to $ (8.1) million for the six months ended July 31, 2021, representing margins of (4.9)% and (10.1)%, respectively. Adjusted EBITDA Margin has improved for the three and six months ended July 31, 2022 due to the improvement in Gross Profit and Gross Margin and improved operating leverage across technology and general and administrative expenses even with additional strategic investments, partially offset by higher marketing expenditure. We have the opportunity to improve Adjusted EBITDA as we increase revenue and drive higher revenue per subscriber, fulfillment and operational efficiency gains, and operating expense leverage. In particular, we expect our restructuring plan to significantly reduce fixed costs and improve operating expense leverage.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9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Our total revenue, net consists of Subscription and Reserve rental revenue and Other revenue. Total revenue is presented net of promotional discounts, credits and refunds, and taxes.</w:t>
      </w:r>
    </w:p>
    <w:p>
      <w:pPr>
        <w:spacing w:after="0" w:line="141"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b w:val="1"/>
          <w:bCs w:val="1"/>
          <w:i w:val="1"/>
          <w:iCs w:val="1"/>
          <w:color w:val="auto"/>
        </w:rPr>
        <w:t>Subscription and Reserve Rental Revenue.</w:t>
      </w:r>
      <w:r>
        <w:rPr>
          <w:sz w:val="20"/>
          <w:szCs w:val="20"/>
          <w:color w:val="auto"/>
        </w:rPr>
        <w:tab/>
      </w:r>
      <w:r>
        <w:rPr>
          <w:rFonts w:ascii="Arial" w:cs="Arial" w:eastAsia="Arial" w:hAnsi="Arial"/>
          <w:sz w:val="14"/>
          <w:szCs w:val="14"/>
          <w:color w:val="auto"/>
        </w:rPr>
        <w:t>We generate Subscription and Reserve rental revenue from subscription and Reserve rental fees. We recognize subscription fees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ratably over the subscription period, commencing on the date the subscriber enrolls in a subscription program. These fees are collected upon enrollment and any revenue from an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unrecognized portion of the subscription period is deferred to the following fiscal period. We announced a price increase in April 2022 for our subscription plans which increased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revenue per subscriber in the second quarter of fiscal 2022. We recognize Reserve fees over the rental period, which starts on the date of delivery of the product to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customer. Reserve orders can be placed up to four months prior to the rental start date and the customer’s payment form is charged upon order confirmation. We defer recognizing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the rental fees and any related promotions for Reserve rentals until the date of delivery, and then recognize those fees evenly over the four- or eight-day rental period.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in the future as order volume increases and as costs to ship orders increase due to increasing prices in the transportation market which we started to see in the second half of fiscal year 2021 and continued to see impact results in the first and second quarters of fiscal year 2022. Fulfillment expense may also increase due to competitive pressures in the labor market which could lead to continued higher wage rates. We increased warehouse wage rates during fiscal year 2021 and believe we may continue to be impacted by rising wage rates.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43"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as a result of our cost reduction plan. Over the medium to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printed collateral, consumer research, and other related costs. We expect marketing expenses to increase as we intend to increase marketing spend to drive the growth of our business and increase our brand awareness. The trend and timing of our marketing expenses will depend in part on the timing of marketing campaigns.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these expenses to decrease significantly in dollars and as a percentage of total revenue as a result of our restructuring plan. Over the medium to long term, we expect general and administrative expenses to increase as we grow our infrastructure to support the overall growth of the business. Rent expense and other facilities-related costs may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 as well as the mix of our rental product base.</w:t>
      </w:r>
    </w:p>
    <w:p>
      <w:pPr>
        <w:spacing w:after="0" w:line="142"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interest and debt issuance cost amortization associated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Amended Temasek Facility going forward.</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is associated with revaluing liability classified warrants to the respective fair value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 period end or prior to conversion. As of July 31, 2022, all outstanding warrants are equity classified and therefore do not require remeasurement going forward.</w:t>
      </w:r>
    </w:p>
    <w:p>
      <w:pPr>
        <w:spacing w:after="0" w:line="141"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b w:val="1"/>
          <w:bCs w:val="1"/>
          <w:i w:val="1"/>
          <w:iCs w:val="1"/>
          <w:color w:val="auto"/>
        </w:rPr>
        <w:t>Other Income / (Expense)</w:t>
      </w:r>
      <w:r>
        <w:rPr>
          <w:rFonts w:ascii="Arial" w:cs="Arial" w:eastAsia="Arial" w:hAnsi="Arial"/>
          <w:sz w:val="14"/>
          <w:szCs w:val="14"/>
          <w:color w:val="auto"/>
        </w:rPr>
        <w:t>. Other income / (expense) consists primarily of proceeds from previous insurance claims and proceeds from monetizing tax credits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growth.</w:t>
      </w:r>
    </w:p>
    <w:p>
      <w:pPr>
        <w:spacing w:after="0" w:line="205"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taxes and Irish refundable tax credits. We have established a valuation allowance for our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280"/>
          </w:cols>
          <w:pgMar w:left="300" w:top="123" w:right="319" w:bottom="1440" w:gutter="0" w:footer="0" w:header="0"/>
        </w:sectPr>
      </w:pPr>
    </w:p>
    <w:p>
      <w:pPr>
        <w:spacing w:after="0" w:line="171" w:lineRule="exact"/>
        <w:rPr>
          <w:sz w:val="20"/>
          <w:szCs w:val="20"/>
          <w:color w:val="auto"/>
        </w:rPr>
      </w:pPr>
    </w:p>
    <w:p>
      <w:pPr>
        <w:jc w:val="center"/>
        <w:ind w:left="5640"/>
        <w:spacing w:after="0"/>
        <w:rPr>
          <w:sz w:val="20"/>
          <w:szCs w:val="20"/>
          <w:color w:val="auto"/>
        </w:rPr>
      </w:pPr>
      <w:r>
        <w:rPr>
          <w:rFonts w:ascii="Arial" w:cs="Arial" w:eastAsia="Arial" w:hAnsi="Arial"/>
          <w:sz w:val="11"/>
          <w:szCs w:val="11"/>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24765</wp:posOffset>
            </wp:positionV>
            <wp:extent cx="179197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34" w:lineRule="exact"/>
        <w:rPr>
          <w:sz w:val="20"/>
          <w:szCs w:val="20"/>
          <w:color w:val="auto"/>
        </w:rPr>
      </w:pPr>
    </w:p>
    <w:p>
      <w:pPr>
        <w:ind w:left="6120"/>
        <w:spacing w:after="0"/>
        <w:tabs>
          <w:tab w:leader="none" w:pos="754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17780</wp:posOffset>
            </wp:positionV>
            <wp:extent cx="179197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1"/>
          <w:szCs w:val="11"/>
          <w:b w:val="1"/>
          <w:bCs w:val="1"/>
          <w:color w:val="auto"/>
        </w:rPr>
        <w:t>($ in millions)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1"/>
          <w:szCs w:val="11"/>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24765</wp:posOffset>
            </wp:positionV>
            <wp:extent cx="179197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34" w:lineRule="exact"/>
        <w:rPr>
          <w:sz w:val="20"/>
          <w:szCs w:val="20"/>
          <w:color w:val="auto"/>
        </w:rPr>
      </w:pPr>
    </w:p>
    <w:p>
      <w:pPr>
        <w:spacing w:after="0"/>
        <w:tabs>
          <w:tab w:leader="none" w:pos="144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25400</wp:posOffset>
            </wp:positionV>
            <wp:extent cx="179197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1"/>
          <w:szCs w:val="11"/>
          <w:b w:val="1"/>
          <w:bCs w:val="1"/>
          <w:color w:val="auto"/>
        </w:rPr>
        <w:t>($ in millions)</w:t>
      </w:r>
    </w:p>
    <w:p>
      <w:pPr>
        <w:spacing w:after="0" w:line="28" w:lineRule="exact"/>
        <w:rPr>
          <w:sz w:val="20"/>
          <w:szCs w:val="20"/>
          <w:color w:val="auto"/>
        </w:rPr>
      </w:pPr>
    </w:p>
    <w:p>
      <w:pPr>
        <w:sectPr>
          <w:pgSz w:w="11900" w:h="16838" w:orient="portrait"/>
          <w:cols w:equalWidth="0" w:num="2">
            <w:col w:w="8300" w:space="720"/>
            <w:col w:w="226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9"/>
        </w:trPr>
        <w:tc>
          <w:tcPr>
            <w:tcW w:w="556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70.0</w:t>
            </w:r>
          </w:p>
        </w:tc>
        <w:tc>
          <w:tcPr>
            <w:tcW w:w="80" w:type="dxa"/>
            <w:vAlign w:val="bottom"/>
          </w:tcPr>
          <w:p>
            <w:pPr>
              <w:spacing w:after="0"/>
              <w:rPr>
                <w:sz w:val="14"/>
                <w:szCs w:val="14"/>
                <w:color w:val="auto"/>
              </w:rPr>
            </w:pPr>
          </w:p>
        </w:tc>
        <w:tc>
          <w:tcPr>
            <w:tcW w:w="5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42.9</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131.4</w:t>
            </w:r>
          </w:p>
        </w:tc>
        <w:tc>
          <w:tcPr>
            <w:tcW w:w="10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72.7</w:t>
            </w: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59"/>
        </w:trPr>
        <w:tc>
          <w:tcPr>
            <w:tcW w:w="5560" w:type="dxa"/>
            <w:vAlign w:val="bottom"/>
          </w:tcPr>
          <w:p>
            <w:pPr>
              <w:ind w:left="540"/>
              <w:spacing w:after="0"/>
              <w:rPr>
                <w:sz w:val="20"/>
                <w:szCs w:val="20"/>
                <w:color w:val="auto"/>
              </w:rPr>
            </w:pPr>
            <w:r>
              <w:rPr>
                <w:rFonts w:ascii="Arial" w:cs="Arial" w:eastAsia="Arial" w:hAnsi="Arial"/>
                <w:sz w:val="13"/>
                <w:szCs w:val="13"/>
                <w:color w:val="auto"/>
              </w:rPr>
              <w:t>Total revenue, net</w:t>
            </w:r>
          </w:p>
        </w:tc>
        <w:tc>
          <w:tcPr>
            <w:tcW w:w="5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46.7</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80.2</w:t>
            </w: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556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69"/>
        </w:trPr>
        <w:tc>
          <w:tcPr>
            <w:tcW w:w="556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r>
      <w:tr>
        <w:trPr>
          <w:trHeight w:val="169"/>
        </w:trPr>
        <w:tc>
          <w:tcPr>
            <w:tcW w:w="556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31.6</w:t>
            </w: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59"/>
        </w:trPr>
        <w:tc>
          <w:tcPr>
            <w:tcW w:w="55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costs and expenses</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w:t>
            </w:r>
          </w:p>
        </w:tc>
      </w:tr>
      <w:tr>
        <w:trPr>
          <w:trHeight w:val="162"/>
        </w:trPr>
        <w:tc>
          <w:tcPr>
            <w:tcW w:w="55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Operating loss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r>
      <w:tr>
        <w:trPr>
          <w:trHeight w:val="169"/>
        </w:trPr>
        <w:tc>
          <w:tcPr>
            <w:tcW w:w="5560" w:type="dxa"/>
            <w:vAlign w:val="bottom"/>
          </w:tcPr>
          <w:p>
            <w:pPr>
              <w:ind w:left="20"/>
              <w:spacing w:after="0"/>
              <w:rPr>
                <w:sz w:val="20"/>
                <w:szCs w:val="20"/>
                <w:color w:val="auto"/>
              </w:rPr>
            </w:pPr>
            <w:r>
              <w:rPr>
                <w:rFonts w:ascii="Arial" w:cs="Arial" w:eastAsia="Arial" w:hAnsi="Arial"/>
                <w:sz w:val="13"/>
                <w:szCs w:val="13"/>
                <w:color w:val="auto"/>
              </w:rPr>
              <w:t>Interest income / (expense), net</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 (loss) on warrant liability revaluation, net</w:t>
            </w: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6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 (expense), net</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r>
      <w:tr>
        <w:trPr>
          <w:trHeight w:val="162"/>
        </w:trPr>
        <w:tc>
          <w:tcPr>
            <w:tcW w:w="55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loss before income tax benefit / (expense)</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r>
      <w:tr>
        <w:trPr>
          <w:trHeight w:val="169"/>
        </w:trPr>
        <w:tc>
          <w:tcPr>
            <w:tcW w:w="5560" w:type="dxa"/>
            <w:vAlign w:val="bottom"/>
          </w:tcPr>
          <w:p>
            <w:pPr>
              <w:ind w:left="20"/>
              <w:spacing w:after="0"/>
              <w:rPr>
                <w:sz w:val="20"/>
                <w:szCs w:val="20"/>
                <w:color w:val="auto"/>
              </w:rPr>
            </w:pPr>
            <w:r>
              <w:rPr>
                <w:rFonts w:ascii="Arial" w:cs="Arial" w:eastAsia="Arial" w:hAnsi="Arial"/>
                <w:sz w:val="13"/>
                <w:szCs w:val="13"/>
                <w:color w:val="auto"/>
              </w:rPr>
              <w:t>Income tax benefit / (expense)</w:t>
            </w:r>
          </w:p>
        </w:tc>
        <w:tc>
          <w:tcPr>
            <w:tcW w:w="5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87"/>
        </w:trPr>
        <w:tc>
          <w:tcPr>
            <w:tcW w:w="556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Net loss</w:t>
            </w:r>
          </w:p>
        </w:tc>
        <w:tc>
          <w:tcPr>
            <w:tcW w:w="54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July 31, 2022 and 2021</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$ 76.5 million for the three months ended July 31, 2022, an increase of $29.8 million, or 63.8%, compared to $46.7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July 31, 2021. This increase was primarily driven by the increase in overall demand, including increased revenue from subscribers, directly attributable to the COVID-19 recovery compared to last year.</w:t>
      </w:r>
    </w:p>
    <w:p>
      <w:pPr>
        <w:spacing w:after="0" w:line="134"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$70.0 million for the three months ended July 31, 2022, an increase of $27.1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63.2%, compared to $42.9 million for the three months ended July 31, 2021. This increase was primarily driven by the 27% year-over-year increase in Active Subscriber count. In April 2022, we announced a price increase for our subscription plans which went into effect for new subscribers at the end of the quarter, and which went into effect for existing subscribers in the second quarter of fiscal year 2022, contributing to an increase in revenue per subscriber.</w:t>
      </w:r>
    </w:p>
    <w:p>
      <w:pPr>
        <w:spacing w:after="0" w:line="138"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$ 6.5 million for the three months ended July 31, 2022, an increase of $2.7 million, or 71.1%, compared to $3.8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2021. This increase was primarily driven by an increase in Active Subscribers which resulted in increased purchases of resale items. Other revenue represented 8.5% of total revenue, up from 8.1% in the same period of fiscal year 2021 as we saw higher resale purchases from our subscribers.</w:t>
      </w:r>
    </w:p>
    <w:p>
      <w:pPr>
        <w:spacing w:after="0" w:line="134"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$102.1 million for the three months ended July 31, 2022, an increase of $31.9 million, or 45.4%, compared to $70.2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months ended July 31, 2021. This increase was primarily driven by an increase in fulfillment, paid marketing, technology, and G&amp;A expenses and hiring to support our increased growth and public company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$23.4 million for the three months ended July 31, 2022, an increase of $9.9 million, or 73.3%, representing 30.6%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$13.5 million for the three months ended July 31, 2021, representing 28.9% of revenue. The increase in fulfillment dollars was primarily driven by an increase in shipments associated with higher revenue and an increase in transportation costs and wage rates which are expected to continue for the remainder of fiscal year 2022, partially offset by fulfillment process improvements.</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$14.9 million for the three months ended July 31, 2022, an increase of $4.4 million, or 41.9%, compared to $10.5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July 31, 2021. This increase was primarily driven by an increase in strategic investments and personnel costs to support future growth initiatives, including back end infrastructure and cloud investments that provide scaling and efficiency benefits and support our work to provide an enhanced search, fit and discovery experience for the consumer. Technology expenses were 19.5% of revenue for the three months ended July 31, 2022 compared to 22.5% last year as we saw increased operating leverage with higher revenue compared to prior year. Technology related share-based compensation expense was $1.6 million for the three months ended July 31, 2022 and was $0.5 million for the same period last year.</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$9.0 million for the three months ended July 31, 2022, an increase of $ 4.2 million, or 87.5%, compared to $4.8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2021. This increase was driven by the increased marketing initiatives as compared to the same period last year which had reduced paid and brand marketing spend during the COVID-19 pandemic. Marketing expenses unrelated to personnel costs were $7.8 million in the three months ended July 31, 2022 and 10.2% of revenue, compared to $3.7 million last year and 7.9% of total revenue. We expect marketing expenses to increase in absolute dollars in fiscal year 2022 compared with fiscal year 2021, in order to drive total revenue growth.</w:t>
      </w:r>
    </w:p>
    <w:p>
      <w:pPr>
        <w:spacing w:after="0" w:line="140"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G&amp;A expenses were $29.6 million for the three months ended July 31, 2022, an increase of $8.0 million, or 37.0%, compared to $21.6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three months ended July 31, 2021. This increase was primarily driven by the increase in costs required to support our growth and public company operations, including increased personnel, insurance and professional service fees, as well as increased credit card fees and customer service costs driven by revenue growth. G&amp;A expenses as a percentage of revenue were 38.7% compared to 46.3% last year as we saw increased operating leverage with higher revenue compared to prior year. G&amp;A related share-based compensation expense was $5.2 million for the three months ended July 31, 2022 and was $1.8 million for the same period last year.</w:t>
      </w:r>
    </w:p>
    <w:p>
      <w:pPr>
        <w:spacing w:after="0" w:line="14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$20.7 million for the three months ended July 31, 2022, an increase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$5.7 million, or 38.0%, compared to $15.0 million for the three months ended July 31, 2021. The increase is primarily a result of an increase in revenue share payments due to a higher proportion of Share by RTR items rented. Rental product depreciation and revenue share was 27.1% of revenue in the three months ended July 31, 2022, down from 32.1% in the prior period primarily due to rental product depreciation decreasing as a percentage of revenue as costs were absorbed over a larger revenue base.</w:t>
      </w:r>
    </w:p>
    <w:p>
      <w:pPr>
        <w:spacing w:after="0" w:line="138"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$4.5 million for the three months ended July 31, 2022, a decrease of $0.3 million, or (6.3)%,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$4.8 million for the three months ended July 31, 2021.</w:t>
      </w:r>
    </w:p>
    <w:p>
      <w:pPr>
        <w:spacing w:after="0" w:line="120"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b w:val="1"/>
          <w:bCs w:val="1"/>
          <w:i w:val="1"/>
          <w:iCs w:val="1"/>
          <w:color w:val="auto"/>
        </w:rPr>
        <w:t>Interest Income / (Expense), Net.</w:t>
      </w:r>
      <w:r>
        <w:rPr>
          <w:sz w:val="20"/>
          <w:szCs w:val="20"/>
          <w:color w:val="auto"/>
        </w:rPr>
        <w:tab/>
      </w:r>
      <w:r>
        <w:rPr>
          <w:rFonts w:ascii="Arial" w:cs="Arial" w:eastAsia="Arial" w:hAnsi="Arial"/>
          <w:sz w:val="14"/>
          <w:szCs w:val="14"/>
          <w:color w:val="auto"/>
        </w:rPr>
        <w:t>Interest expense, net was $(9.6) million for the three months ended July 31, 2022, a decrease of $5.3 million, or (35.6)%, compared to</w:t>
      </w:r>
    </w:p>
    <w:p>
      <w:pPr>
        <w:spacing w:after="0" w:line="23" w:lineRule="exact"/>
        <w:rPr>
          <w:sz w:val="20"/>
          <w:szCs w:val="20"/>
          <w:color w:val="auto"/>
        </w:rPr>
      </w:pPr>
    </w:p>
    <w:p>
      <w:pPr>
        <w:ind w:right="200"/>
        <w:spacing w:after="0" w:line="257" w:lineRule="auto"/>
        <w:rPr>
          <w:sz w:val="20"/>
          <w:szCs w:val="20"/>
          <w:color w:val="auto"/>
        </w:rPr>
      </w:pPr>
      <w:r>
        <w:rPr>
          <w:rFonts w:ascii="Arial" w:cs="Arial" w:eastAsia="Arial" w:hAnsi="Arial"/>
          <w:sz w:val="14"/>
          <w:szCs w:val="14"/>
          <w:color w:val="auto"/>
        </w:rPr>
        <w:t>$(14.9) million for the three months ended July 31, 2021. This decrease was driven by the accrued payment-in-kind interest related to the additional Ares debt entered in October 2020 which impacted the balance as of July 31, 2021 and then was paid down in full in October 2021 which impacted the balance as of July 31, 2022. Of the $(9.6) million total interest expense in the three months ended July 31, 2022, $3.6 million was the accrual of PIK interest, $5.0 million was cash, financing lease interest and other interest and $1.0 million was debt discount amortization, compared to $12.0 million of PIK interest, $1.2 million of cash, financing lease interest and other interest and $1.7 million of debt discount amortization in the three months ended July 31,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net was $(8.0) million for the three months ended July 31, 2021. As of July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all the Company’s outstanding warrants are equity-classified and, as such, did not require fair value remeasurement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six months ended July 31, 2022 and 2021</w:t>
      </w:r>
    </w:p>
    <w:p>
      <w:pPr>
        <w:spacing w:after="0" w:line="92"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$ 143.6 million for the six months ended July 31, 2022, an increase of $63.4 million, or 79.1%, compared to $80.2 million for the six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July 31, 2021. This increase was primarily driven by the increase in overall demand, including subscriber count, directly attributable to the COVID-19 recovery compared to last year.</w:t>
      </w:r>
    </w:p>
    <w:p>
      <w:pPr>
        <w:spacing w:after="0" w:line="13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$131.4 million for the six months ended July 31, 2022, an increase of $58.7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80.7%, compared to $72.7 million for the six months ended July 31, 2021. This increase was primarily driven by the 27% year-over-year increase in Active Subscriber count and the increase in Reserve rental revenue as a result of the COVID-19 pandemic recovery compared to last year. In addition, in the first six months of fiscal year 2022 we experienced a recovery from the impact of the Omicron variant, which impacted the fourth quarter of fiscal year 2021. Our active subscriber count increased 8% from the end of fiscal year 2021. In April 2022, we announced a price increase for our subscription plans which went into effect for new subscribers at the end of the quarter, and which went into effect for existing subscribers in the second quarter of fiscal year 2022.</w:t>
      </w:r>
    </w:p>
    <w:p>
      <w:pPr>
        <w:spacing w:after="0" w:line="142"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$12.2 million for the six months ended July 31, 2022, an increase of $4.7 million, or 62.7%, compared to $7.5 million for the six months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July 31, 2021. This increase was primarily driven by an increase in Active Subscribers which resulted in increased purchases of resale items. Other revenue represented 8.5% of total revenue, down from 9.4% in the same period of fiscal year 2021, primarily due to a shift from the prior year strategy of increasing resale revenue through promotional activities during COVID-19.</w:t>
      </w:r>
    </w:p>
    <w:p>
      <w:pPr>
        <w:spacing w:after="0" w:line="138"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$202.4 million for the six months ended July 31, 2022, an increase of $70.4 million, or 53.3%, compared to $132.0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six months ended July 31, 2021. This increase was primarily driven by an increase in fulfillment, paid marketing, technology, and G&amp;A expenses and hiring to support our increased growth and public company costs.</w:t>
      </w:r>
    </w:p>
    <w:p>
      <w:pPr>
        <w:spacing w:after="0" w:line="134"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$46.3 million for the six months ended July 31, 2022, an increase of $24.0 million, or 107.6%, representing 32.2%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$22.3 million for the six months ended July 31, 2021, representing 27.8% of revenue. The increase in fulfillment dollars was primarily driven by an increase in shipments associated with higher revenue and an increase in transportation costs and wage rates, partially offset by fulfillment process improvements.</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$28.5 million for the six months ended July 31, 2022, an increase of $8.3 million, or 41.1%, compared to $20.2 million for the six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2021. This increase was primarily driven by an increase in strategic investments and personnel costs to support future growth initiatives, including back end infrastructure and cloud investments that provide scaling and efficiency benefits and support our work to provide an enhanced search, fit and discovery experience for the consumer. Technology expenses were 19.8% of revenue for the six months ended July 31, 2022 compared to 25.2% last year as we saw increased operating leverage with higher revenue. Technology related share-based compensation expense was $2.8 million for the six months ended July 31, 2022 and was $0.9 million for the same period last year.</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i w:val="1"/>
          <w:iCs w:val="1"/>
          <w:color w:val="auto"/>
        </w:rPr>
        <w:t>Marketing.</w:t>
      </w:r>
      <w:r>
        <w:rPr>
          <w:sz w:val="20"/>
          <w:szCs w:val="20"/>
          <w:color w:val="auto"/>
        </w:rPr>
        <w:tab/>
      </w:r>
      <w:r>
        <w:rPr>
          <w:rFonts w:ascii="Arial" w:cs="Arial" w:eastAsia="Arial" w:hAnsi="Arial"/>
          <w:sz w:val="14"/>
          <w:szCs w:val="14"/>
          <w:color w:val="auto"/>
        </w:rPr>
        <w:t>Marketing expenses were $17.7 million for the six months ended July 31, 2022, an increase of $10.3 million, or 139.2%, compared to $7.4 million for the six months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ended July 31, 2021. This increase was driven by the increased marketing initiatives as compared to the same period last year when we reduced paid and brand marketing spend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during the COVID-19 pandemic. Marketing expenses unrelated to personnel costs were $15.2 million in the six months ended July 31, 2022 and 10.6% of revenue, compared to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$5.3 million last year and 6.6% of total revenue. We expect marketing expenses to increase in absolute dollars in fiscal year 2022, compared with fiscal year 2021, in order to drive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total revenue growth.</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40"/>
        <w:spacing w:after="0" w:line="260"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$58.8 million for the six months ended July 31, 2022, an increase of $18.2 million, or 44.8%,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$40.6 million for the six months ended July 31, 2021. This increase was primarily driven by the increase in costs required to support our growth and public company operations, including increased personnel, insurance and professional service fees, as well as increased credit card fees and customer service costs driven by revenue growth.</w:t>
      </w:r>
    </w:p>
    <w:p>
      <w:pPr>
        <w:ind w:right="440"/>
        <w:spacing w:after="0" w:line="269" w:lineRule="auto"/>
        <w:rPr>
          <w:sz w:val="20"/>
          <w:szCs w:val="20"/>
          <w:color w:val="auto"/>
        </w:rPr>
      </w:pPr>
      <w:r>
        <w:rPr>
          <w:rFonts w:ascii="Arial" w:cs="Arial" w:eastAsia="Arial" w:hAnsi="Arial"/>
          <w:sz w:val="14"/>
          <w:szCs w:val="14"/>
          <w:color w:val="auto"/>
        </w:rPr>
        <w:t>G&amp;A expenses as a percentage of revenue were 40.9% compared to 50.6% last year as we saw increased operating leverage with higher revenue. G&amp;A related share-based compensation expense was $9.3 million for the six months ended July 31, 2022 and was $3.2 million for the same period last year.</w:t>
      </w:r>
    </w:p>
    <w:p>
      <w:pPr>
        <w:spacing w:after="0" w:line="13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$42.4 million for the six months ended July 31, 2022, an increase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$10.8 million, or 34.2%, compared to $31.6 million for the six months ended July 31, 2021. The increase is primarily a result of an increase in revenue share payments due to a higher proportion of Share by RTR items rented. Rental product depreciation and revenue share was 29.5% of revenue in the six months ended July 31, 2022, down from 39.4% in the prior period primarily due to rental product depreciation decreasing as a percentage of revenue as costs were absorbed over a larger revenue base.</w:t>
      </w:r>
    </w:p>
    <w:p>
      <w:pPr>
        <w:spacing w:after="0" w:line="138"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$8.7 million for the six months ended July 31, 2022, a decrease of $1.2 million, or (12.1)%,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$9.9 million for the six months ended July 31, 2021. This decrease was primarily driven by lower depreciation associated with leasehold improvements.</w:t>
      </w:r>
    </w:p>
    <w:p>
      <w:pPr>
        <w:spacing w:after="0" w:line="120"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b w:val="1"/>
          <w:bCs w:val="1"/>
          <w:i w:val="1"/>
          <w:iCs w:val="1"/>
          <w:color w:val="auto"/>
        </w:rPr>
        <w:t>Interest Income / (Expense), Net.</w:t>
      </w:r>
      <w:r>
        <w:rPr>
          <w:sz w:val="20"/>
          <w:szCs w:val="20"/>
          <w:color w:val="auto"/>
        </w:rPr>
        <w:tab/>
      </w:r>
      <w:r>
        <w:rPr>
          <w:rFonts w:ascii="Arial" w:cs="Arial" w:eastAsia="Arial" w:hAnsi="Arial"/>
          <w:sz w:val="14"/>
          <w:szCs w:val="14"/>
          <w:color w:val="auto"/>
        </w:rPr>
        <w:t>Interest expense, net was $(18.9) million for the six months ended July 31, 2022, a decrease of $10.5 million, or (35.7)%, compared to</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$(29.4) million for the six months ended July 31, 2021. This decrease was driven by the accrued payment-in-kind interest related to the additional Ares debt entered in October 2020 which impacted the balance as of July 31, 2021 and then was paid down in full in October 2021 which impacted the balance as of July 31, 2022. Of the $(18.9) million total interest expense in the six months ended July 31, 2022, $7.0 million was the accrual of paid-in kind (“PIK”) interest, $9.9 million was cash, financing lease interest and other interest and $2.0 million was debt discount amortization, compared to $23.2 million of PIK interest, $2.3 million of cash, financing lease interest and other interest and $3.9 million of debt discount amortization in the six months ended July 31, 2021.</w:t>
      </w:r>
    </w:p>
    <w:p>
      <w:pPr>
        <w:spacing w:after="0" w:line="164"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net was $(7.5) million for the six months ended July 31, 2021. As of July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all the Company’s outstanding warrants are equity-classified and, as such, did not require fair value remeasurement during the period.</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$1.3 million for the six months ended July 31, 2022, a decrease of $(2.6) million, compared to $3.9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six months ended July 31, 2021. This decrease was primarily driven by $4.0 million of insurance claim proceeds, which were settled during the six months ended July 31, 2021.</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 Our Adjusted EBITDA margins have improved from (4.1)% in the three months ended July 31, 2021 to 2.4% in the three months ended July 31, 2022. Adjusted EBITDA margins have also improved from (10.1)% in the six months ended July 31, 2021 to (4.9)% in the six months ended July 31, 2022.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4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1"/>
                <w:szCs w:val="11"/>
                <w:b w:val="1"/>
                <w:bCs w:val="1"/>
                <w:color w:val="auto"/>
              </w:rPr>
              <w:t>Three Months Ended July 31,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1"/>
                <w:szCs w:val="11"/>
                <w:b w:val="1"/>
                <w:bCs w:val="1"/>
                <w:color w:val="auto"/>
              </w:rPr>
              <w:t>Six Months Ended July 31,</w:t>
            </w:r>
          </w:p>
        </w:tc>
      </w:tr>
      <w:tr>
        <w:trPr>
          <w:trHeight w:val="150"/>
        </w:trPr>
        <w:tc>
          <w:tcPr>
            <w:tcW w:w="49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50"/>
        </w:trPr>
        <w:tc>
          <w:tcPr>
            <w:tcW w:w="4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40" w:type="dxa"/>
            <w:vAlign w:val="bottom"/>
            <w:gridSpan w:val="3"/>
          </w:tcPr>
          <w:p>
            <w:pPr>
              <w:jc w:val="right"/>
              <w:ind w:right="634"/>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3"/>
                <w:szCs w:val="13"/>
                <w:color w:val="auto"/>
              </w:rPr>
            </w:pPr>
          </w:p>
        </w:tc>
      </w:tr>
      <w:tr>
        <w:trPr>
          <w:trHeight w:val="181"/>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(42.4)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(84.7)</w:t>
            </w: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96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29.4</w:t>
            </w: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23.9</w:t>
            </w: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96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9.9</w:t>
            </w: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4.3</w:t>
            </w: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96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2.8</w:t>
            </w: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2.8</w:t>
            </w: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Income tax (benefit) / expense</w:t>
            </w:r>
          </w:p>
        </w:tc>
        <w:tc>
          <w:tcPr>
            <w:tcW w:w="96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(0.1)</w:t>
            </w: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 loss on warrant liability revaluation, net (6)</w:t>
            </w: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7.5</w:t>
            </w: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Other (income) / expense, net (7)</w:t>
            </w:r>
          </w:p>
        </w:tc>
        <w:tc>
          <w:tcPr>
            <w:tcW w:w="96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(3.9)</w:t>
            </w: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 losses (8)</w:t>
            </w: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r>
      <w:tr>
        <w:trPr>
          <w:trHeight w:val="171"/>
        </w:trPr>
        <w:tc>
          <w:tcPr>
            <w:tcW w:w="49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(8.1)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 (9)</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235"/>
        </w:trPr>
        <w:tc>
          <w:tcPr>
            <w:tcW w:w="4940" w:type="dxa"/>
            <w:vAlign w:val="bottom"/>
          </w:tcPr>
          <w:p>
            <w:pPr>
              <w:spacing w:after="0"/>
              <w:rPr>
                <w:sz w:val="20"/>
                <w:szCs w:val="20"/>
                <w:color w:val="auto"/>
              </w:rPr>
            </w:pPr>
            <w:r>
              <w:rPr>
                <w:rFonts w:ascii="Arial" w:cs="Arial" w:eastAsia="Arial" w:hAnsi="Arial"/>
                <w:sz w:val="14"/>
                <w:szCs w:val="14"/>
                <w:color w:val="auto"/>
              </w:rPr>
              <w:t>__________</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ind w:left="260" w:right="100" w:hanging="255"/>
        <w:spacing w:after="0" w:line="288" w:lineRule="auto"/>
        <w:tabs>
          <w:tab w:leader="none" w:pos="254" w:val="left"/>
        </w:tabs>
        <w:numPr>
          <w:ilvl w:val="0"/>
          <w:numId w:val="23"/>
        </w:numPr>
        <w:rPr>
          <w:rFonts w:ascii="Arial" w:cs="Arial" w:eastAsia="Arial" w:hAnsi="Arial"/>
          <w:sz w:val="7"/>
          <w:szCs w:val="7"/>
          <w:color w:val="auto"/>
        </w:rPr>
      </w:pPr>
      <w:r>
        <w:rPr>
          <w:rFonts w:ascii="Arial" w:cs="Arial" w:eastAsia="Arial" w:hAnsi="Arial"/>
          <w:sz w:val="11"/>
          <w:szCs w:val="11"/>
          <w:color w:val="auto"/>
        </w:rPr>
        <w:t>Includes debt discount amortization of $1.0 million in the three months ended July 31, 2022, $1.7 million in the three months ended July 31, 2021, $2.0 million in the six months ended July 31, 2022 and $3.9 million in the six months ended July 31, 2021.</w:t>
      </w:r>
    </w:p>
    <w:p>
      <w:pPr>
        <w:spacing w:after="0" w:line="25" w:lineRule="exact"/>
        <w:rPr>
          <w:rFonts w:ascii="Arial" w:cs="Arial" w:eastAsia="Arial" w:hAnsi="Arial"/>
          <w:sz w:val="7"/>
          <w:szCs w:val="7"/>
          <w:color w:val="auto"/>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non-rental product depreciation and capitalized software amortization.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the non-cash expense for share-based compensation.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63" w:lineRule="exact"/>
        <w:rPr>
          <w:rFonts w:ascii="Arial" w:cs="Arial" w:eastAsia="Arial" w:hAnsi="Arial"/>
          <w:sz w:val="15"/>
          <w:szCs w:val="15"/>
          <w:color w:val="auto"/>
          <w:vertAlign w:val="superscript"/>
        </w:rPr>
      </w:pPr>
    </w:p>
    <w:p>
      <w:pPr>
        <w:ind w:left="260" w:right="280" w:hanging="255"/>
        <w:spacing w:after="0" w:line="282" w:lineRule="auto"/>
        <w:tabs>
          <w:tab w:leader="none" w:pos="254" w:val="left"/>
        </w:tabs>
        <w:numPr>
          <w:ilvl w:val="0"/>
          <w:numId w:val="23"/>
        </w:numPr>
        <w:rPr>
          <w:rFonts w:ascii="Arial" w:cs="Arial" w:eastAsia="Arial" w:hAnsi="Arial"/>
          <w:sz w:val="7"/>
          <w:szCs w:val="7"/>
          <w:color w:val="auto"/>
        </w:rPr>
      </w:pPr>
      <w:r>
        <w:rPr>
          <w:rFonts w:ascii="Arial" w:cs="Arial" w:eastAsia="Arial" w:hAnsi="Arial"/>
          <w:sz w:val="11"/>
          <w:szCs w:val="11"/>
          <w:color w:val="auto"/>
        </w:rPr>
        <w:t>Non-recurring adjustments for the three months ended July 31, 2022 includes $0.7 million of costs related to public company SOX readiness and the three months ended July 31, 2021 includes $1.8 million of costs primarily associated with public readiness preparation. Non-recurring adjustments for the six months ended July 31, 2022 includes $1.0 million of public company SOX readiness and for the six months ended July 31, 2021 includes $2.7 million of costs primarily associated with public readiness preparation.</w:t>
      </w:r>
    </w:p>
    <w:p>
      <w:pPr>
        <w:spacing w:after="0" w:line="52" w:lineRule="exact"/>
        <w:rPr>
          <w:rFonts w:ascii="Arial" w:cs="Arial" w:eastAsia="Arial" w:hAnsi="Arial"/>
          <w:sz w:val="7"/>
          <w:szCs w:val="7"/>
          <w:color w:val="auto"/>
        </w:rPr>
      </w:pPr>
    </w:p>
    <w:p>
      <w:pPr>
        <w:ind w:left="260" w:right="340" w:hanging="255"/>
        <w:spacing w:after="0" w:line="229" w:lineRule="auto"/>
        <w:tabs>
          <w:tab w:leader="none" w:pos="254"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the expense associated with revaluing prior liability classified lender warrants to the respective fair value at period end. As of July 31, 2022, all outstanding warrants are equity classified and therefore do not require remeasurement going forward.</w:t>
      </w:r>
    </w:p>
    <w:p>
      <w:pPr>
        <w:spacing w:after="0" w:line="64"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7"/>
          <w:szCs w:val="7"/>
          <w:color w:val="auto"/>
        </w:rPr>
      </w:pPr>
      <w:r>
        <w:rPr>
          <w:rFonts w:ascii="Arial" w:cs="Arial" w:eastAsia="Arial" w:hAnsi="Arial"/>
          <w:sz w:val="11"/>
          <w:szCs w:val="11"/>
          <w:color w:val="auto"/>
        </w:rPr>
        <w:t>Primarily includes $1.3 million of monetized tax credits for the three and six months ended July 31, 2022 and $4.0 million of insurance claim proceeds for the three and six months ended July 31, 2021.</w:t>
      </w:r>
    </w:p>
    <w:p>
      <w:pPr>
        <w:spacing w:after="0" w:line="96" w:lineRule="exact"/>
        <w:rPr>
          <w:rFonts w:ascii="Arial" w:cs="Arial" w:eastAsia="Arial" w:hAnsi="Arial"/>
          <w:sz w:val="7"/>
          <w:szCs w:val="7"/>
          <w:color w:val="auto"/>
        </w:rPr>
      </w:pPr>
    </w:p>
    <w:p>
      <w:pPr>
        <w:ind w:left="260" w:right="420" w:hanging="255"/>
        <w:spacing w:after="0" w:line="229" w:lineRule="auto"/>
        <w:tabs>
          <w:tab w:leader="none" w:pos="254"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51"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9"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Since our founding, we have financed our operations primarily from net proceeds from the sale of redeemable preferred stock, common stock and debt financings. As of July 31, 2022, we had cash and cash equivalents of $192.3 million and restricted cash of $10.4 million ($4.6 million current and $5.8 million noncurrent), and an accumulated deficit of $(877.6)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As disclosed above, 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4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Concurrent with our IPO, we paid down our senior secured term loan of $80.7 million (including accrued interest) with Ares Corporate Opportunities Fund V, L.P. (the “Ares Facility”) in full and $60.0 million of our Temasek Facility and refinanced the remaining Temasek Facility, resulting in a total debt repayment of $140.7 million. Our total indebtedness as of July 31, 2022 was $269.8 million. For a description of the terms of our current and prior credit agreements, see “Note 6 – Long-Term Debt” in the Notes to the Condensed Consolidated Financial Statements.</w:t>
      </w:r>
    </w:p>
    <w:p>
      <w:pPr>
        <w:spacing w:after="0" w:line="138"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twelve months from the date of this Quarterly Report. Additionally, in September 2022, the Company announced a restructuring plan to reduce costs, streamline its organizational structure and drive operational efficiencies, which is expected to generate annual operating expense savings of $25 to $27 million (relative to the second quarter of fiscal 2022 run rate) in fiscal 2023.</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9" w:lineRule="exact"/>
        <w:rPr>
          <w:sz w:val="20"/>
          <w:szCs w:val="20"/>
          <w:color w:val="auto"/>
        </w:rPr>
      </w:pPr>
    </w:p>
    <w:p>
      <w:pPr>
        <w:jc w:val="center"/>
        <w:ind w:left="7540"/>
        <w:spacing w:after="0"/>
        <w:rPr>
          <w:sz w:val="20"/>
          <w:szCs w:val="20"/>
          <w:color w:val="auto"/>
        </w:rPr>
      </w:pPr>
      <w:r>
        <w:rPr>
          <w:rFonts w:ascii="Arial" w:cs="Arial" w:eastAsia="Arial" w:hAnsi="Arial"/>
          <w:sz w:val="11"/>
          <w:szCs w:val="11"/>
          <w:b w:val="1"/>
          <w:bCs w:val="1"/>
          <w:color w:val="auto"/>
        </w:rPr>
        <w:t>Six Months Ended</w:t>
      </w:r>
    </w:p>
    <w:p>
      <w:pPr>
        <w:jc w:val="center"/>
        <w:ind w:left="7540"/>
        <w:spacing w:after="0"/>
        <w:rPr>
          <w:sz w:val="20"/>
          <w:szCs w:val="20"/>
          <w:color w:val="auto"/>
        </w:rPr>
      </w:pPr>
      <w:r>
        <w:rPr>
          <w:rFonts w:ascii="Arial" w:cs="Arial" w:eastAsia="Arial" w:hAnsi="Arial"/>
          <w:sz w:val="11"/>
          <w:szCs w:val="11"/>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9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r>
      <w:tr>
        <w:trPr>
          <w:trHeight w:val="150"/>
        </w:trPr>
        <w:tc>
          <w:tcPr>
            <w:tcW w:w="7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71"/>
        </w:trPr>
        <w:tc>
          <w:tcPr>
            <w:tcW w:w="790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 and restricted cash</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year</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r>
      <w:tr>
        <w:trPr>
          <w:trHeight w:val="171"/>
        </w:trPr>
        <w:tc>
          <w:tcPr>
            <w:tcW w:w="790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year</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r>
      <w:tr>
        <w:trPr>
          <w:trHeight w:val="20"/>
        </w:trPr>
        <w:tc>
          <w:tcPr>
            <w:tcW w:w="7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 (16.1) million for the six months ended July 31, 2021 and $(53.8) million for the six months ended July 31, 2022. The cash consumption of the business was higher in the first six months of fiscal year 2022 compared with the same period of last year primarily due to higher investments in growth initiatives and capital expenditures associated with the COVID-19 pandemic recovery compared to last year.</w:t>
      </w:r>
    </w:p>
    <w:p>
      <w:pPr>
        <w:spacing w:after="0" w:line="159"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The sum of net cash used in operating activities and net cash used in investing activities, as a percentage of revenue, was (20.1)% for the six months ended July 31, 2021 and (37.5)% for six months ended July 31, 2022.</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44"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six months ended July 31, 2022, net cash used in operating activities was $(33.0) million, which consisted of a net</w:t>
      </w:r>
      <w:r>
        <w:rPr>
          <w:rFonts w:ascii="Arial" w:cs="Arial" w:eastAsia="Arial" w:hAnsi="Arial"/>
          <w:sz w:val="14"/>
          <w:szCs w:val="14"/>
          <w:b w:val="1"/>
          <w:bCs w:val="1"/>
          <w:color w:val="auto"/>
        </w:rPr>
        <w:t xml:space="preserve"> </w:t>
      </w:r>
      <w:r>
        <w:rPr>
          <w:rFonts w:ascii="Arial" w:cs="Arial" w:eastAsia="Arial" w:hAnsi="Arial"/>
          <w:sz w:val="14"/>
          <w:szCs w:val="14"/>
          <w:color w:val="auto"/>
        </w:rPr>
        <w:t>loss of $(76.4) million, partially offset by non-cash charges of $58.9 million, reclassification of the proceeds from the sale of rental product of $8.8 million and a net change of $(6.7) million in our operating assets and liabilities. The non-cash charges were primarily comprised of $26.9 million of rental product depreciation and write-off expenses, $7.0 million of payment-in-kind interest, $12.4 million of share-based compensation, $2.0 million of debt discount amortization and $10.6 million of other fixed and intangible asset depreciation and the loss on the surrender of fixed asset write-offs related to the partial termination of the lease of the corporate headquarters (see “Note 4 - Leases – Lessee Accounting” in the Notes to the Condensed Consolidated Financial Statements).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For the six months ended July 31, 2021, net cash used in operating activities was $(12.7) million, which consisted of a net loss of $(84.7) million, partially offset by non-cash charges of $72.0 million, reclassification of the proceeds from the sale of rental product of $5.6 million and a net change of $5.6 million in our operating assets and liabilities. The non-cash charges were primarily comprised of $23.2 million of rental product depreciation and write-off expenses, $23.2 million of payment-in-kind interest, $4.3 million of share-based compensation, $7.5 million loss on remeasurement of warrant liability, $3.9 million of debt discount amortization and $9.9 million of other fixed and intangible asset depreciation and amortization.</w:t>
      </w:r>
    </w:p>
    <w:p>
      <w:pPr>
        <w:spacing w:after="0" w:line="140" w:lineRule="exact"/>
        <w:rPr>
          <w:sz w:val="20"/>
          <w:szCs w:val="20"/>
          <w:color w:val="auto"/>
        </w:rPr>
      </w:pPr>
    </w:p>
    <w:p>
      <w:pPr>
        <w:spacing w:after="0"/>
        <w:tabs>
          <w:tab w:leader="none" w:pos="3540" w:val="left"/>
        </w:tabs>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4"/>
          <w:szCs w:val="14"/>
          <w:color w:val="auto"/>
        </w:rPr>
        <w:t>For the six months ended July 31, 2022, net cash used in investing activities was $(20.8) million, primarily consisting of</w:t>
      </w:r>
    </w:p>
    <w:p>
      <w:pPr>
        <w:spacing w:after="0" w:line="2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$(27.6) million of purchases of rental product incurred in the period and $(4.6) million of purchases of fixed and intangible assets. The investment in rental product does not include an additional $8.9 million of cost for units received in the current period but not yet paid for, but does include $(6.5) million of cost for units paid for in the current period but received in the prior period (see the Supplemental Cash Flow Information in Part I, Item 1. Financial Statements). The investment in rental product was to support our growth in customer demand. The majority of the investment in fixed and intangible assets was related to investments in automation assets, additional processing machinery and equipment for our Secaucus and Arlington warehouses and capitalized technology labor. The cash used in investing activities was partially offset by $8.8 million of proceeds from the sale of owned rental product and $2.6 million of proceeds from the liquidation of rental product.</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For the six months ended July 31, 2021, net cash used in investing activities was $(3.4) million, primarily consisting of $(8.5) million of purchases of rental product and $ (3.9) million of purchases of fixed and intangible assets. The investment in rental product did not include the additional $ 1.7 million of cost for units received in the current period but not yet paid for but did include $(3.6) million of cost for units paid for in the current period but received in the prior period (see Supplemental Cash Flow Information in Part I, Item 1. Financial Statements). The investment in rental product was to support growth in planned customer demand prior to the onset of COVID-19. The majority of the investment in fixed and intangible assets was related to the build-out of our new headquarters in Brooklyn, NY, the investment in automation assets and additional processing machinery and equipment for our warehouses in addition to capitalized technology labor. The cash used in investing activities was partially offset by $5.6 million of proceeds from sale of owned rental product and $3.4 million of proceeds from the liquidation of rental product.</w:t>
      </w:r>
    </w:p>
    <w:p>
      <w:pPr>
        <w:spacing w:after="0" w:line="142"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six months ended July 31, 2022, net cash used in financing activities was $(3.1)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During the six months ended July 31, 2021, net cash provided by financing activities was $22.4 million, consisting primarily of proceeds from the issuance of redeemable preferred stock of $21.2 million.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4"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In October 2021, we paid down outstanding principal and accrued interest of our Ares Facility in full and a portion of our Temasek Facility. Additionally, we entered into the Amended Temasek Facility. As of July 31, 2022, we had approximately $269.8 million of total debt outstanding, none of which is payable within the next 12 months. See “Note 6 — Long-Term Debt” in the Notes to the Condensed Consolidated Financial Statements for more information.</w:t>
      </w:r>
    </w:p>
    <w:p>
      <w:pPr>
        <w:spacing w:after="0" w:line="49"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See “Note 4 — Leases – Lessee Accounting” in the Notes to the Condensed Consolidated Financial Statements for our minimum fixed lease obligations under existing lease agreements as of July 31, 2022.</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Our critical accounting estimates are described under the heading “Management’s Discussion and Analysis of Financial Condition and Results of Operations-Critical Accounting Estimates” in our 2021 Annual Report on Form 10-K. In the six months ended July 31, 2022, there were no material changes to our critical accounting estimates from those discussed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As of July 31, 2022, we had cash and cash equivalents of $192.3 million and $269.8 million of debt outstanding under the Temasek Facility. Cash and cash equivalents consist primarily of cash held in financial institutions within the United States and Ireland and cash in transit from third-party credit card providers. Borrowings under the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July 31, 2022, a hypothetical 10% change in interest rates would not have resulted in a material impact on our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July 31, 2022, a hypothetical 10% change in the relative value of the U.S. dollar to other currencies would not have had a material effect on our results of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recent months, inflation has continued to increase significantly in the United States and overseas resulting in rising transportation, wages, rental product and other costs. We do not believe that inflation has had a material effect on our business, financial condition or results of operations. For a discussion of recent wage increases and transportation costs related, in part, to inflationary pressures, see “Impact of COVID-19 on Our Business” in Part I, Item 2.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July 31, 2022 because of the material weaknesses in our internal control over financial reporting described below.</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July 31, 2022, these material weaknesses are still in the process of being remediated.</w:t>
      </w:r>
    </w:p>
    <w:p>
      <w:pPr>
        <w:spacing w:after="0" w:line="53"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3"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Notwithstanding the above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To address these material weaknesses, we have commenced actions to formalize the Company’s framework and policies with respect to maintaining evidence of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The information contained in “Note 14 — Commitments and Contingencies” in the Notes to the Condensed Consolidated Financial Statements is incorporated by reference into this Item.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addition, the impacts of the COVID-19 pandemic may exacerbate the risks described below as well as risks and uncertainties not presently known to us.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9"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4"/>
          <w:szCs w:val="14"/>
          <w:color w:val="auto"/>
        </w:rPr>
        <w:t>.</w:t>
      </w:r>
    </w:p>
    <w:p>
      <w:pPr>
        <w:spacing w:after="0" w:line="21"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The COVID-19 pandemic materially adversely affected our fiscal year 2020 operating and financial results, resulting in our total revenue decreasing 38.7% from $256.9 million in fiscal year 2019 to $157.5 million. During fiscal year 2021, revenue sequentially increased each quarter, a trend that continued into the first and second quarters of fiscal year 2022. Revenue for fiscal year 2021 increased 29.1% to $203.3 million from $157.5 million in fiscal year 2020.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growth strategy is focused on continuing to grow, engage, and retain our subscriber and customer base, expanding our brand partner relationships and product assortment, increasing our brand awareness,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 sales to existing customers.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rental and resale;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adapt to evolving trends and changes in consumer behavior;</w:t>
      </w:r>
    </w:p>
    <w:p>
      <w:pPr>
        <w:spacing w:after="0" w:line="93" w:lineRule="exact"/>
        <w:rPr>
          <w:rFonts w:ascii="Arial" w:cs="Arial" w:eastAsia="Arial" w:hAnsi="Arial"/>
          <w:sz w:val="14"/>
          <w:szCs w:val="14"/>
          <w:color w:val="auto"/>
        </w:rPr>
      </w:pPr>
    </w:p>
    <w:p>
      <w:pPr>
        <w:ind w:left="580" w:right="40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evolving customer demands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grow our Share by RTR and Exclusive Design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 including maintaining sufficient rental product levels to support demand;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provide customers with a high-quality experience, including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18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w:t>
      </w:r>
    </w:p>
    <w:p>
      <w:pPr>
        <w:spacing w:after="0" w:line="93" w:lineRule="exact"/>
        <w:rPr>
          <w:rFonts w:ascii="Arial" w:cs="Arial" w:eastAsia="Arial" w:hAnsi="Arial"/>
          <w:sz w:val="14"/>
          <w:szCs w:val="14"/>
          <w:color w:val="auto"/>
        </w:rPr>
      </w:pPr>
    </w:p>
    <w:p>
      <w:pPr>
        <w:ind w:left="580" w:right="26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identify and acquire, partner or invest in products, technologies, or businesses that we believe could complement or expand our business.</w:t>
      </w:r>
    </w:p>
    <w:p>
      <w:pPr>
        <w:spacing w:after="0" w:line="17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has had, and may in the future continue to have, a material adverse impact on our business</w:t>
      </w:r>
      <w:r>
        <w:rPr>
          <w:rFonts w:ascii="Arial" w:cs="Arial" w:eastAsia="Arial" w:hAnsi="Arial"/>
          <w:sz w:val="14"/>
          <w:szCs w:val="14"/>
          <w:color w:val="auto"/>
        </w:rPr>
        <w: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New variants of COVID-19, such as Delta and Omicron, continue to be identified and lead to evolving recommendations and restrictions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manufacturers, vendors and other third-party service providers, and we may continue to be materially adversely impacted as a result of the negative past, present and future impact upon these parties.</w:t>
      </w:r>
    </w:p>
    <w:p>
      <w:pPr>
        <w:spacing w:after="0" w:line="14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due to the occurrence of the following events or circumstances, among others:</w:t>
      </w:r>
    </w:p>
    <w:p>
      <w:pPr>
        <w:spacing w:after="0" w:line="35" w:lineRule="exact"/>
        <w:rPr>
          <w:sz w:val="20"/>
          <w:szCs w:val="20"/>
          <w:color w:val="auto"/>
        </w:rPr>
      </w:pPr>
    </w:p>
    <w:p>
      <w:pPr>
        <w:ind w:left="580" w:right="14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35"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subscribers engaged less, which impacted the success of our organic marketing and reduced the volume of our data and business insights;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disruptions of the operations of our brand partners and delays in shipment and delivery of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pausing all of our paid marketing spend and eliminating or significantly reducing investments in growth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carrying more products relative to customer demand, negatively impacting gross margins;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performance-based revenue share payments to brands were decreased due to lower total revenue, impacting our brand partner relationships and value proposition;</w:t>
      </w:r>
    </w:p>
    <w:p>
      <w:pPr>
        <w:spacing w:after="0" w:line="93" w:lineRule="exact"/>
        <w:rPr>
          <w:rFonts w:ascii="Arial" w:cs="Arial" w:eastAsia="Arial" w:hAnsi="Arial"/>
          <w:sz w:val="14"/>
          <w:szCs w:val="14"/>
          <w:color w:val="auto"/>
        </w:rPr>
      </w:pPr>
    </w:p>
    <w:p>
      <w:pPr>
        <w:ind w:left="580" w:right="52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implementing temporary salary cuts, employee layoffs and furloughs, and pausing recruiting efforts, which negatively impacted employee morale and resulted in an increase in regrettable employee attrition;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closure of our brick-and-mortar retail stores, which was perceived negatively by some customers.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20" w:firstLine="382"/>
        <w:spacing w:after="0" w:line="290" w:lineRule="auto"/>
        <w:rPr>
          <w:sz w:val="20"/>
          <w:szCs w:val="20"/>
          <w:color w:val="auto"/>
        </w:rPr>
      </w:pPr>
      <w:r>
        <w:rPr>
          <w:rFonts w:ascii="Arial" w:cs="Arial" w:eastAsia="Arial" w:hAnsi="Arial"/>
          <w:sz w:val="14"/>
          <w:szCs w:val="14"/>
          <w:color w:val="auto"/>
        </w:rPr>
        <w:t>In fiscal year 2021, our operating and financial results continued to be impacted by the COVID-19 pandemic. In the fourth quarter of fiscal year 2021, the Omicron variant negatively impacted us in three key ways by:</w:t>
      </w:r>
    </w:p>
    <w:p>
      <w:pPr>
        <w:spacing w:after="0" w:line="35"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significantly decreasing revenue from our Reserve business as most holiday events were canceled;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reducing subscriber acquisition in the second half of the quarter;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driving a higher rate of subscriber pause.</w:t>
      </w:r>
    </w:p>
    <w:p>
      <w:pPr>
        <w:spacing w:after="0" w:line="179"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In fiscal year 2021, results also continued to be impacted by consumers working primarily from home and by special events and occasions not yet being back to pre-pandemic levels.</w:t>
      </w:r>
    </w:p>
    <w:p>
      <w:pPr>
        <w:spacing w:after="0" w:line="12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As the recovery period continues, particularly in the United States, 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49" w:lineRule="exact"/>
        <w:rPr>
          <w:sz w:val="20"/>
          <w:szCs w:val="20"/>
          <w:color w:val="auto"/>
        </w:rPr>
      </w:pPr>
    </w:p>
    <w:p>
      <w:pPr>
        <w:ind w:left="580" w:right="2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35"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inability to meet increased demand and provide an optimal customer experience as a result of difficulty in hiring additional employees, particularly in our fulfillment, operations and customer experience functions;</w:t>
      </w:r>
    </w:p>
    <w:p>
      <w:pPr>
        <w:spacing w:after="0" w:line="35"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35"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12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 Item 2, “Management’s Discussion and Analysis of Financial Position and Results of Operations” for more details on the impact of the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r>
        <w:rPr>
          <w:rFonts w:ascii="Arial" w:cs="Arial" w:eastAsia="Arial" w:hAnsi="Arial"/>
          <w:sz w:val="14"/>
          <w:szCs w:val="14"/>
          <w:color w:val="auto"/>
        </w:rPr>
        <w:t>.</w:t>
      </w:r>
    </w:p>
    <w:p>
      <w:pPr>
        <w:spacing w:after="0" w:line="94"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how effectively differentiated our offerings and value proposition are from those of our competitors;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and Reserve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w:t>
      </w:r>
    </w:p>
    <w:p>
      <w:pPr>
        <w:spacing w:after="0" w:line="93" w:lineRule="exact"/>
        <w:rPr>
          <w:rFonts w:ascii="Arial" w:cs="Arial" w:eastAsia="Arial" w:hAnsi="Arial"/>
          <w:sz w:val="14"/>
          <w:szCs w:val="14"/>
          <w:color w:val="auto"/>
        </w:rPr>
      </w:pPr>
    </w:p>
    <w:p>
      <w:pPr>
        <w:ind w:left="580" w:right="260" w:hanging="193"/>
        <w:spacing w:after="0" w:line="290" w:lineRule="auto"/>
        <w:tabs>
          <w:tab w:leader="none" w:pos="5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attract new brand partners and retain existing brand partners in our Share by RTR and Exclusive Design programs and acquire products on favorable and efficient terms;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maintaining favorable brand recognition and effectively marketing our services to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price at which we are able to offer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17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They may be willing to price their products and services more aggressively in order to gain market share or generally employ a low-cost pricing model and be able to manufacture goods on a more cost-effective basis because they are producing higher volumes and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4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07"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21"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or be cost 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spacing w:after="0" w:line="5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 high proportion of our revenue comes from highly engaged subscribers. A decrease in the number of existing customers or a reduction in the amount existing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unpredictable nature of the impact of the COVID-19 pandemic or a future outbreak of disease or similar public health concern;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failure (or perceived failure) to meet customer expectations regarding our environmental, social and governance (“ESG”), initiatives;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efficiency of our historic or current customer acquisition methods.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For example, we recently announced a price increase for our subscription plans. If our customers no longer perceive our subscription plans as appropriately priced and cancel or pause their subscriptions, our business and financial results could be harmed.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demands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had a net loss of $(76.4) million and $(211.8) million for the six months ended July 31, 2022 and year ended January 31, 2022, respectively, and have in the past had net losses.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2022, we had an accumulated deficit of $(877.6) million. Because we have a short operating history at scale, it is difficult for us to predict our future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We will need to generate and sustain increased revenue and manage our costs to achieve profitability. Even if we do, we may not be able to sustain or increase our profitability.</w:t>
      </w:r>
    </w:p>
    <w:p>
      <w:pPr>
        <w:spacing w:after="0" w:line="165"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35"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acquire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increase the engagement,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enhance our website and mobile offerings and functionality;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and capacity, to support the growth in our business.</w:t>
      </w:r>
    </w:p>
    <w:p>
      <w:pPr>
        <w:spacing w:after="0" w:line="179"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4"/>
          <w:szCs w:val="14"/>
          <w:color w:val="auto"/>
        </w:rPr>
        <w:t>.</w:t>
      </w:r>
    </w:p>
    <w:p>
      <w:pPr>
        <w:spacing w:after="0" w:line="94"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We generally enter into purchase contracts in advance of anticipated rentals and typically before apparel trends are confirmed by customer rentals.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We have observed that our customers live, work, socialize and travel differently than they did prior to the COVID-19 pandemic and this influences what they wear.</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ind w:right="340"/>
        <w:spacing w:after="0" w:line="271"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21"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2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currently rely on several third-party national and regional shipping vendors for our outbound and inbound logistics. A substantial portion of our shipments to and from customers are currently conducted through a single vendor—we have from time to time transitioned, and are currently in the process of transitioning, shipments from this vendor to multiple other vendors, and we cannot predict how this transition may impact our costs and our customer sentiment and satisfaction.</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4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product purchases. We obtain substantially all of our products directly from over 800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During fiscal year 2021, we expanded our relationships with brand partners and we are continuing to work to increase the proportion of our products procured under Exclusive Designs arrangements, which reduces our upfront cost of products.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 sourcing in fiscal years 2020 and 2021 was handled remotely via video and teleconference instead of in-person. Future extended disruptions in travel may limit our ability to source products in-person, which may lead to suboptimal products and harm our business. For the next several quarters, we anticipate facing, and having to address challenges relating to, inefficiencies in the global transportation network as a result of the COVID-19 pandemic that may also impact our business operations. Additionally, oil supply disruptions related to Russia’s invasion of Ukraine have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30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25" w:lineRule="exact"/>
        <w:rPr>
          <w:sz w:val="20"/>
          <w:szCs w:val="20"/>
          <w:color w:val="auto"/>
        </w:rPr>
      </w:pPr>
    </w:p>
    <w:p>
      <w:pPr>
        <w:ind w:right="74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 Additionally, even as COVID-19 restrictions have eased, the follow-on impacts of COVID-19 may continue to affect our results of operations due to, for example, hybrid or fully-remote work policies and changes in consumer behavior. We believe that our customers live, work, socialize and travel differently in 2022 than they did prior to the COVID-19 pandemic and this influences what they wear. We are still learning how these types of changes in customer behavior impact our business, particularly in a challenging macro environment.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increases in consumer discretionary spending may be temporary, such as those related to the tail of the COVID-19 pandemic in the United States, and consumer spending may decrease again, particularly if there is a recession.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227" w:lineRule="exact"/>
        <w:rPr>
          <w:sz w:val="20"/>
          <w:szCs w:val="20"/>
          <w:color w:val="auto"/>
        </w:rPr>
      </w:pPr>
    </w:p>
    <w:p>
      <w:pPr>
        <w:ind w:right="44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We recently announced a restructuring plan that is intended to reduce costs, streamline our organizational structure and drive operational efficiencies. This plan may present significant risks that could have a material adverse effect on our operations, financial condition, results of operations, cash flow, or business reputation. Such risks include:</w:t>
      </w:r>
    </w:p>
    <w:p>
      <w:pPr>
        <w:spacing w:after="0" w:line="35"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profitability goals;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failure to meet our operational standards, needs, or goals due to fewer employees, including potential single points of failure.</w:t>
      </w:r>
    </w:p>
    <w:p>
      <w:pPr>
        <w:spacing w:after="0" w:line="265"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42"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We have expanded our Resale offering,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depends significantly on the reliability and capacity of the Internet and our in-house proprietary technology, third-party software and infrastructure, and customized off-the-shelf solutions (collectively,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IT Systems and those of our third-party service providers and business partners may be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313"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right="100" w:hanging="193"/>
        <w:spacing w:after="0" w:line="271"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 -to-period basis or our revenue growth rate for any prior period may not be meaningful. In addition to other risk factors discussed in this section,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80" w:right="48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adverse economic and market conditions, such as those related to the COVID-19 pandemic,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4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w:t>
      </w:r>
    </w:p>
    <w:p>
      <w:pPr>
        <w:spacing w:after="0" w:line="12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Fluctuations in our operating results and key metrics may be particularly pronounced in the current economic environment due to the uncertainty caused by, and the unprecedented nature of, the COVID-19 pandemic, consumer spending patterns, and the impacts and timing of the reopening of the offline economy and lessening of restrictions on movement. Fluctuations in our operating results and key metrics may cause those results to fall below our financial guidance or other projections, or the expectations of analysts or investors, which could cause the price of our Class A common stock to decline.</w:t>
      </w:r>
    </w:p>
    <w:p>
      <w:pPr>
        <w:spacing w:after="0" w:line="13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social and governance matters may impact our business and reputation.</w:t>
      </w:r>
    </w:p>
    <w:p>
      <w:pPr>
        <w:spacing w:after="0" w:line="92"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and plan to continue undertaking ESG initiatives. Any failure by us to meet our Impact Strategy goals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ESG initiatives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potential or current investors may elect to invest with our competitors instead.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and other stakeholders’ increased focus on ESG matters, there can be no certainty that we will manage such issues successfully, or that we will successfully meet society’s ESG expectations or achieve our ESG goals and financial goals.</w:t>
      </w:r>
    </w:p>
    <w:p>
      <w:pPr>
        <w:spacing w:after="0" w:line="229"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Our success and future growth depend largely upon the continued services of our senior management team, including our Co -Founder,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our future success will depend upon our ability to attract and retain employees for key roles, such as engineering and technology,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 Additionally, our recently announced restructuring plan may make it more difficult to attract and retain employees for key roles.</w:t>
      </w:r>
    </w:p>
    <w:p>
      <w:pPr>
        <w:spacing w:after="0" w:line="142"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Our corporate employees primarily worked remotely from March 2020 to April 2022. As COVID-19 restrictions lifted, we have recently reopened our offices and moved to a hybrid working model for New York City and Galway, in which employees will be present in the office two to three days per week. If the hybrid model is not aligned with our employees’ preferences, it may adversely affect our ability to recruit and retain employees. In addition, the hybrid model may negatively impact our company culture, collaboration and productivity.</w:t>
      </w:r>
    </w:p>
    <w:p>
      <w:pPr>
        <w:spacing w:after="0" w:line="138"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We have recently experienced and may in the future experience voluntary attrition at significant rates for various reasons, including challenging labor market conditions such as rising wages and a decreased level of workforce participation. We may also experience increased voluntary attrition due to our restructuring plan. If we are unable to attract and retain qualified employees in a timely fashion, particularly in critical areas of operations such as engineering, data science and analytics, and our hourly fulfillment workers, our ability to achieve our strategic objectives will be adversely impacted, and our business and future growth prospects will be harmed.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49" w:lineRule="exact"/>
        <w:rPr>
          <w:sz w:val="20"/>
          <w:szCs w:val="20"/>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restructuring plan, which may negatively impact employee morale;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to identify, attract, reward, and retain people in leadership positions in our organization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move to a hybrid working model for corporate employees in New York City and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36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related inflationary environment has increased raw material costs, impacting pricing of our products, and caused shipping delays for certain of our products.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business is subject to seasonal fluctuations. We typically realize a higher portion of revenue from our Reserve rentals during our third and fourth fiscal quarter as a result of increased wedding and holiday events. However, in fiscal year 2020 and fiscal year 2021 we saw fewer large-scale holiday and special events due to the COVID-19 pandemic.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Adverse events, such as higher unemployment, deteriorating economic conditions, or fewer large-scale holiday and special events due to the COVID-19 pandemic, can deter consumers from shopping and renting. Any significant decrease in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including as a result of the COVID-19 pandemic, could have a disproportionate effect on our results of operations for our entire fiscal year.</w:t>
      </w:r>
    </w:p>
    <w:p>
      <w:pPr>
        <w:spacing w:after="0" w:line="143"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In anticipation of increased rental activity during seasonal peaks,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4"/>
          <w:szCs w:val="14"/>
          <w:color w:val="auto"/>
        </w:rPr>
        <w:t>.</w:t>
      </w:r>
    </w:p>
    <w:p>
      <w:pPr>
        <w:spacing w:after="0" w:line="9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 Additionally, in recent months,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July 31, 2022, we had $269.8 million aggregate principal amount of borrowings under a credit facility with Double Helix Pte Ltd. as administrative agent for Temasek Holdings (the “Amended Temasek Facility”).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6 —Long-Term Debt” in the Notes to Condensed Consolidated Financial Statements for more information on our indebtedness.</w:t>
      </w:r>
    </w:p>
    <w:p>
      <w:pPr>
        <w:spacing w:after="0" w:line="229"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Our Amended Temasek Facility contains financial covenants and other restrictions on our actions that may limit our operational flexibility or otherwise adversely affect our business, financial condition and results of operations.</w:t>
      </w:r>
    </w:p>
    <w:p>
      <w:pPr>
        <w:spacing w:after="0" w:line="21"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The terms of our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Amended Temasek Facility includes a minimum liquidity maintenance covenant of $50.0 million and amends the call protection applicable to the loans outstanding thereunder. The terms of our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5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 failure by us to comply with the covenants specified in the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4"/>
          <w:szCs w:val="14"/>
          <w:color w:val="auto"/>
        </w:rPr>
        <w:t>.</w:t>
      </w:r>
    </w:p>
    <w:p>
      <w:pPr>
        <w:spacing w:after="0" w:line="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connection with the preparation of our consolidated financial statements as of January 31, 2021, we identified material weaknesses in our internal control over financial reporting, as described below. As of July 31, 2022,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8"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2"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46"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8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not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21"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$1.07 billion or more;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17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207"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4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120" w:hanging="193"/>
        <w:spacing w:after="0" w:line="271"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w:t>
      </w:r>
    </w:p>
    <w:p>
      <w:pPr>
        <w:spacing w:after="0" w:line="92"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4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31"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43"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37"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3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4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or 4% of the annual global revenues of the noncompliant entity, whichever is greater.</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4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3"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and the health and safety of our employees.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3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42"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 failure of such suppliers to abide by applicable regulations or the terms of our contractual relationships may subject us to material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As of January 31, 2022, we had federal net operating loss carryforwards of $560.5 million, $152.1 million of which will expire at various times through 2038. Furthermore, we had state net operating loss carryforwards of $32.0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as modified by the Coronavirus Aid, Relief, and Economic Security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experience additional ownership changes as a result of subsequent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 interpretation of them;</w:t>
      </w:r>
    </w:p>
    <w:p>
      <w:pPr>
        <w:spacing w:after="0" w:line="93"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proposals have been made by the current presidential administration and congress that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We obtain substantially all of our products directly from over 800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 not view our brand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w:t>
      </w:r>
    </w:p>
    <w:p>
      <w:pPr>
        <w:spacing w:after="0" w:line="261" w:lineRule="auto"/>
        <w:rPr>
          <w:sz w:val="20"/>
          <w:szCs w:val="20"/>
          <w:color w:val="auto"/>
        </w:rPr>
      </w:pPr>
      <w:r>
        <w:rPr>
          <w:rFonts w:ascii="Arial" w:cs="Arial" w:eastAsia="Arial" w:hAnsi="Arial"/>
          <w:sz w:val="14"/>
          <w:szCs w:val="14"/>
          <w:color w:val="auto"/>
        </w:rPr>
        <w:t>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25"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very recently migrated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4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jc w:val="both"/>
        <w:ind w:right="20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4"/>
          <w:szCs w:val="14"/>
          <w:color w:val="auto"/>
        </w:rPr>
        <w:t>.</w:t>
      </w:r>
    </w:p>
    <w:p>
      <w:pPr>
        <w:spacing w:after="0" w:line="37"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29"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179" w:lineRule="exact"/>
        <w:rPr>
          <w:sz w:val="20"/>
          <w:szCs w:val="20"/>
          <w:color w:val="auto"/>
        </w:rPr>
      </w:pPr>
    </w:p>
    <w:p>
      <w:pPr>
        <w:ind w:right="200"/>
        <w:spacing w:after="0" w:line="276" w:lineRule="auto"/>
        <w:rPr>
          <w:sz w:val="20"/>
          <w:szCs w:val="20"/>
          <w:color w:val="auto"/>
        </w:rPr>
      </w:pPr>
      <w:r>
        <w:rPr>
          <w:rFonts w:ascii="Arial" w:cs="Arial" w:eastAsia="Arial" w:hAnsi="Arial"/>
          <w:sz w:val="14"/>
          <w:szCs w:val="14"/>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4"/>
          <w:szCs w:val="14"/>
          <w:color w:val="auto"/>
        </w:rPr>
        <w:t>.</w:t>
      </w:r>
    </w:p>
    <w:p>
      <w:pPr>
        <w:spacing w:after="0" w:line="37"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The market price of our Class A common stock is likely to be volatile and could be subject to wide fluctuations in response to the risk factors described in this Quarterly Report, and others beyond our control, including:</w:t>
      </w:r>
    </w:p>
    <w:p>
      <w:pPr>
        <w:spacing w:after="0" w:line="35" w:lineRule="exact"/>
        <w:rPr>
          <w:sz w:val="20"/>
          <w:szCs w:val="20"/>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perceived adequacy of our ESG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0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pace of the COVID-19 pandemic recovery and its impact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insiders have the ability to control or significantly influence all matters submitted to stockholders for approval.</w:t>
      </w:r>
    </w:p>
    <w:p>
      <w:pPr>
        <w:spacing w:after="0" w:line="9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executive officers, directors, and stockholders party to our stockholders’ agreement entered into in connection with our IPO, in the aggregate, beneficially own over 50% of our outstanding common stock as of July 31, 2022.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effect our dual class structure may have on the trading price of our Class A common stock</w:t>
      </w:r>
      <w:r>
        <w:rPr>
          <w:rFonts w:ascii="Arial" w:cs="Arial" w:eastAsia="Arial" w:hAnsi="Arial"/>
          <w:sz w:val="14"/>
          <w:szCs w:val="14"/>
          <w:color w:val="auto"/>
        </w:rPr>
        <w:t>.</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makes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are currently not eligible for inclusion in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20"/>
        <w:spacing w:after="0" w:line="299" w:lineRule="auto"/>
        <w:rPr>
          <w:sz w:val="20"/>
          <w:szCs w:val="20"/>
          <w:color w:val="auto"/>
        </w:rPr>
      </w:pPr>
      <w:r>
        <w:rPr>
          <w:rFonts w:ascii="Arial" w:cs="Arial" w:eastAsia="Arial" w:hAnsi="Arial"/>
          <w:sz w:val="14"/>
          <w:szCs w:val="14"/>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4"/>
          <w:szCs w:val="14"/>
          <w:color w:val="auto"/>
        </w:rPr>
        <w:t>.</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trading market for our common stock depends in part on the research and reports that analysts publish about our business.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3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65"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4"/>
          <w:szCs w:val="14"/>
          <w:color w:val="auto"/>
        </w:rPr>
        <w:t>.</w:t>
      </w:r>
    </w:p>
    <w:p>
      <w:pPr>
        <w:spacing w:after="0" w:line="21"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Amended Temasek Facility or any future debt or preferred equity securities of us or our subsidiaries. Accordingly, investors may need to sell their shares of our Class A common stock to realize a return on their investment, and investors may not be able to sell their shares at or above the price they paid for them.</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jc w:val="both"/>
        <w:ind w:left="580" w:right="60" w:hanging="193"/>
        <w:spacing w:after="0" w:line="271"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jc w:val="both"/>
        <w:ind w:right="32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offer and sale of the Class A common stock sold in the IPO was registered under the Securities Act pursuant to a registration statement on Form S-1 (File No. 333-260027), which was declared effective by the SEC on October 26, 2021.</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There has been no material change in the expected use of the net proceeds from our IPO, as described in our final prospectus filed with the SEC on October 27, 2021 pursuant to Rule 424(b) under the Securities Act of 1933.</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i w:val="1"/>
          <w:iCs w:val="1"/>
          <w:color w:val="auto"/>
        </w:rPr>
        <w:t>Item 6. Exhibits</w:t>
      </w:r>
    </w:p>
    <w:p>
      <w:pPr>
        <w:spacing w:after="0" w:line="82" w:lineRule="exact"/>
        <w:rPr>
          <w:sz w:val="20"/>
          <w:szCs w:val="20"/>
          <w:color w:val="auto"/>
        </w:rPr>
      </w:pPr>
    </w:p>
    <w:p>
      <w:pPr>
        <w:ind w:left="580" w:hanging="193"/>
        <w:spacing w:after="0"/>
        <w:tabs>
          <w:tab w:leader="none" w:pos="580" w:val="left"/>
        </w:tabs>
        <w:numPr>
          <w:ilvl w:val="0"/>
          <w:numId w:val="46"/>
        </w:numPr>
        <w:rPr>
          <w:rFonts w:ascii="Calibri" w:cs="Calibri" w:eastAsia="Calibri" w:hAnsi="Calibri"/>
          <w:sz w:val="16"/>
          <w:szCs w:val="16"/>
          <w:color w:val="auto"/>
        </w:rPr>
      </w:pPr>
      <w:r>
        <w:rPr>
          <w:rFonts w:ascii="Arial" w:cs="Arial" w:eastAsia="Arial" w:hAnsi="Arial"/>
          <w:sz w:val="14"/>
          <w:szCs w:val="14"/>
          <w:color w:val="auto"/>
        </w:rPr>
        <w:t>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Incorporated by Reference</w:t>
            </w: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1"/>
                <w:szCs w:val="11"/>
                <w:color w:val="auto"/>
              </w:rPr>
            </w:pPr>
          </w:p>
        </w:tc>
        <w:tc>
          <w:tcPr>
            <w:tcW w:w="5400" w:type="dxa"/>
            <w:vAlign w:val="bottom"/>
            <w:gridSpan w:val="13"/>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6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vMerge w:val="restart"/>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1"/>
                <w:szCs w:val="11"/>
                <w:b w:val="1"/>
                <w:bCs w:val="1"/>
                <w:color w:val="auto"/>
                <w:w w:val="98"/>
              </w:rPr>
              <w:t>Exhibit</w:t>
            </w:r>
          </w:p>
        </w:tc>
        <w:tc>
          <w:tcPr>
            <w:tcW w:w="60" w:type="dxa"/>
            <w:vAlign w:val="bottom"/>
            <w:vMerge w:val="restart"/>
          </w:tcPr>
          <w:p>
            <w:pPr>
              <w:spacing w:after="0"/>
              <w:rPr>
                <w:sz w:val="11"/>
                <w:szCs w:val="11"/>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11"/>
                <w:szCs w:val="11"/>
                <w:b w:val="1"/>
                <w:bCs w:val="1"/>
                <w:color w:val="auto"/>
              </w:rPr>
              <w:t>Filed / Furnished</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gridSpan w:val="1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213"/>
        </w:trPr>
        <w:tc>
          <w:tcPr>
            <w:tcW w:w="780" w:type="dxa"/>
            <w:vAlign w:val="bottom"/>
          </w:tcPr>
          <w:p>
            <w:pPr>
              <w:ind w:left="20"/>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2"/>
          </w:tcPr>
          <w:p>
            <w:pPr>
              <w:spacing w:after="0"/>
              <w:rPr>
                <w:rFonts w:ascii="Arial" w:cs="Arial" w:eastAsia="Arial" w:hAnsi="Arial"/>
                <w:sz w:val="14"/>
                <w:szCs w:val="14"/>
                <w:color w:val="0000FF"/>
              </w:rPr>
            </w:pPr>
            <w:hyperlink r:id="rId143">
              <w:r>
                <w:rPr>
                  <w:rFonts w:ascii="Arial" w:cs="Arial" w:eastAsia="Arial" w:hAnsi="Arial"/>
                  <w:sz w:val="14"/>
                  <w:szCs w:val="14"/>
                  <w:color w:val="0000FF"/>
                </w:rPr>
                <w:t>Amended &amp; Restated Certificate of Incorporation</w:t>
              </w:r>
            </w:hyperlink>
          </w:p>
        </w:tc>
        <w:tc>
          <w:tcPr>
            <w:tcW w:w="2420" w:type="dxa"/>
            <w:vAlign w:val="bottom"/>
            <w:gridSpan w:val="12"/>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gridSpan w:val="14"/>
          </w:tcPr>
          <w:p>
            <w:pPr>
              <w:spacing w:after="0"/>
              <w:rPr>
                <w:rFonts w:ascii="Arial" w:cs="Arial" w:eastAsia="Arial" w:hAnsi="Arial"/>
                <w:sz w:val="14"/>
                <w:szCs w:val="14"/>
                <w:color w:val="0000FF"/>
              </w:rPr>
            </w:pPr>
            <w:hyperlink r:id="rId144">
              <w:r>
                <w:rPr>
                  <w:rFonts w:ascii="Arial" w:cs="Arial" w:eastAsia="Arial" w:hAnsi="Arial"/>
                  <w:sz w:val="14"/>
                  <w:szCs w:val="14"/>
                  <w:color w:val="0000FF"/>
                </w:rPr>
                <w:t>Amended &amp; Restated Bylaws</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0000FF"/>
              </w:rPr>
              <w:t>Eighth Amendment to the Credit Agreement dated as of August 15, 2022 (as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tcBorders>
            <w:gridSpan w:val="8"/>
          </w:tcPr>
          <w:p>
            <w:pPr>
              <w:spacing w:after="0" w:line="139" w:lineRule="exact"/>
              <w:rPr>
                <w:sz w:val="20"/>
                <w:szCs w:val="20"/>
                <w:color w:val="auto"/>
              </w:rPr>
            </w:pPr>
            <w:r>
              <w:rPr>
                <w:rFonts w:ascii="Arial" w:cs="Arial" w:eastAsia="Arial" w:hAnsi="Arial"/>
                <w:sz w:val="14"/>
                <w:szCs w:val="14"/>
                <w:color w:val="0000FF"/>
              </w:rPr>
              <w:t>previously amended on July 23, 2018, December 21, 2018, April 24, 2019,</w:t>
            </w:r>
          </w:p>
        </w:tc>
        <w:tc>
          <w:tcPr>
            <w:tcW w:w="680" w:type="dxa"/>
            <w:vAlign w:val="bottom"/>
            <w:gridSpan w:val="6"/>
          </w:tcPr>
          <w:p>
            <w:pPr>
              <w:spacing w:after="0" w:line="139" w:lineRule="exact"/>
              <w:rPr>
                <w:sz w:val="20"/>
                <w:szCs w:val="20"/>
                <w:color w:val="auto"/>
              </w:rPr>
            </w:pPr>
            <w:r>
              <w:rPr>
                <w:rFonts w:ascii="Arial" w:cs="Arial" w:eastAsia="Arial" w:hAnsi="Arial"/>
                <w:sz w:val="14"/>
                <w:szCs w:val="14"/>
                <w:color w:val="0000FF"/>
              </w:rPr>
              <w:t>November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40" w:type="dxa"/>
            <w:vAlign w:val="bottom"/>
            <w:tcBorders>
              <w:top w:val="single" w:sz="8" w:color="0000FF"/>
            </w:tcBorders>
            <w:gridSpan w:val="12"/>
          </w:tcPr>
          <w:p>
            <w:pPr>
              <w:spacing w:after="0" w:line="129" w:lineRule="exact"/>
              <w:rPr>
                <w:sz w:val="20"/>
                <w:szCs w:val="20"/>
                <w:color w:val="auto"/>
              </w:rPr>
            </w:pPr>
            <w:r>
              <w:rPr>
                <w:rFonts w:ascii="Arial" w:cs="Arial" w:eastAsia="Arial" w:hAnsi="Arial"/>
                <w:sz w:val="14"/>
                <w:szCs w:val="14"/>
                <w:color w:val="0000FF"/>
              </w:rPr>
              <w:t>26, 2019, June 2, 2020, August 18, 2020, October 26, 2020, and October 18, 2021),</w:t>
            </w:r>
          </w:p>
        </w:tc>
        <w:tc>
          <w:tcPr>
            <w:tcW w:w="12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6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4"/>
                <w:szCs w:val="14"/>
                <w:color w:val="0000FF"/>
              </w:rPr>
              <w:t>and as may be further amended, restated, supplemented or otherwise modified in</w:t>
            </w:r>
          </w:p>
        </w:tc>
        <w:tc>
          <w:tcPr>
            <w:tcW w:w="20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tcBorders>
              <w:top w:val="single" w:sz="8" w:color="0000FF"/>
              <w:bottom w:val="single" w:sz="8" w:color="0000FF"/>
            </w:tcBorders>
            <w:gridSpan w:val="9"/>
          </w:tcPr>
          <w:p>
            <w:pPr>
              <w:spacing w:after="0" w:line="139" w:lineRule="exact"/>
              <w:rPr>
                <w:sz w:val="20"/>
                <w:szCs w:val="20"/>
                <w:color w:val="auto"/>
              </w:rPr>
            </w:pPr>
            <w:r>
              <w:rPr>
                <w:rFonts w:ascii="Arial" w:cs="Arial" w:eastAsia="Arial" w:hAnsi="Arial"/>
                <w:sz w:val="14"/>
                <w:szCs w:val="14"/>
                <w:color w:val="0000FF"/>
                <w:w w:val="99"/>
              </w:rPr>
              <w:t>accordance with the terms thereof), by and among the Company, the lenders from</w:t>
            </w:r>
          </w:p>
        </w:tc>
        <w:tc>
          <w:tcPr>
            <w:tcW w:w="20" w:type="dxa"/>
            <w:vAlign w:val="bottom"/>
            <w:tcBorders>
              <w:bottom w:val="single" w:sz="8" w:color="0000FF"/>
            </w:tcBorders>
          </w:tcPr>
          <w:p>
            <w:pPr>
              <w:spacing w:after="0"/>
              <w:rPr>
                <w:sz w:val="12"/>
                <w:szCs w:val="12"/>
                <w:color w:val="auto"/>
              </w:rPr>
            </w:pPr>
          </w:p>
        </w:tc>
        <w:tc>
          <w:tcPr>
            <w:tcW w:w="34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tcBorders>
              <w:bottom w:val="single" w:sz="8" w:color="0000FF"/>
            </w:tcBorders>
            <w:gridSpan w:val="5"/>
          </w:tcPr>
          <w:p>
            <w:pPr>
              <w:spacing w:after="0" w:line="139" w:lineRule="exact"/>
              <w:rPr>
                <w:sz w:val="20"/>
                <w:szCs w:val="20"/>
                <w:color w:val="auto"/>
              </w:rPr>
            </w:pPr>
            <w:r>
              <w:rPr>
                <w:rFonts w:ascii="Arial" w:cs="Arial" w:eastAsia="Arial" w:hAnsi="Arial"/>
                <w:sz w:val="14"/>
                <w:szCs w:val="14"/>
                <w:color w:val="0000FF"/>
              </w:rPr>
              <w:t>time to time party thereto and Double Helix Pte Ltd. as administrative agent</w:t>
            </w:r>
          </w:p>
        </w:tc>
        <w:tc>
          <w:tcPr>
            <w:tcW w:w="420" w:type="dxa"/>
            <w:vAlign w:val="bottom"/>
            <w:gridSpan w:val="5"/>
          </w:tcPr>
          <w:p>
            <w:pPr>
              <w:spacing w:after="0"/>
              <w:rPr>
                <w:sz w:val="12"/>
                <w:szCs w:val="12"/>
                <w:color w:val="auto"/>
              </w:rPr>
            </w:pPr>
          </w:p>
        </w:tc>
        <w:tc>
          <w:tcPr>
            <w:tcW w:w="34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780" w:type="dxa"/>
            <w:vAlign w:val="bottom"/>
          </w:tcPr>
          <w:p>
            <w:pPr>
              <w:ind w:left="20"/>
              <w:spacing w:after="0"/>
              <w:rPr>
                <w:sz w:val="20"/>
                <w:szCs w:val="20"/>
                <w:color w:val="auto"/>
              </w:rPr>
            </w:pPr>
            <w:r>
              <w:rPr>
                <w:rFonts w:ascii="Arial" w:cs="Arial" w:eastAsia="Arial" w:hAnsi="Arial"/>
                <w:sz w:val="14"/>
                <w:szCs w:val="14"/>
                <w:color w:val="auto"/>
              </w:rPr>
              <w:t>31.1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700" w:type="dxa"/>
            <w:vAlign w:val="bottom"/>
            <w:gridSpan w:val="7"/>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780" w:type="dxa"/>
            <w:vAlign w:val="bottom"/>
          </w:tcPr>
          <w:p>
            <w:pPr>
              <w:ind w:left="20"/>
              <w:spacing w:after="0"/>
              <w:rPr>
                <w:sz w:val="20"/>
                <w:szCs w:val="20"/>
                <w:color w:val="auto"/>
              </w:rPr>
            </w:pPr>
            <w:r>
              <w:rPr>
                <w:rFonts w:ascii="Arial" w:cs="Arial" w:eastAsia="Arial" w:hAnsi="Arial"/>
                <w:sz w:val="14"/>
                <w:szCs w:val="14"/>
                <w:color w:val="auto"/>
              </w:rPr>
              <w:t>31.2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2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Certification of Chief Financial Officer pursuant to Rule 13a-14(a)/15d-14(a)</w:t>
            </w:r>
          </w:p>
        </w:tc>
        <w:tc>
          <w:tcPr>
            <w:tcW w:w="740" w:type="dxa"/>
            <w:vAlign w:val="bottom"/>
            <w:gridSpan w:val="8"/>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Certification of Chief Executive Officer pursuant to 18 U.S.C. Section 1350</w:t>
            </w:r>
          </w:p>
        </w:tc>
        <w:tc>
          <w:tcPr>
            <w:tcW w:w="820" w:type="dxa"/>
            <w:vAlign w:val="bottom"/>
            <w:gridSpan w:val="10"/>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860" w:type="dxa"/>
            <w:vAlign w:val="bottom"/>
            <w:gridSpan w:val="11"/>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0"/>
                <w:szCs w:val="20"/>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gridSpan w:val="14"/>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document.</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2"/>
                <w:szCs w:val="22"/>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Inline XBRL Taxonomy Extension Schema Document</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14"/>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1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179" w:lineRule="exact"/>
        <w:rPr>
          <w:sz w:val="20"/>
          <w:szCs w:val="20"/>
          <w:color w:val="auto"/>
        </w:rPr>
      </w:pPr>
    </w:p>
    <w:p>
      <w:pPr>
        <w:ind w:left="5560" w:right="3900" w:hanging="5555"/>
        <w:spacing w:after="0" w:line="986" w:lineRule="auto"/>
        <w:tabs>
          <w:tab w:leader="none" w:pos="117"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-276860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95" w:name="page96"/>
    <w:bookmarkEnd w:id="95"/>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RENT THE RUNWAY, INC.</w:t>
      </w:r>
    </w:p>
    <w:p>
      <w:pPr>
        <w:spacing w:after="0" w:line="210" w:lineRule="exact"/>
        <w:rPr>
          <w:sz w:val="20"/>
          <w:szCs w:val="20"/>
          <w:color w:val="auto"/>
        </w:rPr>
      </w:pPr>
    </w:p>
    <w:p>
      <w:pPr>
        <w:ind w:left="20"/>
        <w:spacing w:after="0"/>
        <w:tabs>
          <w:tab w:leader="none" w:pos="5940" w:val="left"/>
          <w:tab w:leader="none" w:pos="6400" w:val="left"/>
        </w:tabs>
        <w:rPr>
          <w:sz w:val="20"/>
          <w:szCs w:val="20"/>
          <w:color w:val="auto"/>
        </w:rPr>
      </w:pPr>
      <w:r>
        <w:rPr>
          <w:rFonts w:ascii="Arial" w:cs="Arial" w:eastAsia="Arial" w:hAnsi="Arial"/>
          <w:sz w:val="14"/>
          <w:szCs w:val="14"/>
          <w:color w:val="auto"/>
        </w:rPr>
        <w:t>Date: September 13,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28575</wp:posOffset>
            </wp:positionV>
            <wp:extent cx="309943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Scarlett O’Sullivan</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100"/>
          </w:cols>
          <w:pgMar w:left="300" w:top="1016" w:right="499" w:bottom="1440"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hanging="251"/>
        <w:spacing w:after="0"/>
        <w:tabs>
          <w:tab w:leader="none" w:pos="1020" w:val="left"/>
        </w:tabs>
        <w:numPr>
          <w:ilvl w:val="1"/>
          <w:numId w:val="48"/>
        </w:numPr>
        <w:rPr>
          <w:rFonts w:ascii="Arial" w:cs="Arial" w:eastAsia="Arial" w:hAnsi="Arial"/>
          <w:sz w:val="14"/>
          <w:szCs w:val="14"/>
          <w:color w:val="auto"/>
        </w:rPr>
      </w:pPr>
      <w:r>
        <w:rPr>
          <w:rFonts w:ascii="Arial" w:cs="Arial" w:eastAsia="Arial" w:hAnsi="Arial"/>
          <w:sz w:val="14"/>
          <w:szCs w:val="14"/>
          <w:color w:val="auto"/>
        </w:rPr>
        <w:t>[Omitted];</w:t>
      </w:r>
    </w:p>
    <w:p>
      <w:pPr>
        <w:spacing w:after="0" w:line="189"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September 13,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80"/>
          </w:cols>
          <w:pgMar w:left="300" w:top="125"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Scarlett O’Sullivan, certify that:</w:t>
      </w:r>
    </w:p>
    <w:p>
      <w:pPr>
        <w:spacing w:after="0" w:line="189" w:lineRule="exact"/>
        <w:rPr>
          <w:sz w:val="20"/>
          <w:szCs w:val="20"/>
          <w:color w:val="auto"/>
        </w:rPr>
      </w:pPr>
    </w:p>
    <w:p>
      <w:pPr>
        <w:ind w:left="540" w:hanging="280"/>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hanging="251"/>
        <w:spacing w:after="0"/>
        <w:tabs>
          <w:tab w:leader="none" w:pos="10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[Omitted];</w:t>
      </w:r>
    </w:p>
    <w:p>
      <w:pPr>
        <w:spacing w:after="0" w:line="189"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September 13,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Scarlett O’Sullivan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80"/>
          </w:cols>
          <w:pgMar w:left="300" w:top="125"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July 31, 2022,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September 13,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80"/>
          </w:cols>
          <w:pgMar w:left="300" w:top="125"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I, Scarlett O’Sullivan, the Chief Financial Officer of Rent the Runway, Inc., certify, pursuant to 18 U.S.C. Section 1350, as adopted pursuant to Section 906 of the Sarbanes-Oxley Act of 2002, that the Quarterly Report on Form 10-Q of Rent the Runway, Inc. for the quarterly period ended July 31, 2022,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September 13,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Scarlett O’Sullivan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2"/>
    </w:lvl>
  </w:abstractNum>
  <w:abstractNum w:abstractNumId="14">
    <w:nsid w:val="6CEAF087"/>
    <w:multiLevelType w:val="hybridMultilevel"/>
    <w:lvl w:ilvl="0">
      <w:lvlJc w:val="left"/>
      <w:lvlText w:val="%1."/>
      <w:numFmt w:val="decimal"/>
      <w:start w:val="13"/>
    </w:lvl>
  </w:abstractNum>
  <w:abstractNum w:abstractNumId="15">
    <w:nsid w:val="22221A70"/>
    <w:multiLevelType w:val="hybridMultilevel"/>
    <w:lvl w:ilvl="0">
      <w:lvlJc w:val="left"/>
      <w:lvlText w:val="%1."/>
      <w:numFmt w:val="decimal"/>
      <w:start w:val="14"/>
    </w:lvl>
  </w:abstractNum>
  <w:abstractNum w:abstractNumId="16">
    <w:nsid w:val="4516DDE9"/>
    <w:multiLevelType w:val="hybridMultilevel"/>
    <w:lvl w:ilvl="0">
      <w:lvlJc w:val="left"/>
      <w:lvlText w:val="1"/>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2"/>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43" Type="http://schemas.openxmlformats.org/officeDocument/2006/relationships/hyperlink" Target="https://www.sec.gov/Archives/edgar/data/0001468327/000119312521313321/d211519dex31.htm" TargetMode="External"/><Relationship Id="rId144" Type="http://schemas.openxmlformats.org/officeDocument/2006/relationships/hyperlink" Target="https://www.sec.gov/Archives/edgar/data/0001468327/000119312521313321/d2115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2022-09-13T16:08:08Z</dcterms:created>
  <dcterms:modified xsi:type="dcterms:W3CDTF">2022-09-13T16:08:08Z</dcterms:modified>
</cp:coreProperties>
</file>