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KAPLAN BETH J</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5"/>
                <w:szCs w:val="15"/>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05/06/2022</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BROOKLYN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w w:val="97"/>
              </w:rPr>
              <w:t>NY</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gridSpan w:val="8"/>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240"/>
              <w:spacing w:after="0" w:line="146"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7"/>
                <w:szCs w:val="17"/>
                <w:color w:val="0000FF"/>
              </w:rPr>
              <w:t>05/06/2022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368,222</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720" w:type="dxa"/>
            <w:vAlign w:val="bottom"/>
            <w:gridSpan w:val="2"/>
            <w:vMerge w:val="restart"/>
          </w:tcPr>
          <w:p>
            <w:pPr>
              <w:jc w:val="center"/>
              <w:ind w:left="505"/>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vMerge w:val="restart"/>
          </w:tcPr>
          <w:p>
            <w:pPr>
              <w:jc w:val="center"/>
              <w:ind w:right="293"/>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8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528,062</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12,489</w:t>
            </w:r>
            <w:r>
              <w:rPr>
                <w:rFonts w:ascii="Times New Roman" w:cs="Times New Roman" w:eastAsia="Times New Roman" w:hAnsi="Times New Roman"/>
                <w:sz w:val="22"/>
                <w:szCs w:val="22"/>
                <w:color w:val="008000"/>
                <w:w w:val="97"/>
                <w:vertAlign w:val="superscript"/>
              </w:rPr>
              <w:t>(3)</w:t>
            </w:r>
          </w:p>
        </w:tc>
        <w:tc>
          <w:tcPr>
            <w:tcW w:w="300" w:type="dxa"/>
            <w:vAlign w:val="bottom"/>
          </w:tcPr>
          <w:p>
            <w:pPr>
              <w:spacing w:after="0"/>
              <w:rPr>
                <w:sz w:val="21"/>
                <w:szCs w:val="21"/>
                <w:color w:val="auto"/>
              </w:rPr>
            </w:pPr>
          </w:p>
        </w:tc>
        <w:tc>
          <w:tcPr>
            <w:tcW w:w="560" w:type="dxa"/>
            <w:vAlign w:val="bottom"/>
            <w:vMerge w:val="restart"/>
          </w:tcPr>
          <w:p>
            <w:pPr>
              <w:jc w:val="center"/>
              <w:ind w:right="293"/>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 rata distribution by Axcel Partners VIII, LLC.</w:t>
      </w:r>
    </w:p>
    <w:p>
      <w:pPr>
        <w:spacing w:after="0" w:line="5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Axcel Partners VIII, LLC. The Reporting Person is the managing member of Axcel Partners LLC, and may be deemed to have voting and dispositive power over the shares held by Axcel Partners VIII, LLC.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acquired in connection with the pro rata distribution by Axcel Partners VIII, LLC described in Note 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SK Limited Partnership. The Reporting Person may be deemed to have voting and dispositive power over the shares held by SK Limited Partnership.</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05/10/2022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Beth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22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29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4715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2022-05-10T19:32:25Z</dcterms:created>
  <dcterms:modified xsi:type="dcterms:W3CDTF">2022-05-10T19:32:25Z</dcterms:modified>
</cp:coreProperties>
</file>