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Fleiss Jennifer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07/12/2023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29,516</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44,274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restricted stock units ("RSUs"), each of which represents a contingent right to receive one share of the Issuers Class A Common Stock. This award was granted as the Reporting Persons annual equity award pursuant to the Companys Non-Employee Director Compensation Program. The RSUs will vest on the earlier of 1) the one year anniversary of the grant date or 2) the date of the Companys next Annual Meeting of Stockholders, subject to the Reporting Person's continuous service as a member of the Board of Directors on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Jennifer</w:t>
      </w:r>
      <w:r>
        <w:rPr>
          <w:sz w:val="20"/>
          <w:szCs w:val="20"/>
          <w:color w:val="auto"/>
        </w:rPr>
        <w:tab/>
      </w:r>
      <w:r>
        <w:rPr>
          <w:rFonts w:ascii="Arial" w:cs="Arial" w:eastAsia="Arial" w:hAnsi="Arial"/>
          <w:sz w:val="15"/>
          <w:szCs w:val="15"/>
          <w:color w:val="0000FF"/>
        </w:rPr>
        <w:t>07/14/2023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Fleiss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260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03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1976"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2023-07-14T17:56:12Z</dcterms:created>
  <dcterms:modified xsi:type="dcterms:W3CDTF">2023-07-14T17:56:12Z</dcterms:modified>
</cp:coreProperties>
</file>