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July 31, 2026</w:t>
      </w:r>
    </w:p>
    <w:p>
      <w:pPr>
        <w:pStyle w:val="TextBody"/>
        <w:bidi w:val="0"/>
        <w:spacing w:lineRule="auto" w:line="288" w:before="200" w:after="283"/>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 to 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001-40958</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shd w:fill="FFFFFF" w:val="clear"/>
        </w:rPr>
      </w:pPr>
      <w:r>
        <w:rPr>
          <w:rFonts w:ascii="Arial;sans-serif" w:hAnsi="Arial;sans-serif"/>
          <w:b/>
          <w:color w:val="000000"/>
          <w:sz w:val="36"/>
          <w:shd w:fill="FFFFFF" w:val="clear"/>
        </w:rPr>
        <w:t>RENT THE RUNWAY,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620" w:type="dxa"/>
        <w:jc w:val="left"/>
        <w:tblInd w:w="0" w:type="dxa"/>
        <w:tblLayout w:type="fixed"/>
        <w:tblCellMar>
          <w:top w:w="28" w:type="dxa"/>
          <w:left w:w="28" w:type="dxa"/>
          <w:bottom w:w="28" w:type="dxa"/>
          <w:right w:w="28" w:type="dxa"/>
        </w:tblCellMar>
      </w:tblPr>
      <w:tblGrid>
        <w:gridCol w:w="1307"/>
        <w:gridCol w:w="1148"/>
        <w:gridCol w:w="1159"/>
        <w:gridCol w:w="109"/>
        <w:gridCol w:w="109"/>
        <w:gridCol w:w="109"/>
        <w:gridCol w:w="490"/>
        <w:gridCol w:w="490"/>
        <w:gridCol w:w="699"/>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80-0376379</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10 Jay Street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Brooklyn, New York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11201</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(212) 524-6860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86"/>
        <w:gridCol w:w="1381"/>
        <w:gridCol w:w="1396"/>
        <w:gridCol w:w="590"/>
        <w:gridCol w:w="590"/>
        <w:gridCol w:w="592"/>
        <w:gridCol w:w="1189"/>
        <w:gridCol w:w="1189"/>
        <w:gridCol w:w="1692"/>
      </w:tblGrid>
      <w:tr>
        <w:trPr/>
        <w:tc>
          <w:tcPr>
            <w:tcW w:w="158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0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3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$0.001 per share</w:t>
            </w:r>
          </w:p>
        </w:tc>
        <w:tc>
          <w:tcPr>
            <w:tcW w:w="17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RENT</w:t>
            </w:r>
          </w:p>
        </w:tc>
        <w:tc>
          <w:tcPr>
            <w:tcW w:w="40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Global Market</w:t>
            </w:r>
          </w:p>
        </w:tc>
      </w:tr>
    </w:tbl>
    <w:p>
      <w:pPr>
        <w:pStyle w:val="TextBody"/>
        <w:bidi w:val="0"/>
        <w:spacing w:lineRule="auto" w:line="288" w:before="20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200" w:after="283"/>
        <w:jc w:val="left"/>
        <w:rPr/>
      </w:pPr>
      <w:r>
        <w:rPr>
          <w:rFonts w:ascii="Arial;sans-serif" w:hAnsi="Arial;sans-serif"/>
          <w:b w:val="false"/>
          <w:color w:val="000000"/>
          <w:sz w:val="20"/>
        </w:rPr>
        <w:t>The registrant had outstandi</w:t>
      </w:r>
      <w:r>
        <w:rPr>
          <w:rFonts w:ascii="Arial;sans-serif" w:hAnsi="Arial;sans-serif"/>
          <w:b w:val="false"/>
          <w:color w:val="000000"/>
          <w:sz w:val="20"/>
          <w:shd w:fill="FFFFFF" w:val="clear"/>
        </w:rPr>
        <w:t>n</w:t>
      </w:r>
      <w:r>
        <w:rPr>
          <w:rFonts w:ascii="Arial;sans-serif" w:hAnsi="Arial;sans-serif"/>
          <w:b w:val="false"/>
          <w:color w:val="000000"/>
          <w:sz w:val="20"/>
        </w:rPr>
        <w:t xml:space="preserve">g 33,774,121 shares of Class A common stock as of September 4,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9315" w:type="dxa"/>
        <w:jc w:val="left"/>
        <w:tblInd w:w="0" w:type="dxa"/>
        <w:tblLayout w:type="fixed"/>
        <w:tblCellMar>
          <w:top w:w="28" w:type="dxa"/>
          <w:left w:w="28" w:type="dxa"/>
          <w:bottom w:w="28" w:type="dxa"/>
          <w:right w:w="28" w:type="dxa"/>
        </w:tblCellMar>
      </w:tblPr>
      <w:tblGrid>
        <w:gridCol w:w="315"/>
        <w:gridCol w:w="276"/>
        <w:gridCol w:w="279"/>
        <w:gridCol w:w="2607"/>
        <w:gridCol w:w="2607"/>
        <w:gridCol w:w="2615"/>
        <w:gridCol w:w="180"/>
        <w:gridCol w:w="180"/>
        <w:gridCol w:w="256"/>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9">
              <w:r>
                <w:rPr>
                  <w:rStyle w:val="InternetLink"/>
                  <w:rFonts w:ascii="Arial;sans-serif" w:hAnsi="Arial;sans-serif"/>
                  <w:b w:val="false"/>
                  <w:color w:val="0000FF"/>
                  <w:sz w:val="20"/>
                  <w:u w:val="single"/>
                </w:rPr>
                <w:t>Item 1.</w:t>
              </w:r>
            </w:hyperlink>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9">
              <w:r>
                <w:rPr>
                  <w:rStyle w:val="InternetLink"/>
                  <w:rFonts w:ascii="Arial;sans-serif" w:hAnsi="Arial;sans-serif"/>
                  <w:b w:val="false"/>
                  <w:color w:val="0000FF"/>
                  <w:sz w:val="20"/>
                  <w:u w:val="single"/>
                </w:rPr>
                <w:t>Financial Statements (Unaudited)</w:t>
              </w:r>
            </w:hyperlink>
            <w:r>
              <w:rPr>
                <w:color w:val="000000"/>
              </w:rPr>
              <w:t xml:space="preserve"> </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9">
              <w:r>
                <w:rPr>
                  <w:rStyle w:val="InternetLink"/>
                  <w:rFonts w:ascii="Arial;sans-serif" w:hAnsi="Arial;sans-serif"/>
                  <w:b w:val="false"/>
                  <w:strike w:val="false"/>
                  <w:dstrike w:val="false"/>
                  <w:color w:val="000000"/>
                  <w:sz w:val="20"/>
                  <w:u w:val="none"/>
                  <w:effect w:val="none"/>
                </w:rPr>
                <w:t>4</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00">
              <w:r>
                <w:rPr>
                  <w:rStyle w:val="InternetLink"/>
                  <w:rFonts w:ascii="Arial;sans-serif" w:hAnsi="Arial;sans-serif"/>
                  <w:b w:val="false"/>
                  <w:color w:val="0000FF"/>
                  <w:sz w:val="20"/>
                  <w:u w:val="single"/>
                </w:rPr>
                <w:t>Item 2.</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00">
              <w:r>
                <w:rPr>
                  <w:rStyle w:val="InternetLink"/>
                  <w:rFonts w:ascii="Arial;sans-serif" w:hAnsi="Arial;sans-serif"/>
                  <w:b w:val="false"/>
                  <w:color w:val="0000FF"/>
                  <w:sz w:val="20"/>
                  <w:u w:val="single"/>
                </w:rPr>
                <w:t>Management's Discussion and Analysis of Financial Condition and Results of Operations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00">
              <w:r>
                <w:rPr>
                  <w:rStyle w:val="InternetLink"/>
                  <w:rFonts w:ascii="Arial;sans-serif" w:hAnsi="Arial;sans-serif"/>
                  <w:b w:val="false"/>
                  <w:strike w:val="false"/>
                  <w:dstrike w:val="false"/>
                  <w:color w:val="000000"/>
                  <w:sz w:val="20"/>
                  <w:u w:val="none"/>
                  <w:effect w:val="none"/>
                </w:rPr>
                <w:t>33</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42">
              <w:r>
                <w:rPr>
                  <w:rStyle w:val="InternetLink"/>
                  <w:rFonts w:ascii="Arial;sans-serif" w:hAnsi="Arial;sans-serif"/>
                  <w:b w:val="false"/>
                  <w:color w:val="0000FF"/>
                  <w:sz w:val="20"/>
                  <w:u w:val="single"/>
                </w:rPr>
                <w:t>Item 3.</w:t>
              </w:r>
            </w:hyperlink>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42">
              <w:r>
                <w:rPr>
                  <w:rStyle w:val="InternetLink"/>
                  <w:rFonts w:ascii="Arial;sans-serif" w:hAnsi="Arial;sans-serif"/>
                  <w:b w:val="false"/>
                  <w:color w:val="0000FF"/>
                  <w:sz w:val="20"/>
                  <w:u w:val="single"/>
                </w:rPr>
                <w:t>Quantitative and Qualitative Disclosures About Market Risk</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42">
              <w:r>
                <w:rPr>
                  <w:rStyle w:val="InternetLink"/>
                  <w:rFonts w:ascii="Arial;sans-serif" w:hAnsi="Arial;sans-serif"/>
                  <w:b w:val="false"/>
                  <w:strike w:val="false"/>
                  <w:dstrike w:val="false"/>
                  <w:color w:val="000000"/>
                  <w:sz w:val="20"/>
                  <w:u w:val="none"/>
                  <w:effect w:val="none"/>
                </w:rPr>
                <w:t>51</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45">
              <w:r>
                <w:rPr>
                  <w:rStyle w:val="InternetLink"/>
                  <w:rFonts w:ascii="Arial;sans-serif" w:hAnsi="Arial;sans-serif"/>
                  <w:b w:val="false"/>
                  <w:color w:val="0000FF"/>
                  <w:sz w:val="20"/>
                  <w:u w:val="single"/>
                </w:rPr>
                <w:t>Item 4.</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45">
              <w:r>
                <w:rPr>
                  <w:rStyle w:val="InternetLink"/>
                  <w:rFonts w:ascii="Arial;sans-serif" w:hAnsi="Arial;sans-serif"/>
                  <w:b w:val="false"/>
                  <w:color w:val="0000FF"/>
                  <w:sz w:val="20"/>
                  <w:u w:val="single"/>
                </w:rPr>
                <w:t>Controls and Procedures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45">
              <w:r>
                <w:rPr>
                  <w:rStyle w:val="InternetLink"/>
                  <w:rFonts w:ascii="Arial;sans-serif" w:hAnsi="Arial;sans-serif"/>
                  <w:b w:val="false"/>
                  <w:strike w:val="false"/>
                  <w:dstrike w:val="false"/>
                  <w:color w:val="000000"/>
                  <w:sz w:val="20"/>
                  <w:u w:val="none"/>
                  <w:effect w:val="none"/>
                </w:rPr>
                <w:t>51</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51">
              <w:r>
                <w:rPr>
                  <w:rStyle w:val="InternetLink"/>
                  <w:rFonts w:ascii="Arial;sans-serif" w:hAnsi="Arial;sans-serif"/>
                  <w:b w:val="false"/>
                  <w:color w:val="0000FF"/>
                  <w:sz w:val="20"/>
                  <w:u w:val="single"/>
                </w:rPr>
                <w:t>Item 1.</w:t>
              </w:r>
            </w:hyperlink>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51">
              <w:r>
                <w:rPr>
                  <w:rStyle w:val="InternetLink"/>
                  <w:rFonts w:ascii="Arial;sans-serif" w:hAnsi="Arial;sans-serif"/>
                  <w:b w:val="false"/>
                  <w:color w:val="0000FF"/>
                  <w:sz w:val="20"/>
                  <w:u w:val="single"/>
                </w:rPr>
                <w:t>Legal Proceedings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51">
              <w:r>
                <w:rPr>
                  <w:rStyle w:val="InternetLink"/>
                  <w:rFonts w:ascii="Arial;sans-serif" w:hAnsi="Arial;sans-serif"/>
                  <w:b w:val="false"/>
                  <w:strike w:val="false"/>
                  <w:dstrike w:val="false"/>
                  <w:color w:val="000000"/>
                  <w:sz w:val="20"/>
                  <w:u w:val="none"/>
                  <w:effect w:val="none"/>
                </w:rPr>
                <w:t>53</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54">
              <w:r>
                <w:rPr>
                  <w:rStyle w:val="InternetLink"/>
                  <w:rFonts w:ascii="Arial;sans-serif" w:hAnsi="Arial;sans-serif"/>
                  <w:b w:val="false"/>
                  <w:color w:val="0000FF"/>
                  <w:sz w:val="20"/>
                  <w:u w:val="single"/>
                </w:rPr>
                <w:t>Item 1A.</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54">
              <w:r>
                <w:rPr>
                  <w:rStyle w:val="InternetLink"/>
                  <w:rFonts w:ascii="Arial;sans-serif" w:hAnsi="Arial;sans-serif"/>
                  <w:b w:val="false"/>
                  <w:color w:val="0000FF"/>
                  <w:sz w:val="20"/>
                  <w:u w:val="single"/>
                </w:rPr>
                <w:t>Risk Factors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54">
              <w:r>
                <w:rPr>
                  <w:rStyle w:val="InternetLink"/>
                  <w:rFonts w:ascii="Arial;sans-serif" w:hAnsi="Arial;sans-serif"/>
                  <w:b w:val="false"/>
                  <w:strike w:val="false"/>
                  <w:dstrike w:val="false"/>
                  <w:color w:val="000000"/>
                  <w:sz w:val="20"/>
                  <w:u w:val="none"/>
                  <w:effect w:val="none"/>
                </w:rPr>
                <w:t>53</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57">
              <w:r>
                <w:rPr>
                  <w:rStyle w:val="InternetLink"/>
                  <w:rFonts w:ascii="Arial;sans-serif" w:hAnsi="Arial;sans-serif"/>
                  <w:b w:val="false"/>
                  <w:color w:val="0000FF"/>
                  <w:sz w:val="20"/>
                  <w:u w:val="single"/>
                </w:rPr>
                <w:t>Item 2.</w:t>
              </w:r>
            </w:hyperlink>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57">
              <w:r>
                <w:rPr>
                  <w:rStyle w:val="InternetLink"/>
                  <w:rFonts w:ascii="Arial;sans-serif" w:hAnsi="Arial;sans-serif"/>
                  <w:b w:val="false"/>
                  <w:color w:val="0000FF"/>
                  <w:sz w:val="20"/>
                  <w:u w:val="single"/>
                </w:rPr>
                <w:t>Unregistered Sales of Equity Securities and Use of Proceeds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57">
              <w:r>
                <w:rPr>
                  <w:rStyle w:val="InternetLink"/>
                  <w:rFonts w:ascii="Arial;sans-serif" w:hAnsi="Arial;sans-serif"/>
                  <w:b w:val="false"/>
                  <w:strike w:val="false"/>
                  <w:dstrike w:val="false"/>
                  <w:color w:val="000000"/>
                  <w:sz w:val="20"/>
                  <w:u w:val="none"/>
                  <w:effect w:val="none"/>
                </w:rPr>
                <w:t>104</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60">
              <w:r>
                <w:rPr>
                  <w:rStyle w:val="InternetLink"/>
                  <w:rFonts w:ascii="Arial;sans-serif" w:hAnsi="Arial;sans-serif"/>
                  <w:b w:val="false"/>
                  <w:color w:val="0000FF"/>
                  <w:sz w:val="20"/>
                  <w:u w:val="single"/>
                </w:rPr>
                <w:t>Item 3.</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60">
              <w:r>
                <w:rPr>
                  <w:rStyle w:val="InternetLink"/>
                  <w:rFonts w:ascii="Arial;sans-serif" w:hAnsi="Arial;sans-serif"/>
                  <w:b w:val="false"/>
                  <w:color w:val="0000FF"/>
                  <w:sz w:val="20"/>
                  <w:u w:val="single"/>
                </w:rPr>
                <w:t>Defaults Upon Senior Securities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60">
              <w:r>
                <w:rPr>
                  <w:rStyle w:val="InternetLink"/>
                  <w:rFonts w:ascii="Arial;sans-serif" w:hAnsi="Arial;sans-serif"/>
                  <w:b w:val="false"/>
                  <w:strike w:val="false"/>
                  <w:dstrike w:val="false"/>
                  <w:color w:val="000000"/>
                  <w:sz w:val="20"/>
                  <w:u w:val="none"/>
                  <w:effect w:val="none"/>
                </w:rPr>
                <w:t>104</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63">
              <w:r>
                <w:rPr>
                  <w:rStyle w:val="InternetLink"/>
                  <w:rFonts w:ascii="Arial;sans-serif" w:hAnsi="Arial;sans-serif"/>
                  <w:b w:val="false"/>
                  <w:color w:val="0000FF"/>
                  <w:sz w:val="20"/>
                  <w:u w:val="single"/>
                </w:rPr>
                <w:t>Item 4.</w:t>
              </w:r>
            </w:hyperlink>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63">
              <w:r>
                <w:rPr>
                  <w:rStyle w:val="InternetLink"/>
                  <w:rFonts w:ascii="Arial;sans-serif" w:hAnsi="Arial;sans-serif"/>
                  <w:b w:val="false"/>
                  <w:color w:val="0000FF"/>
                  <w:sz w:val="20"/>
                  <w:u w:val="single"/>
                </w:rPr>
                <w:t>Mine Safety Disclosures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63">
              <w:r>
                <w:rPr>
                  <w:rStyle w:val="InternetLink"/>
                  <w:rFonts w:ascii="Arial;sans-serif" w:hAnsi="Arial;sans-serif"/>
                  <w:b w:val="false"/>
                  <w:strike w:val="false"/>
                  <w:dstrike w:val="false"/>
                  <w:color w:val="000000"/>
                  <w:sz w:val="20"/>
                  <w:u w:val="none"/>
                  <w:effect w:val="none"/>
                </w:rPr>
                <w:t>105</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66">
              <w:r>
                <w:rPr>
                  <w:rStyle w:val="InternetLink"/>
                  <w:rFonts w:ascii="Arial;sans-serif" w:hAnsi="Arial;sans-serif"/>
                  <w:b w:val="false"/>
                  <w:color w:val="0000FF"/>
                  <w:sz w:val="20"/>
                  <w:u w:val="single"/>
                </w:rPr>
                <w:t>Item 5.</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66">
              <w:r>
                <w:rPr>
                  <w:rStyle w:val="InternetLink"/>
                  <w:rFonts w:ascii="Arial;sans-serif" w:hAnsi="Arial;sans-serif"/>
                  <w:b w:val="false"/>
                  <w:color w:val="0000FF"/>
                  <w:sz w:val="20"/>
                  <w:u w:val="single"/>
                </w:rPr>
                <w:t>Other Information</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66">
              <w:r>
                <w:rPr>
                  <w:rStyle w:val="InternetLink"/>
                  <w:rFonts w:ascii="Arial;sans-serif" w:hAnsi="Arial;sans-serif"/>
                  <w:b w:val="false"/>
                  <w:strike w:val="false"/>
                  <w:dstrike w:val="false"/>
                  <w:color w:val="000000"/>
                  <w:sz w:val="20"/>
                  <w:u w:val="none"/>
                  <w:effect w:val="none"/>
                </w:rPr>
                <w:t>105</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72">
              <w:r>
                <w:rPr>
                  <w:rStyle w:val="InternetLink"/>
                  <w:rFonts w:ascii="Arial;sans-serif" w:hAnsi="Arial;sans-serif"/>
                  <w:b w:val="false"/>
                  <w:color w:val="0000FF"/>
                  <w:sz w:val="20"/>
                  <w:u w:val="single"/>
                </w:rPr>
                <w:t>Item 6.</w:t>
              </w:r>
            </w:hyperlink>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72">
              <w:r>
                <w:rPr>
                  <w:rStyle w:val="InternetLink"/>
                  <w:rFonts w:ascii="Arial;sans-serif" w:hAnsi="Arial;sans-serif"/>
                  <w:b w:val="false"/>
                  <w:color w:val="0000FF"/>
                  <w:sz w:val="20"/>
                  <w:u w:val="single"/>
                </w:rPr>
                <w:t>Exhibits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72">
              <w:r>
                <w:rPr>
                  <w:rStyle w:val="InternetLink"/>
                  <w:rFonts w:ascii="Arial;sans-serif" w:hAnsi="Arial;sans-serif"/>
                  <w:b w:val="false"/>
                  <w:strike w:val="false"/>
                  <w:dstrike w:val="false"/>
                  <w:color w:val="000000"/>
                  <w:sz w:val="20"/>
                  <w:u w:val="none"/>
                  <w:effect w:val="none"/>
                </w:rPr>
                <w:t>106</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175">
              <w:r>
                <w:rPr>
                  <w:rStyle w:val="InternetLink"/>
                  <w:rFonts w:ascii="Arial;sans-serif" w:hAnsi="Arial;sans-serif"/>
                  <w:b w:val="false"/>
                  <w:color w:val="0000FF"/>
                  <w:sz w:val="20"/>
                  <w:u w:val="single"/>
                </w:rPr>
                <w:t>Signatures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175">
              <w:r>
                <w:rPr>
                  <w:rStyle w:val="InternetLink"/>
                  <w:rFonts w:ascii="Arial;sans-serif" w:hAnsi="Arial;sans-serif"/>
                  <w:b w:val="false"/>
                  <w:strike w:val="false"/>
                  <w:dstrike w:val="false"/>
                  <w:color w:val="000000"/>
                  <w:sz w:val="20"/>
                  <w:u w:val="none"/>
                  <w:effect w:val="none"/>
                </w:rPr>
                <w:t>107</w:t>
              </w:r>
            </w:hyperlink>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Unless the context otherwise requires, we use the terms the “Company,” “RTR,” “Rent the Runway,” “we,” “us” and “our” in this Quarterly Report on Form 10-Q, or Quarterly Report, to refer to Rent the Runway, Inc. and, where appropriate,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Risk Factor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are unable to drive future growth or manage our growth effectively, our brand, Company culture, and financial performance may suffer.</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global fashion industry is highly competitive and rapidly changing, and we may not be able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consumer discretionary spending and have been, and may in the future be, adversely affected by economic downturns and other macroeconomic conditions or trends and developments, including global trade policies and tariffs.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continued growth depends on our ability to attract new, and retain existing, customers, which may fluctuate based on our level of investment and success in our marketing initiatives. If we are unable to cost-effectively grow our customer base,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fail to retain customers,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are unable to acquire and manage our products effectively and plan for future expenses, our operating results could be adversely affected.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use of AI may subject us to new or heightened legal, regulatory, ethical, operational or other challenges.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successfully integrate our new CEO, recruit a permanent CFO, and effectively manage these leadership transitions could materially adversely affect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our indebtedness and with any future need to raise additional capital, including the risk that new financing or the restructuring or refinancing of our existing indebtedness may not be available on acceptable terms or at all and that our operations may be adversely impacted by the covenants in our current debt agreement or future financing agreements.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arising from cost-cutting and restructuring of our operations, which could adversely affect our financial condition, results of operations, cash flows, or business reputation.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heavily on the effective operation of our proprietary technology systems and software, as well as those of our third-party vendors and service providers, for our business to effectively operate and to safeguard confidential information.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Shipping and logistics are a critical part of our business and our supply chain and any changes or interruptions in shipping or logistics operations could adversely affect our operating results.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may fail to realize all of the anticipated benefits of the Recapitalization Transactions, or those benefits may be short-lived or insufficient for our future needs.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We may be unable to successfully implement our business strategy, and changes in market, economic, competitive or other conditions may require us to modify or adapt our strategy. </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manage our Board-related changes could materially adversely affect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In connection with the Recapitalization Transactions, we entered into a new credit agreement, which includes covenants that could restrict our operations or our ability to pursue growth strategies and initiatives, and failure to comply </w:t>
      </w:r>
      <w:r>
        <w:rPr>
          <w:rFonts w:ascii="Arial;sans-serif" w:hAnsi="Arial;sans-serif"/>
          <w:b w:val="false"/>
          <w:color w:val="000000"/>
          <w:sz w:val="20"/>
          <w:shd w:fill="FFFFFF" w:val="clear"/>
        </w:rPr>
        <w:t>with these covenants could have a material adverse effect on our business, financial condition and results of operations.</w:t>
      </w:r>
    </w:p>
    <w:p>
      <w:pPr>
        <w:pStyle w:val="TextBody"/>
        <w:bidi w:val="0"/>
        <w:spacing w:lineRule="auto" w:line="288" w:before="80" w:after="283"/>
        <w:ind w:left="0" w:right="0" w:hanging="360"/>
        <w:jc w:val="left"/>
        <w:rPr/>
      </w:pPr>
      <w:r>
        <w:rPr>
          <w:color w:val="000000"/>
          <w:shd w:fill="FFFFFF" w:val="clear"/>
        </w:rPr>
        <w:t>•</w:t>
      </w:r>
      <w:r>
        <w:rPr>
          <w:rFonts w:ascii="Arial;sans-serif" w:hAnsi="Arial;sans-serif"/>
          <w:b w:val="false"/>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business is subject to a large number of U.S. and non-U.S. laws and regulations, many of which are evolving.</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the experience and expertise of our senior management team, key technical and strategic employees and hourly personnel.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adequately obtain, maintain, protect and enforce our intellectual property and proprietary rights could harm our brand, devalue our proprietary content, and adversely affect our ability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rapidly changing and increasingly stringent laws and industry standards relating to data privacy, data security, data protection, and consumer protection.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A significant technology disruption or failure, cyberattack or data security incident could adversely affect our business, financial condition and operations.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brand and manufacturing partners from whom our products are sourced or co-manufactured.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third parties to provide payment processing infrastructure underlying our business. If these third-party providers become unavailable or unavailable on favorable terms, our business could be adversely affected.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depend on search engines, social media platforms, mobile application stores, content-based online advertising and other online sources, which may be affected by third-party interference beyond our control and, as we grow, our marketing and/or customer acquisition costs may rise.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a “controlled company” within the meaning of the rules and listing standards of The Nasdaq Stock Market LLC (Nasdaq) and rely on exemptions from certain corporate governance requirements, which means that our stockholders do not have the same protections as those afforded to stockholders of companies that are not “controlled.” This could make our Class A common stock less attractive to investors or otherwise harm our stock price.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share price may be volatile, and investors may be unable to sell their shares at or above the price they purchased them.</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If we are unable to adequately address these and other risks we face, our business may be harmed.</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including rental product acquisition plans, initiatives, leadership transitions, AI initiatives, business plans, promotional and marketing strategy, anticipated future expenditures, compliance with our debt covenants, liquidity position, market growth and our objectives for future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July 31, 2026.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3504"/>
        <w:gridCol w:w="3038"/>
        <w:gridCol w:w="3046"/>
        <w:gridCol w:w="180"/>
        <w:gridCol w:w="180"/>
        <w:gridCol w:w="257"/>
      </w:tblGrid>
      <w:tr>
        <w:trPr/>
        <w:tc>
          <w:tcPr>
            <w:tcW w:w="3504"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22">
              <w:r>
                <w:rPr>
                  <w:rStyle w:val="InternetLink"/>
                  <w:rFonts w:ascii="Arial;sans-serif" w:hAnsi="Arial;sans-serif"/>
                  <w:b w:val="false"/>
                  <w:color w:val="0000FF"/>
                  <w:sz w:val="20"/>
                  <w:u w:val="single"/>
                </w:rPr>
                <w:t>Condensed Consolidated Balance Sheets - Unaudited as of July 31, 2026 and Audited as of January 31, 2026</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1ce9b0a5c1142d3b4958a9f60ce729f_22">
              <w:r>
                <w:rPr>
                  <w:rStyle w:val="InternetLink"/>
                  <w:rFonts w:ascii="Arial;sans-serif" w:hAnsi="Arial;sans-serif"/>
                  <w:b w:val="false"/>
                  <w:strike w:val="false"/>
                  <w:dstrike w:val="false"/>
                  <w:color w:val="000000"/>
                  <w:sz w:val="20"/>
                  <w:u w:val="none"/>
                  <w:effect w:val="non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25">
              <w:r>
                <w:rPr>
                  <w:rStyle w:val="InternetLink"/>
                  <w:rFonts w:ascii="Arial;sans-serif" w:hAnsi="Arial;sans-serif"/>
                  <w:b w:val="false"/>
                  <w:color w:val="0000FF"/>
                  <w:sz w:val="20"/>
                  <w:u w:val="single"/>
                </w:rPr>
                <w:t>Condensed Consolidated Statements of Operations - Unaudited for the three and six months ended July 31, 2026 and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25">
              <w:r>
                <w:rPr>
                  <w:rStyle w:val="InternetLink"/>
                  <w:rFonts w:ascii="Arial;sans-serif" w:hAnsi="Arial;sans-serif"/>
                  <w:b w:val="false"/>
                  <w:strike w:val="false"/>
                  <w:dstrike w:val="false"/>
                  <w:color w:val="000000"/>
                  <w:sz w:val="20"/>
                  <w:u w:val="none"/>
                  <w:effect w:val="non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31">
              <w:r>
                <w:rPr>
                  <w:rStyle w:val="InternetLink"/>
                  <w:rFonts w:ascii="Arial;sans-serif" w:hAnsi="Arial;sans-serif"/>
                  <w:b w:val="false"/>
                  <w:color w:val="0000FF"/>
                  <w:sz w:val="20"/>
                  <w:u w:val="single"/>
                </w:rPr>
                <w:t>Condensed Consolidated Statements of Changes in Stockholders’ Equity (Deficit) - Unaudited for the three and six months ended July 31, 2026 and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31">
              <w:r>
                <w:rPr>
                  <w:rStyle w:val="InternetLink"/>
                  <w:rFonts w:ascii="Arial;sans-serif" w:hAnsi="Arial;sans-serif"/>
                  <w:b w:val="false"/>
                  <w:strike w:val="false"/>
                  <w:dstrike w:val="false"/>
                  <w:color w:val="000000"/>
                  <w:sz w:val="20"/>
                  <w:u w:val="none"/>
                  <w:effect w:val="non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40">
              <w:r>
                <w:rPr>
                  <w:rStyle w:val="InternetLink"/>
                  <w:rFonts w:ascii="Arial;sans-serif" w:hAnsi="Arial;sans-serif"/>
                  <w:b w:val="false"/>
                  <w:color w:val="0000FF"/>
                  <w:sz w:val="20"/>
                  <w:u w:val="single"/>
                </w:rPr>
                <w:t>Condensed Consolidated Statements of Cash Flows - Unaudited for the six months ended July 31, 2026 and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40">
              <w:r>
                <w:rPr>
                  <w:rStyle w:val="InternetLink"/>
                  <w:rFonts w:ascii="Arial;sans-serif" w:hAnsi="Arial;sans-serif"/>
                  <w:b w:val="false"/>
                  <w:strike w:val="false"/>
                  <w:dstrike w:val="false"/>
                  <w:color w:val="000000"/>
                  <w:sz w:val="20"/>
                  <w:u w:val="none"/>
                  <w:effect w:val="none"/>
                </w:rPr>
                <w:t>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Notes to Condensed Consolidated Financial Statements </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49">
              <w:r>
                <w:rPr>
                  <w:rStyle w:val="InternetLink"/>
                  <w:rFonts w:ascii="Arial;sans-serif" w:hAnsi="Arial;sans-serif"/>
                  <w:b w:val="false"/>
                  <w:color w:val="0000FF"/>
                  <w:sz w:val="20"/>
                  <w:u w:val="single"/>
                </w:rPr>
                <w:t>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49">
              <w:r>
                <w:rPr>
                  <w:rStyle w:val="InternetLink"/>
                  <w:rFonts w:ascii="Arial;sans-serif" w:hAnsi="Arial;sans-serif"/>
                  <w:b w:val="false"/>
                  <w:strike w:val="false"/>
                  <w:dstrike w:val="false"/>
                  <w:color w:val="000000"/>
                  <w:sz w:val="20"/>
                  <w:u w:val="none"/>
                  <w:effect w:val="none"/>
                </w:rPr>
                <w:t>11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52">
              <w:r>
                <w:rPr>
                  <w:rStyle w:val="InternetLink"/>
                  <w:rFonts w:ascii="Arial;sans-serif" w:hAnsi="Arial;sans-serif"/>
                  <w:b w:val="false"/>
                  <w:color w:val="0000FF"/>
                  <w:sz w:val="20"/>
                  <w:u w:val="single"/>
                </w:rPr>
                <w:t>2. Summary of Significant Accounting Policies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52">
              <w:r>
                <w:rPr>
                  <w:rStyle w:val="InternetLink"/>
                  <w:rFonts w:ascii="Arial;sans-serif" w:hAnsi="Arial;sans-serif"/>
                  <w:b w:val="false"/>
                  <w:strike w:val="false"/>
                  <w:dstrike w:val="false"/>
                  <w:color w:val="000000"/>
                  <w:sz w:val="20"/>
                  <w:u w:val="none"/>
                  <w:effect w:val="none"/>
                </w:rPr>
                <w:t>11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58">
              <w:r>
                <w:rPr>
                  <w:rStyle w:val="InternetLink"/>
                  <w:rFonts w:ascii="Arial;sans-serif" w:hAnsi="Arial;sans-serif"/>
                  <w:b w:val="false"/>
                  <w:color w:val="0000FF"/>
                  <w:sz w:val="20"/>
                  <w:u w:val="single"/>
                </w:rPr>
                <w:t>3. Liquidity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58">
              <w:r>
                <w:rPr>
                  <w:rStyle w:val="InternetLink"/>
                  <w:rFonts w:ascii="Arial;sans-serif" w:hAnsi="Arial;sans-serif"/>
                  <w:b w:val="false"/>
                  <w:strike w:val="false"/>
                  <w:dstrike w:val="false"/>
                  <w:color w:val="000000"/>
                  <w:sz w:val="20"/>
                  <w:u w:val="none"/>
                  <w:effect w:val="none"/>
                </w:rPr>
                <w:t>18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64">
              <w:r>
                <w:rPr>
                  <w:rStyle w:val="InternetLink"/>
                  <w:rFonts w:ascii="Arial;sans-serif" w:hAnsi="Arial;sans-serif"/>
                  <w:b w:val="false"/>
                  <w:color w:val="0000FF"/>
                  <w:sz w:val="20"/>
                  <w:u w:val="single"/>
                </w:rPr>
                <w:t>4. Leases - Lessee Accounting</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64">
              <w:r>
                <w:rPr>
                  <w:rStyle w:val="InternetLink"/>
                  <w:rFonts w:ascii="Arial;sans-serif" w:hAnsi="Arial;sans-serif"/>
                  <w:b w:val="false"/>
                  <w:strike w:val="false"/>
                  <w:dstrike w:val="false"/>
                  <w:color w:val="000000"/>
                  <w:sz w:val="20"/>
                  <w:u w:val="none"/>
                  <w:effect w:val="none"/>
                </w:rPr>
                <w:t>19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67">
              <w:r>
                <w:rPr>
                  <w:rStyle w:val="InternetLink"/>
                  <w:rFonts w:ascii="Arial;sans-serif" w:hAnsi="Arial;sans-serif"/>
                  <w:b w:val="false"/>
                  <w:color w:val="0000FF"/>
                  <w:sz w:val="20"/>
                  <w:u w:val="single"/>
                </w:rPr>
                <w:t>5. Rental Product,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67">
              <w:r>
                <w:rPr>
                  <w:rStyle w:val="InternetLink"/>
                  <w:rFonts w:ascii="Arial;sans-serif" w:hAnsi="Arial;sans-serif"/>
                  <w:b w:val="false"/>
                  <w:strike w:val="false"/>
                  <w:dstrike w:val="false"/>
                  <w:color w:val="000000"/>
                  <w:sz w:val="20"/>
                  <w:u w:val="none"/>
                  <w:effect w:val="none"/>
                </w:rPr>
                <w:t>19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70">
              <w:r>
                <w:rPr>
                  <w:rStyle w:val="InternetLink"/>
                  <w:rFonts w:ascii="Arial;sans-serif" w:hAnsi="Arial;sans-serif"/>
                  <w:b w:val="false"/>
                  <w:color w:val="0000FF"/>
                  <w:sz w:val="20"/>
                  <w:u w:val="single"/>
                </w:rPr>
                <w:t>6. Long-Term Debt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70">
              <w:r>
                <w:rPr>
                  <w:rStyle w:val="InternetLink"/>
                  <w:rFonts w:ascii="Arial;sans-serif" w:hAnsi="Arial;sans-serif"/>
                  <w:b w:val="false"/>
                  <w:strike w:val="false"/>
                  <w:dstrike w:val="false"/>
                  <w:color w:val="000000"/>
                  <w:sz w:val="20"/>
                  <w:u w:val="none"/>
                  <w:effect w:val="none"/>
                </w:rPr>
                <w:t>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73">
              <w:r>
                <w:rPr>
                  <w:rStyle w:val="InternetLink"/>
                  <w:rFonts w:ascii="Arial;sans-serif" w:hAnsi="Arial;sans-serif"/>
                  <w:b w:val="false"/>
                  <w:color w:val="0000FF"/>
                  <w:sz w:val="20"/>
                  <w:u w:val="single"/>
                </w:rPr>
                <w:t>7. Income Taxes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73">
              <w:r>
                <w:rPr>
                  <w:rStyle w:val="InternetLink"/>
                  <w:rFonts w:ascii="Arial;sans-serif" w:hAnsi="Arial;sans-serif"/>
                  <w:b w:val="false"/>
                  <w:strike w:val="false"/>
                  <w:dstrike w:val="false"/>
                  <w:color w:val="000000"/>
                  <w:sz w:val="20"/>
                  <w:u w:val="none"/>
                  <w:effect w:val="none"/>
                </w:rPr>
                <w:t>22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76">
              <w:r>
                <w:rPr>
                  <w:rStyle w:val="InternetLink"/>
                  <w:rFonts w:ascii="Arial;sans-serif" w:hAnsi="Arial;sans-serif"/>
                  <w:b w:val="false"/>
                  <w:color w:val="0000FF"/>
                  <w:sz w:val="20"/>
                  <w:u w:val="single"/>
                </w:rPr>
                <w:t>8. Accrued Expenses and Other Current Liabilities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76">
              <w:r>
                <w:rPr>
                  <w:rStyle w:val="InternetLink"/>
                  <w:rFonts w:ascii="Arial;sans-serif" w:hAnsi="Arial;sans-serif"/>
                  <w:b w:val="false"/>
                  <w:strike w:val="false"/>
                  <w:dstrike w:val="false"/>
                  <w:color w:val="000000"/>
                  <w:sz w:val="20"/>
                  <w:u w:val="none"/>
                  <w:effect w:val="none"/>
                </w:rPr>
                <w:t>22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79">
              <w:r>
                <w:rPr>
                  <w:rStyle w:val="InternetLink"/>
                  <w:rFonts w:ascii="Arial;sans-serif" w:hAnsi="Arial;sans-serif"/>
                  <w:b w:val="false"/>
                  <w:color w:val="0000FF"/>
                  <w:sz w:val="20"/>
                  <w:u w:val="single"/>
                </w:rPr>
                <w:t>9. Fair Value Measurements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79">
              <w:r>
                <w:rPr>
                  <w:rStyle w:val="InternetLink"/>
                  <w:rFonts w:ascii="Arial;sans-serif" w:hAnsi="Arial;sans-serif"/>
                  <w:b w:val="false"/>
                  <w:strike w:val="false"/>
                  <w:dstrike w:val="false"/>
                  <w:color w:val="000000"/>
                  <w:sz w:val="20"/>
                  <w:u w:val="none"/>
                  <w:effect w:val="none"/>
                </w:rPr>
                <w:t>23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82">
              <w:r>
                <w:rPr>
                  <w:rStyle w:val="InternetLink"/>
                  <w:rFonts w:ascii="Arial;sans-serif" w:hAnsi="Arial;sans-serif"/>
                  <w:b w:val="false"/>
                  <w:color w:val="0000FF"/>
                  <w:sz w:val="20"/>
                  <w:u w:val="single"/>
                </w:rPr>
                <w:t>10. Stockholders’ Equity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82">
              <w:r>
                <w:rPr>
                  <w:rStyle w:val="InternetLink"/>
                  <w:rFonts w:ascii="Arial;sans-serif" w:hAnsi="Arial;sans-serif"/>
                  <w:b w:val="false"/>
                  <w:strike w:val="false"/>
                  <w:dstrike w:val="false"/>
                  <w:color w:val="000000"/>
                  <w:sz w:val="20"/>
                  <w:u w:val="none"/>
                  <w:effect w:val="none"/>
                </w:rPr>
                <w:t>23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88">
              <w:r>
                <w:rPr>
                  <w:rStyle w:val="InternetLink"/>
                  <w:rFonts w:ascii="Arial;sans-serif" w:hAnsi="Arial;sans-serif"/>
                  <w:b w:val="false"/>
                  <w:color w:val="0000FF"/>
                  <w:sz w:val="20"/>
                  <w:u w:val="single"/>
                </w:rPr>
                <w:t>11. Share-based Compensation Plans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88">
              <w:r>
                <w:rPr>
                  <w:rStyle w:val="InternetLink"/>
                  <w:rFonts w:ascii="Arial;sans-serif" w:hAnsi="Arial;sans-serif"/>
                  <w:b w:val="false"/>
                  <w:strike w:val="false"/>
                  <w:dstrike w:val="false"/>
                  <w:color w:val="000000"/>
                  <w:sz w:val="20"/>
                  <w:u w:val="none"/>
                  <w:effect w:val="none"/>
                </w:rPr>
                <w:t>24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91">
              <w:r>
                <w:rPr>
                  <w:rStyle w:val="InternetLink"/>
                  <w:rFonts w:ascii="Arial;sans-serif" w:hAnsi="Arial;sans-serif"/>
                  <w:b w:val="false"/>
                  <w:color w:val="0000FF"/>
                  <w:sz w:val="20"/>
                  <w:u w:val="single"/>
                </w:rPr>
                <w:t>12. Net Loss per Share Attributable to Common Stockholders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91">
              <w:r>
                <w:rPr>
                  <w:rStyle w:val="InternetLink"/>
                  <w:rFonts w:ascii="Arial;sans-serif" w:hAnsi="Arial;sans-serif"/>
                  <w:b w:val="false"/>
                  <w:strike w:val="false"/>
                  <w:dstrike w:val="false"/>
                  <w:color w:val="000000"/>
                  <w:sz w:val="20"/>
                  <w:u w:val="none"/>
                  <w:effect w:val="none"/>
                </w:rPr>
                <w:t>28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94">
              <w:r>
                <w:rPr>
                  <w:rStyle w:val="InternetLink"/>
                  <w:rFonts w:ascii="Arial;sans-serif" w:hAnsi="Arial;sans-serif"/>
                  <w:b w:val="false"/>
                  <w:color w:val="000080"/>
                  <w:sz w:val="20"/>
                  <w:u w:val="single"/>
                </w:rPr>
                <w:t>13. Related Party Tr</w:t>
              </w:r>
            </w:hyperlink>
            <w:hyperlink w:anchor="i51ce9b0a5c1142d3b4958a9f60ce729f_94">
              <w:r>
                <w:rPr>
                  <w:rStyle w:val="InternetLink"/>
                  <w:rFonts w:ascii="Arial;sans-serif" w:hAnsi="Arial;sans-serif"/>
                  <w:b w:val="false"/>
                  <w:color w:val="000080"/>
                  <w:sz w:val="20"/>
                  <w:u w:val="single"/>
                </w:rPr>
                <w:t>ansactions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94">
              <w:r>
                <w:rPr>
                  <w:rStyle w:val="InternetLink"/>
                  <w:rFonts w:ascii="Arial;sans-serif" w:hAnsi="Arial;sans-serif"/>
                  <w:b w:val="false"/>
                  <w:strike w:val="false"/>
                  <w:dstrike w:val="false"/>
                  <w:color w:val="000000"/>
                  <w:sz w:val="20"/>
                  <w:u w:val="none"/>
                  <w:effect w:val="non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549755814607">
              <w:r>
                <w:rPr>
                  <w:rStyle w:val="InternetLink"/>
                  <w:rFonts w:ascii="Arial;sans-serif" w:hAnsi="Arial;sans-serif"/>
                  <w:b w:val="false"/>
                  <w:color w:val="0000FF"/>
                  <w:sz w:val="20"/>
                  <w:u w:val="single"/>
                </w:rPr>
                <w:t>14. Commitments and Contingencies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549755814607">
              <w:r>
                <w:rPr>
                  <w:rStyle w:val="InternetLink"/>
                  <w:rFonts w:ascii="Arial;sans-serif" w:hAnsi="Arial;sans-serif"/>
                  <w:b w:val="false"/>
                  <w:strike w:val="false"/>
                  <w:dstrike w:val="false"/>
                  <w:color w:val="000000"/>
                  <w:sz w:val="20"/>
                  <w:u w:val="none"/>
                  <w:effect w:val="non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ce9b0a5c1142d3b4958a9f60ce729f_97">
              <w:r>
                <w:rPr>
                  <w:rStyle w:val="InternetLink"/>
                  <w:rFonts w:ascii="Arial;sans-serif" w:hAnsi="Arial;sans-serif"/>
                  <w:b w:val="false"/>
                  <w:color w:val="0000FF"/>
                  <w:sz w:val="20"/>
                  <w:u w:val="single"/>
                </w:rPr>
                <w:t>15. Subsequent Events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ce9b0a5c1142d3b4958a9f60ce729f_97">
              <w:r>
                <w:rPr>
                  <w:rStyle w:val="InternetLink"/>
                  <w:rFonts w:ascii="Arial;sans-serif" w:hAnsi="Arial;sans-serif"/>
                  <w:b w:val="false"/>
                  <w:strike w:val="false"/>
                  <w:dstrike w:val="false"/>
                  <w:color w:val="000000"/>
                  <w:sz w:val="20"/>
                  <w:u w:val="none"/>
                  <w:effect w:val="none"/>
                </w:rPr>
                <w:t>32</w:t>
              </w:r>
            </w:hyperlink>
          </w:p>
        </w:tc>
      </w:tr>
    </w:tbl>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Arial;sans-serif" w:hAnsi="Arial;sans-serif"/>
            <w:b/>
            <w:color w:val="0000FF"/>
            <w:sz w:val="18"/>
            <w:u w:val="single"/>
          </w:rPr>
          <w:t>Table of Contents</w:t>
        </w:r>
      </w:hyperlink>
    </w:p>
    <w:tbl>
      <w:tblPr>
        <w:tblW w:w="3989" w:type="dxa"/>
        <w:jc w:val="left"/>
        <w:tblInd w:w="0" w:type="dxa"/>
        <w:tblLayout w:type="fixed"/>
        <w:tblCellMar>
          <w:top w:w="28" w:type="dxa"/>
          <w:left w:w="28" w:type="dxa"/>
          <w:bottom w:w="28" w:type="dxa"/>
          <w:right w:w="28" w:type="dxa"/>
        </w:tblCellMar>
      </w:tblPr>
      <w:tblGrid>
        <w:gridCol w:w="1277"/>
        <w:gridCol w:w="1123"/>
        <w:gridCol w:w="1589"/>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Condensed Consolidated Balance Sheets</w:t>
            </w:r>
          </w:p>
        </w:tc>
      </w:tr>
    </w:tbl>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 unaudited)</w:t>
      </w:r>
    </w:p>
    <w:tbl>
      <w:tblPr>
        <w:tblW w:w="10205" w:type="dxa"/>
        <w:jc w:val="left"/>
        <w:tblInd w:w="0" w:type="dxa"/>
        <w:tblLayout w:type="fixed"/>
        <w:tblCellMar>
          <w:top w:w="28" w:type="dxa"/>
          <w:left w:w="28" w:type="dxa"/>
          <w:bottom w:w="28" w:type="dxa"/>
          <w:right w:w="28" w:type="dxa"/>
        </w:tblCellMar>
      </w:tblPr>
      <w:tblGrid>
        <w:gridCol w:w="3236"/>
        <w:gridCol w:w="2474"/>
        <w:gridCol w:w="2334"/>
        <w:gridCol w:w="197"/>
        <w:gridCol w:w="560"/>
        <w:gridCol w:w="109"/>
        <w:gridCol w:w="109"/>
        <w:gridCol w:w="109"/>
        <w:gridCol w:w="109"/>
        <w:gridCol w:w="208"/>
        <w:gridCol w:w="592"/>
        <w:gridCol w:w="168"/>
      </w:tblGrid>
      <w:tr>
        <w:trPr/>
        <w:tc>
          <w:tcPr>
            <w:tcW w:w="323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8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Assets</w:t>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assets:</w:t>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assets</w:t>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Rental product, net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Fixed assets, net</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Intangible assets, net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assets</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 (Deficit)</w:t>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liabilities:</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Accounts payable</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Deferred revenue</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Customer credit and gift card liabilities</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Long-term debt, net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liabilities</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w:t>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Commitments and Contingencies (Note 14)</w:t>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 (deficit)</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Class A common stock, $0.001 par value; 300,000,000 shares authorized as of July 31, 2026 and January 31, 2026; 33,757,416 and 33,390,904 shares issued and outstanding as of July 31, 2026 and January 31, 2026, respectively</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Class B common stock, $0.001 par value; no shares authorized as of July 31, 2026 and 50,000,000 shares authorized as of January 31, 2026; 0 shares issued and outstanding as of July 31, 2026 and January 31, 2026 </w:t>
            </w:r>
            <w:r>
              <w:rPr>
                <w:rFonts w:ascii="Arial;sans-serif" w:hAnsi="Arial;sans-serif"/>
                <w:b w:val="false"/>
                <w:color w:val="000000"/>
                <w:sz w:val="10"/>
              </w:rPr>
              <w:t>(1)</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Preferred stock, $0.001 par value; no shares authorized as of July 31, 2026 and 10,000,000 shares authorized as of January 31, 2026; 0 shares issued and outstanding as of July 31, 2026 and January 31, 2026 </w:t>
            </w:r>
            <w:r>
              <w:rPr>
                <w:rFonts w:ascii="Arial;sans-serif" w:hAnsi="Arial;sans-serif"/>
                <w:b w:val="false"/>
                <w:color w:val="000000"/>
                <w:sz w:val="10"/>
              </w:rPr>
              <w:t>(1)</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Accumulated deficit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stockholders’ equity (deficit)</w:t>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 (deficit)</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 July 2026, the Company’s stockholders approved the elimination of the Company’s authorized shares of Class B common stock and preferred stock. See Note 2, “Summary of Significant Accounting Policies” and Note 10, “Stockholders’ Equity” for additional details.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Arial;sans-serif" w:hAnsi="Arial;sans-serif"/>
            <w:b/>
            <w:color w:val="0000FF"/>
            <w:sz w:val="18"/>
            <w:u w:val="single"/>
          </w:rPr>
          <w:t>Table of Contents</w:t>
        </w:r>
      </w:hyperlink>
    </w:p>
    <w:tbl>
      <w:tblPr>
        <w:tblW w:w="4919" w:type="dxa"/>
        <w:jc w:val="left"/>
        <w:tblInd w:w="0" w:type="dxa"/>
        <w:tblLayout w:type="fixed"/>
        <w:tblCellMar>
          <w:top w:w="28" w:type="dxa"/>
          <w:left w:w="28" w:type="dxa"/>
          <w:bottom w:w="28" w:type="dxa"/>
          <w:right w:w="28" w:type="dxa"/>
        </w:tblCellMar>
      </w:tblPr>
      <w:tblGrid>
        <w:gridCol w:w="1575"/>
        <w:gridCol w:w="1385"/>
        <w:gridCol w:w="1959"/>
      </w:tblGrid>
      <w:tr>
        <w:trPr/>
        <w:tc>
          <w:tcPr>
            <w:tcW w:w="15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 unaudited)</w:t>
      </w:r>
    </w:p>
    <w:tbl>
      <w:tblPr>
        <w:tblW w:w="10205" w:type="dxa"/>
        <w:jc w:val="left"/>
        <w:tblInd w:w="0" w:type="dxa"/>
        <w:tblLayout w:type="fixed"/>
        <w:tblCellMar>
          <w:top w:w="28" w:type="dxa"/>
          <w:left w:w="28" w:type="dxa"/>
          <w:bottom w:w="28" w:type="dxa"/>
          <w:right w:w="28" w:type="dxa"/>
        </w:tblCellMar>
      </w:tblPr>
      <w:tblGrid>
        <w:gridCol w:w="1857"/>
        <w:gridCol w:w="1363"/>
        <w:gridCol w:w="1380"/>
        <w:gridCol w:w="309"/>
        <w:gridCol w:w="772"/>
        <w:gridCol w:w="114"/>
        <w:gridCol w:w="114"/>
        <w:gridCol w:w="114"/>
        <w:gridCol w:w="114"/>
        <w:gridCol w:w="279"/>
        <w:gridCol w:w="697"/>
        <w:gridCol w:w="114"/>
        <w:gridCol w:w="109"/>
        <w:gridCol w:w="109"/>
        <w:gridCol w:w="109"/>
        <w:gridCol w:w="275"/>
        <w:gridCol w:w="806"/>
        <w:gridCol w:w="109"/>
        <w:gridCol w:w="109"/>
        <w:gridCol w:w="109"/>
        <w:gridCol w:w="109"/>
        <w:gridCol w:w="244"/>
        <w:gridCol w:w="732"/>
        <w:gridCol w:w="158"/>
      </w:tblGrid>
      <w:tr>
        <w:trPr/>
        <w:tc>
          <w:tcPr>
            <w:tcW w:w="18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Subscription and Reserve rental revenue</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revenue,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Costs and expenses: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Fulfillment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Technology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Rental product depreciation and revenue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Operating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income /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Securities litigation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 before income tax benefit /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benefit /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(0.38)</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(12.49)</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Weighted-average shares used in computing net loss per share attributable to common stockholders,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33,576,091 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4,237,890 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33,501,272 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4,203,550 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Arial;sans-serif" w:hAnsi="Arial;sans-serif"/>
            <w:b/>
            <w:color w:val="0000FF"/>
            <w:sz w:val="18"/>
            <w:u w:val="single"/>
          </w:rPr>
          <w:t>Table of Contents</w:t>
        </w:r>
      </w:hyperlink>
    </w:p>
    <w:tbl>
      <w:tblPr>
        <w:tblW w:w="6659" w:type="dxa"/>
        <w:jc w:val="left"/>
        <w:tblInd w:w="0" w:type="dxa"/>
        <w:tblLayout w:type="fixed"/>
        <w:tblCellMar>
          <w:top w:w="28" w:type="dxa"/>
          <w:left w:w="28" w:type="dxa"/>
          <w:bottom w:w="28" w:type="dxa"/>
          <w:right w:w="28" w:type="dxa"/>
        </w:tblCellMar>
      </w:tblPr>
      <w:tblGrid>
        <w:gridCol w:w="2133"/>
        <w:gridCol w:w="1874"/>
        <w:gridCol w:w="2652"/>
      </w:tblGrid>
      <w:tr>
        <w:trPr/>
        <w:tc>
          <w:tcPr>
            <w:tcW w:w="2133"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Condensed Consolidated Statements of Changes in Stockholders’ Equity (Deficit)</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amounts, unaudited)</w:t>
      </w:r>
    </w:p>
    <w:tbl>
      <w:tblPr>
        <w:tblW w:w="8833"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420"/>
        <w:gridCol w:w="421"/>
        <w:gridCol w:w="161"/>
        <w:gridCol w:w="109"/>
        <w:gridCol w:w="109"/>
        <w:gridCol w:w="109"/>
        <w:gridCol w:w="181"/>
        <w:gridCol w:w="406"/>
        <w:gridCol w:w="109"/>
        <w:gridCol w:w="109"/>
        <w:gridCol w:w="109"/>
        <w:gridCol w:w="109"/>
        <w:gridCol w:w="181"/>
        <w:gridCol w:w="616"/>
        <w:gridCol w:w="109"/>
        <w:gridCol w:w="109"/>
        <w:gridCol w:w="109"/>
        <w:gridCol w:w="109"/>
        <w:gridCol w:w="181"/>
        <w:gridCol w:w="661"/>
        <w:gridCol w:w="109"/>
        <w:gridCol w:w="109"/>
        <w:gridCol w:w="109"/>
        <w:gridCol w:w="109"/>
        <w:gridCol w:w="236"/>
        <w:gridCol w:w="551"/>
        <w:gridCol w:w="202"/>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Stockholders’</w:t>
              <w:br/>
              <w:t>Equity (Deficit)</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33,464,771 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Stock issued under stock incentive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292,645 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Share-based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33,757,416 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73"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383"/>
        <w:gridCol w:w="383"/>
        <w:gridCol w:w="109"/>
        <w:gridCol w:w="109"/>
        <w:gridCol w:w="109"/>
        <w:gridCol w:w="109"/>
        <w:gridCol w:w="181"/>
        <w:gridCol w:w="406"/>
        <w:gridCol w:w="109"/>
        <w:gridCol w:w="109"/>
        <w:gridCol w:w="109"/>
        <w:gridCol w:w="109"/>
        <w:gridCol w:w="181"/>
        <w:gridCol w:w="496"/>
        <w:gridCol w:w="109"/>
        <w:gridCol w:w="109"/>
        <w:gridCol w:w="109"/>
        <w:gridCol w:w="109"/>
        <w:gridCol w:w="181"/>
        <w:gridCol w:w="661"/>
        <w:gridCol w:w="109"/>
        <w:gridCol w:w="109"/>
        <w:gridCol w:w="109"/>
        <w:gridCol w:w="109"/>
        <w:gridCol w:w="181"/>
        <w:gridCol w:w="54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Stock issued under stock incentive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Share-based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Arial;sans-serif" w:hAnsi="Arial;sans-serif"/>
            <w:b/>
            <w:color w:val="0000FF"/>
            <w:sz w:val="18"/>
            <w:u w:val="single"/>
          </w:rPr>
          <w:t>Table of Contents</w:t>
        </w:r>
      </w:hyperlink>
    </w:p>
    <w:tbl>
      <w:tblPr>
        <w:tblW w:w="6659" w:type="dxa"/>
        <w:jc w:val="center"/>
        <w:tblInd w:w="0" w:type="dxa"/>
        <w:tblLayout w:type="fixed"/>
        <w:tblCellMar>
          <w:top w:w="28" w:type="dxa"/>
          <w:left w:w="28" w:type="dxa"/>
          <w:bottom w:w="28" w:type="dxa"/>
          <w:right w:w="28" w:type="dxa"/>
        </w:tblCellMar>
      </w:tblPr>
      <w:tblGrid>
        <w:gridCol w:w="2133"/>
        <w:gridCol w:w="1874"/>
        <w:gridCol w:w="2652"/>
      </w:tblGrid>
      <w:tr>
        <w:trPr/>
        <w:tc>
          <w:tcPr>
            <w:tcW w:w="2133"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Condensed Consolidated Statements of Changes in Stockholders’ Equity (Deficit)</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amounts, unaudited)</w:t>
      </w:r>
    </w:p>
    <w:tbl>
      <w:tblPr>
        <w:tblW w:w="10205" w:type="dxa"/>
        <w:jc w:val="left"/>
        <w:tblInd w:w="0" w:type="dxa"/>
        <w:tblLayout w:type="fixed"/>
        <w:tblCellMar>
          <w:top w:w="28" w:type="dxa"/>
          <w:left w:w="28" w:type="dxa"/>
          <w:bottom w:w="28" w:type="dxa"/>
          <w:right w:w="28" w:type="dxa"/>
        </w:tblCellMar>
      </w:tblPr>
      <w:tblGrid>
        <w:gridCol w:w="1459"/>
        <w:gridCol w:w="1280"/>
        <w:gridCol w:w="1286"/>
        <w:gridCol w:w="109"/>
        <w:gridCol w:w="109"/>
        <w:gridCol w:w="109"/>
        <w:gridCol w:w="420"/>
        <w:gridCol w:w="421"/>
        <w:gridCol w:w="161"/>
        <w:gridCol w:w="109"/>
        <w:gridCol w:w="109"/>
        <w:gridCol w:w="109"/>
        <w:gridCol w:w="181"/>
        <w:gridCol w:w="406"/>
        <w:gridCol w:w="109"/>
        <w:gridCol w:w="109"/>
        <w:gridCol w:w="109"/>
        <w:gridCol w:w="109"/>
        <w:gridCol w:w="181"/>
        <w:gridCol w:w="616"/>
        <w:gridCol w:w="109"/>
        <w:gridCol w:w="109"/>
        <w:gridCol w:w="109"/>
        <w:gridCol w:w="109"/>
        <w:gridCol w:w="181"/>
        <w:gridCol w:w="660"/>
        <w:gridCol w:w="109"/>
        <w:gridCol w:w="109"/>
        <w:gridCol w:w="109"/>
        <w:gridCol w:w="109"/>
        <w:gridCol w:w="235"/>
        <w:gridCol w:w="550"/>
        <w:gridCol w:w="206"/>
      </w:tblGrid>
      <w:tr>
        <w:trPr/>
        <w:tc>
          <w:tcPr>
            <w:tcW w:w="145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Stockholders’</w:t>
              <w:br/>
              <w:t>Equity (Deficit)</w:t>
            </w:r>
          </w:p>
        </w:tc>
      </w:tr>
      <w:tr>
        <w:trPr/>
        <w:tc>
          <w:tcPr>
            <w:tcW w:w="4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33,390,904 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Stock issued under stock incentive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issued related to the ATM offering,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33,757,416 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74" w:type="dxa"/>
        <w:jc w:val="left"/>
        <w:tblInd w:w="0" w:type="dxa"/>
        <w:tblLayout w:type="fixed"/>
        <w:tblCellMar>
          <w:top w:w="28" w:type="dxa"/>
          <w:left w:w="28" w:type="dxa"/>
          <w:bottom w:w="28" w:type="dxa"/>
          <w:right w:w="28" w:type="dxa"/>
        </w:tblCellMar>
      </w:tblPr>
      <w:tblGrid>
        <w:gridCol w:w="961"/>
        <w:gridCol w:w="845"/>
        <w:gridCol w:w="849"/>
        <w:gridCol w:w="109"/>
        <w:gridCol w:w="109"/>
        <w:gridCol w:w="109"/>
        <w:gridCol w:w="383"/>
        <w:gridCol w:w="383"/>
        <w:gridCol w:w="109"/>
        <w:gridCol w:w="109"/>
        <w:gridCol w:w="109"/>
        <w:gridCol w:w="109"/>
        <w:gridCol w:w="181"/>
        <w:gridCol w:w="406"/>
        <w:gridCol w:w="109"/>
        <w:gridCol w:w="109"/>
        <w:gridCol w:w="109"/>
        <w:gridCol w:w="109"/>
        <w:gridCol w:w="181"/>
        <w:gridCol w:w="496"/>
        <w:gridCol w:w="109"/>
        <w:gridCol w:w="109"/>
        <w:gridCol w:w="109"/>
        <w:gridCol w:w="109"/>
        <w:gridCol w:w="181"/>
        <w:gridCol w:w="661"/>
        <w:gridCol w:w="109"/>
        <w:gridCol w:w="109"/>
        <w:gridCol w:w="109"/>
        <w:gridCol w:w="109"/>
        <w:gridCol w:w="181"/>
        <w:gridCol w:w="54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3,916,932 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Stock issued under stock incentive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Share-based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4,054,758 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Arial;sans-serif" w:hAnsi="Arial;sans-serif"/>
            <w:b/>
            <w:color w:val="0000FF"/>
            <w:sz w:val="18"/>
            <w:u w:val="single"/>
          </w:rPr>
          <w:t>Table of Contents</w:t>
        </w:r>
      </w:hyperlink>
    </w:p>
    <w:p>
      <w:pPr>
        <w:pStyle w:val="TextBody"/>
        <w:bidi w:val="0"/>
        <w:spacing w:before="0" w:after="0"/>
        <w:jc w:val="left"/>
        <w:rPr/>
      </w:pPr>
      <w:r>
        <w:rPr/>
      </w:r>
    </w:p>
    <w:tbl>
      <w:tblPr>
        <w:tblW w:w="4979" w:type="dxa"/>
        <w:jc w:val="left"/>
        <w:tblInd w:w="0" w:type="dxa"/>
        <w:tblLayout w:type="fixed"/>
        <w:tblCellMar>
          <w:top w:w="28" w:type="dxa"/>
          <w:left w:w="28" w:type="dxa"/>
          <w:bottom w:w="28" w:type="dxa"/>
          <w:right w:w="28" w:type="dxa"/>
        </w:tblCellMar>
      </w:tblPr>
      <w:tblGrid>
        <w:gridCol w:w="1594"/>
        <w:gridCol w:w="1402"/>
        <w:gridCol w:w="1983"/>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w:t>
            </w:r>
          </w:p>
        </w:tc>
      </w:tr>
    </w:tbl>
    <w:p>
      <w:pPr>
        <w:pStyle w:val="TextBody"/>
        <w:bidi w:val="0"/>
        <w:spacing w:lineRule="auto" w:line="288" w:before="120" w:after="283"/>
        <w:jc w:val="left"/>
        <w:rPr/>
      </w:pPr>
      <w:r>
        <w:rPr>
          <w:rFonts w:ascii="Arial;sans-serif" w:hAnsi="Arial;sans-serif"/>
          <w:b w:val="false"/>
          <w:i/>
          <w:color w:val="000000"/>
          <w:sz w:val="20"/>
          <w:shd w:fill="FFFFFF" w:val="clear"/>
        </w:rPr>
        <w:t>(In millions, unaudited)</w:t>
      </w:r>
      <w:r>
        <w:rPr>
          <w:color w:val="000000"/>
          <w:shd w:fill="FFFFFF" w:val="clear"/>
        </w:rPr>
        <w:t> </w:t>
      </w:r>
    </w:p>
    <w:tbl>
      <w:tblPr>
        <w:tblW w:w="9293" w:type="dxa"/>
        <w:jc w:val="left"/>
        <w:tblInd w:w="0" w:type="dxa"/>
        <w:tblLayout w:type="fixed"/>
        <w:tblCellMar>
          <w:top w:w="28" w:type="dxa"/>
          <w:left w:w="28" w:type="dxa"/>
          <w:bottom w:w="28" w:type="dxa"/>
          <w:right w:w="28" w:type="dxa"/>
        </w:tblCellMar>
      </w:tblPr>
      <w:tblGrid>
        <w:gridCol w:w="2577"/>
        <w:gridCol w:w="2261"/>
        <w:gridCol w:w="2271"/>
        <w:gridCol w:w="211"/>
        <w:gridCol w:w="586"/>
        <w:gridCol w:w="109"/>
        <w:gridCol w:w="109"/>
        <w:gridCol w:w="109"/>
        <w:gridCol w:w="109"/>
        <w:gridCol w:w="211"/>
        <w:gridCol w:w="586"/>
        <w:gridCol w:w="154"/>
      </w:tblGrid>
      <w:tr>
        <w:trPr/>
        <w:tc>
          <w:tcPr>
            <w:tcW w:w="257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 xml:space="preserve">July 31, </w:t>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OPERATING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provided by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Rental product depreciation and write-offs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Write-off of rental product sold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rental product sold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(Gain) / loss from liquidation of rental product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Accrual of paid-in-kind interest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debt (premium) discount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revenue and customer credit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INVESTING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rental product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liquidation of rental product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sale of rental product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fixed and intangible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FINANCING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payments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Arial;sans-serif" w:hAnsi="Arial;sans-serif"/>
            <w:b/>
            <w:color w:val="0000FF"/>
            <w:sz w:val="18"/>
            <w:u w:val="single"/>
          </w:rPr>
          <w:t>Table of Contents</w:t>
        </w:r>
      </w:hyperlink>
    </w:p>
    <w:p>
      <w:pPr>
        <w:pStyle w:val="TextBody"/>
        <w:bidi w:val="0"/>
        <w:spacing w:before="0" w:after="0"/>
        <w:jc w:val="left"/>
        <w:rPr/>
      </w:pPr>
      <w:r>
        <w:rPr/>
      </w:r>
    </w:p>
    <w:tbl>
      <w:tblPr>
        <w:tblW w:w="4979" w:type="dxa"/>
        <w:jc w:val="left"/>
        <w:tblInd w:w="0" w:type="dxa"/>
        <w:tblLayout w:type="fixed"/>
        <w:tblCellMar>
          <w:top w:w="28" w:type="dxa"/>
          <w:left w:w="28" w:type="dxa"/>
          <w:bottom w:w="28" w:type="dxa"/>
          <w:right w:w="28" w:type="dxa"/>
        </w:tblCellMar>
      </w:tblPr>
      <w:tblGrid>
        <w:gridCol w:w="1594"/>
        <w:gridCol w:w="1402"/>
        <w:gridCol w:w="1983"/>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w:t>
            </w:r>
          </w:p>
        </w:tc>
      </w:tr>
    </w:tbl>
    <w:p>
      <w:pPr>
        <w:pStyle w:val="TextBody"/>
        <w:bidi w:val="0"/>
        <w:spacing w:lineRule="auto" w:line="288" w:before="360" w:after="283"/>
        <w:jc w:val="left"/>
        <w:rPr/>
      </w:pPr>
      <w:r>
        <w:rPr>
          <w:rFonts w:ascii="Arial;sans-serif" w:hAnsi="Arial;sans-serif"/>
          <w:b w:val="false"/>
          <w:i/>
          <w:color w:val="000000"/>
          <w:sz w:val="20"/>
        </w:rPr>
        <w:t>(In millions, unaudited)</w:t>
      </w:r>
      <w:r>
        <w:rPr>
          <w:color w:val="000000"/>
        </w:rPr>
        <w:t> </w:t>
      </w:r>
    </w:p>
    <w:tbl>
      <w:tblPr>
        <w:tblW w:w="6504" w:type="dxa"/>
        <w:jc w:val="left"/>
        <w:tblInd w:w="0" w:type="dxa"/>
        <w:tblLayout w:type="fixed"/>
        <w:tblCellMar>
          <w:top w:w="28" w:type="dxa"/>
          <w:left w:w="28" w:type="dxa"/>
          <w:bottom w:w="28" w:type="dxa"/>
          <w:right w:w="28" w:type="dxa"/>
        </w:tblCellMar>
      </w:tblPr>
      <w:tblGrid>
        <w:gridCol w:w="1697"/>
        <w:gridCol w:w="1489"/>
        <w:gridCol w:w="1494"/>
        <w:gridCol w:w="211"/>
        <w:gridCol w:w="406"/>
        <w:gridCol w:w="109"/>
        <w:gridCol w:w="109"/>
        <w:gridCol w:w="109"/>
        <w:gridCol w:w="109"/>
        <w:gridCol w:w="211"/>
        <w:gridCol w:w="406"/>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 xml:space="preserve">July 31, </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Arial;sans-serif" w:hAnsi="Arial;sans-serif"/>
                <w:b/>
                <w:color w:val="000000"/>
                <w:sz w:val="18"/>
              </w:rPr>
            </w:pPr>
            <w:r>
              <w:rPr>
                <w:rFonts w:ascii="Arial;sans-serif" w:hAnsi="Arial;sans-serif"/>
                <w:b/>
                <w:color w:val="000000"/>
                <w:sz w:val="18"/>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Cash Flow Information:</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8"/>
              </w:rPr>
            </w:pPr>
            <w:r>
              <w:rPr>
                <w:rFonts w:ascii="Arial;sans-serif" w:hAnsi="Arial;sans-serif"/>
                <w:b w:val="false"/>
                <w:color w:val="000000"/>
                <w:sz w:val="18"/>
              </w:rPr>
              <w:t>Cash payments (receipts) for:</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paid on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Fixed operating lease payments, net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assets and intangibles received in the prior period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product received in the prior period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financing and investing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assets and intangibles not yet settled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product not yet settled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540"/>
        <w:jc w:val="left"/>
        <w:rPr>
          <w:rFonts w:ascii="Arial;sans-serif" w:hAnsi="Arial;sans-serif"/>
          <w:b/>
          <w:color w:val="000000"/>
          <w:sz w:val="20"/>
        </w:rPr>
      </w:pPr>
      <w:r>
        <w:rPr>
          <w:rFonts w:ascii="Arial;sans-serif" w:hAnsi="Arial;sans-serif"/>
          <w:b/>
          <w:color w:val="000000"/>
          <w:sz w:val="20"/>
        </w:rPr>
        <w:t>1.Business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Description of Business</w:t>
      </w:r>
    </w:p>
    <w:p>
      <w:pPr>
        <w:pStyle w:val="TextBody"/>
        <w:bidi w:val="0"/>
        <w:spacing w:lineRule="auto" w:line="288" w:before="120" w:after="283"/>
        <w:jc w:val="left"/>
        <w:rPr/>
      </w:pPr>
      <w:r>
        <w:rPr>
          <w:rFonts w:ascii="Arial;sans-serif" w:hAnsi="Arial;sans-serif"/>
          <w:b w:val="false"/>
          <w:color w:val="000000"/>
          <w:sz w:val="20"/>
          <w:shd w:fill="FFFFFF" w:val="clear"/>
        </w:rPr>
        <w:t>Rent the Runway, Inc.’s (the “Company”) mission is to power women to feel their best every day. Launched in November 2009, the Company has built the world’s first shared designer closet wit</w:t>
      </w:r>
      <w:r>
        <w:rPr>
          <w:rFonts w:ascii="Arial;sans-serif" w:hAnsi="Arial;sans-serif"/>
          <w:b w:val="false"/>
          <w:color w:val="000000"/>
          <w:sz w:val="20"/>
        </w:rPr>
        <w:t xml:space="preserve">h thousands of styles by hundreds of brand partners. </w:t>
      </w:r>
      <w:r>
        <w:rPr>
          <w:rFonts w:ascii="Arial;sans-serif" w:hAnsi="Arial;sans-serif"/>
          <w:b w:val="false"/>
          <w:color w:val="000000"/>
          <w:sz w:val="20"/>
          <w:shd w:fill="FFFFFF" w:val="clear"/>
        </w:rPr>
        <w:t xml:space="preserve">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revenue is currently generated in the United States. Substantially all revenue is derived from rental subscription fees and a-la-carte rental fees, with a portion derived from the sale of apparel and accessories and other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Arial;sans-serif" w:hAnsi="Arial;sans-serif"/>
          <w:b/>
          <w:color w:val="000000"/>
          <w:sz w:val="20"/>
        </w:rPr>
      </w:pPr>
      <w:r>
        <w:rPr>
          <w:rFonts w:ascii="Arial;sans-serif" w:hAnsi="Arial;sans-serif"/>
          <w:b/>
          <w:color w:val="000000"/>
          <w:sz w:val="20"/>
        </w:rPr>
        <w:t>2.Summary of Significant Accounting Policies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Basis of Presentation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accounting principles generally accepted in the United States of America (“U.S. GAAP”). </w:t>
      </w:r>
      <w:r>
        <w:rPr>
          <w:rFonts w:ascii="Arial;sans-serif" w:hAnsi="Arial;sans-serif"/>
          <w:b w:val="false"/>
          <w:color w:val="000000"/>
          <w:sz w:val="20"/>
        </w:rPr>
        <w:t>The Company adjusted the weighted-average shares used in computing net loss per share for all periods presented in the Condensed Consolidated Statements of Operations to reflect the bonus element from the rights offering completed in October 2025. See</w:t>
      </w:r>
      <w:r>
        <w:rPr>
          <w:color w:val="000000"/>
          <w:shd w:fill="FFFFFF" w:val="clear"/>
        </w:rPr>
        <w:t xml:space="preserve"> “</w:t>
      </w:r>
      <w:r>
        <w:rPr>
          <w:rFonts w:ascii="Arial;sans-serif" w:hAnsi="Arial;sans-serif"/>
          <w:b w:val="false"/>
          <w:color w:val="000000"/>
          <w:sz w:val="20"/>
          <w:shd w:fill="FFFFFF" w:val="clear"/>
        </w:rPr>
        <w:t xml:space="preserve">Note </w:t>
      </w:r>
      <w:r>
        <w:rPr>
          <w:rFonts w:ascii="Arial;sans-serif" w:hAnsi="Arial;sans-serif"/>
          <w:b w:val="false"/>
          <w:color w:val="000000"/>
          <w:sz w:val="20"/>
        </w:rPr>
        <w:t>12</w:t>
      </w:r>
      <w:r>
        <w:rPr>
          <w:color w:val="000000"/>
          <w:shd w:fill="FFFFFF" w:val="clear"/>
        </w:rPr>
        <w:t xml:space="preserve"> </w:t>
      </w:r>
      <w:r>
        <w:rPr>
          <w:rFonts w:ascii="Arial;sans-serif" w:hAnsi="Arial;sans-serif"/>
          <w:b w:val="false"/>
          <w:color w:val="000000"/>
          <w:sz w:val="20"/>
          <w:shd w:fill="FFFFFF" w:val="clear"/>
        </w:rPr>
        <w:t xml:space="preserve">- </w:t>
      </w:r>
      <w:r>
        <w:rPr>
          <w:rFonts w:ascii="Arial;sans-serif" w:hAnsi="Arial;sans-serif"/>
          <w:b w:val="false"/>
          <w:color w:val="000000"/>
          <w:sz w:val="20"/>
        </w:rPr>
        <w:t>Net Loss per Share Attributable to Common Stockholders</w:t>
      </w:r>
      <w:r>
        <w:rPr>
          <w:color w:val="000000"/>
          <w:shd w:fill="FFFFFF" w:val="clear"/>
        </w:rPr>
        <w:t xml:space="preserve">” </w:t>
      </w:r>
      <w:r>
        <w:rPr>
          <w:rFonts w:ascii="Arial;sans-serif" w:hAnsi="Arial;sans-serif"/>
          <w:b w:val="false"/>
          <w:color w:val="000000"/>
          <w:sz w:val="20"/>
          <w:shd w:fill="FFFFFF" w:val="clear"/>
        </w:rPr>
        <w:t>for additional information.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results for the three and six months ended July 31, 2026 are not necessarily indicative of the operating results expected for the year ending January 31, 2027 or any future period. The condensed consolidated balance sheet as of January 31, 2026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2026 which can be found in the Company’s Annual Report on Form 10-K filed with the SEC on April 14,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Common and Preferred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2026, the Company’s stockholders approved the elimination of the Company’s authorized shares of Class B common stock and preferred stock. Prior to the elimination, the Company had 50,000,000 authorized shares of Class B common stock and 10,000,000 authorized shares of preferred stock. There were no shares of Class B common stock and no shares of preferred stock issued or outstanding. The Company filed the Thirteenth Amended and Restated Certificate of Incorporation with the Secretary of State of the State of Delaware on July 15, 2026 to implement the elimination of authorized Class B common stock and preferred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Fiscal Year</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Company’s </w:t>
      </w:r>
      <w:r>
        <w:rPr>
          <w:rFonts w:ascii="Arial;sans-serif" w:hAnsi="Arial;sans-serif"/>
          <w:b w:val="false"/>
          <w:color w:val="000000"/>
          <w:sz w:val="20"/>
        </w:rPr>
        <w:t>fiscal year ends on January 31 of the next calendar year. For example, references to “fiscal year 2026” refer to the fiscal year ending January 31, 2027, references to “fiscal year 2025” refer to the fiscal year ended January 31, 2026, and references to “fiscal year 2024” refer to the fiscal year ended January 31, 2025</w:t>
      </w:r>
      <w:r>
        <w:rPr>
          <w:rFonts w:ascii="Arial;sans-serif" w:hAnsi="Arial;sans-serif"/>
          <w:b w:val="false"/>
          <w:color w:val="000000"/>
          <w:sz w:val="20"/>
          <w:shd w:fill="FFFFFF" w:val="clear"/>
        </w:rPr>
        <w:t xml:space="preserve">. </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Segment Information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key measure of segment profit or loss that the CODM uses to make operating decisions, allocate resources, and evaluate financial performance is the Company’s net loss as reported in the Company’s condensed consolidated statements of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Significant expenses within net loss include fulfillment, technology, marketing, and general and administrative expenses, rental product depreciation and revenue share, and other depreciation and amortization. These operating expenses are each separately presented in the condensed consolidated statements of operations. Other segment items within net loss include interest income (expense), net, other income (expense), net and income tax benefit (expense). The CODM evaluates financial performance by comparing consolidated expenses against the budget and forecasted expenses to inform decision-making.</w:t>
      </w:r>
    </w:p>
    <w:p>
      <w:pPr>
        <w:pStyle w:val="TextBody"/>
        <w:bidi w:val="0"/>
        <w:spacing w:before="0" w:after="0"/>
        <w:jc w:val="left"/>
        <w:rPr/>
      </w:pPr>
      <w:r>
        <w:rPr/>
      </w:r>
    </w:p>
    <w:p>
      <w:pPr>
        <w:pStyle w:val="TextBody"/>
        <w:bidi w:val="0"/>
        <w:spacing w:lineRule="auto" w:line="26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revenue is attributed to customers based in the United States and substantially all the Company’s long-lived assets are located in the United States.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Use of Estimates</w:t>
      </w:r>
    </w:p>
    <w:p>
      <w:pPr>
        <w:pStyle w:val="TextBody"/>
        <w:bidi w:val="0"/>
        <w:spacing w:lineRule="auto" w:line="288" w:before="120" w:after="283"/>
        <w:jc w:val="left"/>
        <w:rPr/>
      </w:pPr>
      <w:r>
        <w:rPr>
          <w:rFonts w:ascii="Arial;sans-serif" w:hAnsi="Arial;sans-serif"/>
          <w:b w:val="false"/>
          <w:color w:val="000000"/>
          <w:sz w:val="20"/>
          <w:shd w:fill="FFFFFF" w:val="clear"/>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w:t>
      </w:r>
      <w:r>
        <w:rPr>
          <w:rFonts w:ascii="Arial;sans-serif" w:hAnsi="Arial;sans-serif"/>
          <w:b w:val="false"/>
          <w:color w:val="000000"/>
          <w:sz w:val="20"/>
        </w:rPr>
        <w:t>, and recoverability of long-lived assets.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July 31, 2026,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Concentrations of Credit Risks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 single customer accounted for more than 5% of the Company’s revenue during the three or six months ended July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Fair Value Measurements and Financial Instruments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Fair value accounting is applied for all financial assets and liabilities and non-financial assets and liabilities that are recognized or disclosed at fair value in the condensed consolidated financial statements. These measurements are conducted on an ongoing basis, at least annually. Fair value is defined as the price that would be received to sell an asset or paid to transfer a liability in an orderly transaction between market participants at the measurement date.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1:    Observable inputs, such as quoted prices in active markets for identical assets and liabilities.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2:    Inputs other than the quoted prices in active markets that are observable either directly or indirectly.</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3:    Unobservable inputs, in which there is little or no market data which require the Company to develop its own assumptions.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Company had </w:t>
      </w:r>
      <w:r>
        <w:rPr>
          <w:rFonts w:ascii="Arial;sans-serif" w:hAnsi="Arial;sans-serif"/>
          <w:b w:val="false"/>
          <w:color w:val="000000"/>
          <w:sz w:val="20"/>
          <w:shd w:fill="FFFFFF" w:val="clear"/>
        </w:rPr>
        <w:t>restricted cas</w:t>
      </w:r>
      <w:r>
        <w:rPr>
          <w:rFonts w:ascii="Arial;sans-serif" w:hAnsi="Arial;sans-serif"/>
          <w:b w:val="false"/>
          <w:color w:val="000000"/>
          <w:sz w:val="20"/>
        </w:rPr>
        <w:t>h balances for cash collateralized standby letters of credit as of July 31,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January 31, 2026</w:t>
      </w:r>
      <w:r>
        <w:rPr>
          <w:color w:val="000000"/>
          <w:shd w:fill="FFFFFF" w:val="clear"/>
        </w:rPr>
        <w:t xml:space="preserve"> </w:t>
      </w:r>
      <w:r>
        <w:rPr>
          <w:rFonts w:ascii="Arial;sans-serif" w:hAnsi="Arial;sans-serif"/>
          <w:b w:val="false"/>
          <w:color w:val="000000"/>
          <w:sz w:val="20"/>
        </w:rPr>
        <w:t>of $8.2 million and $8.7 million, respectively, primarily to satisfy security deposit requirements on its leases, as well as for rental product purchases and credit card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a reconciliation of cash, cash equivalents and restricted cash reported within the Company’s Condensed Consolidated Balance Sheets, which sum to the total of the same amounts shown in the Company’s Condensed Consolidated Statements of Cash Flows (in millions):</w:t>
      </w:r>
    </w:p>
    <w:tbl>
      <w:tblPr>
        <w:tblW w:w="7067" w:type="dxa"/>
        <w:jc w:val="left"/>
        <w:tblInd w:w="0" w:type="dxa"/>
        <w:tblLayout w:type="fixed"/>
        <w:tblCellMar>
          <w:top w:w="28" w:type="dxa"/>
          <w:left w:w="28" w:type="dxa"/>
          <w:bottom w:w="28" w:type="dxa"/>
          <w:right w:w="28" w:type="dxa"/>
        </w:tblCellMar>
      </w:tblPr>
      <w:tblGrid>
        <w:gridCol w:w="1689"/>
        <w:gridCol w:w="1484"/>
        <w:gridCol w:w="1491"/>
        <w:gridCol w:w="211"/>
        <w:gridCol w:w="541"/>
        <w:gridCol w:w="109"/>
        <w:gridCol w:w="109"/>
        <w:gridCol w:w="109"/>
        <w:gridCol w:w="109"/>
        <w:gridCol w:w="283"/>
        <w:gridCol w:w="726"/>
        <w:gridCol w:w="206"/>
      </w:tblGrid>
      <w:tr>
        <w:trPr/>
        <w:tc>
          <w:tcPr>
            <w:tcW w:w="168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January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Arial;sans-serif" w:hAnsi="Arial;sans-serif"/>
                <w:b/>
                <w:color w:val="000000"/>
                <w:sz w:val="20"/>
              </w:rPr>
            </w:pPr>
            <w:r>
              <w:rPr>
                <w:rFonts w:ascii="Arial;sans-serif" w:hAnsi="Arial;sans-serif"/>
                <w:b/>
                <w:color w:val="000000"/>
                <w:sz w:val="20"/>
              </w:rPr>
              <w:t>2026</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Cash Equivalents, and Restricted Cash</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Prepaid Expenses and Other Current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 consist primarily of insurance receivable, shipping rebates, accounts receivable, net, prepaid insurance, and other prepaid expenses incurred in the normal course of business. Insurance receivable was $2.9 million as of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considers rental product to be a long-term productive asset and, as such, classifies it as a noncurrent asset on the Condensed Consolidated Balance Sheets.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 </w:t>
      </w:r>
    </w:p>
    <w:tbl>
      <w:tblPr>
        <w:tblW w:w="3735" w:type="dxa"/>
        <w:jc w:val="left"/>
        <w:tblInd w:w="0" w:type="dxa"/>
        <w:tblLayout w:type="fixed"/>
        <w:tblCellMar>
          <w:top w:w="28" w:type="dxa"/>
          <w:left w:w="28" w:type="dxa"/>
          <w:bottom w:w="28" w:type="dxa"/>
          <w:right w:w="28" w:type="dxa"/>
        </w:tblCellMar>
      </w:tblPr>
      <w:tblGrid>
        <w:gridCol w:w="435"/>
        <w:gridCol w:w="381"/>
        <w:gridCol w:w="385"/>
        <w:gridCol w:w="320"/>
        <w:gridCol w:w="320"/>
        <w:gridCol w:w="321"/>
        <w:gridCol w:w="109"/>
        <w:gridCol w:w="109"/>
        <w:gridCol w:w="109"/>
        <w:gridCol w:w="247"/>
        <w:gridCol w:w="247"/>
        <w:gridCol w:w="75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Salvage Value</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accordance with its policy, the Company reviews the estimated useful lives and salvage values of rental product on an ongoing basis.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pStyle w:val="TextBody"/>
        <w:bidi w:val="0"/>
        <w:spacing w:lineRule="auto" w:line="288" w:before="120" w:after="283"/>
        <w:jc w:val="left"/>
        <w:rPr/>
      </w:pPr>
      <w:r>
        <w:rPr>
          <w:rFonts w:ascii="Arial;sans-serif" w:hAnsi="Arial;sans-serif"/>
          <w:b w:val="false"/>
          <w:color w:val="000000"/>
          <w:sz w:val="20"/>
          <w:shd w:fill="FFFFFF" w:val="clear"/>
        </w:rPr>
        <w:t xml:space="preserve">Once it is no longer considered rentable, rental product in a sellable condition is classified as held for sale and written down to salvage value. The value of rental product held for sale as of July 31, 2026 and January 31, 2026 was </w:t>
      </w:r>
      <w:r>
        <w:rPr>
          <w:rFonts w:ascii="Arial;sans-serif" w:hAnsi="Arial;sans-serif"/>
          <w:b w:val="false"/>
          <w:color w:val="000000"/>
          <w:sz w:val="20"/>
        </w:rPr>
        <w:t>$1.6 million</w:t>
      </w:r>
      <w:r>
        <w:rPr>
          <w:color w:val="000000"/>
          <w:shd w:fill="FFFFFF" w:val="clear"/>
        </w:rPr>
        <w:t xml:space="preserve"> </w:t>
      </w:r>
      <w:r>
        <w:rPr>
          <w:rFonts w:ascii="Arial;sans-serif" w:hAnsi="Arial;sans-serif"/>
          <w:b w:val="false"/>
          <w:color w:val="000000"/>
          <w:sz w:val="20"/>
          <w:shd w:fill="FFFFFF" w:val="clear"/>
        </w:rPr>
        <w:t xml:space="preserve">and $1.8 million, respectively. The accelerated depreciation related to rental product held for sale was </w:t>
      </w:r>
      <w:r>
        <w:rPr>
          <w:rFonts w:ascii="Arial;sans-serif" w:hAnsi="Arial;sans-serif"/>
          <w:b w:val="false"/>
          <w:color w:val="000000"/>
          <w:sz w:val="20"/>
        </w:rPr>
        <w:t>$0.7 million</w:t>
      </w:r>
      <w:r>
        <w:rPr>
          <w:color w:val="000000"/>
          <w:shd w:fill="FFFFFF" w:val="clear"/>
        </w:rPr>
        <w:t xml:space="preserve"> </w:t>
      </w:r>
      <w:r>
        <w:rPr>
          <w:rFonts w:ascii="Arial;sans-serif" w:hAnsi="Arial;sans-serif"/>
          <w:b w:val="false"/>
          <w:color w:val="000000"/>
          <w:sz w:val="20"/>
          <w:shd w:fill="FFFFFF" w:val="clear"/>
        </w:rPr>
        <w:t xml:space="preserve">and $1.5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2026 and </w:t>
      </w:r>
      <w:r>
        <w:rPr>
          <w:rFonts w:ascii="Arial;sans-serif" w:hAnsi="Arial;sans-serif"/>
          <w:b w:val="false"/>
          <w:color w:val="000000"/>
          <w:sz w:val="20"/>
        </w:rPr>
        <w:t>2025</w:t>
      </w:r>
      <w:r>
        <w:rPr>
          <w:rFonts w:ascii="Arial;sans-serif" w:hAnsi="Arial;sans-serif"/>
          <w:b w:val="false"/>
          <w:color w:val="000000"/>
          <w:sz w:val="20"/>
          <w:shd w:fill="FFFFFF" w:val="clear"/>
        </w:rPr>
        <w:t xml:space="preserve">, respectively, and </w:t>
      </w:r>
      <w:r>
        <w:rPr>
          <w:rFonts w:ascii="Arial;sans-serif" w:hAnsi="Arial;sans-serif"/>
          <w:b w:val="false"/>
          <w:color w:val="000000"/>
          <w:sz w:val="20"/>
        </w:rPr>
        <w:t>$1.4</w:t>
      </w:r>
      <w:r>
        <w:rPr>
          <w:color w:val="000000"/>
          <w:shd w:fill="FFFFFF" w:val="clear"/>
        </w:rPr>
        <w:t xml:space="preserve"> </w:t>
      </w:r>
      <w:r>
        <w:rPr>
          <w:rFonts w:ascii="Arial;sans-serif" w:hAnsi="Arial;sans-serif"/>
          <w:b w:val="false"/>
          <w:color w:val="000000"/>
          <w:sz w:val="20"/>
          <w:shd w:fill="FFFFFF" w:val="clear"/>
        </w:rPr>
        <w:t xml:space="preserve">million and </w:t>
      </w:r>
      <w:r>
        <w:rPr>
          <w:rFonts w:ascii="Arial;sans-serif" w:hAnsi="Arial;sans-serif"/>
          <w:b w:val="false"/>
          <w:color w:val="000000"/>
          <w:sz w:val="20"/>
        </w:rPr>
        <w:t>$3.0</w:t>
      </w:r>
      <w:r>
        <w:rPr>
          <w:color w:val="000000"/>
          <w:shd w:fill="FFFFFF" w:val="clear"/>
        </w:rPr>
        <w:t xml:space="preserve">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July 31, 2026 and </w:t>
      </w:r>
      <w:r>
        <w:rPr>
          <w:rFonts w:ascii="Arial;sans-serif" w:hAnsi="Arial;sans-serif"/>
          <w:b w:val="false"/>
          <w:color w:val="000000"/>
          <w:sz w:val="20"/>
        </w:rPr>
        <w:t>2025</w:t>
      </w:r>
      <w:r>
        <w:rPr>
          <w:rFonts w:ascii="Arial;sans-serif" w:hAnsi="Arial;sans-serif"/>
          <w:b w:val="false"/>
          <w:color w:val="000000"/>
          <w:sz w:val="20"/>
          <w:shd w:fill="FFFFFF" w:val="clear"/>
        </w:rPr>
        <w:t xml:space="preserve">, respectively. The accelerated depreciation is presented on the condensed consolidated statements of operations within Rental product depreciation and revenue share.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w:t>
      </w:r>
      <w:r>
        <w:rPr>
          <w:rFonts w:ascii="Arial;sans-serif" w:hAnsi="Arial;sans-serif"/>
          <w:b w:val="false"/>
          <w:color w:val="000000"/>
          <w:sz w:val="20"/>
        </w:rPr>
        <w:t>$13.3 million</w:t>
      </w:r>
      <w:r>
        <w:rPr>
          <w:color w:val="000000"/>
          <w:shd w:fill="FFFFFF" w:val="clear"/>
        </w:rPr>
        <w:t xml:space="preserve"> </w:t>
      </w:r>
      <w:r>
        <w:rPr>
          <w:rFonts w:ascii="Arial;sans-serif" w:hAnsi="Arial;sans-serif"/>
          <w:b w:val="false"/>
          <w:color w:val="000000"/>
          <w:sz w:val="20"/>
          <w:shd w:fill="FFFFFF" w:val="clear"/>
        </w:rPr>
        <w:t xml:space="preserve">and $11.8 million for the six months ended July 31, 2026 and </w:t>
      </w:r>
      <w:r>
        <w:rPr>
          <w:rFonts w:ascii="Arial;sans-serif" w:hAnsi="Arial;sans-serif"/>
          <w:b w:val="false"/>
          <w:color w:val="000000"/>
          <w:sz w:val="20"/>
        </w:rPr>
        <w:t xml:space="preserve">2025, </w:t>
      </w:r>
      <w:r>
        <w:rPr>
          <w:rFonts w:ascii="Arial;sans-serif" w:hAnsi="Arial;sans-serif"/>
          <w:b w:val="false"/>
          <w:color w:val="000000"/>
          <w:sz w:val="20"/>
          <w:shd w:fill="FFFFFF" w:val="clear"/>
        </w:rPr>
        <w:t xml:space="preserve">respectively. Proceeds from the liquidation of rental product, net of costs to sell, were </w:t>
      </w:r>
      <w:r>
        <w:rPr>
          <w:rFonts w:ascii="Arial;sans-serif" w:hAnsi="Arial;sans-serif"/>
          <w:b w:val="false"/>
          <w:color w:val="000000"/>
          <w:sz w:val="20"/>
        </w:rPr>
        <w:t>$0.8 million</w:t>
      </w:r>
      <w:r>
        <w:rPr>
          <w:color w:val="000000"/>
          <w:shd w:fill="FFFFFF" w:val="clear"/>
        </w:rPr>
        <w:t xml:space="preserve"> </w:t>
      </w:r>
      <w:r>
        <w:rPr>
          <w:rFonts w:ascii="Arial;sans-serif" w:hAnsi="Arial;sans-serif"/>
          <w:b w:val="false"/>
          <w:color w:val="000000"/>
          <w:sz w:val="20"/>
          <w:shd w:fill="FFFFFF" w:val="clear"/>
        </w:rPr>
        <w:t xml:space="preserve">and $1.6 million for the six months ended July 31, 2026 and </w:t>
      </w:r>
      <w:r>
        <w:rPr>
          <w:rFonts w:ascii="Arial;sans-serif" w:hAnsi="Arial;sans-serif"/>
          <w:b w:val="false"/>
          <w:color w:val="000000"/>
          <w:sz w:val="20"/>
        </w:rPr>
        <w:t>2025</w:t>
      </w:r>
      <w:r>
        <w:rPr>
          <w:rFonts w:ascii="Arial;sans-serif" w:hAnsi="Arial;sans-serif"/>
          <w:b w:val="false"/>
          <w:color w:val="000000"/>
          <w:sz w:val="20"/>
          <w:shd w:fill="FFFFFF" w:val="clear"/>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Subscription and a-la-carte rental fees (“Subscription and Reserve rental revenue”) are recognized in accordance with </w:t>
      </w:r>
      <w:r>
        <w:rPr>
          <w:rFonts w:ascii="Arial;sans-serif" w:hAnsi="Arial;sans-serif"/>
          <w:b w:val="false"/>
          <w:i/>
          <w:color w:val="000000"/>
          <w:sz w:val="20"/>
          <w:shd w:fill="FFFFFF" w:val="clear"/>
        </w:rPr>
        <w:t>Leases, Topic 842</w:t>
      </w:r>
      <w:r>
        <w:rPr>
          <w:color w:val="000000"/>
          <w:shd w:fill="FFFFFF" w:val="clear"/>
        </w:rPr>
        <w:t> </w:t>
      </w:r>
      <w:r>
        <w:rPr>
          <w:rFonts w:ascii="Arial;sans-serif" w:hAnsi="Arial;sans-serif"/>
          <w:b w:val="false"/>
          <w:color w:val="000000"/>
          <w:sz w:val="20"/>
          <w:shd w:fill="FFFFFF" w:val="clear"/>
        </w:rPr>
        <w:t xml:space="preserve">(“ASC 842”). Other revenue, primarily related to the sale of rental product, is recognized under </w:t>
      </w:r>
      <w:r>
        <w:rPr>
          <w:rFonts w:ascii="Arial;sans-serif" w:hAnsi="Arial;sans-serif"/>
          <w:b w:val="false"/>
          <w:i/>
          <w:color w:val="000000"/>
          <w:sz w:val="20"/>
          <w:shd w:fill="FFFFFF" w:val="clear"/>
        </w:rPr>
        <w:t>Revenue from Contracts with Customers, Topic 606</w:t>
      </w:r>
      <w:r>
        <w:rPr>
          <w:color w:val="000000"/>
          <w:shd w:fill="FFFFFF" w:val="clear"/>
        </w:rPr>
        <w:t> </w:t>
      </w:r>
      <w:r>
        <w:rPr>
          <w:rFonts w:ascii="Arial;sans-serif" w:hAnsi="Arial;sans-serif"/>
          <w:b w:val="false"/>
          <w:color w:val="000000"/>
          <w:sz w:val="20"/>
          <w:shd w:fill="FFFFFF" w:val="clear"/>
        </w:rPr>
        <w:t>(“ASC 606”) at the date of delivery of the product to the customer. Other revenue represe</w:t>
      </w:r>
      <w:r>
        <w:rPr>
          <w:rFonts w:ascii="Arial;sans-serif" w:hAnsi="Arial;sans-serif"/>
          <w:b w:val="false"/>
          <w:color w:val="000000"/>
          <w:sz w:val="20"/>
        </w:rPr>
        <w:t>nted 14% and 14% of total revenue for the three months ended July 31, 2026 and 2025, respectively, and 14% and</w:t>
      </w:r>
      <w:r>
        <w:rPr>
          <w:color w:val="000000"/>
          <w:shd w:fill="FFFFFF" w:val="clear"/>
        </w:rPr>
        <w:t xml:space="preserve"> </w:t>
      </w:r>
      <w:r>
        <w:rPr>
          <w:rFonts w:ascii="Arial;sans-serif" w:hAnsi="Arial;sans-serif"/>
          <w:b w:val="false"/>
          <w:color w:val="000000"/>
          <w:sz w:val="20"/>
        </w:rPr>
        <w:t>13%</w:t>
      </w:r>
      <w:r>
        <w:rPr>
          <w:color w:val="000000"/>
          <w:shd w:fill="FFFFFF" w:val="clear"/>
        </w:rPr>
        <w:t xml:space="preserve"> </w:t>
      </w:r>
      <w:r>
        <w:rPr>
          <w:rFonts w:ascii="Arial;sans-serif" w:hAnsi="Arial;sans-serif"/>
          <w:b w:val="false"/>
          <w:color w:val="000000"/>
          <w:sz w:val="20"/>
          <w:shd w:fill="FFFFFF" w:val="clear"/>
        </w:rPr>
        <w:t xml:space="preserve">of total revenue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July 31, 2026 and </w:t>
      </w:r>
      <w:r>
        <w:rPr>
          <w:rFonts w:ascii="Arial;sans-serif" w:hAnsi="Arial;sans-serif"/>
          <w:b w:val="false"/>
          <w:color w:val="000000"/>
          <w:sz w:val="20"/>
        </w:rPr>
        <w:t>2025</w:t>
      </w:r>
      <w:r>
        <w:rPr>
          <w:rFonts w:ascii="Arial;sans-serif" w:hAnsi="Arial;sans-serif"/>
          <w:b w:val="false"/>
          <w:color w:val="000000"/>
          <w:sz w:val="20"/>
          <w:shd w:fill="FFFFFF" w:val="clear"/>
        </w:rPr>
        <w:t xml:space="preserve">, respectively. Sales of rental product to customers within Other revenue represented </w:t>
      </w:r>
      <w:r>
        <w:rPr>
          <w:rFonts w:ascii="Arial;sans-serif" w:hAnsi="Arial;sans-serif"/>
          <w:b w:val="false"/>
          <w:color w:val="000000"/>
          <w:sz w:val="20"/>
        </w:rPr>
        <w:t>14%</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13%</w:t>
      </w:r>
      <w:r>
        <w:rPr>
          <w:color w:val="000000"/>
          <w:shd w:fill="FFFFFF" w:val="clear"/>
        </w:rPr>
        <w:t xml:space="preserve"> </w:t>
      </w:r>
      <w:r>
        <w:rPr>
          <w:rFonts w:ascii="Arial;sans-serif" w:hAnsi="Arial;sans-serif"/>
          <w:b w:val="false"/>
          <w:color w:val="000000"/>
          <w:sz w:val="20"/>
          <w:shd w:fill="FFFFFF" w:val="clear"/>
        </w:rPr>
        <w:t xml:space="preserve">of total revenue for the </w:t>
      </w:r>
      <w:r>
        <w:rPr>
          <w:rFonts w:ascii="Arial;sans-serif" w:hAnsi="Arial;sans-serif"/>
          <w:b w:val="false"/>
          <w:color w:val="000000"/>
          <w:sz w:val="20"/>
        </w:rPr>
        <w:t>three and 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July 31, 2026</w:t>
      </w:r>
      <w:r>
        <w:rPr>
          <w:rFonts w:ascii="Arial;sans-serif" w:hAnsi="Arial;sans-serif"/>
          <w:b w:val="false"/>
          <w:color w:val="000000"/>
          <w:sz w:val="20"/>
          <w:shd w:fill="FFFFFF" w:val="clear"/>
        </w:rPr>
        <w:t xml:space="preserve">, respectively. Sales of rental product to customers within Other revenue represented </w:t>
      </w:r>
      <w:r>
        <w:rPr>
          <w:rFonts w:ascii="Arial;sans-serif" w:hAnsi="Arial;sans-serif"/>
          <w:b w:val="false"/>
          <w:color w:val="000000"/>
          <w:sz w:val="20"/>
        </w:rPr>
        <w:t>13%</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11%</w:t>
      </w:r>
      <w:r>
        <w:rPr>
          <w:color w:val="000000"/>
          <w:shd w:fill="FFFFFF" w:val="clear"/>
        </w:rPr>
        <w:t xml:space="preserve"> </w:t>
      </w:r>
      <w:r>
        <w:rPr>
          <w:rFonts w:ascii="Arial;sans-serif" w:hAnsi="Arial;sans-serif"/>
          <w:b w:val="false"/>
          <w:color w:val="000000"/>
          <w:sz w:val="20"/>
          <w:shd w:fill="FFFFFF" w:val="clear"/>
        </w:rPr>
        <w:t xml:space="preserve">of total revenue for the </w:t>
      </w:r>
      <w:r>
        <w:rPr>
          <w:rFonts w:ascii="Arial;sans-serif" w:hAnsi="Arial;sans-serif"/>
          <w:b w:val="false"/>
          <w:color w:val="000000"/>
          <w:sz w:val="20"/>
        </w:rPr>
        <w:t>three and six months ended</w:t>
      </w:r>
      <w:r>
        <w:rPr>
          <w:color w:val="000000"/>
          <w:shd w:fill="FFFFFF" w:val="clear"/>
        </w:rPr>
        <w:t xml:space="preserve"> </w:t>
      </w:r>
      <w:r>
        <w:rPr>
          <w:rFonts w:ascii="Arial;sans-serif" w:hAnsi="Arial;sans-serif"/>
          <w:b w:val="false"/>
          <w:color w:val="000000"/>
          <w:sz w:val="20"/>
        </w:rPr>
        <w:t>July 31, 2025</w:t>
      </w:r>
      <w:r>
        <w:rPr>
          <w:rFonts w:ascii="Arial;sans-serif" w:hAnsi="Arial;sans-serif"/>
          <w:b w:val="false"/>
          <w:color w:val="000000"/>
          <w:sz w:val="20"/>
          <w:shd w:fill="FFFFFF" w:val="clear"/>
        </w:rPr>
        <w:t>, respectively.</w:t>
      </w:r>
    </w:p>
    <w:p>
      <w:pPr>
        <w:pStyle w:val="TextBody"/>
        <w:bidi w:val="0"/>
        <w:spacing w:lineRule="auto" w:line="288" w:before="120" w:after="283"/>
        <w:jc w:val="left"/>
        <w:rPr/>
      </w:pPr>
      <w:r>
        <w:rPr>
          <w:rFonts w:ascii="Arial;sans-serif" w:hAnsi="Arial;sans-serif"/>
          <w:b w:val="false"/>
          <w:color w:val="000000"/>
          <w:sz w:val="20"/>
          <w:shd w:fill="FFFFFF" w:val="clear"/>
        </w:rPr>
        <w:t>Revenue is presented net of promotional discounts, customer credit issuances and refunds and recognized in accordance with either ASC 842 or ASC 60</w:t>
      </w:r>
      <w:r>
        <w:rPr>
          <w:rFonts w:ascii="Arial;sans-serif" w:hAnsi="Arial;sans-serif"/>
          <w:b w:val="false"/>
          <w:color w:val="000000"/>
          <w:sz w:val="20"/>
        </w:rPr>
        <w:t>6. The Company recognizes discounts on Subscription and Reserve fees ratably over the subscription or rental period. Discounts on sales of rental product to customers are recognized upon delivery. Refunds and customer credit issuances are recognized over the subscription or rental period or when returned items are received. Rev</w:t>
      </w:r>
      <w:r>
        <w:rPr>
          <w:rFonts w:ascii="Arial;sans-serif" w:hAnsi="Arial;sans-serif"/>
          <w:b w:val="false"/>
          <w:color w:val="000000"/>
          <w:sz w:val="20"/>
          <w:shd w:fill="FFFFFF" w:val="clear"/>
        </w:rPr>
        <w:t>enue is presented net of taxes that are collected from customers and remitted to governmental authorities.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 xml:space="preserve">Company issued gift cards and customer credits during the six months ended July 31, 2026 and the years ended January 31, 2026 and 2025. In the year ended January 31, 2026, the Company modified its arrangement with its third-party gift card partner. Under the current model, the partner maintains the legal obligation to the holder and holds the associated cash until the customer applies the gift card to their Rent the Runway account. Upon application, the gift card is converted into a customer credit, at which point the Company recognizes a liability and corresponding receivable from the partner. In the year ended January 31, 2025, the Company operated under a different model with the same third-party gift card partner where the Company received cash and recognized a liability at the time of gift card issuance. The gift cards issued during the six months ended July 31, 2026 and the years ended January 31, 2026 and 2025 were immaterial to the Company’s condensed consolidated financial statements. </w:t>
      </w:r>
      <w:r>
        <w:rPr>
          <w:rFonts w:ascii="Arial;sans-serif" w:hAnsi="Arial;sans-serif"/>
          <w:b w:val="false"/>
          <w:color w:val="000000"/>
          <w:sz w:val="20"/>
          <w:shd w:fill="FFFFFF" w:val="clear"/>
        </w:rPr>
        <w:t>Upon redemption of the gift card or credit, revenue is recognized in line with the customer’s rental or item purchase. The Company’s gift card liability and customer credit liability are presented within Customer credit and gift card liabilities on the Condensed Consolidated Balance Sheets</w:t>
      </w:r>
      <w:r>
        <w:rPr>
          <w:rFonts w:ascii="Arial;sans-serif" w:hAnsi="Arial;sans-serif"/>
          <w:b w:val="false"/>
          <w:color w:val="000000"/>
          <w:sz w:val="20"/>
        </w:rPr>
        <w:t>. During the three months ended July 31, 2026 and 2025, $0.4 million and $0.3 million of credits included in the customer credit liability as of April 30, 2026 and 2025, respectively, were redeemed. During the six months ended July 31, 2026 and 2025, $0.7 million and $0.6 million of credits included in the customer credit liability as of January 31, 2026 and 2025, respectively, were redeemed</w:t>
      </w:r>
      <w:r>
        <w:rPr>
          <w:rFonts w:ascii="Arial;sans-serif" w:hAnsi="Arial;sans-serif"/>
          <w:b w:val="false"/>
          <w:color w:val="000000"/>
          <w:sz w:val="20"/>
          <w:shd w:fill="FFFFFF" w:val="clear"/>
        </w:rPr>
        <w:t>.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pStyle w:val="TextBody"/>
        <w:bidi w:val="0"/>
        <w:spacing w:lineRule="auto" w:line="288" w:before="12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Subscription and Reserve Rental Revenue</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recognizes fees for a-la-carte rentals ratably over the rental period, which starts with the date of delivery of rental product to the customer. A-la-carte rental orders can be placed up to </w:t>
      </w:r>
      <w:r>
        <w:rPr>
          <w:rFonts w:ascii="Arial;sans-serif" w:hAnsi="Arial;sans-serif"/>
          <w:b w:val="false"/>
          <w:color w:val="000000"/>
          <w:sz w:val="20"/>
        </w:rPr>
        <w:t xml:space="preserve">four months </w:t>
      </w:r>
      <w:r>
        <w:rPr>
          <w:rFonts w:ascii="Arial;sans-serif" w:hAnsi="Arial;sans-serif"/>
          <w:b w:val="false"/>
          <w:color w:val="000000"/>
          <w:sz w:val="20"/>
          <w:shd w:fill="FFFFFF" w:val="clear"/>
        </w:rPr>
        <w:t>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accrues for credits and refunds issued subsequent to the balance sheet date that relate to rentals prior to the balance sheet date. These amounts were not material as of July 31, 2026 and January 31, 2026.</w:t>
      </w:r>
    </w:p>
    <w:p>
      <w:pPr>
        <w:pStyle w:val="TextBody"/>
        <w:bidi w:val="0"/>
        <w:spacing w:lineRule="auto" w:line="288" w:before="12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Other Revenue</w:t>
      </w:r>
    </w:p>
    <w:p>
      <w:pPr>
        <w:pStyle w:val="TextBody"/>
        <w:bidi w:val="0"/>
        <w:spacing w:lineRule="auto" w:line="288" w:before="120" w:after="283"/>
        <w:jc w:val="left"/>
        <w:rPr/>
      </w:pPr>
      <w:r>
        <w:rPr>
          <w:rFonts w:ascii="Arial;sans-serif" w:hAnsi="Arial;sans-serif"/>
          <w:b w:val="false"/>
          <w:color w:val="000000"/>
          <w:sz w:val="20"/>
          <w:shd w:fill="FFFFFF" w:val="clear"/>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w:t>
      </w:r>
      <w:r>
        <w:rPr>
          <w:color w:val="000000"/>
        </w:rPr>
        <w:t xml:space="preserve"> </w:t>
      </w:r>
      <w:r>
        <w:rPr>
          <w:rFonts w:ascii="Arial;sans-serif" w:hAnsi="Arial;sans-serif"/>
          <w:b w:val="false"/>
          <w:color w:val="000000"/>
          <w:sz w:val="20"/>
        </w:rPr>
        <w:t>The Company does not have any material contractual receivables, assets or liabilities with respect to other revenue as of July 31, 2026 and January 31, 2026.</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other revenue may include revenue generated from pilots and other growth initiatives which may cause quarterly fluctuations in the Other revenue line.</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Share-Based Compensation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Nasdaq. Upon grant of awards, the Company also estimates an amount of forfeitures that will occur prior to vesting. There were no stock options granted during the </w:t>
      </w:r>
      <w:r>
        <w:rPr>
          <w:rFonts w:ascii="Arial;sans-serif" w:hAnsi="Arial;sans-serif"/>
          <w:b w:val="false"/>
          <w:color w:val="000000"/>
          <w:sz w:val="20"/>
        </w:rPr>
        <w:t>three and 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July 31,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The Company has granted two types of restricted stock units </w:t>
      </w:r>
      <w:r>
        <w:rPr>
          <w:rFonts w:ascii="Arial;sans-serif" w:hAnsi="Arial;sans-serif"/>
          <w:b w:val="false"/>
          <w:color w:val="000000"/>
          <w:sz w:val="20"/>
        </w:rPr>
        <w:t>denominated in shares of Class A common stock:</w:t>
      </w:r>
      <w:r>
        <w:rPr>
          <w:color w:val="000000"/>
          <w:shd w:fill="FFFFFF" w:val="clear"/>
        </w:rPr>
        <w:t xml:space="preserve"> </w:t>
      </w:r>
      <w:r>
        <w:rPr>
          <w:rFonts w:ascii="Arial;sans-serif" w:hAnsi="Arial;sans-serif"/>
          <w:b w:val="false"/>
          <w:color w:val="000000"/>
          <w:sz w:val="20"/>
          <w:shd w:fill="FFFFFF" w:val="clear"/>
        </w:rPr>
        <w:t>RSUs which vest upon satisfaction of time-based service conditions and performance-based RSUs (“PSUs”) which will vest upon satisfaction of time-based service and performance-based conditions. We also grant certain PSUs to certain executives which also include market-based conditions. The Company records share-based compensation expense for these RSUs on a straight-line basis over the requisite service period. Stock-based compensation expense for PSUs with performance-based conditions will be recognized based on estimated performance against established performance targets and revisions will be recorded as a cumulative adjustment to earnings in the period of the revision. For PSUs with market-based conditions, the grant date fair value is determined using a valuation model that incorporates the probability of achieving the market condition, and expense is recognized over the requisite service period. The Company also estimates an amount of forfeitures that will occur prior to vesting. See “Note 11</w:t>
      </w:r>
      <w:r>
        <w:rPr>
          <w:color w:val="000000"/>
        </w:rPr>
        <w:t>—</w:t>
      </w:r>
      <w:r>
        <w:rPr>
          <w:rFonts w:ascii="Arial;sans-serif" w:hAnsi="Arial;sans-serif"/>
          <w:b w:val="false"/>
          <w:color w:val="000000"/>
          <w:sz w:val="20"/>
        </w:rPr>
        <w:t>Share-based Compensation Plans”</w:t>
      </w:r>
      <w:r>
        <w:rPr>
          <w:color w:val="000000"/>
          <w:shd w:fill="FFFFFF" w:val="clear"/>
        </w:rPr>
        <w:t xml:space="preserve"> </w:t>
      </w:r>
      <w:r>
        <w:rPr>
          <w:rFonts w:ascii="Arial;sans-serif" w:hAnsi="Arial;sans-serif"/>
          <w:b w:val="false"/>
          <w:color w:val="000000"/>
          <w:sz w:val="20"/>
          <w:shd w:fill="FFFFFF" w:val="clear"/>
        </w:rPr>
        <w:t>for a description of the accounting for share-based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Income and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income and expense consist primarily of interest on the Company’s debt facility, debt discount (premium) amortization, and financing lease interest expense offset by interest income earned. The Company recognized interest and debt discount (premium) amortization expense of $0.4 million and $7.2 million during the three months ended July 31, 2026 and 2025, respectively, and $0.9 million and $14.2 million during the six months ended July 31, 2026 and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Interim Impairment Evaluation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six months ended July 31, 2026 and year ended January 31, 2026, the Company concluded a triggering event had occurred during the first and second quarters of fiscal year 2026 and fiscal year 2025 due to a decline in the Company’s stock price. For the six months ended July 31, 2026 and year ended January 31, 2026, the Company performed a quantitative assessment and concluded the undiscounted cash flows expected to be generated by the use and/or eventual disposition of the Company’s long-lived assets exceeded their carrying values. Therefore, no impairment was recognized for the six months ended July 31, 2026 and year ended January 31,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12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Recently Issued Accounting Pronouncements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Interim Reporting (Topic 270): Narrow Scope Improvements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Interim Reporting (Topic 270): Narrow Scope Improvements</w:t>
      </w:r>
      <w:r>
        <w:rPr>
          <w:rFonts w:ascii="Arial;sans-serif" w:hAnsi="Arial;sans-serif"/>
          <w:b w:val="false"/>
          <w:color w:val="000000"/>
          <w:sz w:val="20"/>
        </w:rPr>
        <w:t>, to improve the navigability of required interim disclosures and clarify when the guidance is applicable. The amendments provide additional guidance on what disclosures should be provided in interim reporting periods and adds a principle that requires entities to disclose events since the end of the last annual reporting period that have a material impact on the entity. This standard is effective for interim reporting periods within annual reporting periods beginning after December 15, 2028, and early adoption is permitted. The Company is currently evaluating the impact that the adoption of this standard will have on its financial statement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Intangibles—Goodwill and Other—Internal-Use Software</w:t>
      </w:r>
    </w:p>
    <w:p>
      <w:pPr>
        <w:pStyle w:val="TextBody"/>
        <w:bidi w:val="0"/>
        <w:spacing w:lineRule="auto" w:line="288" w:before="120" w:after="283"/>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The amendments modernize the accounting for software costs accounted for under ASC 350-40. The amendments remove all references to software development stages and require entities to start capitalizing software costs when management has authorized and committed to funding the software project and it is probable that the project will be completed and the software will be used to perform the intended function.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The Company is currently evaluating the impact that the adoption of this standard will have on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shd w:fill="FFFFFF" w:val="clear"/>
        </w:rPr>
        <w:t xml:space="preserve">Income </w:t>
      </w:r>
      <w:r>
        <w:rPr>
          <w:rFonts w:ascii="Arial;sans-serif" w:hAnsi="Arial;sans-serif"/>
          <w:b w:val="false"/>
          <w:i/>
          <w:color w:val="000000"/>
          <w:sz w:val="20"/>
        </w:rPr>
        <w:t>Statement - Reporting Comprehensive Income - Expense Disaggregation Disclosures</w:t>
      </w:r>
    </w:p>
    <w:p>
      <w:pPr>
        <w:pStyle w:val="TextBody"/>
        <w:bidi w:val="0"/>
        <w:spacing w:lineRule="auto" w:line="288" w:before="120" w:after="283"/>
        <w:jc w:val="left"/>
        <w:rPr/>
      </w:pPr>
      <w:r>
        <w:rPr>
          <w:rFonts w:ascii="Arial;sans-serif" w:hAnsi="Arial;sans-serif"/>
          <w:b w:val="false"/>
          <w:color w:val="000000"/>
          <w:sz w:val="20"/>
          <w:shd w:fill="FFFFFF" w:val="clear"/>
        </w:rPr>
        <w:t xml:space="preserve">In </w:t>
      </w:r>
      <w:r>
        <w:rPr>
          <w:rFonts w:ascii="Arial;sans-serif" w:hAnsi="Arial;sans-serif"/>
          <w:b w:val="false"/>
          <w:color w:val="000000"/>
          <w:sz w:val="20"/>
        </w:rPr>
        <w:t xml:space="preserve">November 2024, the FASB issued ASU 2024-03, </w:t>
      </w:r>
      <w:r>
        <w:rPr>
          <w:rFonts w:ascii="Arial;sans-serif" w:hAnsi="Arial;sans-serif"/>
          <w:b w:val="false"/>
          <w:i/>
          <w:color w:val="000000"/>
          <w:sz w:val="20"/>
        </w:rPr>
        <w:t>Income Statement - Reporting Comprehensive Income - Expense Disaggregation Disclosures (Subtopic 220-40)</w:t>
      </w:r>
      <w:r>
        <w:rPr>
          <w:rFonts w:ascii="Arial;sans-serif" w:hAnsi="Arial;sans-serif"/>
          <w:b w:val="false"/>
          <w:color w:val="000000"/>
          <w:sz w:val="20"/>
        </w:rPr>
        <w:t>. In January 2025, the FASB issued ASU 2025-01,</w:t>
      </w:r>
      <w:r>
        <w:rPr>
          <w:color w:val="000000"/>
        </w:rPr>
        <w:t xml:space="preserve"> </w:t>
      </w:r>
      <w:r>
        <w:rPr>
          <w:rFonts w:ascii="Arial;sans-serif" w:hAnsi="Arial;sans-serif"/>
          <w:b w:val="false"/>
          <w:i/>
          <w:color w:val="000000"/>
          <w:sz w:val="20"/>
        </w:rPr>
        <w:t>Income Statement—Reporting Comprehensive Income—Expense Disaggregation Disclosures (Subtopic 220-40): Clarifying the Effective Date</w:t>
      </w:r>
      <w:r>
        <w:rPr>
          <w:color w:val="000000"/>
        </w:rPr>
        <w:t xml:space="preserve"> </w:t>
      </w:r>
      <w:r>
        <w:rPr>
          <w:rFonts w:ascii="Arial;sans-serif" w:hAnsi="Arial;sans-serif"/>
          <w:b w:val="false"/>
          <w:color w:val="000000"/>
          <w:sz w:val="20"/>
        </w:rPr>
        <w:t>to clarify the effective date of ASU 2024-03. The amendments require disclosure of additional information about specific expense categories in the notes to 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3.Liquidity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incurred net losses of $(12.9) million and $(31.8) million for the three and six months ended July 31, 2026, respectively. The Company has incurred significant recurring net operating losses since inception and has an accumulated deficit of $(1,132.2) million as of July 31, 2026. The Company has historically relied on debt and equity financing to fund its operations. The Company’s principal sources of liquidity are existing cash and cash equivalents and cash flows from operating activities. There is no remaining borrowing availability under the Company’s New Credit Agreement, as defined below. The Company’s cash flows (used in) provided by operations for the six months ended July 31, 2026 were $(5.0) million compared to $(2.2) million for the six months ended July 31, 2025. Cash out flows from investing activities for the six months ended July 31, 2026 were $(16.6) million compared to $(30.7) million for the six months ended July 31, 2025. The decrease in cash flows (used) in investing activities during the six months ended July 31, 2026 as compared to the six months ended July 31, 2025 was due to a strategic, intentional increase in rental product purchases during fiscal year 2025. As of July 31, 2026, the Company held cash and cash equivalents of $29.0 million and long-term debt of $157.5 million with a maturity date in October 2029.</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experienced net operating losses for the last three years and an increase in such losses during the year ended January 31, 2026 as compared to the year ended January 31, 2025. The Company also experienced positive cash flows from operations in fiscal years 2025 and 2024, though it continued to have cash outflows related to its investing activities. To the extent the Company is impacted by macroeconomic trends, or other factors, including, but not limited to, lower demand for our business, increased rental product costs, or tariffs, the Company plans to preserve liquidity by reducing fixed and variable costs, which may include additional reductions to labor, operating expenses, and/or capital expenditures. However, these actions may not provide sufficient incremental liquidity to fund the Company’s long-term obligations.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See “Note 6 - Long-Term Debt” for a description of the Company’s Recapitalization Transactions completed in October 2025. On January 28, 2026, the Company entered into the First Amendment to the New Credit Agreement (the “First Amendment”), which permanently removed the minimum liquidity maintenance covenant. The Second Amendment to the New Credit Agreement (the “Second Amendment”) was executed on April 1, 2026 and provides the Company with the ability to capitalize interest in lieu of cash payments until May 3, 2027. On September 1, 2026, the Company entered into the Third Amendment to the New Credit Agreement (the “Third Amendment”). The Third Amendment provides an additional $10.0 million of new term loans from the Investor Group (as defined below) to support the Company’s working capital needs and other general corporate purposes and improve its overall liquidity. The Company expects that its existing resources and future cash flows from operations and cash and cash equivalents, will provide it with sufficient liquidity to meet its obligations for at least the next twelve months from the issuance date of these financial statements. The Company plans to explore additional funding sources to increase liquidity and strengthen its balance sheet. However, there can be no assurance plans will be completed.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4.Leases - Lessee Accounting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During the year ended </w:t>
      </w:r>
      <w:r>
        <w:rPr>
          <w:rFonts w:ascii="Arial;sans-serif" w:hAnsi="Arial;sans-serif"/>
          <w:b w:val="false"/>
          <w:color w:val="000000"/>
          <w:sz w:val="20"/>
        </w:rPr>
        <w:t>January 31, 2025</w:t>
      </w:r>
      <w:r>
        <w:rPr>
          <w:rFonts w:ascii="Arial;sans-serif" w:hAnsi="Arial;sans-serif"/>
          <w:b w:val="false"/>
          <w:color w:val="000000"/>
          <w:sz w:val="20"/>
          <w:shd w:fill="FFFFFF" w:val="clear"/>
        </w:rPr>
        <w:t xml:space="preserve">, the Company </w:t>
      </w:r>
      <w:r>
        <w:rPr>
          <w:rFonts w:ascii="Arial;sans-serif" w:hAnsi="Arial;sans-serif"/>
          <w:b w:val="false"/>
          <w:color w:val="000000"/>
          <w:sz w:val="20"/>
        </w:rPr>
        <w:t>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Condensed Consolidated Statements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Company’s minimum fixed lease obligations under existing agreements as a lessee, excluding variable payments and short-term lease payments, as of July 31, 2026:</w:t>
      </w:r>
    </w:p>
    <w:p>
      <w:pPr>
        <w:pStyle w:val="TextBody"/>
        <w:bidi w:val="0"/>
        <w:spacing w:before="0" w:after="0"/>
        <w:jc w:val="left"/>
        <w:rPr/>
      </w:pPr>
      <w:r>
        <w:rPr/>
      </w:r>
    </w:p>
    <w:tbl>
      <w:tblPr>
        <w:tblW w:w="5773" w:type="dxa"/>
        <w:jc w:val="left"/>
        <w:tblInd w:w="0" w:type="dxa"/>
        <w:tblLayout w:type="fixed"/>
        <w:tblCellMar>
          <w:top w:w="28" w:type="dxa"/>
          <w:left w:w="28" w:type="dxa"/>
          <w:bottom w:w="28" w:type="dxa"/>
          <w:right w:w="28" w:type="dxa"/>
        </w:tblCellMar>
      </w:tblPr>
      <w:tblGrid>
        <w:gridCol w:w="1304"/>
        <w:gridCol w:w="1143"/>
        <w:gridCol w:w="1152"/>
        <w:gridCol w:w="220"/>
        <w:gridCol w:w="566"/>
        <w:gridCol w:w="115"/>
        <w:gridCol w:w="109"/>
        <w:gridCol w:w="109"/>
        <w:gridCol w:w="109"/>
        <w:gridCol w:w="249"/>
        <w:gridCol w:w="514"/>
        <w:gridCol w:w="183"/>
      </w:tblGrid>
      <w:tr>
        <w:trPr/>
        <w:tc>
          <w:tcPr>
            <w:tcW w:w="1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Financing</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minimum lease payments</w:t>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Imputed interest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Lease liabilities as of July 31, 2026</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of financing lease right-of-use assets were $0.1 million and $0.2 million for the six months ended July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5.Rental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Rental product, net consisted of the following:</w:t>
      </w:r>
    </w:p>
    <w:tbl>
      <w:tblPr>
        <w:tblW w:w="5222" w:type="dxa"/>
        <w:jc w:val="left"/>
        <w:tblInd w:w="0" w:type="dxa"/>
        <w:tblLayout w:type="fixed"/>
        <w:tblCellMar>
          <w:top w:w="28" w:type="dxa"/>
          <w:left w:w="28" w:type="dxa"/>
          <w:bottom w:w="28" w:type="dxa"/>
          <w:right w:w="28" w:type="dxa"/>
        </w:tblCellMar>
      </w:tblPr>
      <w:tblGrid>
        <w:gridCol w:w="1043"/>
        <w:gridCol w:w="913"/>
        <w:gridCol w:w="923"/>
        <w:gridCol w:w="211"/>
        <w:gridCol w:w="646"/>
        <w:gridCol w:w="109"/>
        <w:gridCol w:w="109"/>
        <w:gridCol w:w="109"/>
        <w:gridCol w:w="109"/>
        <w:gridCol w:w="219"/>
        <w:gridCol w:w="671"/>
        <w:gridCol w:w="160"/>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Rental product,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Depreciation and write-offs related </w:t>
      </w:r>
      <w:r>
        <w:rPr>
          <w:rFonts w:ascii="Arial;sans-serif" w:hAnsi="Arial;sans-serif"/>
          <w:b w:val="false"/>
          <w:color w:val="000000"/>
          <w:sz w:val="20"/>
        </w:rPr>
        <w:t>to rental product, including write-offs of rental products sold, was $14.7 million and $15.9 million for the three months ended July 31, 2026 and 2025, respectively, and $28.5 million and $29.1 million for the six months ended July 31, 2026 and 2025, respectively</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6.Long-Term Debt</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Summary</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the Company’s long-term debt outstanding as of July 31, 2026 and January 31, 2026:</w:t>
      </w:r>
    </w:p>
    <w:tbl>
      <w:tblPr>
        <w:tblW w:w="5778" w:type="dxa"/>
        <w:jc w:val="left"/>
        <w:tblInd w:w="0" w:type="dxa"/>
        <w:tblLayout w:type="fixed"/>
        <w:tblCellMar>
          <w:top w:w="28" w:type="dxa"/>
          <w:left w:w="28" w:type="dxa"/>
          <w:bottom w:w="28" w:type="dxa"/>
          <w:right w:w="28" w:type="dxa"/>
        </w:tblCellMar>
      </w:tblPr>
      <w:tblGrid>
        <w:gridCol w:w="1245"/>
        <w:gridCol w:w="1092"/>
        <w:gridCol w:w="1098"/>
        <w:gridCol w:w="211"/>
        <w:gridCol w:w="646"/>
        <w:gridCol w:w="109"/>
        <w:gridCol w:w="109"/>
        <w:gridCol w:w="109"/>
        <w:gridCol w:w="109"/>
        <w:gridCol w:w="219"/>
        <w:gridCol w:w="671"/>
        <w:gridCol w:w="160"/>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Debt Facility principal outstanding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 payment-in-kind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 unamortized debt premium</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Debt Facility, net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noncurrent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Debt Facility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In </w:t>
      </w:r>
      <w:r>
        <w:rPr>
          <w:rFonts w:ascii="Arial;sans-serif" w:hAnsi="Arial;sans-serif"/>
          <w:b w:val="false"/>
          <w:color w:val="000000"/>
          <w:sz w:val="20"/>
        </w:rPr>
        <w:t>December 2023, the Company entered into an amendment to the 2022 Amended Temasek Facility (the “2023 Amended Temasek Facility”). This transaction was accounted for as a troubled debt restructuring. The terms of the amendment provided for (i) elimination of all interest (both payment-in-kind and cash interest) for a period of six full fiscal quarters beginning with the fourth quarter of fiscal year 2023; (ii) reduction of the minimum liquidity maintenance covenant from $50 million to $30 million; and (iii) additional covenants requiring the Company to comply with mutually agreed upon quarterly and annual spend levels. The Company did not record a gain in connection with the restructuring as the total undiscounted future cash payments specified in the 2023 Temasek Facility Amendment exceeded the carrying value of debt.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July 2025, the Company entered into a Thirteenth Amendment to the 2023 Amended Temasek Facility to extend the due date of the cash interest payment due on August 1, 2025 to August 29, 2025. In August 2025, concurrently with the Exchange Agreement, the Company entered into a Fourteenth Amendment to the Credit Agreement. The Fourteenth Amendment provided that, among other things, (i) interest that would otherwise be payable in cash will be capitalized; and (ii) the liquidity financial covenant level will be reduced from $30 million to $15 million until the closing of the Recapitalization Transactions. The Fourteenth Amendment also eliminated the spend levels for fiscal year 2025.</w:t>
      </w:r>
    </w:p>
    <w:p>
      <w:pPr>
        <w:pStyle w:val="TextBody"/>
        <w:bidi w:val="0"/>
        <w:spacing w:before="0" w:after="0"/>
        <w:jc w:val="left"/>
        <w:rPr/>
      </w:pPr>
      <w:r>
        <w:rPr/>
      </w:r>
    </w:p>
    <w:p>
      <w:pPr>
        <w:pStyle w:val="TextBody"/>
        <w:bidi w:val="0"/>
        <w:spacing w:lineRule="auto" w:line="268" w:before="120" w:after="283"/>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October 28, 2025, the Company completed recapitalization transactions to enhance the Company’s financial position and financial flexibility by significantly reducing its existing indebtedness, improving its borrowing rate and extending the maturity of its remaining indebtedness (the “Recapitalization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Under the terms of the Recapitalization Transactions, the Company entered into an amended and restated credit agreement, dated as of October 28, 2025 (the “New Credit Agreement”), by and among the Company, as borrower, CHS (US) Management LLC, as administrative agent (the “Agent”), and CHS US Investments LLC (“Lender”), Gateway Runway, LLC (“Nexus”) and S3 RR Aggregator, LLC, as lenders (“STORY3” and, collectively with Lender and Nexus, the “Investor Group”).</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On October 28, 2025, Lender exchanged $100 million of existing outstanding indebtedness on a dollar-for-dollar cashless basis for new term loans under the New Credit Agreement and exchanged the remaining indebtedness for 26,175,193 newly issued shares of the Company’s Class A Common Stock, par value $0.001 per share. The Investor Group also provided an additional $20 million of new term loans, resulting in a total aggregate principal amount of $120 million as of the closing of the Recapitalization Transactions.</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 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modified the prior credit agreement in certain respects, including by temporarily reducing the minimum liquidity maintenance covenant from $30 million to $15 million during the period from October 28, 2025 until February 20, 2027, which would revert thereafter to $30 million.</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In October 2025, the Company also completed a rights offering and issued an aggregate of 3,063,725 shares of the Company’s Class A Common Stock at a price of $4.08 per share, totaling proceeds of $12.5 million.</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For a full description of the Recapitalization Transactions and the Company’s debt facility, see the Company's Annual Report on Form 10-K for the fiscal year ended January 31,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exchange transaction with the existing lender was accounted for as a troubled debt restructuring of $334.2 million of existing outstanding debt, excluding the remaining unamortized debt premium and $10.0 million of additional cash from the Lender, in exchange for $110.0 million of new term loans. The Company exchanged $234.2 million of existing indebtedness for 26,175,193 newly issued shares of the Company’s Class A Common Stock to the lender. As the carrying value of debt reduced by the fair value of the equity issued exceeded the total undiscounted future cash payments, the Company recognized a gain on troubled debt restructuring, net of allocated transaction costs of $11.8 million incurred, of $96.3 million during the year ended January 31, 2026. The gain was reflected in Gain on Debt Restructuring on the Company’s Consolidated Statements of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Upon completion of the exchange transaction, the carrying value of the new term loans with the Lender was $149.5 million, comprised of the total future undiscounted cash payments to the Lender. The Company recorded a debt premium as a result of the troubled debt restructuring of $39.5 million which will be amortized over the term of the loan.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Company accounted for the $10.0 million of new term loans issued to Nexus and STORY3 as a new issuance of debt and recorded a debt discount of $0.4 million related to allocated issuance costs. The debt discount will be accreted to the principal amount of the debt through the recognition of noncash interest expense using the effective interest method. The effective interest rate of the debt facility as of January 31, 2026 was 9.83%.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January 28, 2026, the Company entered into the First Amendment to the New Credit Agreement. The First Amendment removed the minimum liquidity maintenance covenant. On April 1, 2026, the Company entered into the Second Amendment to the New Credit Agreement. The Second Amendment provides the Company with the ability to capitalize interest in lieu of cash payments until May 3, 2027. Pursuant to the Second Amendment, from April 1, 2026 to May 3, 2027, interest payable on the term loans under the New Credit Agreement will be capitalized and added to the principal amount of the term loan outstanding at the end of each fiscal quarter. This transaction was accounted for as a debt modification. The effective interest rate of the new term loans issued to the Lender as of July 31, 2026 was 0.48%. The effective interest rate of the new term loans issued to Nexus and STORY3 as of July 31, 2026 was 9.63%. On September 1, 2026, the Company entered into the Third Amendment to the New Credit Agreement. The Third Amendment provides an additional $10.0 million of new term loans from the Investor Group.</w:t>
      </w:r>
    </w:p>
    <w:p>
      <w:pPr>
        <w:pStyle w:val="TextBody"/>
        <w:bidi w:val="0"/>
        <w:spacing w:lineRule="auto" w:line="268" w:before="240" w:after="283"/>
        <w:jc w:val="left"/>
        <w:rPr/>
      </w:pPr>
      <w:r>
        <w:rPr>
          <w:rFonts w:ascii="Arial;sans-serif" w:hAnsi="Arial;sans-serif"/>
          <w:b w:val="false"/>
          <w:color w:val="000000"/>
          <w:sz w:val="20"/>
        </w:rPr>
        <w:t>The Company determined that all of the embedded features of the New Credit Agreement were clearly and closely related to the debt host and did not require bifurcation as a derivative liability, or the fair value of the feature was immaterial to the Company’s condensed consolidated financial statements</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7.Income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continues to maintain a full valuation allowance on all United States net deferred tax assets for all periods presented.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amount of unrecognized tax benefits as of July 31, 2026 and January 31, 2026 was $1.1 million and $1.1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shd w:fill="FFFFFF" w:val="clear"/>
        </w:rPr>
      </w:pPr>
      <w:r>
        <w:rPr>
          <w:rFonts w:ascii="Arial;sans-serif" w:hAnsi="Arial;sans-serif"/>
          <w:b/>
          <w:color w:val="000000"/>
          <w:sz w:val="20"/>
          <w:shd w:fill="FFFFFF" w:val="clear"/>
        </w:rPr>
        <w:t>8.Accrued Expenses and Other Current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w:t>
      </w:r>
    </w:p>
    <w:tbl>
      <w:tblPr>
        <w:tblW w:w="6317" w:type="dxa"/>
        <w:jc w:val="left"/>
        <w:tblInd w:w="0" w:type="dxa"/>
        <w:tblLayout w:type="fixed"/>
        <w:tblCellMar>
          <w:top w:w="28" w:type="dxa"/>
          <w:left w:w="28" w:type="dxa"/>
          <w:bottom w:w="28" w:type="dxa"/>
          <w:right w:w="28" w:type="dxa"/>
        </w:tblCellMar>
      </w:tblPr>
      <w:tblGrid>
        <w:gridCol w:w="1478"/>
        <w:gridCol w:w="1299"/>
        <w:gridCol w:w="1303"/>
        <w:gridCol w:w="211"/>
        <w:gridCol w:w="541"/>
        <w:gridCol w:w="109"/>
        <w:gridCol w:w="109"/>
        <w:gridCol w:w="109"/>
        <w:gridCol w:w="109"/>
        <w:gridCol w:w="244"/>
        <w:gridCol w:w="627"/>
        <w:gridCol w:w="178"/>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Arial;sans-serif" w:hAnsi="Arial;sans-serif"/>
                <w:b/>
                <w:color w:val="000000"/>
                <w:sz w:val="16"/>
              </w:rPr>
            </w:pPr>
            <w:r>
              <w:rPr>
                <w:rFonts w:ascii="Arial;sans-serif" w:hAnsi="Arial;sans-serif"/>
                <w:b/>
                <w:color w:val="000000"/>
                <w:sz w:val="16"/>
              </w:rPr>
              <w:t>2026</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share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securities litigation expense</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operating and general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payroll related expenses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78"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Sales and other taxes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8"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financing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borrowing rate for the short-term financing obligation was 8.00%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240" w:after="283"/>
        <w:ind w:left="0" w:right="0" w:hanging="540"/>
        <w:jc w:val="left"/>
        <w:rPr>
          <w:rFonts w:ascii="Arial;sans-serif" w:hAnsi="Arial;sans-serif"/>
          <w:b/>
          <w:color w:val="000000"/>
          <w:sz w:val="20"/>
        </w:rPr>
      </w:pPr>
      <w:r>
        <w:rPr>
          <w:rFonts w:ascii="Arial;sans-serif" w:hAnsi="Arial;sans-serif"/>
          <w:b/>
          <w:color w:val="000000"/>
          <w:sz w:val="20"/>
        </w:rPr>
        <w:t>9.Fair Value Measurements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July 31, 2026 and January 31, 2026,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pStyle w:val="TextBody"/>
        <w:bidi w:val="0"/>
        <w:spacing w:lineRule="auto" w:line="288" w:before="120" w:after="283"/>
        <w:jc w:val="left"/>
        <w:rPr/>
      </w:pPr>
      <w:r>
        <w:rPr>
          <w:rFonts w:ascii="Arial;sans-serif" w:hAnsi="Arial;sans-serif"/>
          <w:b w:val="false"/>
          <w:color w:val="000000"/>
          <w:sz w:val="20"/>
          <w:shd w:fill="FFFFFF" w:val="clear"/>
        </w:rPr>
        <w:t>The Company’s long-term debt is reported at carrying value o</w:t>
      </w:r>
      <w:r>
        <w:rPr>
          <w:rFonts w:ascii="Arial;sans-serif" w:hAnsi="Arial;sans-serif"/>
          <w:b w:val="false"/>
          <w:color w:val="000000"/>
          <w:sz w:val="20"/>
        </w:rPr>
        <w:t>n the Condensed Consolidated Balance Sheets. See “Note 6 — Long-Term Debt”. The Company estimates the fair value of its long-term debt using a Black-Derman-Toy (BDT) model based on the Company’s implied credit spread using the lower end of option adjusted spreads for similar financial instruments with similar credit ratings, and, as such, long-term debt is classified as Level 3 within the fair value hierarchy. As of July 31, 2026, the estimated fair value of the Company’s long-term debt was $115.9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10.Stockholders’ Equity</w:t>
      </w:r>
    </w:p>
    <w:p>
      <w:pPr>
        <w:pStyle w:val="TextBody"/>
        <w:bidi w:val="0"/>
        <w:spacing w:before="120" w:after="283"/>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ATM Offering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April 15, 2026, the Company entered into an at-the-market sales agreement for the sale of shares of the Company’s Class A common stock (the “ATM offering”). During the six months ended July 31, 2026, the Company sold 45,358 shares of Class A common stock at a weighted average price of $5.52 per share for proceeds of $0.2 million, net of commissions of 3% and allocated equity issuance costs. The Company sold no shares during the three months ended July 31, 2026. The Company may sell shares up to an aggregate offering price of $40 million. As of the date of this Form 10-Q, the Company’s public float was less than $75 million. As a result, the Company is subject to the limitations of General Instruction I.B.6 to Form S-3 until such time as the Company’s public float exceeds $75 million, which means the Company only has the capacity to sell shares up to one-third of its public float under its registration statement on Form S-3, including the ATM offering, in any 12-month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Rights Offering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 6 - Long-Term Debt” and “Note 12 - Net Loss per Share Attributable to Common Stockholders” for information regarding the rights offering.</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Common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Holders of Class A common stock are entitled to one vote per share, as well as dividends if and when declared by the Board and, upon liquidation, dissolution, winding up or other liquidation event of the Company, all assets available for distribution to common stockholders. There are no redemption provisions with respect to common stock.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In connection with the closing of the Recapitalization Transactions, all outstanding shares of the Company’s Class B common stock were converted into shares of Class A common stock on a one-for-one basis, such that no shares of Class B common stock remain outstanding. </w:t>
      </w:r>
      <w:r>
        <w:rPr>
          <w:rFonts w:ascii="Arial;sans-serif" w:hAnsi="Arial;sans-serif"/>
          <w:b w:val="false"/>
          <w:color w:val="000000"/>
          <w:sz w:val="20"/>
        </w:rPr>
        <w:t>See “Note 6 - Long-Term Debt</w:t>
      </w:r>
      <w:r>
        <w:rPr>
          <w:color w:val="000000"/>
          <w:shd w:fill="FFFFFF" w:val="clear"/>
        </w:rPr>
        <w:t xml:space="preserve">” </w:t>
      </w:r>
      <w:r>
        <w:rPr>
          <w:rFonts w:ascii="Arial;sans-serif" w:hAnsi="Arial;sans-serif"/>
          <w:b w:val="false"/>
          <w:color w:val="000000"/>
          <w:sz w:val="20"/>
        </w:rPr>
        <w:t>and “Note 11 — Share-based Compensation Plans” in the Notes to the Condensed Consolidated Financial Statements for more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2026, the Company’s stockholders approved the elimination of the Company’s authorized shares of Class B common stock. Prior to the elimination, the Company had 50,000,000 authorized shares of Class B common stock and no shares were issued or outstanding. See “Note 2 - Summary of Significant Accounting Policies” for more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Preferred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July 2026, the Company’s stockholders approved the elimination of the Company’s authorized shares of preferred stock. Prior to the elimination, the Company had 10,000,000 authorized shares of preferred stock and no shares were issued or outstanding. See “Note 2 - Summary of Significant Accounting Policies” for more information.</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Warrants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July 31, 2026 and January 31, 2026, the Company had the following outstanding warrants:</w:t>
      </w:r>
    </w:p>
    <w:tbl>
      <w:tblPr>
        <w:tblW w:w="10205" w:type="dxa"/>
        <w:jc w:val="left"/>
        <w:tblInd w:w="0" w:type="dxa"/>
        <w:tblLayout w:type="fixed"/>
        <w:tblCellMar>
          <w:top w:w="28" w:type="dxa"/>
          <w:left w:w="28" w:type="dxa"/>
          <w:bottom w:w="28" w:type="dxa"/>
          <w:right w:w="28" w:type="dxa"/>
        </w:tblCellMar>
      </w:tblPr>
      <w:tblGrid>
        <w:gridCol w:w="845"/>
        <w:gridCol w:w="742"/>
        <w:gridCol w:w="746"/>
        <w:gridCol w:w="234"/>
        <w:gridCol w:w="234"/>
        <w:gridCol w:w="236"/>
        <w:gridCol w:w="109"/>
        <w:gridCol w:w="109"/>
        <w:gridCol w:w="109"/>
        <w:gridCol w:w="427"/>
        <w:gridCol w:w="429"/>
        <w:gridCol w:w="316"/>
        <w:gridCol w:w="109"/>
        <w:gridCol w:w="109"/>
        <w:gridCol w:w="109"/>
        <w:gridCol w:w="294"/>
        <w:gridCol w:w="294"/>
        <w:gridCol w:w="298"/>
        <w:gridCol w:w="109"/>
        <w:gridCol w:w="109"/>
        <w:gridCol w:w="109"/>
        <w:gridCol w:w="294"/>
        <w:gridCol w:w="1048"/>
        <w:gridCol w:w="151"/>
        <w:gridCol w:w="109"/>
        <w:gridCol w:w="109"/>
        <w:gridCol w:w="109"/>
        <w:gridCol w:w="246"/>
        <w:gridCol w:w="632"/>
        <w:gridCol w:w="128"/>
        <w:gridCol w:w="380"/>
        <w:gridCol w:w="380"/>
        <w:gridCol w:w="543"/>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Warrants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Date</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Exercise</w:t>
              <w:br/>
              <w:t>Price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br/>
              <w:t>at Issuance</w:t>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2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Equity classified:</w:t>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Apr-18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40"/>
              <w:jc w:val="right"/>
              <w:rPr>
                <w:rFonts w:ascii="Arial;sans-serif" w:hAnsi="Arial;sans-serif"/>
                <w:b w:val="false"/>
                <w:color w:val="000000"/>
                <w:sz w:val="20"/>
              </w:rPr>
            </w:pPr>
            <w:r>
              <w:rPr>
                <w:rFonts w:ascii="Arial;sans-serif" w:hAnsi="Arial;sans-serif"/>
                <w:b w:val="false"/>
                <w:color w:val="000000"/>
                <w:sz w:val="20"/>
              </w:rPr>
              <w:t>Oct-26</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CHS (US) Management LLC</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Oct-28</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CHS (US) Management LLC</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Jan-30</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of July 31, 2026 and January 31, 2026, all outstanding warrants were equity-classified and recorded as additional paid-in capital. Equity-classified contracts are not subsequently remeasured unless reclassification is required from equity to liability classification.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 xml:space="preserve">11.Share-based Compensation Plans </w:t>
      </w:r>
    </w:p>
    <w:p>
      <w:pPr>
        <w:pStyle w:val="TextBody"/>
        <w:bidi w:val="0"/>
        <w:spacing w:before="0" w:after="0"/>
        <w:jc w:val="left"/>
        <w:rPr/>
      </w:pPr>
      <w:r>
        <w:rPr/>
      </w:r>
    </w:p>
    <w:p>
      <w:pPr>
        <w:pStyle w:val="TextBody"/>
        <w:bidi w:val="0"/>
        <w:spacing w:lineRule="auto" w:line="288" w:before="60" w:after="283"/>
        <w:ind w:left="0" w:right="0" w:firstLine="54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2009 Stock Incentive Plan and 2019 Stock Incentive Plan </w:t>
      </w:r>
    </w:p>
    <w:p>
      <w:pPr>
        <w:pStyle w:val="TextBody"/>
        <w:bidi w:val="0"/>
        <w:spacing w:lineRule="auto" w:line="288" w:before="120" w:after="283"/>
        <w:jc w:val="left"/>
        <w:rPr/>
      </w:pPr>
      <w:r>
        <w:rPr>
          <w:rFonts w:ascii="Arial;sans-serif" w:hAnsi="Arial;sans-serif"/>
          <w:b w:val="false"/>
          <w:color w:val="000000"/>
          <w:sz w:val="20"/>
          <w:shd w:fill="FFFFFF" w:val="clear"/>
        </w:rPr>
        <w:t xml:space="preserve">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w:t>
      </w:r>
      <w:r>
        <w:rPr>
          <w:rFonts w:ascii="Arial;sans-serif" w:hAnsi="Arial;sans-serif"/>
          <w:b w:val="false"/>
          <w:color w:val="000000"/>
          <w:sz w:val="20"/>
        </w:rPr>
        <w:t>four</w:t>
      </w:r>
      <w:r>
        <w:rPr>
          <w:color w:val="000000"/>
          <w:shd w:fill="FFFFFF" w:val="clear"/>
        </w:rPr>
        <w:t xml:space="preserve"> </w:t>
      </w:r>
      <w:r>
        <w:rPr>
          <w:rFonts w:ascii="Arial;sans-serif" w:hAnsi="Arial;sans-serif"/>
          <w:b w:val="false"/>
          <w:color w:val="000000"/>
          <w:sz w:val="20"/>
          <w:shd w:fill="FFFFFF" w:val="clear"/>
        </w:rPr>
        <w:t>years of service.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There are no outstanding RSUs under the 2009 Plan and 2019 Plan as of July 31, 2026. There will not be any further equity grants under the 2009 and 2019 Plans.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Amended and Restated 2021 Incentive Award Plan</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Company's Amended and Restated 2021 Incentive Award Plan (the "2021 Plan") was adopted by the Board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years ended January 31, 2026 and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have a shorter vesting period of one to two years. There will not be any further equity grants under the 2021 Plan. See below for details of the Second Amended and Restated 2021 Incentive Award Plan.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Second Amended and Restated 2021 Incentive Award Plan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 October 2025, the Company’s stockholders approved the Second Amended and Restated 2021 Incentive Award Plan (the “Amended 2021 Plan”), which the Board approved in September 2025, to increase the number of shares of Class A common stock reserved for issuance thereunder by 6,130,499 shares of Class A common stock and to extend the expiration date to the tenth anniversary of the closing date, October 28, 2035. Further, on July 14, 2026, the Company’s stockholders approved an amendment to increase the number of shares of Class A common stock reserved for issuance thereunder by 3,899,439 shares of Class A common stock, which the Board approved on December 15, 2025. </w:t>
      </w:r>
      <w:r>
        <w:rPr>
          <w:rFonts w:ascii="Arial;sans-serif" w:hAnsi="Arial;sans-serif"/>
          <w:b w:val="false"/>
          <w:color w:val="000000"/>
          <w:sz w:val="20"/>
          <w:shd w:fill="FFFFFF" w:val="clear"/>
        </w:rPr>
        <w:t xml:space="preserve">As of July 31, 2026, there were </w:t>
      </w:r>
      <w:r>
        <w:rPr>
          <w:rFonts w:ascii="Arial;sans-serif" w:hAnsi="Arial;sans-serif"/>
          <w:b w:val="false"/>
          <w:color w:val="000000"/>
          <w:sz w:val="20"/>
        </w:rPr>
        <w:t>6,365,246 sh</w:t>
      </w:r>
      <w:r>
        <w:rPr>
          <w:rFonts w:ascii="Arial;sans-serif" w:hAnsi="Arial;sans-serif"/>
          <w:b w:val="false"/>
          <w:color w:val="000000"/>
          <w:sz w:val="20"/>
          <w:shd w:fill="FFFFFF" w:val="clear"/>
        </w:rPr>
        <w:t>ares of Class A common stock available for issuance under the Amended 2021 Plan. RSUs granted under the Amended 2021 Plan generally vest over a four-year period and PSUs vest based on the satisfaction of time-vesting requirements, achievement of performance targets, and market-based conditions where applicable. The PSU awards have been included assuming payout at target level. There will not be any further equity grants of Class B common stock. Shares of Class B common stock are not available for issuance under the Amended 2021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we have granted RSUs outside of the Amended 2021 Plan in reliance on the employment inducement award exemption set forth in Nasdaq Listing Rule 5635(c)(4). These RSUs are generally subject to the terms of the Amended 2021 Plan and vest over a four-year period.</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grant date fair value of each option award is estimated on the date of grant using the Black-Scholes option pricing model. The option pricing model considers several variables and assumptions in estimating the fair value of share-based awards. The risk-free rate for the expected term of the option is based on the U.S. Treasury yield curve at the date of grant. There were no stock options granted during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July 31, 2026 or year ended </w:t>
      </w:r>
      <w:r>
        <w:rPr>
          <w:rFonts w:ascii="Arial;sans-serif" w:hAnsi="Arial;sans-serif"/>
          <w:b w:val="false"/>
          <w:color w:val="000000"/>
          <w:sz w:val="20"/>
        </w:rPr>
        <w:t>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 Options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Stock option activity during the period indicated is as follows:</w:t>
      </w:r>
    </w:p>
    <w:tbl>
      <w:tblPr>
        <w:tblW w:w="7920" w:type="dxa"/>
        <w:jc w:val="left"/>
        <w:tblInd w:w="0" w:type="dxa"/>
        <w:tblLayout w:type="fixed"/>
        <w:tblCellMar>
          <w:top w:w="28" w:type="dxa"/>
          <w:left w:w="28" w:type="dxa"/>
          <w:bottom w:w="28" w:type="dxa"/>
          <w:right w:w="28" w:type="dxa"/>
        </w:tblCellMar>
      </w:tblPr>
      <w:tblGrid>
        <w:gridCol w:w="1080"/>
        <w:gridCol w:w="951"/>
        <w:gridCol w:w="954"/>
        <w:gridCol w:w="315"/>
        <w:gridCol w:w="315"/>
        <w:gridCol w:w="316"/>
        <w:gridCol w:w="109"/>
        <w:gridCol w:w="109"/>
        <w:gridCol w:w="109"/>
        <w:gridCol w:w="211"/>
        <w:gridCol w:w="751"/>
        <w:gridCol w:w="109"/>
        <w:gridCol w:w="109"/>
        <w:gridCol w:w="109"/>
        <w:gridCol w:w="109"/>
        <w:gridCol w:w="320"/>
        <w:gridCol w:w="320"/>
        <w:gridCol w:w="321"/>
        <w:gridCol w:w="109"/>
        <w:gridCol w:w="109"/>
        <w:gridCol w:w="109"/>
        <w:gridCol w:w="267"/>
        <w:gridCol w:w="513"/>
        <w:gridCol w:w="196"/>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January 31, 2026</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Exercised</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July 31, 2026</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Exercisable as of July 31, 2026</w:t>
            </w:r>
          </w:p>
        </w:tc>
        <w:tc>
          <w:tcPr>
            <w:tcW w:w="9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 Stock options relating to 331,370 shares of Class A and Class B common stock were forfeited in exchange for 132,546 RSUs which generally vest over two years. The Company recognized $0.8 million of incremental stock compensation expense from the RSUs granted as a result of the option exchange over the two year vesting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currently uses authorized and unissued shares to satisfy the exercise of stock option awards.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RSUs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RSUs activity during the period indicated is as follows:</w:t>
      </w:r>
    </w:p>
    <w:tbl>
      <w:tblPr>
        <w:tblW w:w="7124" w:type="dxa"/>
        <w:jc w:val="left"/>
        <w:tblInd w:w="0" w:type="dxa"/>
        <w:tblLayout w:type="fixed"/>
        <w:tblCellMar>
          <w:top w:w="28" w:type="dxa"/>
          <w:left w:w="28" w:type="dxa"/>
          <w:bottom w:w="28" w:type="dxa"/>
          <w:right w:w="28" w:type="dxa"/>
        </w:tblCellMar>
      </w:tblPr>
      <w:tblGrid>
        <w:gridCol w:w="1606"/>
        <w:gridCol w:w="1414"/>
        <w:gridCol w:w="1419"/>
        <w:gridCol w:w="510"/>
        <w:gridCol w:w="511"/>
        <w:gridCol w:w="316"/>
        <w:gridCol w:w="109"/>
        <w:gridCol w:w="109"/>
        <w:gridCol w:w="109"/>
        <w:gridCol w:w="237"/>
        <w:gridCol w:w="609"/>
        <w:gridCol w:w="175"/>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Grant-Date</w:t>
              <w:br/>
              <w:t>Fair Value</w:t>
              <w:br/>
              <w:t>per Share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Unvested and outstanding as of January 31, 2026</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2,343,505 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1,338,995 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Vested/Released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(321,154)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(961,527)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and outstanding as of July 31, 2026</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2,399,819 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As of July 31, 2026, there wa</w:t>
      </w:r>
      <w:r>
        <w:rPr>
          <w:rFonts w:ascii="Arial;sans-serif" w:hAnsi="Arial;sans-serif"/>
          <w:b w:val="false"/>
          <w:color w:val="000000"/>
          <w:sz w:val="20"/>
        </w:rPr>
        <w:t>s $5.8 million</w:t>
      </w:r>
      <w:r>
        <w:rPr>
          <w:color w:val="000000"/>
          <w:shd w:fill="FFFFFF" w:val="clear"/>
        </w:rPr>
        <w:t xml:space="preserve"> </w:t>
      </w:r>
      <w:r>
        <w:rPr>
          <w:rFonts w:ascii="Arial;sans-serif" w:hAnsi="Arial;sans-serif"/>
          <w:b w:val="false"/>
          <w:color w:val="000000"/>
          <w:sz w:val="20"/>
          <w:shd w:fill="FFFFFF" w:val="clear"/>
        </w:rPr>
        <w:t xml:space="preserve">of unrecognized compensation cost related to RSUs granted that is expected to be recognized over a weighted average period of </w:t>
      </w:r>
      <w:r>
        <w:rPr>
          <w:rFonts w:ascii="Arial;sans-serif" w:hAnsi="Arial;sans-serif"/>
          <w:b w:val="false"/>
          <w:color w:val="000000"/>
          <w:sz w:val="20"/>
        </w:rPr>
        <w:t>3</w:t>
      </w:r>
      <w:r>
        <w:rPr>
          <w:color w:val="000000"/>
          <w:shd w:fill="FFFFFF" w:val="clear"/>
        </w:rPr>
        <w:t xml:space="preserve"> </w:t>
      </w:r>
      <w:r>
        <w:rPr>
          <w:rFonts w:ascii="Arial;sans-serif" w:hAnsi="Arial;sans-serif"/>
          <w:b w:val="false"/>
          <w:color w:val="000000"/>
          <w:sz w:val="20"/>
          <w:shd w:fill="FFFFFF" w:val="clear"/>
        </w:rPr>
        <w:t>years. Of the total unrecognized compensation cost, an</w:t>
      </w:r>
      <w:r>
        <w:rPr>
          <w:color w:val="000000"/>
        </w:rPr>
        <w:t xml:space="preserve"> </w:t>
      </w:r>
      <w:r>
        <w:rPr>
          <w:rFonts w:ascii="Arial;sans-serif" w:hAnsi="Arial;sans-serif"/>
          <w:b w:val="false"/>
          <w:color w:val="000000"/>
          <w:sz w:val="20"/>
        </w:rPr>
        <w:t>immaterial amount related to RSUs granted as a result of the option exchange.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Performance RSUs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Fiscal Year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three and six months ended July 31, 2026, the Company granted 100,000 and 2,105,988 PSU awards, respectively. The awards were granted to employees and non-employees and vest upon the satisfaction of performance-based and market conditions, subject to continued service through such date. The performance-based condition requires the occurrence of a liquidity event, which is not considered probable as of July 31, 2026. The awards also include a market condition based on achieving a target equity value of the Company. The performance condition is applicable through October 28, 2029, after which time the awards vest solely on the market condition, which is assessed as of October 28, 2029 and as of each subsequent fiscal quarter. Share-based compensation expense related to these awards was nominal for the three and six months ended July 31, 2026. During the three and six months ended July 31, 2026, 2,005,988 PSU awards were forfeited. The PSU awards have been excluded from the calculation of weighted-average shares used in computing net loss per share attributable to common stockholders, basic and diluted, as the performance-based and market conditions have not been met.</w:t>
      </w:r>
    </w:p>
    <w:p>
      <w:pPr>
        <w:pStyle w:val="TextBody"/>
        <w:bidi w:val="0"/>
        <w:spacing w:lineRule="auto" w:line="288" w:before="240" w:after="283"/>
        <w:jc w:val="left"/>
        <w:rPr/>
      </w:pPr>
      <w:r>
        <w:rPr>
          <w:rFonts w:ascii="Arial;sans-serif" w:hAnsi="Arial;sans-serif"/>
          <w:b w:val="false"/>
          <w:color w:val="000000"/>
          <w:sz w:val="20"/>
        </w:rPr>
        <w:t xml:space="preserve">During the three and six months ended July 31, 2026, the Company’s Board of Directors approved 316,100 PSU awards for employees, which vest based upon the attainment of performance targets and metrics to be set by the Board. These awards were not deemed granted during the three and six months ended July 31, 2026 as the performance metrics and targets have not been established. The Company recognized no share-based compensation expense for such PSU awards during the three and six months ended July 31, 2026 </w:t>
      </w:r>
      <w:r>
        <w:rPr>
          <w:rFonts w:ascii="Arial;sans-serif" w:hAnsi="Arial;sans-serif"/>
          <w:b w:val="false"/>
          <w:color w:val="000000"/>
          <w:sz w:val="20"/>
          <w:shd w:fill="FFFFFF" w:val="clear"/>
        </w:rPr>
        <w:t>as the performance metrics and targets had not yet been established</w:t>
      </w:r>
      <w:r>
        <w:rPr>
          <w:rFonts w:ascii="Arial;sans-serif" w:hAnsi="Arial;sans-serif"/>
          <w:b w:val="false"/>
          <w:color w:val="000000"/>
          <w:sz w:val="20"/>
        </w:rPr>
        <w:t>. During the three and six months ended July 31, 2026, 10,000 PSU awards were cancelled. The PSU awards have been excluded from the calculation of weighted-average shares used in computing net loss per share attributable to common stockholders, basic and diluted, as the performance-based condition has not been met. The PSU awards may vest up to 200% of the number of awards granted based on the achievement of performance targets.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Fiscal Year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PSU awards require the achievement of certain performance targets established by the Company’s Board of Directors during a three-year performance period. PSU awards vest following the last day of the performance period, subject to continued employment through such date. Share-based compensation expense is recognized based on the Company’s best estimate of expected performance.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During the year ended January 31, 2026, the Company’s Board of Directors approved 2,206,540 PSU awards for employees. These awards were not deemed granted during the three and six months ended July 31, 2026 and year ended January 31, 2026 as the performance metrics and targets have not been established. There were no PSU awards granted prior to fiscal year 2025. The Company recognized no share-based compensation expense for the PSU awards during the three and six months ended July 31, 2026 and year ended </w:t>
      </w:r>
      <w:r>
        <w:rPr>
          <w:rFonts w:ascii="Arial;sans-serif" w:hAnsi="Arial;sans-serif"/>
          <w:b w:val="false"/>
          <w:color w:val="000000"/>
          <w:sz w:val="20"/>
          <w:shd w:fill="FFFFFF" w:val="clear"/>
        </w:rPr>
        <w:t>January 31, 2026 as the performance metrics and targets have not been established o</w:t>
      </w:r>
      <w:r>
        <w:rPr>
          <w:rFonts w:ascii="Arial;sans-serif" w:hAnsi="Arial;sans-serif"/>
          <w:b w:val="false"/>
          <w:color w:val="000000"/>
          <w:sz w:val="20"/>
        </w:rPr>
        <w:t>r met. During the three and six months ended July 31, 2026, 1,243,365 and 1,275,458 PSU awards were forfeited, respectively. The PSU awards have been excluded from the calculation of weighted-average shares used in computing net loss per share attributable to common stockholders, basic and diluted, as the performance-based condition has not been met. The PSU awards may vest up to 200% of the number of awards granted based on the achievement of performance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Share-Based Compensation Summary</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classification of share-based compensation for the three and six </w:t>
      </w:r>
      <w:r>
        <w:rPr>
          <w:rFonts w:ascii="Arial;sans-serif" w:hAnsi="Arial;sans-serif"/>
          <w:b w:val="false"/>
          <w:color w:val="000000"/>
          <w:sz w:val="20"/>
        </w:rPr>
        <w:t>months ended</w:t>
      </w:r>
      <w:r>
        <w:rPr>
          <w:color w:val="000000"/>
        </w:rPr>
        <w:t xml:space="preserve"> </w:t>
      </w:r>
      <w:r>
        <w:rPr>
          <w:rFonts w:ascii="Arial;sans-serif" w:hAnsi="Arial;sans-serif"/>
          <w:b w:val="false"/>
          <w:color w:val="000000"/>
          <w:sz w:val="20"/>
        </w:rPr>
        <w:t xml:space="preserve">July 31, 2026 and 2025, respectively, presented within each </w:t>
      </w:r>
      <w:r>
        <w:rPr>
          <w:rFonts w:ascii="Arial;sans-serif" w:hAnsi="Arial;sans-serif"/>
          <w:b w:val="false"/>
          <w:color w:val="000000"/>
          <w:sz w:val="20"/>
          <w:shd w:fill="FFFFFF" w:val="clear"/>
        </w:rPr>
        <w:t>line item of the Condensed Consolidated Statements of Operations is as follows:</w:t>
      </w:r>
    </w:p>
    <w:tbl>
      <w:tblPr>
        <w:tblW w:w="7994" w:type="dxa"/>
        <w:jc w:val="left"/>
        <w:tblInd w:w="0" w:type="dxa"/>
        <w:tblLayout w:type="fixed"/>
        <w:tblCellMar>
          <w:top w:w="28" w:type="dxa"/>
          <w:left w:w="28" w:type="dxa"/>
          <w:bottom w:w="28" w:type="dxa"/>
          <w:right w:w="28" w:type="dxa"/>
        </w:tblCellMar>
      </w:tblPr>
      <w:tblGrid>
        <w:gridCol w:w="1071"/>
        <w:gridCol w:w="938"/>
        <w:gridCol w:w="946"/>
        <w:gridCol w:w="280"/>
        <w:gridCol w:w="579"/>
        <w:gridCol w:w="144"/>
        <w:gridCol w:w="144"/>
        <w:gridCol w:w="144"/>
        <w:gridCol w:w="144"/>
        <w:gridCol w:w="280"/>
        <w:gridCol w:w="579"/>
        <w:gridCol w:w="144"/>
        <w:gridCol w:w="109"/>
        <w:gridCol w:w="109"/>
        <w:gridCol w:w="109"/>
        <w:gridCol w:w="255"/>
        <w:gridCol w:w="527"/>
        <w:gridCol w:w="131"/>
        <w:gridCol w:w="131"/>
        <w:gridCol w:w="131"/>
        <w:gridCol w:w="131"/>
        <w:gridCol w:w="255"/>
        <w:gridCol w:w="527"/>
        <w:gridCol w:w="186"/>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Company recognized an immaterial amount of share-based compensation expense during the </w:t>
      </w:r>
      <w:r>
        <w:rPr>
          <w:rFonts w:ascii="Arial;sans-serif" w:hAnsi="Arial;sans-serif"/>
          <w:b w:val="false"/>
          <w:color w:val="000000"/>
          <w:sz w:val="20"/>
          <w:shd w:fill="FFFFFF" w:val="clear"/>
        </w:rPr>
        <w:t>three and six</w:t>
      </w:r>
      <w:r>
        <w:rPr>
          <w:color w:val="000000"/>
        </w:rPr>
        <w:t xml:space="preserve"> </w:t>
      </w:r>
      <w:r>
        <w:rPr>
          <w:rFonts w:ascii="Arial;sans-serif" w:hAnsi="Arial;sans-serif"/>
          <w:b w:val="false"/>
          <w:color w:val="000000"/>
          <w:sz w:val="20"/>
        </w:rPr>
        <w:t xml:space="preserve">months ended July 31, 2026, respectively, on the RSUs granted as a result of the option exchange discussed above. The Company recognized $0.3 million and $0.7 million of share-based compensation expense during the </w:t>
      </w:r>
      <w:r>
        <w:rPr>
          <w:rFonts w:ascii="Arial;sans-serif" w:hAnsi="Arial;sans-serif"/>
          <w:b w:val="false"/>
          <w:color w:val="000000"/>
          <w:sz w:val="20"/>
          <w:shd w:fill="FFFFFF" w:val="clear"/>
        </w:rPr>
        <w:t>three and six</w:t>
      </w:r>
      <w:r>
        <w:rPr>
          <w:color w:val="000000"/>
        </w:rPr>
        <w:t xml:space="preserve"> </w:t>
      </w:r>
      <w:r>
        <w:rPr>
          <w:rFonts w:ascii="Arial;sans-serif" w:hAnsi="Arial;sans-serif"/>
          <w:b w:val="false"/>
          <w:color w:val="000000"/>
          <w:sz w:val="20"/>
        </w:rPr>
        <w:t>months ended July 31, 2025, respectively, on the RSUs granted as a result of the option exchange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12.Net Loss per Share Attributable to Common Stockholders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computed net loss per share attributable to common stockholders under the two-class method required for multiple classes of common stock and participating securities for the three and six months ended </w:t>
      </w:r>
      <w:r>
        <w:rPr>
          <w:rFonts w:ascii="Arial;sans-serif" w:hAnsi="Arial;sans-serif"/>
          <w:b w:val="false"/>
          <w:color w:val="000000"/>
          <w:sz w:val="20"/>
        </w:rPr>
        <w:t>July 31, 2025</w:t>
      </w:r>
      <w:r>
        <w:rPr>
          <w:rFonts w:ascii="Arial;sans-serif" w:hAnsi="Arial;sans-serif"/>
          <w:b w:val="false"/>
          <w:color w:val="000000"/>
          <w:sz w:val="20"/>
          <w:shd w:fill="FFFFFF" w:val="clear"/>
        </w:rPr>
        <w:t xml:space="preserve">. The rights of the Class A common stock and Class B common stock were substantially identical, other than voting rights. Accordingly, the net loss per share attributable to common stockholders was the same for Class A and Class B common stock on an individual or combined basis. In July 2026, the Company’s stockholders approved the elimination of the Company’s authorized shares of Class B common stock. </w:t>
      </w:r>
      <w:r>
        <w:rPr>
          <w:rFonts w:ascii="Arial;sans-serif" w:hAnsi="Arial;sans-serif"/>
          <w:b w:val="false"/>
          <w:color w:val="000000"/>
          <w:sz w:val="20"/>
        </w:rPr>
        <w:t>See “Note 2 - Summary of Significant Accounting Policies” for more information.</w:t>
      </w:r>
      <w:r>
        <w:rPr>
          <w:color w:val="000000"/>
          <w:shd w:fill="FFFFFF" w:val="clear"/>
        </w:rPr>
        <w:t xml:space="preserve"> </w:t>
      </w:r>
      <w:r>
        <w:rPr>
          <w:rFonts w:ascii="Arial;sans-serif" w:hAnsi="Arial;sans-serif"/>
          <w:b w:val="false"/>
          <w:color w:val="000000"/>
          <w:sz w:val="20"/>
          <w:shd w:fill="FFFFFF" w:val="clear"/>
        </w:rPr>
        <w:t>T</w:t>
      </w:r>
      <w:r>
        <w:rPr>
          <w:rFonts w:ascii="Arial;sans-serif" w:hAnsi="Arial;sans-serif"/>
          <w:b w:val="false"/>
          <w:color w:val="000000"/>
          <w:sz w:val="20"/>
        </w:rPr>
        <w:t>he Company completed a rights offering in October 2025. As the exercise price for the rights offering was lower than the Company’s stock price, the rights offering contained a bonus element similar to a stock dividend. The Company adjusted the weighted-average shares used in computing net loss per share to reflect the bonus element for the second quarter of fiscal year 2025.</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the computation of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833"/>
        <w:gridCol w:w="1300"/>
        <w:gridCol w:w="1293"/>
        <w:gridCol w:w="315"/>
        <w:gridCol w:w="811"/>
        <w:gridCol w:w="113"/>
        <w:gridCol w:w="113"/>
        <w:gridCol w:w="113"/>
        <w:gridCol w:w="113"/>
        <w:gridCol w:w="286"/>
        <w:gridCol w:w="735"/>
        <w:gridCol w:w="113"/>
        <w:gridCol w:w="109"/>
        <w:gridCol w:w="109"/>
        <w:gridCol w:w="109"/>
        <w:gridCol w:w="315"/>
        <w:gridCol w:w="811"/>
        <w:gridCol w:w="109"/>
        <w:gridCol w:w="109"/>
        <w:gridCol w:w="109"/>
        <w:gridCol w:w="109"/>
        <w:gridCol w:w="251"/>
        <w:gridCol w:w="770"/>
        <w:gridCol w:w="157"/>
      </w:tblGrid>
      <w:tr>
        <w:trPr/>
        <w:tc>
          <w:tcPr>
            <w:tcW w:w="183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Numerator:</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attributable to common stockholders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Denominator:</w:t>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33,576,091 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4,237,890 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4,203,550 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As the Company incurred net losses for the three and six months ended </w:t>
      </w:r>
      <w:r>
        <w:rPr>
          <w:rFonts w:ascii="Arial;sans-serif" w:hAnsi="Arial;sans-serif"/>
          <w:b w:val="false"/>
          <w:color w:val="000000"/>
          <w:sz w:val="20"/>
        </w:rPr>
        <w:t>July 31, 2026</w:t>
      </w:r>
      <w:r>
        <w:rPr>
          <w:color w:val="000000"/>
          <w:shd w:fill="FFFFFF" w:val="clear"/>
        </w:rPr>
        <w:t xml:space="preserve"> </w:t>
      </w:r>
      <w:r>
        <w:rPr>
          <w:rFonts w:ascii="Arial;sans-serif" w:hAnsi="Arial;sans-serif"/>
          <w:b w:val="false"/>
          <w:color w:val="000000"/>
          <w:sz w:val="20"/>
          <w:shd w:fill="FFFFFF" w:val="clear"/>
        </w:rPr>
        <w:t>and 2025, weighted-average basic shares and weighted-average diluted shares outstanding are equal for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13.Related Party Transactions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July 31, 2026, the Company had outstanding long-term debt, net of $157.5 million with the Investor Group. The debt is presented as Long-term debt, net on the Condensed Consolidated Balance Sheets. The Investor Group held 84% of the voting power of the Company’s outstanding Class A Common Stock as of July 31, 2026. The Company recognized a nominal amount of interest expense related to the $10.0 million of new term loans held by other members of the Investor Group during the three and six months ended July 31, 2026. The Company recognized $2.7 million and $5.4 million of paid-in-kind interest during the three and six months ended July 31, 2026, respectively. On January 28, 2026, the Company entered into the First Amendment to the New Credit Agreement. The First Amendment removed the minimum liquidity maintenance covenant. On April 1, 2026, the Company entered into the Second Amendment to the New Credit Agreement. The Second Amendment provides the Company with the ability to capitalize interest in lieu of cash payments until May 3, 2027. On September 1, 2026, the Company entered into the Third Amendment to the New Credit Agreement. The Third Amendment provides an additional $10.0 million of new term loans from the Investor Group. See “Note 6 - Long-Term Debt”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14.Commitments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 xml:space="preserve">See “Note </w:t>
      </w:r>
      <w:r>
        <w:rPr>
          <w:rFonts w:ascii="Arial;sans-serif" w:hAnsi="Arial;sans-serif"/>
          <w:b w:val="false"/>
          <w:color w:val="000000"/>
          <w:sz w:val="20"/>
        </w:rPr>
        <w:t>2</w:t>
      </w:r>
      <w:r>
        <w:rPr>
          <w:color w:val="000000"/>
          <w:shd w:fill="FFFFFF" w:val="clear"/>
        </w:rPr>
        <w:t xml:space="preserve"> </w:t>
      </w:r>
      <w:r>
        <w:rPr>
          <w:rFonts w:ascii="Arial;sans-serif" w:hAnsi="Arial;sans-serif"/>
          <w:b w:val="false"/>
          <w:color w:val="000000"/>
          <w:sz w:val="20"/>
          <w:shd w:fill="FFFFFF" w:val="clear"/>
        </w:rPr>
        <w:t xml:space="preserve">- </w:t>
      </w:r>
      <w:r>
        <w:rPr>
          <w:rFonts w:ascii="Arial;sans-serif" w:hAnsi="Arial;sans-serif"/>
          <w:b w:val="false"/>
          <w:color w:val="000000"/>
          <w:sz w:val="20"/>
        </w:rPr>
        <w:t>Summary of Significant Accounting Policies</w:t>
      </w:r>
      <w:r>
        <w:rPr>
          <w:color w:val="000000"/>
          <w:shd w:fill="FFFFFF" w:val="clear"/>
        </w:rPr>
        <w:t xml:space="preserve">” </w:t>
      </w:r>
      <w:r>
        <w:rPr>
          <w:rFonts w:ascii="Arial;sans-serif" w:hAnsi="Arial;sans-serif"/>
          <w:b w:val="false"/>
          <w:color w:val="000000"/>
          <w:sz w:val="20"/>
          <w:shd w:fill="FFFFFF" w:val="clear"/>
        </w:rPr>
        <w:t>for information regarding the Company’s restricted cash balances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the following non-cancelable minimum purchase commitments related to technology services as of July 31, 2026:</w:t>
      </w:r>
    </w:p>
    <w:p>
      <w:pPr>
        <w:pStyle w:val="TextBody"/>
        <w:bidi w:val="0"/>
        <w:spacing w:before="0" w:after="0"/>
        <w:ind w:left="0" w:right="0" w:firstLine="540"/>
        <w:jc w:val="left"/>
        <w:rPr/>
      </w:pPr>
      <w:r>
        <w:rPr/>
      </w:r>
    </w:p>
    <w:tbl>
      <w:tblPr>
        <w:tblW w:w="4666" w:type="dxa"/>
        <w:jc w:val="left"/>
        <w:tblInd w:w="0" w:type="dxa"/>
        <w:tblLayout w:type="fixed"/>
        <w:tblCellMar>
          <w:top w:w="28" w:type="dxa"/>
          <w:left w:w="28" w:type="dxa"/>
          <w:bottom w:w="28" w:type="dxa"/>
          <w:right w:w="28" w:type="dxa"/>
        </w:tblCellMar>
      </w:tblPr>
      <w:tblGrid>
        <w:gridCol w:w="1260"/>
        <w:gridCol w:w="1104"/>
        <w:gridCol w:w="1116"/>
        <w:gridCol w:w="312"/>
        <w:gridCol w:w="645"/>
        <w:gridCol w:w="229"/>
      </w:tblGrid>
      <w:tr>
        <w:trPr/>
        <w:tc>
          <w:tcPr>
            <w:tcW w:w="12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Commitment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Commitments as of July 31, 2026</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0" w:after="120"/>
        <w:jc w:val="left"/>
        <w:rPr>
          <w:rFonts w:ascii="Arial;sans-serif" w:hAnsi="Arial;sans-serif"/>
          <w:b/>
          <w:i/>
          <w:color w:val="000000"/>
          <w:sz w:val="20"/>
          <w:shd w:fill="FFFFFF" w:val="clear"/>
        </w:rPr>
      </w:pPr>
      <w:r>
        <w:rPr>
          <w:rFonts w:ascii="Arial;sans-serif" w:hAnsi="Arial;sans-serif"/>
          <w:b/>
          <w:i/>
          <w:color w:val="000000"/>
          <w:sz w:val="20"/>
          <w:shd w:fill="FFFFFF" w:val="clear"/>
        </w:rPr>
        <w:t>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pStyle w:val="TextBody"/>
        <w:bidi w:val="0"/>
        <w:spacing w:lineRule="auto" w:line="288" w:before="120" w:after="283"/>
        <w:jc w:val="left"/>
        <w:rPr/>
      </w:pPr>
      <w:r>
        <w:rPr>
          <w:rFonts w:ascii="Arial;sans-serif" w:hAnsi="Arial;sans-serif"/>
          <w:b w:val="false"/>
          <w:color w:val="000000"/>
          <w:sz w:val="20"/>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sans-serif" w:hAnsi="Arial;sans-serif"/>
          <w:b w:val="false"/>
          <w:i/>
          <w:color w:val="000000"/>
          <w:sz w:val="20"/>
        </w:rPr>
        <w:t>inter alia</w:t>
      </w:r>
      <w:r>
        <w:rPr>
          <w:rFonts w:ascii="Arial;sans-serif" w:hAnsi="Arial;sans-serif"/>
          <w:b w:val="false"/>
          <w:color w:val="000000"/>
          <w:sz w:val="20"/>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2024, the Court issued an order adjourning defendants’ deadline to file an answer to the amended complaint sine die. On May 16, 2025, the Court issued an order granting Defendants’ motion to extend the time to answer the amended complaint until after the motion for reconsideration is resolved. The Court also determined that a phased approach to discovery was appropriate so as to permit the exchange of “key documents” and to promote the preservation of documents and evidence and directed the parties to submit a proposed initial discovery plan, which they did. The Court approved the initial discovery plan on June 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September 12, 2025, the Court issued an order granting in part and denying in part defendants’ motion for reconsideration, dismissing all remaining claims except those based on fulfillment costs. Following the order, defendants filed their answers to the amended complaint on October 6, 2025. On October 16, 2025, defendants requested, per the Court’s rules, a pre-motion conference in connection with their anticipated motion for judgment on the pleadings, which plaintiffs opposed. On October 24, 2025, the Court ordered briefing on defendants’ motion for judgment on the pleadings. On November 12, 2025, plaintiffs filed a letter motion seeking an order allowing discovery to proceed during the pendency of defendants’ motion for judgment on the pleadings, which defendants opposed on November 21, 2025. On December 3, 2025, the Court issued an order directing a limited “second phase” of discovery to proceed pending the outcome of defendants’ motion for judgment on the pleadings, focusing on a limited category of information appropriately cabined by the scope of plaintiffs’ remaining claims. On February 17, 2026, the parties submitted a joint letter to the court concerning plaintiffs’ request for further discovery. On March 3, 2026, the court issued an order requiring that, by March 31, 2026, the Company produce those documents it proposed to produce as part of the “second phase” discovery and rejected plaintiffs’ request for additional documents. The Company completed production of “second phase” documents on March 31, 2026. On May 19, 2026, the parties submitted a joint request to the court to stay all proceedings in the matter pending conclusion of the parties’ mediation process. On May 20, 2026, the court temporarily stayed the case until July 13, 2026 and directed the parties to file a status letter or stipulation of dismissal if settlement is reached by July 14, 2026. Thereafter, the parties kept the Court informed of the progress of their discussions and requested that all proceedings be stayed pending the Court’s consideration of a proposed settlement. On August 7, 2026, the Court administratively terminated Defendants’ pending motion for judgment on the pleadings without prejudice to its renewal should settlement not be consummated and directed lead plaintiffs to file their motion for preliminary approval of the proposed settlement by August 28, 2026, which date was later extended until September 3, 2026.</w:t>
      </w:r>
    </w:p>
    <w:p>
      <w:pPr>
        <w:pStyle w:val="TextBody"/>
        <w:bidi w:val="0"/>
        <w:spacing w:lineRule="auto" w:line="276" w:before="0" w:after="0"/>
        <w:jc w:val="left"/>
        <w:rPr/>
      </w:pPr>
      <w:r>
        <w:rPr>
          <w:rFonts w:ascii="Arial;sans-serif" w:hAnsi="Arial;sans-serif"/>
          <w:b w:val="false"/>
          <w:color w:val="000000"/>
          <w:sz w:val="20"/>
        </w:rPr>
        <w:t xml:space="preserve">On September 3, 2026, the Company entered into a Stipulation and Agreement of Settlement (the “Stipulation of Settlement”) to settle the Securities Action. The Stipulation of Settlement has been attached as an exhibit to the motion for preliminary approval of the proposed settlement, filed by the lead plaintiffs with the Court on September 3, 2026. On September 10, 2026, the Court granted preliminary approval of the settlement. </w:t>
      </w:r>
      <w:r>
        <w:rPr>
          <w:rFonts w:ascii="Arial;sans-serif" w:hAnsi="Arial;sans-serif"/>
          <w:b w:val="false"/>
          <w:color w:val="000000"/>
          <w:sz w:val="20"/>
          <w:u w:val="single"/>
        </w:rPr>
        <w:t xml:space="preserve">The preliminary approval order set a hearing on December 15, 2026 to consider final approval of the settlement.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Stipulation of Settlement, the parties have agreed to resolve all claims brought against the defendants, subject to certain conditions including the approval of the Court. The Stipulation of Settlement provides that the Company shall pay, or shall cause to be paid, total settlement consideration with an aggregate value of $9.0 million (the “Settlement Amount”), consisting of (i) $6.0 million in cash (the “Cash Settlement Amount”), and (ii) shares of the Company’s Class A common stock, with an aggregate value of $3.0 million (the “Stock Component Amount”) (of which the Company may, in its sole discretion, pay all or a portion in cash instead). The Cash Settlement Amount will include a contribution of approximately $3.1 million from the Company and a contribution of approximately $2.9 million from the Company’s insurers. The Stipulation of Settlement contemplates that the resolution of the matter would be without any admission of liability, wrongdoing, damages, negligence, or fault by the Company.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proposed settlement is subject to, among other things, final approval by the Court. There can be no assurance that the Court will approve the proposed settlement on its current or any other terms. If the Court provides final approval of the settlement, the settlement would resolve all claims asserted against the Company in the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15.Subsequent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September 1, 2026, the Company entered into the Third Amendment to the New Credit Agreement. The Third Amendment provides an additional $10.0 million of new term loans from the Investor Group, the proceeds of which will be used for working capital and other general corporate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September 3, 2026, the Company entered into a Stipulation and Agreement of Settlement (the “Stipulation of Settlement”) to settle the previously-disclosed putative class action lawsuit filed by a purported stockholder of the Company on November 14, 2022 in the Eastern District of New York against the Company, certain of its officers and directors, and the underwriters of its IPO, entitled Rajat Sharma v. Rent the Runway, Inc., et al., 22-cv-6935. See “Note 14 - Commitments and Contingencies” in the Notes to the Condensed Consolidated Financial Statements for a summary of the settlement. In accordance with ASC 855, Subsequent Events, the Settlement Amount and expected insurance proceeds have been recognized in the Company’s financial statements for the three months ended July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September 11, 2026 (the “Appointment Date”), the Company’s Board of Directors (the “Board”) appointed Paige Thomas as the Company’s Chief Executive Officer, principal executive officer,President and member of the Board, effective as of September 14, 2026 (the “Effective Date”). Pursuant to the Employment Agreement between Paige Thomas and the Company dated September 11, 2026, she will receive an annual base salary of $650,000, a target annual bonus equal to 100% of her annual base salary, and a grant of restricted stock units and performance stock units pursuant to the Company’s Amended 2021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Ms. Thomas’ appointment, on the Appointment Date, Ms. Bariquit stepped down as the Company’s Interim Chief Executive Officer and President and was appointed by the Board to serve as non-executive Chair of the Board, effective as of the Effective Date. In connection with Ms. Bariquit’s appointment, Dhiren Fonseca stepped down as Executive Chairman and will continue to serve as a Class III director of the Board.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360" w:after="283"/>
        <w:jc w:val="left"/>
        <w:rPr/>
      </w:pPr>
      <w:r>
        <w:rPr>
          <w:rFonts w:ascii="Arial;sans-serif" w:hAnsi="Arial;sans-serif"/>
          <w:b/>
          <w:color w:val="000000"/>
          <w:sz w:val="20"/>
          <w:shd w:fill="FFFFFF" w:val="clear"/>
        </w:rPr>
        <w:t xml:space="preserve">Item 2. </w:t>
      </w:r>
      <w:r>
        <w:rPr>
          <w:rFonts w:ascii="Arial;sans-serif" w:hAnsi="Arial;sans-serif"/>
          <w:b/>
          <w:color w:val="000000"/>
          <w:sz w:val="20"/>
        </w:rPr>
        <w:t>Management’s Discussion and Analysis of Financial Condition and Results of Operations</w:t>
      </w:r>
    </w:p>
    <w:p>
      <w:pPr>
        <w:pStyle w:val="TextBody"/>
        <w:bidi w:val="0"/>
        <w:spacing w:lineRule="auto" w:line="288" w:before="12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2026 and the related Management’s Discussion and Analysis of Financial Condition and Results of Operations in our Annual Report on Form 10-K for the fiscal year ended January 31, 2026 (the “2025 Annual Report on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20" w:after="283"/>
        <w:jc w:val="left"/>
        <w:rPr/>
      </w:pPr>
      <w:r>
        <w:rPr>
          <w:rFonts w:ascii="Arial;sans-serif" w:hAnsi="Arial;sans-serif"/>
          <w:b w:val="false"/>
          <w:color w:val="000000"/>
          <w:sz w:val="20"/>
          <w:shd w:fill="FFFFFF" w:val="clear"/>
        </w:rPr>
        <w:t>W</w:t>
      </w:r>
      <w:r>
        <w:rPr>
          <w:rFonts w:ascii="Arial;sans-serif" w:hAnsi="Arial;sans-serif"/>
          <w:b w:val="false"/>
          <w:color w:val="000000"/>
          <w:sz w:val="20"/>
        </w:rPr>
        <w:t>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3.5 million lifetime customers across all of our offerings and we had 186,019 ending Total Subscribers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(active and paused) as of July 31, 2026. We had 140,826 Active Subscribers as of July 31, 2026. The majority of our revenue is highly recurring and is generated by our subscribers. For the six months ended July 31, 2026 and 2025, respectively, 90% and 89% of our total revenue (including Reserve and Resale revenue) was generated by subscribers while they were active or paused.</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variety, breadth and quantity of products we carry is important to our business, and we strategically manage the capital efficient acquisition of a high volume of items every year. The fashion apparel items and accessories we offer often last beyond one season as we are able to rent or “turn” our products multiple times over multiple years. We price our rental items at a fraction of their retail or comparable value, aiming to create an attractive price and value proposition for our subscribers and customers.</w:t>
      </w:r>
    </w:p>
    <w:p>
      <w:pPr>
        <w:pStyle w:val="TextBody"/>
        <w:bidi w:val="0"/>
        <w:spacing w:lineRule="auto" w:line="288" w:before="120" w:after="283"/>
        <w:jc w:val="left"/>
        <w:rPr/>
      </w:pPr>
      <w:r>
        <w:rPr>
          <w:rFonts w:ascii="Arial;sans-serif" w:hAnsi="Arial;sans-serif"/>
          <w:b w:val="false"/>
          <w:color w:val="000000"/>
          <w:sz w:val="20"/>
          <w:shd w:fill="FFFFFF" w:val="clear"/>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w:t>
      </w:r>
      <w:r>
        <w:rPr>
          <w:rFonts w:ascii="Arial;sans-serif" w:hAnsi="Arial;sans-serif"/>
          <w:b w:val="false"/>
          <w:color w:val="000000"/>
          <w:sz w:val="20"/>
        </w:rPr>
        <w:t>nd Exclusive Designs. See “—Our Product Acquisition Strategy” below for a description of the three ways in which we procure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Key Fiscal Second Quarter and Recent Business Highlights: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AI-Powered Outfits Generation Now Live to All Customers</w:t>
      </w:r>
      <w:r>
        <w:rPr>
          <w:rFonts w:ascii="Arial;sans-serif" w:hAnsi="Arial;sans-serif"/>
          <w:b w:val="false"/>
          <w:color w:val="000000"/>
          <w:sz w:val="20"/>
        </w:rPr>
        <w:t>: In May 2026, we piloted outfits generation, and by the end of June the experience was live to all customers. Customers can now discover complete looks rather than individual items, making it easier to imagine what to wear together. Engagement with the feature in our app is running approximately 35% and during the pilot, customers with the experience added items to their bag approximately 12% more often than those without it.</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Using AI to Help Customers See Themselves in the Product: </w:t>
      </w:r>
      <w:r>
        <w:rPr>
          <w:rFonts w:ascii="Arial;sans-serif" w:hAnsi="Arial;sans-serif"/>
          <w:b w:val="false"/>
          <w:color w:val="000000"/>
          <w:sz w:val="20"/>
        </w:rPr>
        <w:t>In August 2026, we rolled out avatars within the outfits experience to all customers, so they can see recommended looks on a variety of figures. We also began piloting virtual try-on tools, designed to show a customer how a specific item will look on them before renting or buying.</w:t>
      </w:r>
    </w:p>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Sharpened Focus on the Core Business</w:t>
      </w:r>
      <w:r>
        <w:rPr>
          <w:rFonts w:ascii="Arial;sans-serif" w:hAnsi="Arial;sans-serif"/>
          <w:b w:val="false"/>
          <w:color w:val="000000"/>
          <w:sz w:val="20"/>
        </w:rPr>
        <w:t>: We concentrated our resources on our rental and selling offerings this quarter. We paused the online marketplace pilot until it can be fully integrated with the core rental experience, we paused on-site advertising and monetization to prioritize a premium experience, and we are no longer pursuing new B2B dry cleaning business opportunities while continuing to serve our existing partner. Those resources are moving to the parts of the business our customer values most, including Reserve, which carries our strongest satisfaction scores.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 xml:space="preserve">Key Operating and Financial Results. </w:t>
      </w:r>
      <w:r>
        <w:rPr>
          <w:rFonts w:ascii="Arial;sans-serif" w:hAnsi="Arial;sans-serif"/>
          <w:b w:val="false"/>
          <w:color w:val="000000"/>
          <w:sz w:val="20"/>
          <w:shd w:fill="FFFFFF" w:val="clear"/>
        </w:rPr>
        <w:t xml:space="preserve">We have achieved the following operating and financial results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2026 and 2025, respectively:</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 was $97.7 million and $80.9 million, respectively, representing 20.8%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140,826 and 146,373 ending Active Subscribers</w:t>
      </w:r>
      <w:r>
        <w:rPr>
          <w:rFonts w:ascii="Arial;sans-serif" w:hAnsi="Arial;sans-serif"/>
          <w:b w:val="false"/>
          <w:color w:val="000000"/>
          <w:sz w:val="13"/>
        </w:rPr>
        <w:t>2</w:t>
      </w:r>
      <w:r>
        <w:rPr>
          <w:rFonts w:ascii="Arial;sans-serif" w:hAnsi="Arial;sans-serif"/>
          <w:b w:val="false"/>
          <w:color w:val="000000"/>
          <w:sz w:val="20"/>
        </w:rPr>
        <w:t>, respectively, representing a change of (3.8)%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148,259 and 146,765 Average Active Subscribers</w:t>
      </w:r>
      <w:r>
        <w:rPr>
          <w:rFonts w:ascii="Arial;sans-serif" w:hAnsi="Arial;sans-serif"/>
          <w:b w:val="false"/>
          <w:color w:val="000000"/>
          <w:sz w:val="13"/>
        </w:rPr>
        <w:t>3</w:t>
      </w:r>
      <w:r>
        <w:rPr>
          <w:rFonts w:ascii="Arial;sans-serif" w:hAnsi="Arial;sans-serif"/>
          <w:b w:val="false"/>
          <w:color w:val="000000"/>
          <w:sz w:val="20"/>
        </w:rPr>
        <w:t>, respectively, representing an increase of 1.0%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186,019 and 185,102 ending Total Subscribers (including paused subscribers), respectively, representing an increase of 0.5%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Gross Profit was $35.3 million and $24.3 million, respectively, representing a gross margin of 36.1% and 30.0%,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Loss was $(12.9) million and $(26.4) million, respectively. Net Loss as a percentage of revenue was (13.2)% and (32.6)%, respectively;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Adjusted EBITDA was $12.6 million and $3.6 million, respectively, representing an Adjusted EBITDA Margin of 12.9% and 4.4%, respectively.</w:t>
      </w:r>
    </w:p>
    <w:p>
      <w:pPr>
        <w:pStyle w:val="TextBody"/>
        <w:bidi w:val="0"/>
        <w:spacing w:before="0" w:after="0"/>
        <w:ind w:left="0" w:right="0" w:firstLine="90"/>
        <w:jc w:val="left"/>
        <w:rPr/>
      </w:pPr>
      <w:r>
        <w:rPr/>
      </w:r>
    </w:p>
    <w:p>
      <w:pPr>
        <w:pStyle w:val="TextBody"/>
        <w:bidi w:val="0"/>
        <w:spacing w:lineRule="auto" w:line="288" w:before="0" w:after="0"/>
        <w:jc w:val="left"/>
        <w:rPr/>
      </w:pPr>
      <w:r>
        <w:rPr>
          <w:rFonts w:ascii="Arial;sans-serif" w:hAnsi="Arial;sans-serif"/>
          <w:b w:val="false"/>
          <w:color w:val="000000"/>
          <w:sz w:val="20"/>
        </w:rPr>
        <w:t xml:space="preserve">We </w:t>
      </w:r>
      <w:r>
        <w:rPr>
          <w:rFonts w:ascii="Arial;sans-serif" w:hAnsi="Arial;sans-serif"/>
          <w:b w:val="false"/>
          <w:color w:val="000000"/>
          <w:sz w:val="20"/>
          <w:shd w:fill="FFFFFF" w:val="clear"/>
        </w:rPr>
        <w:t>have achieved the following operating and financial results for the six months ended July 31, 2026 and 2025, respectively:</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 was $187.6 million and $150.5 million, respectively, representing 24.7%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Gross Profit was $58.6 million and $46.2 million, respectively, representing a gross margin of 31.2% and 30.7%,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Loss was $(31.8) million and $(52.5) million, respectively. Net Loss as a percentage of revenue was (17.0)% and (34.9)%,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Adjusted EBITDA was $11.8 million and $2.3 million, respectively, representing an Adjusted EBITDA margin of 6.3% and 1.5%,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provided by operating activities was $(5.0) million and $(2.2) million, and net cash used in investing activities was $(16.6) million and $(30.7) million,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provided by financing activities was $(0.3) million and $(1.4) million,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provided by operating activities as a percentage of revenue was (2.7)% and (1.5)% and net cash used in investing activities as a percentage of revenue was (8.8)% and (20.4)%, respectively;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Cash and Cash Equivalents was $29.0 million and $43.6 million, respectively.</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Active Subscribers is defined as ending Total Subscribers as of period end, excluding paused subscribers.</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Average Active Subscribers represents the mean of the beginning of quarter and end of quarter Active Subscribers for a quarterly period; and for other periods, represents the mean of the Average Active Subscribers of every quarter within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Our Product Acquisition Strategy</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acquire and monetize products in three primary ways: Wholesale, Share by RTR and Exclusive Designs. </w:t>
      </w:r>
      <w:r>
        <w:rPr>
          <w:rFonts w:ascii="Arial;sans-serif" w:hAnsi="Arial;sans-serif"/>
          <w:b w:val="false"/>
          <w:color w:val="000000"/>
          <w:sz w:val="20"/>
        </w:rPr>
        <w:t xml:space="preserve">Wholesale items are acquired directly from brand partners, typically at a discount to Wholesale price. Share by RTR items are acquired directly from brand partners on consignment, at zero or a fraction of the Wholesale cost with performance-based revenue share payments to our brand partners over time. Exclusive Designs items are designed using our data in collaboration with our brand partners. These units are manufactured through third-party partners with an upfront fee and, in most cases, minimal revenue share payments to our brand partners over time. </w:t>
      </w:r>
    </w:p>
    <w:p>
      <w:pPr>
        <w:pStyle w:val="TextBody"/>
        <w:bidi w:val="0"/>
        <w:spacing w:lineRule="auto" w:line="288" w:before="120" w:after="283"/>
        <w:jc w:val="left"/>
        <w:rPr/>
      </w:pPr>
      <w:r>
        <w:rPr>
          <w:rFonts w:ascii="Arial;sans-serif" w:hAnsi="Arial;sans-serif"/>
          <w:b w:val="false"/>
          <w:color w:val="000000"/>
          <w:sz w:val="20"/>
          <w:shd w:fill="FFFFFF" w:val="clear"/>
        </w:rPr>
        <w:t>Our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w:t>
      </w:r>
      <w:r>
        <w:rPr>
          <w:rFonts w:ascii="Arial;sans-serif" w:hAnsi="Arial;sans-serif"/>
          <w:b w:val="false"/>
          <w:color w:val="000000"/>
          <w:sz w:val="20"/>
        </w:rPr>
        <w:t>e pay brands primarily based on item performance. Our Share by RTR arrangements with brands target delivering 75% to 100% of comparable Wholesale cost to the brand in the first twelve to eighteen months; however there is no minimum com</w:t>
      </w:r>
      <w:r>
        <w:rPr>
          <w:rFonts w:ascii="Arial;sans-serif" w:hAnsi="Arial;sans-serif"/>
          <w:b w:val="false"/>
          <w:color w:val="000000"/>
          <w:sz w:val="20"/>
          <w:shd w:fill="FFFFFF" w:val="clear"/>
        </w:rPr>
        <w:t>mitment other than the upfront payment, if applicable. Nearly all Share by RTR deals consummated after September 2020 include a cap on total potential payments to the brand partner.</w:t>
      </w:r>
    </w:p>
    <w:p>
      <w:pPr>
        <w:pStyle w:val="TextBody"/>
        <w:bidi w:val="0"/>
        <w:spacing w:lineRule="auto" w:line="288" w:before="120" w:after="283"/>
        <w:jc w:val="left"/>
        <w:rPr/>
      </w:pPr>
      <w:r>
        <w:rPr>
          <w:rFonts w:ascii="Arial;sans-serif" w:hAnsi="Arial;sans-serif"/>
          <w:b w:val="false"/>
          <w:color w:val="000000"/>
          <w:sz w:val="20"/>
        </w:rPr>
        <w:t xml:space="preserve">In fiscal year 2025, 31% of new items were acquired through Wholesale, 57% through Share by RTR and 12% through Exclusive Designs, compared to 30% Wholesale, 48% Share by RTR and 22% Exclusive Designs in fiscal year 2024. In total, approximately 69% of new items were acquired through Share by RTR and Exclusive Designs, our more capital-efficient channels in fiscal year 2025 and approximately 70% in fiscal year 2024. </w:t>
      </w:r>
      <w:r>
        <w:rPr>
          <w:rFonts w:ascii="Arial;sans-serif" w:hAnsi="Arial;sans-serif"/>
          <w:b w:val="false"/>
          <w:color w:val="000000"/>
          <w:sz w:val="20"/>
          <w:shd w:fill="FFFFFF" w:val="clear"/>
        </w:rPr>
        <w:t>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acquire fewer rental product units year-over-year in fiscal year 2026 and we expect the total percentage of units acquired through our more capital-efficient channels to increase in fiscal year 2026 versus fiscal year 2025, with an increase in the percentage of units acquired through our Share by RTR and Exclusive Designs programs versus fiscal year 2025. We expect to incur lower capital expenditures for purchases of rental product in fiscal year 2026 relative to fiscal year 2025 primarily due to a lower proportion of rental product acquired through Wholesale in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Key Factors Affecting Our Performance</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our performance and future success depend on a variety of factors that present significant opportunities for our business, but also present risks and challenges that could adversely impact our growth and profitability.</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Subscribers and Customers</w:t>
      </w:r>
    </w:p>
    <w:p>
      <w:pPr>
        <w:pStyle w:val="TextBody"/>
        <w:bidi w:val="0"/>
        <w:spacing w:lineRule="auto" w:line="288" w:before="120" w:after="283"/>
        <w:jc w:val="left"/>
        <w:rPr/>
      </w:pPr>
      <w:r>
        <w:rPr>
          <w:rFonts w:ascii="Arial;sans-serif" w:hAnsi="Arial;sans-serif"/>
          <w:b/>
          <w:i/>
          <w:color w:val="000000"/>
          <w:sz w:val="20"/>
        </w:rPr>
        <w:t xml:space="preserve">Ability to Attract and Retain Subscribers and Customers. </w:t>
      </w:r>
      <w:r>
        <w:rPr>
          <w:rFonts w:ascii="Arial;sans-serif" w:hAnsi="Arial;sans-serif"/>
          <w:b w:val="false"/>
          <w:color w:val="000000"/>
          <w:sz w:val="20"/>
        </w:rPr>
        <w:t xml:space="preserve">We believe that we have a significant market opportunity to increase our base of subscribers and customers, and that our long-term growth depends in large part on our continued ability to acquire and retain subscribers and customers.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product. In the second half of fiscal year 2026, we are focused on prioritizing paid marketing optimization and efficiency. Our acquisitions are also reliant on new customer promotions. Our promotional strategy is subject to change depending on business and market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believe customer retention plays an important role in driving business growth. Customer retention is influenced by a number of factors, including rental product in-stock levels and satisfaction, product experience, and customer service levels. In fiscal year 2025, we approximately doubled the quantity of our rental product acquisitions year-over-year and enhanced the desirability of rental product acquisitions, which we believe increased customer satisfaction and improved retention versus fiscal year 2024. We also focused on new product features as well as a more personalized customer experience. In fiscal year 2026, we expect to continue to make efforts to increase customer retention through improved customer experience with our rental product as well as new product features.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Brands and Products</w:t>
      </w:r>
    </w:p>
    <w:p>
      <w:pPr>
        <w:pStyle w:val="TextBody"/>
        <w:bidi w:val="0"/>
        <w:spacing w:lineRule="auto" w:line="288" w:before="120" w:after="283"/>
        <w:jc w:val="left"/>
        <w:rPr/>
      </w:pPr>
      <w:r>
        <w:rPr>
          <w:rFonts w:ascii="Arial;sans-serif" w:hAnsi="Arial;sans-serif"/>
          <w:b/>
          <w:i/>
          <w:color w:val="000000"/>
          <w:sz w:val="20"/>
        </w:rPr>
        <w:t xml:space="preserve">Ability to Acquire, Manage and Monetize Products Efficiently. </w:t>
      </w:r>
      <w:r>
        <w:rPr>
          <w:rFonts w:ascii="Arial;sans-serif" w:hAnsi="Arial;sans-serif"/>
          <w:b w:val="false"/>
          <w:color w:val="000000"/>
          <w:sz w:val="20"/>
        </w:rPr>
        <w:t>Our ability to deliver an elevated experience for our subscribers and</w:t>
      </w:r>
      <w:r>
        <w:rPr>
          <w:color w:val="000000"/>
        </w:rPr>
        <w:t xml:space="preserve"> </w:t>
      </w:r>
      <w:r>
        <w:rPr>
          <w:rFonts w:ascii="Arial;sans-serif" w:hAnsi="Arial;sans-serif"/>
          <w:b w:val="false"/>
          <w:color w:val="000000"/>
          <w:sz w:val="20"/>
        </w:rPr>
        <w:t>customers that keeps them loyal to RTR depends on us having the right assortment.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2025, approximately 69% of new items were acquired through our more capital efficient non-Wholesale channels, compared to 70% in fiscal year 2024 and 61% in fiscal year 2023. We plan to further increase the percentage of units acquired through Exclusive Designs and Share by RTR on a combined basis in fiscal year 2026. We continuously evaluate our product acquisition mix to maximize our strategic priorities.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2025 increased to 23% from 16% in fiscal year 2024, despite higher Share by RTR units as a percentage of total receipts, as a result of our strategy to approximately double the quantity of rental product purchases versus fiscal year 2024. Purchases of rental product as a percentage of revenue was 16% and 26% in fiscal year 2024 and 2023, respectively. We anticipate this percentage to decrease in fiscal year 2026 compared with fiscal year 2025 primarily due to a decrease in the proportion of units acquired through our Wholesale channel. Due to seasonality factors, we track our progress on purchases of rental product as a percentage of revenue on a full year basis, as quarterly expenditures are not necessarily reflective of full year trends.</w:t>
      </w:r>
    </w:p>
    <w:p>
      <w:pPr>
        <w:pStyle w:val="TextBody"/>
        <w:bidi w:val="0"/>
        <w:spacing w:lineRule="auto" w:line="288" w:before="120" w:after="283"/>
        <w:jc w:val="left"/>
        <w:rPr/>
      </w:pPr>
      <w:r>
        <w:rPr>
          <w:rFonts w:ascii="Arial;sans-serif" w:hAnsi="Arial;sans-serif"/>
          <w:b/>
          <w:i/>
          <w:color w:val="000000"/>
          <w:sz w:val="20"/>
        </w:rPr>
        <w:t xml:space="preserve">Ability to Achieve Leverage in our Cost Structure. </w:t>
      </w:r>
      <w:r>
        <w:rPr>
          <w:rFonts w:ascii="Arial;sans-serif" w:hAnsi="Arial;sans-serif"/>
          <w:b w:val="false"/>
          <w:color w:val="000000"/>
          <w:sz w:val="20"/>
        </w:rPr>
        <w:t>Improving operational efficiency of our platform is imperative to improving profitability. We expect certain of our operating costs to increase as order volume increases and as we make investments to grow subscribers and revenue and to enhance the customer experience. Though we anticipate quarterly fluctuations in operating leverage, over time we anticipate that our operating costs will grow more slowly than our total revenue on an annual basis.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focus on growing and scaling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Over time, we expect to improve our margins, profitability and cash flow, and we believe we will continue to benefit from economies of scale. We are focused on driving additional efficiencies in our operating expenses and improving profitability to also cover rental product depreciation, in addition to fulfillment, revenue share and operating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See also “Note 3 - Liquidity” and “Note 6 - Long-Term Debt” in the Notes to the Condensed Consolidated Financial Statements for more details regarding our New Credit Agreement and Recapitalization Transactions, which we expect to improve our overall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1ce9b0a5c1142d3b4958a9f60ce729f_7">
        <w:r>
          <w:rPr>
            <w:rStyle w:val="InternetLink"/>
            <w:rFonts w:ascii="Times New Roman;serif" w:hAnsi="Times New Roman;serif"/>
            <w:b/>
            <w:color w:val="0000FF"/>
            <w:sz w:val="20"/>
            <w:u w:val="single"/>
            <w:shd w:fill="FFFFFF" w:val="clear"/>
          </w:rPr>
          <w:t>Table of 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December and January. From time to time, our seasonality patterns have been impacted due to the effects of COVID-19, the macro environment, and business decisions and may in the future continue to evolve and not reflect historical trends. Examples of business decisions that have impacted seasonality in prior periods include, but are not limited to, changes in prices for our Subscription programs, changes in timing and amounts of promotional spending, changes in timing and amounts of paid marketing spending, and changes in timing and quantity of rental product availability. It is difficult to predict all of relevant reasons and ways that seasonality trends could change in the future.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i/>
          <w:color w:val="000000"/>
          <w:sz w:val="20"/>
          <w:shd w:fill="FFFFFF" w:val="clear"/>
        </w:rPr>
        <w:t>Impact of </w:t>
      </w:r>
      <w:r>
        <w:rPr>
          <w:rFonts w:ascii="Arial;sans-serif" w:hAnsi="Arial;sans-serif"/>
          <w:b/>
          <w:i/>
          <w:color w:val="000000"/>
          <w:sz w:val="20"/>
        </w:rPr>
        <w:t>Macro and Consumer Environment on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rental product costs, and other costs associated with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take actions to adjust to the changing business environment and related inflationary pressure. For example, we increased wage rates during the first quarter of fiscal years 2025 and 2026 to attract and retain talent at our fulfillment centers. We expect to continue to be impacted by rising labor costs in the future. In addition, we implemented a price increase for our subscription plans in August 2025 and implemented a new shipping charge for Subscription plans in June 2026 in response to increasing shipping costs from carriers. We expect the shipping charge to be temporary; however, we expect to implement pricing increases and/or new or additional fees in the future if costs continue to rise. We aim to continue to mitigate longer-term rising costs through a variety of methods, including by seeking to optimize shipping methods and improve contractual and pricing terms. However, the global trade environment is unpredictable and evolving and macroeconomic or geopolitical developments have in the past and, may in the future, negatively impact our ability to meet our current expectations and objectives, including due to unfavorable policies and tariffs, and rising shipping costs. In addition, steps we take may not fully mitigate rising costs. For example, the conflict in the Middle East has led to fuel surcharges that have increased our shipping costs, which are likely to continue to increase if the conflict continues. As a result, it is also difficult to predict what transportation costs as a percentage of Revenue will be in fiscal year 2026. Although we continue to face a challenging and unpredictable environment, we plan to invest in our customers, manage our staffing, and further leverage our transportation partners to help to drive growth and efficiencies in our business.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r>
        <w:rPr>
          <w:rFonts w:ascii="Arial;sans-serif" w:hAnsi="Arial;sans-serif"/>
          <w:b w:val="false"/>
          <w:color w:val="000000"/>
          <w:sz w:val="20"/>
          <w:shd w:fill="FFFFFF" w:val="clear"/>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details about key factors affecting our performance, see our 2025 Annual Report on Form 10-K and Part II, Item 1A, “Risk Factors”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Key Business and Financial Metrics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tbl>
      <w:tblPr>
        <w:tblW w:w="7638" w:type="dxa"/>
        <w:jc w:val="left"/>
        <w:tblInd w:w="0" w:type="dxa"/>
        <w:tblLayout w:type="fixed"/>
        <w:tblCellMar>
          <w:top w:w="28" w:type="dxa"/>
          <w:left w:w="28" w:type="dxa"/>
          <w:bottom w:w="28" w:type="dxa"/>
          <w:right w:w="28" w:type="dxa"/>
        </w:tblCellMar>
      </w:tblPr>
      <w:tblGrid>
        <w:gridCol w:w="924"/>
        <w:gridCol w:w="811"/>
        <w:gridCol w:w="814"/>
        <w:gridCol w:w="237"/>
        <w:gridCol w:w="677"/>
        <w:gridCol w:w="122"/>
        <w:gridCol w:w="122"/>
        <w:gridCol w:w="122"/>
        <w:gridCol w:w="122"/>
        <w:gridCol w:w="237"/>
        <w:gridCol w:w="677"/>
        <w:gridCol w:w="122"/>
        <w:gridCol w:w="109"/>
        <w:gridCol w:w="109"/>
        <w:gridCol w:w="109"/>
        <w:gridCol w:w="240"/>
        <w:gridCol w:w="619"/>
        <w:gridCol w:w="112"/>
        <w:gridCol w:w="112"/>
        <w:gridCol w:w="112"/>
        <w:gridCol w:w="112"/>
        <w:gridCol w:w="240"/>
        <w:gridCol w:w="619"/>
        <w:gridCol w:w="158"/>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 millions)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Subscribers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Active Subscribers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(1)</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(1)Adjusted EBITDA is a non-GAAP financial measure; for a reconciliation to the most directly comparable U.S. GAAP financial measure, net loss, and why we consider Adjusted EBITDA to be a useful metric, see “—Non-GAAP Financial Metrics” below.</w:t>
      </w:r>
    </w:p>
    <w:p>
      <w:pPr>
        <w:pStyle w:val="TextBody"/>
        <w:bidi w:val="0"/>
        <w:spacing w:lineRule="auto" w:line="288" w:before="180" w:after="283"/>
        <w:jc w:val="left"/>
        <w:rPr/>
      </w:pPr>
      <w:r>
        <w:rPr>
          <w:rFonts w:ascii="Arial;sans-serif" w:hAnsi="Arial;sans-serif"/>
          <w:b/>
          <w:color w:val="000000"/>
          <w:sz w:val="20"/>
          <w:shd w:fill="FFFFFF" w:val="clear"/>
        </w:rPr>
        <w:t>Active Subscribers</w:t>
      </w:r>
      <w:r>
        <w:rPr>
          <w:rFonts w:ascii="Arial;sans-serif" w:hAnsi="Arial;sans-serif"/>
          <w:b w:val="false"/>
          <w:color w:val="000000"/>
          <w:sz w:val="20"/>
          <w:shd w:fill="FFFFFF" w:val="clear"/>
        </w:rPr>
        <w:t>: Active Subscribers represents the number of subscribers with an active membership as of the last day of any given pe</w:t>
      </w:r>
      <w:r>
        <w:rPr>
          <w:rFonts w:ascii="Arial;sans-serif" w:hAnsi="Arial;sans-serif"/>
          <w:b w:val="false"/>
          <w:color w:val="000000"/>
          <w:sz w:val="20"/>
        </w:rPr>
        <w:t>riod and excludes paused subscribers. As of July 31, 2026, we had 140,826 Active Subscribers, a decrease from 146,373 as of July 31, 2025. The decrease in Active Subscribers was driven primarily by a year-over-year increase in the rate of pause and a year-over-year decrease in the number of subscribers acquired, partially offset by a higher base of active subscribers at the end of the first quarter of fiscal year 2026 compared to the first quarter of fiscal year 2025, in addition to a year-over-year increase in retention.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Average Active Subscribers: </w:t>
      </w:r>
      <w:r>
        <w:rPr>
          <w:rFonts w:ascii="Arial;sans-serif" w:hAnsi="Arial;sans-serif"/>
          <w:b w:val="false"/>
          <w:color w:val="000000"/>
          <w:sz w:val="20"/>
        </w:rPr>
        <w:t>Average Active Subscribers represents the mean of the beginning of quarter and end of quarter Active Subscribers for a quarterly period; and for other periods, represents the mean of the Average Active Subscribers of every quarter within that period. As of July 31, 2026, we had 148,259 Average Active Subscribers, an increase from 146,765 as of July 31, 2025. The year-over-year increase in Average Active Subscribers was primarily due to a higher base of active subscribers at the end of the first quarter of fiscal year 2026 compared to the first quarter of fiscal year 2025, partially offset by a lower base of active subscribers at the end of the second quarter of fiscal year 2026 compared to the second quarter of fiscal year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Gross Profit and Gross Margin: </w:t>
      </w:r>
      <w:r>
        <w:rPr>
          <w:rFonts w:ascii="Arial;sans-serif" w:hAnsi="Arial;sans-serif"/>
          <w:b w:val="false"/>
          <w:color w:val="000000"/>
          <w:sz w:val="20"/>
        </w:rPr>
        <w:t>We define Gross Profit as total revenue less costs related to activities to fulfill customer orders and rental product acquisition costs, presented as 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Gross Profit was $35.3 million for the three months ended July 31, 2026 compared to $24.3 million for the three months ended July 31, 2025, representing Gross Margins of 36.1% and 30.0%, respectively. Gross Profit was $58.6 million for the six months ended July 31, 2026 compared to $46.2 million for the six months ended July 31, 2025, representing Gross Margins of 31.2% and 30.7%, respectively. Gross Profit for the three and six months ended July 31, 2026 increased primarily due to higher Revenue partially offset by higher Rental Product Depreciation and Revenue Share costs, as well as higher Fulfillment expenses. Gross Margin for the three months ended July 31, 2026 increased because of lower Fulfillment costs and lower Rental Product Deprecation and Revenue Share costs as a percentage of Revenue. Gross Margin for the six months ended July 31, 2026 increased primarily due to lower Fulfillment costs as a percentage of revenue partially offset by higher Rental Product Depreciation and Revenue Share costs as a percentage of Revenue.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Adjusted EBITDA and Adjusted EBITDA Margin: </w:t>
      </w:r>
      <w:r>
        <w:rPr>
          <w:rFonts w:ascii="Arial;sans-serif" w:hAnsi="Arial;sans-serif"/>
          <w:b w:val="false"/>
          <w:color w:val="000000"/>
          <w:sz w:val="20"/>
        </w:rPr>
        <w:t xml:space="preserve">We define Adjusted EBITDA as net loss, adjusted to exclude interest expense, rental product depreciation, other depreciation and amortization, share-based compensation expense, write-off of liquidated assets, </w:t>
      </w:r>
      <w:r>
        <w:rPr>
          <w:rFonts w:ascii="Arial;sans-serif" w:hAnsi="Arial;sans-serif"/>
          <w:b w:val="false"/>
          <w:color w:val="000000"/>
          <w:sz w:val="20"/>
          <w:shd w:fill="FFFFFF" w:val="clear"/>
        </w:rPr>
        <w:t>non-recurring adjustments, non-ordinary course legal expenses,</w:t>
      </w:r>
      <w:r>
        <w:rPr>
          <w:color w:val="000000"/>
        </w:rPr>
        <w:t xml:space="preserve"> </w:t>
      </w:r>
      <w:r>
        <w:rPr>
          <w:rFonts w:ascii="Arial;sans-serif" w:hAnsi="Arial;sans-serif"/>
          <w:b w:val="false"/>
          <w:color w:val="000000"/>
          <w:sz w:val="20"/>
        </w:rPr>
        <w:t xml:space="preserve">non-ordinary course executive transition costs, </w:t>
      </w:r>
      <w:r>
        <w:rPr>
          <w:rFonts w:ascii="Arial;sans-serif" w:hAnsi="Arial;sans-serif"/>
          <w:b w:val="false"/>
          <w:color w:val="000000"/>
          <w:sz w:val="20"/>
          <w:shd w:fill="FFFFFF" w:val="clear"/>
        </w:rPr>
        <w:t xml:space="preserve">income tax (benefit) expense, </w:t>
      </w:r>
      <w:r>
        <w:rPr>
          <w:rFonts w:ascii="Arial;sans-serif" w:hAnsi="Arial;sans-serif"/>
          <w:b w:val="false"/>
          <w:color w:val="000000"/>
          <w:sz w:val="20"/>
        </w:rPr>
        <w:t xml:space="preserve">other income and expense, and other gains / losses. Adjusted EBITDA margin is defined as Adjusted EBITDA calculated as a percentage of total revenue, net for a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Loss was $(12.9) million for the three months ended July 31, 2026 compared to $(26.4) million for the three months ended July 31, 2025, representing margins of (13.2)% and (32.6)%, respectively. Net Loss decreased year-over-year primarily due to higher Gross Profit, lower reported Interest Expense, and lower General and Administrative expenses partially offset by higher Securities Litigation Expenses. Net Loss was $(31.8) million for the six months ended July 31, 2026 compared to $(52.5) million for the six months ended July 31, 2025, representing margins of (17.0)% and (34.9)%, respectively. Net Loss decreased year-over-year primarily due to lower reported Interest Expense and higher Gross Profit partially offset by higher General and Administrative expenses and higher Securities Litigation Expenses.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was $12.6 million for the three months ended July 31, 2026 compared to $3.6 million for the three months ended July 31, 2025, representing margins of 12.9% and 4.4%, respectively. Adjusted EBITDA increased year-over-year primarily due to higher Revenue partially offset by higher Revenue Share costs within Rental Product Depreciation and Revenue Share and higher Fulfillment costs. Adjusted EBITDA Margin increased year-over-year primarily due to lower General and Administrative, Fulfillment, Technology, and Marketing expenses as a percentage of Revenue partially offset by higher Revenue Share expenses as a percentage of Revenue. Adjusted EBITDA was $11.8 million for the six months ended July 31, 2026 compared to $2.3 million for the six months ended July 31, 2025, representing margins of 6.3% and 1.5%, respectively. Adjusted EBITDA increased year-over-year primarily due to higher Revenue partially offset by higher Revenue Share costs within Rental Product Depreciation and Revenue Share and higher General and Administrative Expenses. Adjusted EBITDA Margin increased year-over-year primarily due to lower General and Administrative, Fulfillment, Technology, and Marketing expenses as a percentage of Revenue partially offset by higher Revenue Share expenses as a percentage of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we have the opportunity to improve Adjusted EBITDA and offset cost increases as we increase Revenue and drive operating expense leverage.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240" w:after="283"/>
        <w:jc w:val="left"/>
        <w:rPr/>
      </w:pPr>
      <w:r>
        <w:rPr>
          <w:rFonts w:ascii="Arial;sans-serif" w:hAnsi="Arial;sans-serif"/>
          <w:b/>
          <w:i/>
          <w:color w:val="000000"/>
          <w:sz w:val="20"/>
        </w:rPr>
        <w:t xml:space="preserve">Total Revenue, Net. </w:t>
      </w:r>
      <w:r>
        <w:rPr>
          <w:rFonts w:ascii="Arial;sans-serif" w:hAnsi="Arial;sans-serif"/>
          <w:b w:val="false"/>
          <w:color w:val="000000"/>
          <w:sz w:val="20"/>
        </w:rPr>
        <w:t>Our total revenue, net consists of Subscription and Reserve rental revenue and Other revenue. Total revenue is presented net of promotional discounts, credits and refunds and taxes.</w:t>
      </w:r>
    </w:p>
    <w:p>
      <w:pPr>
        <w:pStyle w:val="TextBody"/>
        <w:bidi w:val="0"/>
        <w:spacing w:lineRule="auto" w:line="288" w:before="240" w:after="283"/>
        <w:jc w:val="left"/>
        <w:rPr/>
      </w:pPr>
      <w:r>
        <w:rPr>
          <w:rFonts w:ascii="Arial;sans-serif" w:hAnsi="Arial;sans-serif"/>
          <w:b/>
          <w:i/>
          <w:color w:val="000000"/>
          <w:sz w:val="20"/>
        </w:rPr>
        <w:t>Subscription and Reserve Rental Revenue.</w:t>
      </w:r>
      <w:r>
        <w:rPr>
          <w:color w:val="000000"/>
        </w:rPr>
        <w:t>    </w:t>
      </w:r>
      <w:r>
        <w:rPr>
          <w:rFonts w:ascii="Arial;sans-serif" w:hAnsi="Arial;sans-serif"/>
          <w:b w:val="false"/>
          <w:color w:val="000000"/>
          <w:sz w:val="20"/>
        </w:rPr>
        <w:t>We generate Subscription and Reserve rental revenue from Subscription and Reserve rental fees. The majority of our revenue is generated by our Subscription offering.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implemented a price increase for our Subscription plans in August 2025, which increased revenue per subscriber in the third quarter of fiscal year 2025 and subsequent quarters. We also implemented a shipping charge for Subscription plans in June 2026 which we expect to be temporary. This charge increased revenue per subscriber beginning in Q2 2026.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pStyle w:val="TextBody"/>
        <w:bidi w:val="0"/>
        <w:spacing w:lineRule="auto" w:line="288" w:before="240" w:after="283"/>
        <w:jc w:val="left"/>
        <w:rPr/>
      </w:pPr>
      <w:r>
        <w:rPr>
          <w:rFonts w:ascii="Arial;sans-serif" w:hAnsi="Arial;sans-serif"/>
          <w:b/>
          <w:i/>
          <w:color w:val="000000"/>
          <w:sz w:val="20"/>
        </w:rPr>
        <w:t>Other Revenue.</w:t>
      </w:r>
      <w:r>
        <w:rPr>
          <w:color w:val="000000"/>
        </w:rPr>
        <w:t>    </w:t>
      </w:r>
      <w:r>
        <w:rPr>
          <w:rFonts w:ascii="Arial;sans-serif" w:hAnsi="Arial;sans-serif"/>
          <w:b w:val="false"/>
          <w:color w:val="000000"/>
          <w:sz w:val="20"/>
        </w:rPr>
        <w:t>We generate Other revenue primarily from our Resale offering, i.e., the sale of products while they are in rental condition. We offer the ability for 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and business development initiatives which may cause quarterly fluctuations in the Other revenue line.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Costs and Expenses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Fulfillment.    </w:t>
      </w:r>
      <w:r>
        <w:rPr>
          <w:rFonts w:ascii="Arial;sans-serif" w:hAnsi="Arial;sans-serif"/>
          <w:b w:val="false"/>
          <w:color w:val="000000"/>
          <w:sz w:val="20"/>
        </w:rPr>
        <w:t>Fulfillment expenses consist of all costs to receive, process and fulfill customer orders. This primarily includes shipping costs 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See section “Impact of Macro and Consumer Environment on Our Business” for discussion of macroeconomic considerations.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 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pStyle w:val="TextBody"/>
        <w:bidi w:val="0"/>
        <w:spacing w:lineRule="auto" w:line="288" w:before="240" w:after="283"/>
        <w:jc w:val="left"/>
        <w:rPr/>
      </w:pPr>
      <w:r>
        <w:rPr>
          <w:rFonts w:ascii="Arial;sans-serif" w:hAnsi="Arial;sans-serif"/>
          <w:b/>
          <w:i/>
          <w:color w:val="000000"/>
          <w:sz w:val="20"/>
        </w:rPr>
        <w:t>Technology.</w:t>
      </w:r>
      <w:r>
        <w:rPr>
          <w:color w:val="000000"/>
        </w:rPr>
        <w:t>    </w:t>
      </w:r>
      <w:r>
        <w:rPr>
          <w:rFonts w:ascii="Arial;sans-serif" w:hAnsi="Arial;sans-serif"/>
          <w:b w:val="false"/>
          <w:color w:val="000000"/>
          <w:sz w:val="20"/>
        </w:rPr>
        <w:t>Technology expenses consist of personnel and related costs for employees engaged in software development and 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Marketing expenses include online and mobile marketing, search engine optimization and email costs, marketing personnel and related costs, agency fees, brand marketing, influencer marketing, printed collateral, consumer research, and other related costs. Marketing expenses unrelated to personnel costs may increase if we increase marketing spend to drive the growth of our business and increase our brand awareness.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consist of all other personnel and related costs for customer service, finance, tax, legal, human resources, fashion and photography and fixed operations costs. General and administrative expenses also include occupancy costs (including warehouse-related), professional services, credit card fees, general corporate and warehouse expenses, other administrative costs, and gains and losses associated with asset disposals and operating lease terminations.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pStyle w:val="TextBody"/>
        <w:bidi w:val="0"/>
        <w:spacing w:lineRule="auto" w:line="288" w:before="240" w:after="283"/>
        <w:jc w:val="left"/>
        <w:rPr/>
      </w:pPr>
      <w:r>
        <w:rPr>
          <w:rFonts w:ascii="Arial;sans-serif" w:hAnsi="Arial;sans-serif"/>
          <w:b/>
          <w:i/>
          <w:color w:val="000000"/>
          <w:sz w:val="20"/>
        </w:rPr>
        <w:t>Rental Product Depreciation and Revenue Share.</w:t>
      </w:r>
      <w:r>
        <w:rPr>
          <w:color w:val="000000"/>
        </w:rPr>
        <w:t>    </w:t>
      </w:r>
      <w:r>
        <w:rPr>
          <w:rFonts w:ascii="Arial;sans-serif" w:hAnsi="Arial;sans-serif"/>
          <w:b w:val="false"/>
          <w:color w:val="000000"/>
          <w:sz w:val="20"/>
        </w:rPr>
        <w:t>Rental product depreciation and revenue share expenses consist of 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pStyle w:val="TextBody"/>
        <w:bidi w:val="0"/>
        <w:spacing w:lineRule="auto" w:line="288" w:before="240" w:after="283"/>
        <w:jc w:val="left"/>
        <w:rPr/>
      </w:pPr>
      <w:r>
        <w:rPr>
          <w:rFonts w:ascii="Arial;sans-serif" w:hAnsi="Arial;sans-serif"/>
          <w:b/>
          <w:i/>
          <w:color w:val="000000"/>
          <w:sz w:val="20"/>
        </w:rPr>
        <w:t>Other Depreciation and Amortization.</w:t>
      </w:r>
      <w:r>
        <w:rPr>
          <w:color w:val="000000"/>
        </w:rPr>
        <w:t>    </w:t>
      </w:r>
      <w:r>
        <w:rPr>
          <w:rFonts w:ascii="Arial;sans-serif" w:hAnsi="Arial;sans-serif"/>
          <w:b w:val="false"/>
          <w:color w:val="000000"/>
          <w:sz w:val="20"/>
        </w:rPr>
        <w:t>Other depreciation and amortization expenses consist of depreciation and amortization amounts for fixed assets, intangible assets including capitalized software, and financing right-of-use assets.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Interest Income / (Expense). </w:t>
      </w:r>
      <w:r>
        <w:rPr>
          <w:rFonts w:ascii="Arial;sans-serif" w:hAnsi="Arial;sans-serif"/>
          <w:b w:val="false"/>
          <w:color w:val="000000"/>
          <w:sz w:val="20"/>
        </w:rPr>
        <w:t>Interest income / (expense) consists primarily of accrued paid-in-kind interest, cash interest and debt (premium) discount amortization associated with our New Credit Agreement going forward. The 2023 Amended Temasek Facility eliminated all interest (both payment-in-kind and cash interest) for a period of six full fiscal quarters beginning with the fourth quarter of fiscal year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Other Income / (Expense).</w:t>
      </w:r>
      <w:r>
        <w:rPr>
          <w:color w:val="000000"/>
        </w:rPr>
        <w:t xml:space="preserve"> </w:t>
      </w:r>
      <w:r>
        <w:rPr>
          <w:rFonts w:ascii="Arial;sans-serif" w:hAnsi="Arial;sans-serif"/>
          <w:b w:val="false"/>
          <w:color w:val="000000"/>
          <w:sz w:val="20"/>
        </w:rPr>
        <w:t>Other income / (expense) consists primarily of recoveries on lost shipments and tax credits.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Securities Litigation Expense.</w:t>
      </w:r>
      <w:r>
        <w:rPr>
          <w:color w:val="000000"/>
        </w:rPr>
        <w:t xml:space="preserve"> </w:t>
      </w:r>
      <w:r>
        <w:rPr>
          <w:rFonts w:ascii="Arial;sans-serif" w:hAnsi="Arial;sans-serif"/>
          <w:b w:val="false"/>
          <w:color w:val="000000"/>
          <w:sz w:val="20"/>
        </w:rPr>
        <w:t>Securities litigation expense consists of the settlement of the class action lawsuit described in “Note 14 - Commitments and Contingencies” in the Notes to the Condensed Consolidated Financial Statements.</w:t>
      </w:r>
    </w:p>
    <w:p>
      <w:pPr>
        <w:pStyle w:val="TextBody"/>
        <w:bidi w:val="0"/>
        <w:spacing w:lineRule="auto" w:line="288" w:before="360" w:after="283"/>
        <w:jc w:val="left"/>
        <w:rPr/>
      </w:pPr>
      <w:r>
        <w:rPr>
          <w:rFonts w:ascii="Arial;sans-serif" w:hAnsi="Arial;sans-serif"/>
          <w:b/>
          <w:i/>
          <w:color w:val="000000"/>
          <w:sz w:val="20"/>
        </w:rPr>
        <w:t xml:space="preserve">Income Tax Benefit / (Expense). </w:t>
      </w:r>
      <w:r>
        <w:rPr>
          <w:rFonts w:ascii="Arial;sans-serif" w:hAnsi="Arial;sans-serif"/>
          <w:b w:val="false"/>
          <w:color w:val="000000"/>
          <w:sz w:val="20"/>
        </w:rPr>
        <w:t>Income taxes consist primarily of state minimum and foreign taxes. We have 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483"/>
        <w:gridCol w:w="1299"/>
        <w:gridCol w:w="1305"/>
        <w:gridCol w:w="236"/>
        <w:gridCol w:w="673"/>
        <w:gridCol w:w="121"/>
        <w:gridCol w:w="121"/>
        <w:gridCol w:w="121"/>
        <w:gridCol w:w="121"/>
        <w:gridCol w:w="236"/>
        <w:gridCol w:w="673"/>
        <w:gridCol w:w="121"/>
        <w:gridCol w:w="109"/>
        <w:gridCol w:w="109"/>
        <w:gridCol w:w="109"/>
        <w:gridCol w:w="211"/>
        <w:gridCol w:w="646"/>
        <w:gridCol w:w="109"/>
        <w:gridCol w:w="109"/>
        <w:gridCol w:w="109"/>
        <w:gridCol w:w="109"/>
        <w:gridCol w:w="211"/>
        <w:gridCol w:w="646"/>
        <w:gridCol w:w="1218"/>
      </w:tblGrid>
      <w:tr>
        <w:trPr/>
        <w:tc>
          <w:tcPr>
            <w:tcW w:w="14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 net</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Fulfillment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Securities litigation expense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pPr>
      <w:r>
        <w:rPr>
          <w:rFonts w:ascii="Arial;sans-serif" w:hAnsi="Arial;sans-serif"/>
          <w:b/>
          <w:i/>
          <w:color w:val="000000"/>
          <w:sz w:val="20"/>
          <w:shd w:fill="FFFFFF" w:val="clear"/>
        </w:rPr>
        <w:t xml:space="preserve">Comparison of the </w:t>
      </w:r>
      <w:r>
        <w:rPr>
          <w:rFonts w:ascii="Arial;sans-serif" w:hAnsi="Arial;sans-serif"/>
          <w:b/>
          <w:i/>
          <w:color w:val="000000"/>
          <w:sz w:val="20"/>
        </w:rPr>
        <w:t>three months ended July 31, 2026</w:t>
      </w:r>
      <w:r>
        <w:rPr>
          <w:color w:val="000000"/>
          <w:shd w:fill="FFFFFF" w:val="clear"/>
        </w:rPr>
        <w:t xml:space="preserve"> </w:t>
      </w:r>
      <w:r>
        <w:rPr>
          <w:rFonts w:ascii="Arial;sans-serif" w:hAnsi="Arial;sans-serif"/>
          <w:b/>
          <w:i/>
          <w:color w:val="000000"/>
          <w:sz w:val="20"/>
          <w:shd w:fill="FFFFFF" w:val="clear"/>
        </w:rPr>
        <w:t>and 2025</w:t>
      </w:r>
    </w:p>
    <w:p>
      <w:pPr>
        <w:pStyle w:val="TextBody"/>
        <w:bidi w:val="0"/>
        <w:spacing w:lineRule="auto" w:line="288" w:before="120" w:after="283"/>
        <w:jc w:val="left"/>
        <w:rPr/>
      </w:pPr>
      <w:r>
        <w:rPr>
          <w:rFonts w:ascii="Arial;sans-serif" w:hAnsi="Arial;sans-serif"/>
          <w:b/>
          <w:i/>
          <w:color w:val="000000"/>
          <w:sz w:val="20"/>
          <w:shd w:fill="FFFFFF" w:val="clear"/>
        </w:rPr>
        <w:t>Total Revenue, Net.</w:t>
      </w:r>
      <w:r>
        <w:rPr>
          <w:color w:val="000000"/>
          <w:shd w:fill="FFFFFF" w:val="clear"/>
        </w:rPr>
        <w:t>    </w:t>
      </w:r>
      <w:r>
        <w:rPr>
          <w:rFonts w:ascii="Arial;sans-serif" w:hAnsi="Arial;sans-serif"/>
          <w:b w:val="false"/>
          <w:color w:val="000000"/>
          <w:sz w:val="20"/>
          <w:shd w:fill="FFFFFF" w:val="clear"/>
        </w:rPr>
        <w:t>Total revenue, net was $</w:t>
      </w:r>
      <w:r>
        <w:rPr>
          <w:rFonts w:ascii="Arial;sans-serif" w:hAnsi="Arial;sans-serif"/>
          <w:b w:val="false"/>
          <w:color w:val="000000"/>
          <w:sz w:val="20"/>
        </w:rPr>
        <w:t>97.7</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xml:space="preserve">, an increase of $16.8 million, or 20.8%, compared to $80.9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2025. This increase was driven by higher Subscription and Reserve rental revenue and higher Other revenue. In </w:t>
      </w:r>
      <w:r>
        <w:rPr>
          <w:rFonts w:ascii="Arial;sans-serif" w:hAnsi="Arial;sans-serif"/>
          <w:b w:val="false"/>
          <w:color w:val="000000"/>
          <w:sz w:val="20"/>
        </w:rPr>
        <w:t>fiscal year 2026, we expect revenue to increase due to higher Subscription prices and a larger Subscription customer base due to a particular focus on increasing our Active Subscribers year-over-year</w:t>
      </w:r>
      <w:r>
        <w:rPr>
          <w:rFonts w:ascii="Arial;sans-serif" w:hAnsi="Arial;sans-serif"/>
          <w:b w:val="false"/>
          <w:color w:val="000000"/>
          <w:sz w:val="20"/>
          <w:shd w:fill="FFFFFF" w:val="clear"/>
        </w:rPr>
        <w:t>.</w:t>
      </w:r>
    </w:p>
    <w:p>
      <w:pPr>
        <w:pStyle w:val="TextBody"/>
        <w:bidi w:val="0"/>
        <w:spacing w:lineRule="auto" w:line="288" w:before="240" w:after="283"/>
        <w:jc w:val="left"/>
        <w:rPr/>
      </w:pPr>
      <w:r>
        <w:rPr>
          <w:rFonts w:ascii="Arial;sans-serif" w:hAnsi="Arial;sans-serif"/>
          <w:b/>
          <w:i/>
          <w:color w:val="000000"/>
          <w:sz w:val="20"/>
          <w:shd w:fill="FFFFFF" w:val="clear"/>
        </w:rPr>
        <w:t>Subscription and Reserve Rental Revenue.</w:t>
      </w:r>
      <w:r>
        <w:rPr>
          <w:color w:val="000000"/>
          <w:shd w:fill="FFFFFF" w:val="clear"/>
        </w:rPr>
        <w:t>    </w:t>
      </w:r>
      <w:r>
        <w:rPr>
          <w:rFonts w:ascii="Arial;sans-serif" w:hAnsi="Arial;sans-serif"/>
          <w:b w:val="false"/>
          <w:color w:val="000000"/>
          <w:sz w:val="20"/>
          <w:shd w:fill="FFFFFF" w:val="clear"/>
        </w:rPr>
        <w:t xml:space="preserve">Subscription and Reserve rental revenue was $83.8 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xml:space="preserve">, an increase of $14.6 million, or 21.1%, compared to $69.2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2025. This increase was primarily </w:t>
      </w:r>
      <w:r>
        <w:rPr>
          <w:rFonts w:ascii="Arial;sans-serif" w:hAnsi="Arial;sans-serif"/>
          <w:b w:val="false"/>
          <w:color w:val="000000"/>
          <w:sz w:val="20"/>
        </w:rPr>
        <w:t>driven by higher revenue per subscriber and higher average Active Subscribers, partially offset by lower Reserve rental revenue.</w:t>
      </w:r>
    </w:p>
    <w:p>
      <w:pPr>
        <w:pStyle w:val="TextBody"/>
        <w:bidi w:val="0"/>
        <w:spacing w:lineRule="auto" w:line="288" w:before="240" w:after="283"/>
        <w:jc w:val="left"/>
        <w:rPr/>
      </w:pPr>
      <w:r>
        <w:rPr>
          <w:rFonts w:ascii="Arial;sans-serif" w:hAnsi="Arial;sans-serif"/>
          <w:b/>
          <w:i/>
          <w:color w:val="000000"/>
          <w:sz w:val="20"/>
          <w:shd w:fill="FFFFFF" w:val="clear"/>
        </w:rPr>
        <w:t>Other Revenue.</w:t>
      </w:r>
      <w:r>
        <w:rPr>
          <w:color w:val="000000"/>
          <w:shd w:fill="FFFFFF" w:val="clear"/>
        </w:rPr>
        <w:t>    </w:t>
      </w:r>
      <w:r>
        <w:rPr>
          <w:rFonts w:ascii="Arial;sans-serif" w:hAnsi="Arial;sans-serif"/>
          <w:b w:val="false"/>
          <w:color w:val="000000"/>
          <w:sz w:val="20"/>
          <w:shd w:fill="FFFFFF" w:val="clear"/>
        </w:rPr>
        <w:t xml:space="preserve">Other revenue was $13.9 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xml:space="preserve">, an increase of $2.2 million, or 18.8%, compared to $11.7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2025. This increase was primarily driven by an increase in items purchased per Average Active Subscriber, higher average selling price per item and higher Average Active Subscribers. Other revenue represented 14.2% of total revenue, compared to 14.5% in the same period last year</w:t>
      </w:r>
      <w:r>
        <w:rPr>
          <w:rFonts w:ascii="Arial;sans-serif" w:hAnsi="Arial;sans-serif"/>
          <w:b w:val="false"/>
          <w:color w:val="000000"/>
          <w:sz w:val="20"/>
        </w:rPr>
        <w:t xml:space="preserve">. </w:t>
      </w:r>
    </w:p>
    <w:p>
      <w:pPr>
        <w:pStyle w:val="TextBody"/>
        <w:bidi w:val="0"/>
        <w:spacing w:lineRule="auto" w:line="288" w:before="240" w:after="283"/>
        <w:jc w:val="left"/>
        <w:rPr/>
      </w:pPr>
      <w:r>
        <w:rPr>
          <w:rFonts w:ascii="Arial;sans-serif" w:hAnsi="Arial;sans-serif"/>
          <w:b/>
          <w:i/>
          <w:color w:val="000000"/>
          <w:sz w:val="20"/>
          <w:shd w:fill="FFFFFF" w:val="clear"/>
        </w:rPr>
        <w:t>Costs and Expenses.</w:t>
      </w:r>
      <w:r>
        <w:rPr>
          <w:color w:val="000000"/>
          <w:shd w:fill="FFFFFF" w:val="clear"/>
        </w:rPr>
        <w:t>    </w:t>
      </w:r>
      <w:r>
        <w:rPr>
          <w:rFonts w:ascii="Arial;sans-serif" w:hAnsi="Arial;sans-serif"/>
          <w:b w:val="false"/>
          <w:color w:val="000000"/>
          <w:sz w:val="20"/>
        </w:rPr>
        <w:t>Total costs and expenses were $105.5 million for the three months ended July 31, 2026, an increase of $4.5 million, or 4.5%, compared to $101.0 million for the three months ended July 31, 2025. This increase was primarily driven by higher Rental Product Depreciation and Revenue Share costs and higher Fulfillment expenses, partially offset by lower G&amp;A expenses and Other Depreciation and Amortization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i/>
          <w:color w:val="000000"/>
          <w:sz w:val="20"/>
          <w:shd w:fill="FFFFFF" w:val="clear"/>
        </w:rPr>
        <w:t>Fulfillment.</w:t>
      </w:r>
      <w:r>
        <w:rPr>
          <w:color w:val="000000"/>
          <w:shd w:fill="FFFFFF" w:val="clear"/>
        </w:rPr>
        <w:t>    </w:t>
      </w:r>
      <w:r>
        <w:rPr>
          <w:rFonts w:ascii="Arial;sans-serif" w:hAnsi="Arial;sans-serif"/>
          <w:b w:val="false"/>
          <w:color w:val="000000"/>
          <w:sz w:val="20"/>
          <w:shd w:fill="FFFFFF" w:val="clear"/>
        </w:rPr>
        <w:t xml:space="preserve">Fulfillment expenses were $23.5 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xml:space="preserve">, an increase of $1.0 million, or 4.4%, representing 24.1% of revenue, compared to $22.5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representing 27.8% of revenue</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increase in fulfillment dollars was </w:t>
      </w:r>
      <w:r>
        <w:rPr>
          <w:rFonts w:ascii="Arial;sans-serif" w:hAnsi="Arial;sans-serif"/>
          <w:b w:val="false"/>
          <w:color w:val="000000"/>
          <w:sz w:val="20"/>
          <w:shd w:fill="FFFFFF" w:val="clear"/>
        </w:rPr>
        <w:t>primarily driven by higher transportation costs due to carrier rate increases and increases in warehouse processing costs. Fulfillment costs decreased as a percentage of revenue due primarily to higher revenue per order partially offset by higher transportation and processing costs per order</w:t>
      </w:r>
      <w:r>
        <w:rPr>
          <w:rFonts w:ascii="Arial;sans-serif" w:hAnsi="Arial;sans-serif"/>
          <w:b w:val="false"/>
          <w:color w:val="000000"/>
          <w:sz w:val="20"/>
        </w:rPr>
        <w:t>.</w:t>
      </w:r>
    </w:p>
    <w:p>
      <w:pPr>
        <w:pStyle w:val="TextBody"/>
        <w:bidi w:val="0"/>
        <w:spacing w:lineRule="auto" w:line="288" w:before="240" w:after="283"/>
        <w:jc w:val="left"/>
        <w:rPr/>
      </w:pPr>
      <w:r>
        <w:rPr>
          <w:rFonts w:ascii="Arial;sans-serif" w:hAnsi="Arial;sans-serif"/>
          <w:b/>
          <w:i/>
          <w:color w:val="000000"/>
          <w:sz w:val="20"/>
          <w:shd w:fill="FFFFFF" w:val="clear"/>
        </w:rPr>
        <w:t>Technology.</w:t>
      </w:r>
      <w:r>
        <w:rPr>
          <w:color w:val="000000"/>
          <w:shd w:fill="FFFFFF" w:val="clear"/>
        </w:rPr>
        <w:t>    </w:t>
      </w:r>
      <w:r>
        <w:rPr>
          <w:rFonts w:ascii="Arial;sans-serif" w:hAnsi="Arial;sans-serif"/>
          <w:b w:val="false"/>
          <w:color w:val="000000"/>
          <w:sz w:val="20"/>
          <w:shd w:fill="FFFFFF" w:val="clear"/>
        </w:rPr>
        <w:t xml:space="preserve">Technology expenses were $9.8 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xml:space="preserve">, flat to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Technology expenses were 10.0% of revenue for the three months ended July 31, 2026 compared to 12.1% for the same period last year primarily due to operating leverage from higher Revenue. Technology related share-based compensation expense was $0.1 million for the three months ended July 31, 2026 and was $0.2 million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2026, we expect technology expenses to decrease as a percentage of total revenue compared to fiscal year 2025.</w:t>
      </w:r>
    </w:p>
    <w:p>
      <w:pPr>
        <w:pStyle w:val="TextBody"/>
        <w:bidi w:val="0"/>
        <w:spacing w:lineRule="auto" w:line="288" w:before="24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Marketing expenses were $7.4 million for the three months ended July 31, 2026, flat to the 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Minimal increases in paid marketing expenses were offset by decreases in marketing employee expenses. Marketing expenses unrelated to personnel costs were $6.7 million in the three months ended July 31, 2026 and 6.9% of revenue, compared to $6.5 million and 8.0% of total revenue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fiscal year 2026, we expect marketing expenses to increase in dollars but decrease as a percentage of total revenue compared to fiscal year 2025. The timing of our marketing expenses during the year will depend in part on the timing of marketing campaigns.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were $23.8 million for the three months ended July 31, 2026, a decrease of $(0.8) million, or (3.3)%, compared to $24.6 million for the 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This decrease was driven primarily by expenses relating to the Recapitalization Transactions that occurred in July 2025. G&amp;A expenses as a percentage of revenue were 24.4%, compared to 30.4% last year. G&amp;A related share-based compensation expense was $0.6 million for the three months ended July 31, 2026 and was $1.2 million for the 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fiscal year 2026, we expect G&amp;A expenses to decrease as a percentage of total revenue compared to fiscal year 2025.</w:t>
      </w:r>
    </w:p>
    <w:p>
      <w:pPr>
        <w:pStyle w:val="TextBody"/>
        <w:bidi w:val="0"/>
        <w:spacing w:lineRule="auto" w:line="288" w:before="240" w:after="283"/>
        <w:jc w:val="left"/>
        <w:rPr/>
      </w:pPr>
      <w:r>
        <w:rPr>
          <w:rFonts w:ascii="Arial;sans-serif" w:hAnsi="Arial;sans-serif"/>
          <w:b/>
          <w:i/>
          <w:color w:val="000000"/>
          <w:sz w:val="20"/>
          <w:shd w:fill="FFFFFF" w:val="clear"/>
        </w:rPr>
        <w:t>Rental Product Depreciation and Revenue Share.</w:t>
      </w:r>
      <w:r>
        <w:rPr>
          <w:color w:val="000000"/>
          <w:shd w:fill="FFFFFF" w:val="clear"/>
        </w:rPr>
        <w:t>    </w:t>
      </w:r>
      <w:r>
        <w:rPr>
          <w:rFonts w:ascii="Arial;sans-serif" w:hAnsi="Arial;sans-serif"/>
          <w:b w:val="false"/>
          <w:color w:val="000000"/>
          <w:sz w:val="20"/>
        </w:rPr>
        <w:t>Rental product depreciation and revenue share was $38.9 million for the three months ended July 31, 2026, an increase of $4.8 million, or 14.1%, compared to $34.1 million for the three months ended July 31, 2025. The increase was primarily driven by higher revenue share expenses due to higher Share by RTR units utilized during the period. Rental product depreciation and revenue share was 39.8% of revenue in the three months ended July 31, 2026, down from 42.2% in the same period last year.</w:t>
      </w:r>
    </w:p>
    <w:p>
      <w:pPr>
        <w:pStyle w:val="TextBody"/>
        <w:bidi w:val="0"/>
        <w:spacing w:lineRule="auto" w:line="288" w:before="240" w:after="283"/>
        <w:jc w:val="left"/>
        <w:rPr/>
      </w:pPr>
      <w:r>
        <w:rPr>
          <w:rFonts w:ascii="Arial;sans-serif" w:hAnsi="Arial;sans-serif"/>
          <w:b/>
          <w:i/>
          <w:color w:val="000000"/>
          <w:sz w:val="20"/>
          <w:shd w:fill="FFFFFF" w:val="clear"/>
        </w:rPr>
        <w:t>Other Depreciation and Amortization.</w:t>
      </w:r>
      <w:r>
        <w:rPr>
          <w:color w:val="000000"/>
          <w:shd w:fill="FFFFFF" w:val="clear"/>
        </w:rPr>
        <w:t>    </w:t>
      </w:r>
      <w:r>
        <w:rPr>
          <w:rFonts w:ascii="Arial;sans-serif" w:hAnsi="Arial;sans-serif"/>
          <w:b w:val="false"/>
          <w:color w:val="000000"/>
          <w:sz w:val="20"/>
          <w:shd w:fill="FFFFFF" w:val="clear"/>
        </w:rPr>
        <w:t xml:space="preserve">Other depreciation and amortization was $2.1 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a decrease of $(0.5) million, or (19.2)%, compared to $2.6 </w:t>
      </w:r>
      <w:r>
        <w:rPr>
          <w:rFonts w:ascii="Arial;sans-serif" w:hAnsi="Arial;sans-serif"/>
          <w:b w:val="false"/>
          <w:color w:val="000000"/>
          <w:sz w:val="20"/>
        </w:rPr>
        <w:t>million for the 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This decrease was primarily driven by lower depreciation and amortization associated with machinery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i/>
          <w:color w:val="000000"/>
          <w:sz w:val="20"/>
          <w:shd w:fill="FFFFFF" w:val="clear"/>
        </w:rPr>
        <w:t>Interest Income / (Expense), Net.</w:t>
      </w:r>
      <w:r>
        <w:rPr>
          <w:color w:val="000000"/>
          <w:shd w:fill="FFFFFF" w:val="clear"/>
        </w:rPr>
        <w:t>    </w:t>
      </w:r>
      <w:r>
        <w:rPr>
          <w:rFonts w:ascii="Arial;sans-serif" w:hAnsi="Arial;sans-serif"/>
          <w:b w:val="false"/>
          <w:color w:val="000000"/>
          <w:sz w:val="20"/>
          <w:shd w:fill="FFFFFF" w:val="clear"/>
        </w:rPr>
        <w:t xml:space="preserve">Interest expense, net was $(0.2) million for the </w:t>
      </w:r>
      <w:r>
        <w:rPr>
          <w:rFonts w:ascii="Arial;sans-serif" w:hAnsi="Arial;sans-serif"/>
          <w:b w:val="false"/>
          <w:color w:val="000000"/>
          <w:sz w:val="20"/>
        </w:rPr>
        <w:t>three months ended July 31, 2026</w:t>
      </w:r>
      <w:r>
        <w:rPr>
          <w:rFonts w:ascii="Arial;sans-serif" w:hAnsi="Arial;sans-serif"/>
          <w:b w:val="false"/>
          <w:color w:val="000000"/>
          <w:sz w:val="20"/>
          <w:shd w:fill="FFFFFF" w:val="clear"/>
        </w:rPr>
        <w:t xml:space="preserve">, a decrease in expense of $6.7 million, or (97.1)%, compared to $(6.9)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The decrease was driven by reduced interest expense following the New Credit Agreement, as the modification of the existing debt, which was part of the October 2025 recapitalization transactions, was accounted for as a troubled debt restructuring. This decrease was partially offset by interest expense recognized on the new term loans issued to Nexus and STORY3 as part of the recapitalization transactions, interest expense recognized as a result of the Second Amendment to the New Credit Agreement, and lower interest income. Of the $(0.2) million total interest expense in the three months ended July 31, 2026, $2.3 million related to debt premium amortization, $(2.7) million related to paid-in-kind interest, and $0.2 million was the net of interest earned, financing lease and other interest, compared to $(7.2) million related to paid-in-kind interest, $(3.6) million of the net of cash interest, interest earned, financing lease and other interest and $3.9 million of debt discount amortization in the three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Other Income / (Expense), Net. </w:t>
      </w:r>
      <w:r>
        <w:rPr>
          <w:rFonts w:ascii="Arial;sans-serif" w:hAnsi="Arial;sans-serif"/>
          <w:b w:val="false"/>
          <w:color w:val="000000"/>
          <w:sz w:val="20"/>
        </w:rPr>
        <w:t xml:space="preserve">Other income / (expense), net was $1.3 million for the three months ended July 31, 2026, an increase from $0.6 million for the three months ended </w:t>
      </w:r>
      <w:r>
        <w:rPr>
          <w:rFonts w:ascii="Arial;sans-serif" w:hAnsi="Arial;sans-serif"/>
          <w:b w:val="false"/>
          <w:color w:val="000000"/>
          <w:sz w:val="20"/>
          <w:shd w:fill="FFFFFF" w:val="clear"/>
        </w:rPr>
        <w:t>July 31, 2025 primarily due to tariff refunds and recoveries on lost shipments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Securities Litigation Expense. </w:t>
      </w:r>
      <w:r>
        <w:rPr>
          <w:rFonts w:ascii="Arial;sans-serif" w:hAnsi="Arial;sans-serif"/>
          <w:b w:val="false"/>
          <w:color w:val="000000"/>
          <w:sz w:val="20"/>
        </w:rPr>
        <w:t xml:space="preserve">Securities litigation expense was $(6.1) million for the three months ended July 31, 2026 </w:t>
      </w:r>
      <w:r>
        <w:rPr>
          <w:rFonts w:ascii="Arial;sans-serif" w:hAnsi="Arial;sans-serif"/>
          <w:b w:val="false"/>
          <w:color w:val="000000"/>
          <w:sz w:val="20"/>
          <w:shd w:fill="FFFFFF" w:val="clear"/>
        </w:rPr>
        <w:t xml:space="preserve">due to the settlement of the class action lawsuit </w:t>
      </w:r>
      <w:r>
        <w:rPr>
          <w:rFonts w:ascii="Arial;sans-serif" w:hAnsi="Arial;sans-serif"/>
          <w:b w:val="false"/>
          <w:color w:val="000000"/>
          <w:sz w:val="20"/>
        </w:rPr>
        <w:t>described in “Note 14 - Commitments and Contingencies” in the Notes to the Condensed Consolidated Financial Statements.</w:t>
      </w:r>
    </w:p>
    <w:p>
      <w:pPr>
        <w:pStyle w:val="TextBody"/>
        <w:bidi w:val="0"/>
        <w:spacing w:lineRule="auto" w:line="288" w:before="360" w:after="283"/>
        <w:jc w:val="left"/>
        <w:rPr/>
      </w:pPr>
      <w:r>
        <w:rPr>
          <w:rFonts w:ascii="Arial;sans-serif" w:hAnsi="Arial;sans-serif"/>
          <w:b/>
          <w:i/>
          <w:color w:val="000000"/>
          <w:sz w:val="20"/>
          <w:shd w:fill="FFFFFF" w:val="clear"/>
        </w:rPr>
        <w:t xml:space="preserve">Comparison of the </w:t>
      </w:r>
      <w:r>
        <w:rPr>
          <w:rFonts w:ascii="Arial;sans-serif" w:hAnsi="Arial;sans-serif"/>
          <w:b/>
          <w:i/>
          <w:color w:val="000000"/>
          <w:sz w:val="20"/>
        </w:rPr>
        <w:t>six months ended July 31, 2026</w:t>
      </w:r>
      <w:r>
        <w:rPr>
          <w:color w:val="000000"/>
          <w:shd w:fill="FFFFFF" w:val="clear"/>
        </w:rPr>
        <w:t xml:space="preserve"> </w:t>
      </w:r>
      <w:r>
        <w:rPr>
          <w:rFonts w:ascii="Arial;sans-serif" w:hAnsi="Arial;sans-serif"/>
          <w:b/>
          <w:i/>
          <w:color w:val="000000"/>
          <w:sz w:val="20"/>
          <w:shd w:fill="FFFFFF" w:val="clear"/>
        </w:rPr>
        <w:t>and 2025</w:t>
      </w:r>
    </w:p>
    <w:p>
      <w:pPr>
        <w:pStyle w:val="TextBody"/>
        <w:bidi w:val="0"/>
        <w:spacing w:lineRule="auto" w:line="288" w:before="120" w:after="283"/>
        <w:jc w:val="left"/>
        <w:rPr/>
      </w:pPr>
      <w:r>
        <w:rPr>
          <w:rFonts w:ascii="Arial;sans-serif" w:hAnsi="Arial;sans-serif"/>
          <w:b/>
          <w:i/>
          <w:color w:val="000000"/>
          <w:sz w:val="20"/>
          <w:shd w:fill="FFFFFF" w:val="clear"/>
        </w:rPr>
        <w:t>Total Revenue, Net.</w:t>
      </w:r>
      <w:r>
        <w:rPr>
          <w:color w:val="000000"/>
          <w:shd w:fill="FFFFFF" w:val="clear"/>
        </w:rPr>
        <w:t>    </w:t>
      </w:r>
      <w:r>
        <w:rPr>
          <w:rFonts w:ascii="Arial;sans-serif" w:hAnsi="Arial;sans-serif"/>
          <w:b w:val="false"/>
          <w:color w:val="000000"/>
          <w:sz w:val="20"/>
          <w:shd w:fill="FFFFFF" w:val="clear"/>
        </w:rPr>
        <w:t>Total revenue, net was $</w:t>
      </w:r>
      <w:r>
        <w:rPr>
          <w:rFonts w:ascii="Arial;sans-serif" w:hAnsi="Arial;sans-serif"/>
          <w:b w:val="false"/>
          <w:color w:val="000000"/>
          <w:sz w:val="20"/>
        </w:rPr>
        <w:t>187.6</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an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$37.1</w:t>
      </w:r>
      <w:r>
        <w:rPr>
          <w:color w:val="000000"/>
          <w:shd w:fill="FFFFFF" w:val="clear"/>
        </w:rPr>
        <w:t> </w:t>
      </w:r>
      <w:r>
        <w:rPr>
          <w:rFonts w:ascii="Arial;sans-serif" w:hAnsi="Arial;sans-serif"/>
          <w:b w:val="false"/>
          <w:color w:val="000000"/>
          <w:sz w:val="20"/>
          <w:shd w:fill="FFFFFF" w:val="clear"/>
        </w:rPr>
        <w:t xml:space="preserve">million, or </w:t>
      </w:r>
      <w:r>
        <w:rPr>
          <w:rFonts w:ascii="Arial;sans-serif" w:hAnsi="Arial;sans-serif"/>
          <w:b w:val="false"/>
          <w:color w:val="000000"/>
          <w:sz w:val="20"/>
        </w:rPr>
        <w:t>24.7%</w:t>
      </w:r>
      <w:r>
        <w:rPr>
          <w:rFonts w:ascii="Arial;sans-serif" w:hAnsi="Arial;sans-serif"/>
          <w:b w:val="false"/>
          <w:color w:val="000000"/>
          <w:sz w:val="20"/>
          <w:shd w:fill="FFFFFF" w:val="clear"/>
        </w:rPr>
        <w:t>, compared to $</w:t>
      </w:r>
      <w:r>
        <w:rPr>
          <w:rFonts w:ascii="Arial;sans-serif" w:hAnsi="Arial;sans-serif"/>
          <w:b w:val="false"/>
          <w:color w:val="000000"/>
          <w:sz w:val="20"/>
        </w:rPr>
        <w:t>150.5</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July 31, 2025. This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was driven by higher Subscription and Reserve rental revenue and higher Other revenue. In </w:t>
      </w:r>
      <w:r>
        <w:rPr>
          <w:rFonts w:ascii="Arial;sans-serif" w:hAnsi="Arial;sans-serif"/>
          <w:b w:val="false"/>
          <w:color w:val="000000"/>
          <w:sz w:val="20"/>
        </w:rPr>
        <w:t>fiscal year 2026, we expect revenue to increase due to higher Subscription prices and a larger Subscription customer base due to a particular focus on increasing our Active Subscribers year-over-year.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Subscription and Reserve Rental Revenue.</w:t>
      </w:r>
      <w:r>
        <w:rPr>
          <w:color w:val="000000"/>
          <w:shd w:fill="FFFFFF" w:val="clear"/>
        </w:rPr>
        <w:t>    </w:t>
      </w:r>
      <w:r>
        <w:rPr>
          <w:rFonts w:ascii="Arial;sans-serif" w:hAnsi="Arial;sans-serif"/>
          <w:b w:val="false"/>
          <w:color w:val="000000"/>
          <w:sz w:val="20"/>
          <w:shd w:fill="FFFFFF" w:val="clear"/>
        </w:rPr>
        <w:t xml:space="preserve">Subscription and Reserve rental revenue was </w:t>
      </w:r>
      <w:r>
        <w:rPr>
          <w:rFonts w:ascii="Arial;sans-serif" w:hAnsi="Arial;sans-serif"/>
          <w:b w:val="false"/>
          <w:color w:val="000000"/>
          <w:sz w:val="20"/>
        </w:rPr>
        <w:t>$161.5</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an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$30.3</w:t>
      </w:r>
      <w:r>
        <w:rPr>
          <w:color w:val="000000"/>
          <w:shd w:fill="FFFFFF" w:val="clear"/>
        </w:rPr>
        <w:t> </w:t>
      </w:r>
      <w:r>
        <w:rPr>
          <w:rFonts w:ascii="Arial;sans-serif" w:hAnsi="Arial;sans-serif"/>
          <w:b w:val="false"/>
          <w:color w:val="000000"/>
          <w:sz w:val="20"/>
          <w:shd w:fill="FFFFFF" w:val="clear"/>
        </w:rPr>
        <w:t xml:space="preserve">million, or </w:t>
      </w:r>
      <w:r>
        <w:rPr>
          <w:rFonts w:ascii="Arial;sans-serif" w:hAnsi="Arial;sans-serif"/>
          <w:b w:val="false"/>
          <w:color w:val="000000"/>
          <w:sz w:val="20"/>
        </w:rPr>
        <w:t>23.1%</w:t>
      </w:r>
      <w:r>
        <w:rPr>
          <w:rFonts w:ascii="Arial;sans-serif" w:hAnsi="Arial;sans-serif"/>
          <w:b w:val="false"/>
          <w:color w:val="000000"/>
          <w:sz w:val="20"/>
          <w:shd w:fill="FFFFFF" w:val="clear"/>
        </w:rPr>
        <w:t xml:space="preserve">, compared to </w:t>
      </w:r>
      <w:r>
        <w:rPr>
          <w:rFonts w:ascii="Arial;sans-serif" w:hAnsi="Arial;sans-serif"/>
          <w:b w:val="false"/>
          <w:color w:val="000000"/>
          <w:sz w:val="20"/>
        </w:rPr>
        <w:t>$131.2</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July 31, 2025. This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was primarily </w:t>
      </w:r>
      <w:r>
        <w:rPr>
          <w:rFonts w:ascii="Arial;sans-serif" w:hAnsi="Arial;sans-serif"/>
          <w:b w:val="false"/>
          <w:color w:val="000000"/>
          <w:sz w:val="20"/>
        </w:rPr>
        <w:t>driven by higher revenue per subscriber and higher average Active Subscribers, partially offset by lower Reserve rental revenue.</w:t>
      </w:r>
    </w:p>
    <w:p>
      <w:pPr>
        <w:pStyle w:val="TextBody"/>
        <w:bidi w:val="0"/>
        <w:spacing w:lineRule="auto" w:line="288" w:before="240" w:after="283"/>
        <w:jc w:val="left"/>
        <w:rPr/>
      </w:pPr>
      <w:r>
        <w:rPr>
          <w:rFonts w:ascii="Arial;sans-serif" w:hAnsi="Arial;sans-serif"/>
          <w:b/>
          <w:i/>
          <w:color w:val="000000"/>
          <w:sz w:val="20"/>
          <w:shd w:fill="FFFFFF" w:val="clear"/>
        </w:rPr>
        <w:t>Other Revenue.</w:t>
      </w:r>
      <w:r>
        <w:rPr>
          <w:color w:val="000000"/>
          <w:shd w:fill="FFFFFF" w:val="clear"/>
        </w:rPr>
        <w:t>    </w:t>
      </w:r>
      <w:r>
        <w:rPr>
          <w:rFonts w:ascii="Arial;sans-serif" w:hAnsi="Arial;sans-serif"/>
          <w:b w:val="false"/>
          <w:color w:val="000000"/>
          <w:sz w:val="20"/>
        </w:rPr>
        <w:t xml:space="preserve">Other revenue was $26.1 million for the six months ended July 31, 2026, an increase of $6.8 million, or 35.2%, compared to $19.3 million for the six months ended July 31, 2025. This increase was primarily driven by an increase in items purchased per Average Active Subscriber, higher average selling price per item and higher Average Active Subscribers. Other revenue represented 13.9% of total revenue, up from 12.8% in the same period last year. </w:t>
      </w:r>
    </w:p>
    <w:p>
      <w:pPr>
        <w:pStyle w:val="TextBody"/>
        <w:bidi w:val="0"/>
        <w:spacing w:lineRule="auto" w:line="288" w:before="240" w:after="283"/>
        <w:jc w:val="left"/>
        <w:rPr/>
      </w:pPr>
      <w:r>
        <w:rPr>
          <w:rFonts w:ascii="Arial;sans-serif" w:hAnsi="Arial;sans-serif"/>
          <w:b/>
          <w:i/>
          <w:color w:val="000000"/>
          <w:sz w:val="20"/>
          <w:shd w:fill="FFFFFF" w:val="clear"/>
        </w:rPr>
        <w:t>Costs and Expenses.</w:t>
      </w:r>
      <w:r>
        <w:rPr>
          <w:color w:val="000000"/>
          <w:shd w:fill="FFFFFF" w:val="clear"/>
        </w:rPr>
        <w:t>    </w:t>
      </w:r>
      <w:r>
        <w:rPr>
          <w:rFonts w:ascii="Arial;sans-serif" w:hAnsi="Arial;sans-serif"/>
          <w:b w:val="false"/>
          <w:color w:val="000000"/>
          <w:sz w:val="20"/>
        </w:rPr>
        <w:t>Total costs and expenses were $215.1 million for the six months ended July 31, 2026, an increase of $24.8 million, or 13.0%, compared to $190.3 million for the six months ended July 31, 2025. This increase was driven by higher Rental Product Depreciation and Revenue Share costs, higher Fulfillment expenses, and higher G&amp;A expenses, partially offset by lower Other Depreciation and Amortization costs, Marketing expenses and Technology expenses.</w:t>
      </w:r>
    </w:p>
    <w:p>
      <w:pPr>
        <w:pStyle w:val="TextBody"/>
        <w:bidi w:val="0"/>
        <w:spacing w:lineRule="auto" w:line="288" w:before="240" w:after="283"/>
        <w:jc w:val="left"/>
        <w:rPr/>
      </w:pPr>
      <w:r>
        <w:rPr>
          <w:rFonts w:ascii="Arial;sans-serif" w:hAnsi="Arial;sans-serif"/>
          <w:b/>
          <w:i/>
          <w:color w:val="000000"/>
          <w:sz w:val="20"/>
          <w:shd w:fill="FFFFFF" w:val="clear"/>
        </w:rPr>
        <w:t>Fulfillment.</w:t>
      </w:r>
      <w:r>
        <w:rPr>
          <w:color w:val="000000"/>
          <w:shd w:fill="FFFFFF" w:val="clear"/>
        </w:rPr>
        <w:t>    </w:t>
      </w:r>
      <w:r>
        <w:rPr>
          <w:rFonts w:ascii="Arial;sans-serif" w:hAnsi="Arial;sans-serif"/>
          <w:b w:val="false"/>
          <w:color w:val="000000"/>
          <w:sz w:val="20"/>
          <w:shd w:fill="FFFFFF" w:val="clear"/>
        </w:rPr>
        <w:t xml:space="preserve">Fulfillment expenses were </w:t>
      </w:r>
      <w:r>
        <w:rPr>
          <w:rFonts w:ascii="Arial;sans-serif" w:hAnsi="Arial;sans-serif"/>
          <w:b w:val="false"/>
          <w:color w:val="000000"/>
          <w:sz w:val="20"/>
        </w:rPr>
        <w:t>$47.1</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an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$4.2</w:t>
      </w:r>
      <w:r>
        <w:rPr>
          <w:color w:val="000000"/>
          <w:shd w:fill="FFFFFF" w:val="clear"/>
        </w:rPr>
        <w:t> </w:t>
      </w:r>
      <w:r>
        <w:rPr>
          <w:rFonts w:ascii="Arial;sans-serif" w:hAnsi="Arial;sans-serif"/>
          <w:b w:val="false"/>
          <w:color w:val="000000"/>
          <w:sz w:val="20"/>
          <w:shd w:fill="FFFFFF" w:val="clear"/>
        </w:rPr>
        <w:t xml:space="preserve">million, or </w:t>
      </w:r>
      <w:r>
        <w:rPr>
          <w:rFonts w:ascii="Arial;sans-serif" w:hAnsi="Arial;sans-serif"/>
          <w:b w:val="false"/>
          <w:color w:val="000000"/>
          <w:sz w:val="20"/>
        </w:rPr>
        <w:t>9.8%</w:t>
      </w:r>
      <w:r>
        <w:rPr>
          <w:rFonts w:ascii="Arial;sans-serif" w:hAnsi="Arial;sans-serif"/>
          <w:b w:val="false"/>
          <w:color w:val="000000"/>
          <w:sz w:val="20"/>
          <w:shd w:fill="FFFFFF" w:val="clear"/>
        </w:rPr>
        <w:t xml:space="preserve">, representing </w:t>
      </w:r>
      <w:r>
        <w:rPr>
          <w:rFonts w:ascii="Arial;sans-serif" w:hAnsi="Arial;sans-serif"/>
          <w:b w:val="false"/>
          <w:color w:val="000000"/>
          <w:sz w:val="20"/>
        </w:rPr>
        <w:t>25.1%</w:t>
      </w:r>
      <w:r>
        <w:rPr>
          <w:color w:val="000000"/>
          <w:shd w:fill="FFFFFF" w:val="clear"/>
        </w:rPr>
        <w:t xml:space="preserve"> </w:t>
      </w:r>
      <w:r>
        <w:rPr>
          <w:rFonts w:ascii="Arial;sans-serif" w:hAnsi="Arial;sans-serif"/>
          <w:b w:val="false"/>
          <w:color w:val="000000"/>
          <w:sz w:val="20"/>
          <w:shd w:fill="FFFFFF" w:val="clear"/>
        </w:rPr>
        <w:t>of revenue, compared to $</w:t>
      </w:r>
      <w:r>
        <w:rPr>
          <w:rFonts w:ascii="Arial;sans-serif" w:hAnsi="Arial;sans-serif"/>
          <w:b w:val="false"/>
          <w:color w:val="000000"/>
          <w:sz w:val="20"/>
        </w:rPr>
        <w:t>42.9</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representing 28.5% of revenue</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increase in fulfillment dollars was </w:t>
      </w:r>
      <w:r>
        <w:rPr>
          <w:rFonts w:ascii="Arial;sans-serif" w:hAnsi="Arial;sans-serif"/>
          <w:b w:val="false"/>
          <w:color w:val="000000"/>
          <w:sz w:val="20"/>
          <w:shd w:fill="FFFFFF" w:val="clear"/>
        </w:rPr>
        <w:t>primarily driven by an increase in orders due to higher average active subscribers, higher transportation costs due to carrier rate increases, and increases in warehouse processing costs. Fulfillment costs decreased as a percentage of revenue due primarily to higher revenue per order partially offset by higher transportation and processing costs per order</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i/>
          <w:color w:val="000000"/>
          <w:sz w:val="20"/>
          <w:shd w:fill="FFFFFF" w:val="clear"/>
        </w:rPr>
        <w:t>Technology.</w:t>
      </w:r>
      <w:r>
        <w:rPr>
          <w:color w:val="000000"/>
          <w:shd w:fill="FFFFFF" w:val="clear"/>
        </w:rPr>
        <w:t>    </w:t>
      </w:r>
      <w:r>
        <w:rPr>
          <w:rFonts w:ascii="Arial;sans-serif" w:hAnsi="Arial;sans-serif"/>
          <w:b w:val="false"/>
          <w:color w:val="000000"/>
          <w:sz w:val="20"/>
          <w:shd w:fill="FFFFFF" w:val="clear"/>
        </w:rPr>
        <w:t xml:space="preserve">Technology expenses were </w:t>
      </w:r>
      <w:r>
        <w:rPr>
          <w:rFonts w:ascii="Arial;sans-serif" w:hAnsi="Arial;sans-serif"/>
          <w:b w:val="false"/>
          <w:color w:val="000000"/>
          <w:sz w:val="20"/>
        </w:rPr>
        <w:t>$19.2</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a </w:t>
      </w:r>
      <w:r>
        <w:rPr>
          <w:rFonts w:ascii="Arial;sans-serif" w:hAnsi="Arial;sans-serif"/>
          <w:b w:val="false"/>
          <w:color w:val="000000"/>
          <w:sz w:val="20"/>
        </w:rPr>
        <w:t>decrease</w:t>
      </w:r>
      <w:r>
        <w:rPr>
          <w:color w:val="000000"/>
          <w:shd w:fill="FFFFFF" w:val="clear"/>
        </w:rPr>
        <w:t xml:space="preserve"> </w:t>
      </w:r>
      <w:r>
        <w:rPr>
          <w:rFonts w:ascii="Arial;sans-serif" w:hAnsi="Arial;sans-serif"/>
          <w:b w:val="false"/>
          <w:color w:val="000000"/>
          <w:sz w:val="20"/>
          <w:shd w:fill="FFFFFF" w:val="clear"/>
        </w:rPr>
        <w:t>of </w:t>
      </w:r>
      <w:r>
        <w:rPr>
          <w:rFonts w:ascii="Arial;sans-serif" w:hAnsi="Arial;sans-serif"/>
          <w:b w:val="false"/>
          <w:color w:val="000000"/>
          <w:sz w:val="20"/>
        </w:rPr>
        <w:t xml:space="preserve">$(0.2) </w:t>
      </w:r>
      <w:r>
        <w:rPr>
          <w:rFonts w:ascii="Arial;sans-serif" w:hAnsi="Arial;sans-serif"/>
          <w:b w:val="false"/>
          <w:color w:val="000000"/>
          <w:sz w:val="20"/>
          <w:shd w:fill="FFFFFF" w:val="clear"/>
        </w:rPr>
        <w:t xml:space="preserve">million, or </w:t>
      </w:r>
      <w:r>
        <w:rPr>
          <w:rFonts w:ascii="Arial;sans-serif" w:hAnsi="Arial;sans-serif"/>
          <w:b w:val="false"/>
          <w:color w:val="000000"/>
          <w:sz w:val="20"/>
        </w:rPr>
        <w:t>(1.0)%</w:t>
      </w:r>
      <w:r>
        <w:rPr>
          <w:rFonts w:ascii="Arial;sans-serif" w:hAnsi="Arial;sans-serif"/>
          <w:b w:val="false"/>
          <w:color w:val="000000"/>
          <w:sz w:val="20"/>
          <w:shd w:fill="FFFFFF" w:val="clear"/>
        </w:rPr>
        <w:t>, compared to $</w:t>
      </w:r>
      <w:r>
        <w:rPr>
          <w:rFonts w:ascii="Arial;sans-serif" w:hAnsi="Arial;sans-serif"/>
          <w:b w:val="false"/>
          <w:color w:val="000000"/>
          <w:sz w:val="20"/>
        </w:rPr>
        <w:t>19.4</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Technology expenses were 10.2% of revenue for the six months ended July 31, 2026 compared to 12.9% for the same period last year primarily due to operating leverage from higher Revenue. Technology related share-based compensation expense was $0.3 million for the six months ended July 31, 2026 and was $0.5 million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2026, we expect technology expenses to decrease as a percentage of total revenue compared to fiscal year 2025.</w:t>
      </w:r>
    </w:p>
    <w:p>
      <w:pPr>
        <w:pStyle w:val="TextBody"/>
        <w:bidi w:val="0"/>
        <w:spacing w:lineRule="auto" w:line="288" w:before="24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Marketing expenses were $15.4 million for the six months ended July 31, 2026, a decrease of $(0.6) million, or (3.8)%, compared to $16.0 million for the 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This decrease was driven primarily by lower paid marketing expenses and lower marketing employee expenses. Marketing expenses unrelated to personnel costs were $14.0 million in the six months ended July 31, 2026 and 7.5% of revenue, compared to $14.4 million and 9.6% of total revenue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fiscal year 2026, we expect marketing expenses to increase in dollars but decrease as a percentage of total revenue compared to fiscal year 2025. The timing of our marketing expenses during the year will depend in part on the timing of marketing campaigns.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were $47.2 million for the six months ended July 31, 2026, an increase of $1.9 million, or 4.2%, compared to $45.3 million for the 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This increase was driven primarily by an increase in credit card fees due to the increase in revenue and an increase occupancy and other G&amp;A expenses. G&amp;A expenses as a percentage of revenue were 25.2%, compared to 30.1% last year, as we saw increased operating leverage. G&amp;A related share-based compensation expense was $1.9 million for the six months ended July 31, 2026 and was $2.4 million for the 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fiscal year 2026, we expect G&amp;A expenses to decrease as a percentage of total revenue compared to fiscal year 2025.</w:t>
      </w:r>
    </w:p>
    <w:p>
      <w:pPr>
        <w:pStyle w:val="TextBody"/>
        <w:bidi w:val="0"/>
        <w:spacing w:lineRule="auto" w:line="288" w:before="240" w:after="283"/>
        <w:jc w:val="left"/>
        <w:rPr/>
      </w:pPr>
      <w:r>
        <w:rPr>
          <w:rFonts w:ascii="Arial;sans-serif" w:hAnsi="Arial;sans-serif"/>
          <w:b/>
          <w:i/>
          <w:color w:val="000000"/>
          <w:sz w:val="20"/>
          <w:shd w:fill="FFFFFF" w:val="clear"/>
        </w:rPr>
        <w:t>Rental Product Depreciation and Revenue Share.</w:t>
      </w:r>
      <w:r>
        <w:rPr>
          <w:color w:val="000000"/>
          <w:shd w:fill="FFFFFF" w:val="clear"/>
        </w:rPr>
        <w:t>   </w:t>
      </w:r>
      <w:r>
        <w:rPr>
          <w:color w:val="000000"/>
        </w:rPr>
        <w:t> </w:t>
      </w:r>
      <w:r>
        <w:rPr>
          <w:rFonts w:ascii="Arial;sans-serif" w:hAnsi="Arial;sans-serif"/>
          <w:b w:val="false"/>
          <w:color w:val="000000"/>
          <w:sz w:val="20"/>
        </w:rPr>
        <w:t>Rental product depreciation and revenue share was $81.9 million for the six months ended July 31, 2026, an increase of $20.5 million, or 33.4%, compared to $61.4 million for the six months ended July 31, 2025. The increase was primarily driven by higher revenue share expenses due to higher Share by RTR units acquired and utilized during the period. Rental product depreciation and revenue share was 43.7% of revenue in the six months ended July 31, 2026, up from 40.8% in the same period last year.</w:t>
      </w:r>
    </w:p>
    <w:p>
      <w:pPr>
        <w:pStyle w:val="TextBody"/>
        <w:bidi w:val="0"/>
        <w:spacing w:lineRule="auto" w:line="288" w:before="240" w:after="283"/>
        <w:jc w:val="left"/>
        <w:rPr/>
      </w:pPr>
      <w:r>
        <w:rPr>
          <w:rFonts w:ascii="Arial;sans-serif" w:hAnsi="Arial;sans-serif"/>
          <w:b/>
          <w:i/>
          <w:color w:val="000000"/>
          <w:sz w:val="20"/>
          <w:shd w:fill="FFFFFF" w:val="clear"/>
        </w:rPr>
        <w:t>Other Depreciation and Amortization.</w:t>
      </w:r>
      <w:r>
        <w:rPr>
          <w:color w:val="000000"/>
          <w:shd w:fill="FFFFFF" w:val="clear"/>
        </w:rPr>
        <w:t>    </w:t>
      </w:r>
      <w:r>
        <w:rPr>
          <w:rFonts w:ascii="Arial;sans-serif" w:hAnsi="Arial;sans-serif"/>
          <w:b w:val="false"/>
          <w:color w:val="000000"/>
          <w:sz w:val="20"/>
          <w:shd w:fill="FFFFFF" w:val="clear"/>
        </w:rPr>
        <w:t xml:space="preserve">Other depreciation and amortization was </w:t>
      </w:r>
      <w:r>
        <w:rPr>
          <w:rFonts w:ascii="Arial;sans-serif" w:hAnsi="Arial;sans-serif"/>
          <w:b w:val="false"/>
          <w:color w:val="000000"/>
          <w:sz w:val="20"/>
        </w:rPr>
        <w:t>$4.3</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a </w:t>
      </w:r>
      <w:r>
        <w:rPr>
          <w:rFonts w:ascii="Arial;sans-serif" w:hAnsi="Arial;sans-serif"/>
          <w:b w:val="false"/>
          <w:color w:val="000000"/>
          <w:sz w:val="20"/>
        </w:rPr>
        <w:t>decrease</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$(1.0)</w:t>
      </w:r>
      <w:r>
        <w:rPr>
          <w:color w:val="000000"/>
          <w:shd w:fill="FFFFFF" w:val="clear"/>
        </w:rPr>
        <w:t> </w:t>
      </w:r>
      <w:r>
        <w:rPr>
          <w:rFonts w:ascii="Arial;sans-serif" w:hAnsi="Arial;sans-serif"/>
          <w:b w:val="false"/>
          <w:color w:val="000000"/>
          <w:sz w:val="20"/>
          <w:shd w:fill="FFFFFF" w:val="clear"/>
        </w:rPr>
        <w:t xml:space="preserve">million, or </w:t>
      </w:r>
      <w:r>
        <w:rPr>
          <w:rFonts w:ascii="Arial;sans-serif" w:hAnsi="Arial;sans-serif"/>
          <w:b w:val="false"/>
          <w:color w:val="000000"/>
          <w:sz w:val="20"/>
        </w:rPr>
        <w:t>(18.9)%</w:t>
      </w:r>
      <w:r>
        <w:rPr>
          <w:rFonts w:ascii="Arial;sans-serif" w:hAnsi="Arial;sans-serif"/>
          <w:b w:val="false"/>
          <w:color w:val="000000"/>
          <w:sz w:val="20"/>
          <w:shd w:fill="FFFFFF" w:val="clear"/>
        </w:rPr>
        <w:t>, compared to $</w:t>
      </w:r>
      <w:r>
        <w:rPr>
          <w:rFonts w:ascii="Arial;sans-serif" w:hAnsi="Arial;sans-serif"/>
          <w:b w:val="false"/>
          <w:color w:val="000000"/>
          <w:sz w:val="20"/>
        </w:rPr>
        <w:t>5.3</w:t>
      </w:r>
      <w:r>
        <w:rPr>
          <w:color w:val="000000"/>
          <w:shd w:fill="FFFFFF" w:val="clear"/>
        </w:rPr>
        <w:t> </w:t>
      </w:r>
      <w:r>
        <w:rPr>
          <w:rFonts w:ascii="Arial;sans-serif" w:hAnsi="Arial;sans-serif"/>
          <w:b w:val="false"/>
          <w:color w:val="000000"/>
          <w:sz w:val="20"/>
        </w:rPr>
        <w:t>million for the 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This decrease was primarily driven by lower depreciation and amortization associated with machinery and equipment.</w:t>
      </w:r>
    </w:p>
    <w:p>
      <w:pPr>
        <w:pStyle w:val="TextBody"/>
        <w:bidi w:val="0"/>
        <w:spacing w:lineRule="auto" w:line="288" w:before="240" w:after="283"/>
        <w:jc w:val="left"/>
        <w:rPr/>
      </w:pPr>
      <w:r>
        <w:rPr>
          <w:rFonts w:ascii="Arial;sans-serif" w:hAnsi="Arial;sans-serif"/>
          <w:b/>
          <w:i/>
          <w:color w:val="000000"/>
          <w:sz w:val="20"/>
          <w:shd w:fill="FFFFFF" w:val="clear"/>
        </w:rPr>
        <w:t>Interest Income / (Expense), Net.</w:t>
      </w:r>
      <w:r>
        <w:rPr>
          <w:color w:val="000000"/>
          <w:shd w:fill="FFFFFF" w:val="clear"/>
        </w:rPr>
        <w:t>    </w:t>
      </w:r>
      <w:r>
        <w:rPr>
          <w:rFonts w:ascii="Arial;sans-serif" w:hAnsi="Arial;sans-serif"/>
          <w:b w:val="false"/>
          <w:color w:val="000000"/>
          <w:sz w:val="20"/>
          <w:shd w:fill="FFFFFF" w:val="clear"/>
        </w:rPr>
        <w:t xml:space="preserve">Interest expense, net was </w:t>
      </w:r>
      <w:r>
        <w:rPr>
          <w:rFonts w:ascii="Arial;sans-serif" w:hAnsi="Arial;sans-serif"/>
          <w:b w:val="false"/>
          <w:color w:val="000000"/>
          <w:sz w:val="20"/>
        </w:rPr>
        <w:t>$(0.5)</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a </w:t>
      </w:r>
      <w:r>
        <w:rPr>
          <w:rFonts w:ascii="Arial;sans-serif" w:hAnsi="Arial;sans-serif"/>
          <w:b w:val="false"/>
          <w:color w:val="000000"/>
          <w:sz w:val="20"/>
        </w:rPr>
        <w:t>decrease</w:t>
      </w:r>
      <w:r>
        <w:rPr>
          <w:color w:val="000000"/>
          <w:shd w:fill="FFFFFF" w:val="clear"/>
        </w:rPr>
        <w:t xml:space="preserve"> </w:t>
      </w:r>
      <w:r>
        <w:rPr>
          <w:rFonts w:ascii="Arial;sans-serif" w:hAnsi="Arial;sans-serif"/>
          <w:b w:val="false"/>
          <w:color w:val="000000"/>
          <w:sz w:val="20"/>
          <w:shd w:fill="FFFFFF" w:val="clear"/>
        </w:rPr>
        <w:t xml:space="preserve">in expense of </w:t>
      </w:r>
      <w:r>
        <w:rPr>
          <w:rFonts w:ascii="Arial;sans-serif" w:hAnsi="Arial;sans-serif"/>
          <w:b w:val="false"/>
          <w:color w:val="000000"/>
          <w:sz w:val="20"/>
        </w:rPr>
        <w:t>$(12.7)</w:t>
      </w:r>
      <w:r>
        <w:rPr>
          <w:color w:val="000000"/>
          <w:shd w:fill="FFFFFF" w:val="clear"/>
        </w:rPr>
        <w:t> </w:t>
      </w:r>
      <w:r>
        <w:rPr>
          <w:rFonts w:ascii="Arial;sans-serif" w:hAnsi="Arial;sans-serif"/>
          <w:b w:val="false"/>
          <w:color w:val="000000"/>
          <w:sz w:val="20"/>
          <w:shd w:fill="FFFFFF" w:val="clear"/>
        </w:rPr>
        <w:t xml:space="preserve">million, or </w:t>
      </w:r>
      <w:r>
        <w:rPr>
          <w:rFonts w:ascii="Arial;sans-serif" w:hAnsi="Arial;sans-serif"/>
          <w:b w:val="false"/>
          <w:color w:val="000000"/>
          <w:sz w:val="20"/>
        </w:rPr>
        <w:t>(96.2)%</w:t>
      </w:r>
      <w:r>
        <w:rPr>
          <w:rFonts w:ascii="Arial;sans-serif" w:hAnsi="Arial;sans-serif"/>
          <w:b w:val="false"/>
          <w:color w:val="000000"/>
          <w:sz w:val="20"/>
          <w:shd w:fill="FFFFFF" w:val="clear"/>
        </w:rPr>
        <w:t>, compared to $</w:t>
      </w:r>
      <w:r>
        <w:rPr>
          <w:rFonts w:ascii="Arial;sans-serif" w:hAnsi="Arial;sans-serif"/>
          <w:b w:val="false"/>
          <w:color w:val="000000"/>
          <w:sz w:val="20"/>
        </w:rPr>
        <w:t>(13.2)</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 This decrease was driven by reduced interest expense following the New Credit Agreement, as the modification of the existing debt, which was part of the October 2025 recapitalization transactions, was accounted for as a troubled debt restructuring. This decrease was partially offset by interest expense recognized on the new term loans issued to Nexus and STORY3 as part of the recapitalization transactions, interest expense recognized as a result of the Second Amendment to the New Credit Agreement, and lower interest income. Of the $(0.5) million total interest expense in the six months ended July 31, 2026, $4.5 million related to debt premium amortization, $(5.4) million related to paid-in-kind interest, $0.4 million was the net of interest earned, financing lease and other interest, compared to $(7.2</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million related to paid-in-kind interest, $(3.0) million of the net of interest earned, financing lease and other interest and ($3.0) million of debt discount amortization in the six months ended</w:t>
      </w:r>
      <w:r>
        <w:rPr>
          <w:color w:val="000000"/>
          <w:shd w:fill="FFFFFF" w:val="clear"/>
        </w:rPr>
        <w:t xml:space="preserve"> </w:t>
      </w:r>
      <w:r>
        <w:rPr>
          <w:rFonts w:ascii="Arial;sans-serif" w:hAnsi="Arial;sans-serif"/>
          <w:b w:val="false"/>
          <w:color w:val="000000"/>
          <w:sz w:val="20"/>
          <w:shd w:fill="FFFFFF" w:val="clear"/>
        </w:rPr>
        <w:t>July 31, 2025</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Other Income / (Expense), Net. </w:t>
      </w:r>
      <w:r>
        <w:rPr>
          <w:rFonts w:ascii="Arial;sans-serif" w:hAnsi="Arial;sans-serif"/>
          <w:b w:val="false"/>
          <w:color w:val="000000"/>
          <w:sz w:val="20"/>
        </w:rPr>
        <w:t xml:space="preserve">Other income / (expense), net was $2.4 million for the six months ended July 31, 2026, an increase of $1.7 million, compared to $0.7 million for the six months ended </w:t>
      </w:r>
      <w:r>
        <w:rPr>
          <w:rFonts w:ascii="Arial;sans-serif" w:hAnsi="Arial;sans-serif"/>
          <w:b w:val="false"/>
          <w:color w:val="000000"/>
          <w:sz w:val="20"/>
          <w:shd w:fill="FFFFFF" w:val="clear"/>
        </w:rPr>
        <w:t>July 31, 2025 primarily due to recoveries on lost shipments and tariff refunds</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Securities Litigation Expense. </w:t>
      </w:r>
      <w:r>
        <w:rPr>
          <w:rFonts w:ascii="Arial;sans-serif" w:hAnsi="Arial;sans-serif"/>
          <w:b w:val="false"/>
          <w:color w:val="000000"/>
          <w:sz w:val="20"/>
        </w:rPr>
        <w:t xml:space="preserve">Securities litigation expense was $(6.1) million for the six months ended July 31, 2026 </w:t>
      </w:r>
      <w:r>
        <w:rPr>
          <w:rFonts w:ascii="Arial;sans-serif" w:hAnsi="Arial;sans-serif"/>
          <w:b w:val="false"/>
          <w:color w:val="000000"/>
          <w:sz w:val="20"/>
          <w:shd w:fill="FFFFFF" w:val="clear"/>
        </w:rPr>
        <w:t xml:space="preserve">due to the settlement of the class action lawsuit </w:t>
      </w:r>
      <w:r>
        <w:rPr>
          <w:rFonts w:ascii="Arial;sans-serif" w:hAnsi="Arial;sans-serif"/>
          <w:b w:val="false"/>
          <w:color w:val="000000"/>
          <w:sz w:val="20"/>
        </w:rPr>
        <w:t>described in “Note 14 - Commitments and Contingencies” in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Non-GAAP Financial Metrics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Adjusted EBITDA and Adjusted EBITDA Margin.</w:t>
      </w:r>
      <w:r>
        <w:rPr>
          <w:color w:val="000000"/>
        </w:rPr>
        <w:t>    </w:t>
      </w:r>
      <w:r>
        <w:rPr>
          <w:rFonts w:ascii="Arial;sans-serif" w:hAnsi="Arial;sans-serif"/>
          <w:b w:val="false"/>
          <w:color w:val="000000"/>
          <w:sz w:val="20"/>
        </w:rPr>
        <w:t xml:space="preserve">Adjusted EBITDA and Adjusted EBITDA Margin are key performance measures used by management to assess our operating performance and the operating leverage of our business prior to capital expenditures.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Net Loss was $(12.9) million for the three months ended</w:t>
      </w:r>
      <w:r>
        <w:rPr>
          <w:color w:val="000000"/>
          <w:shd w:fill="FFFFFF" w:val="clear"/>
        </w:rPr>
        <w:t xml:space="preserve"> </w:t>
      </w:r>
      <w:r>
        <w:rPr>
          <w:rFonts w:ascii="Arial;sans-serif" w:hAnsi="Arial;sans-serif"/>
          <w:b w:val="false"/>
          <w:color w:val="000000"/>
          <w:sz w:val="20"/>
          <w:shd w:fill="FFFFFF" w:val="clear"/>
        </w:rPr>
        <w:t>July 31, 2026</w:t>
      </w:r>
      <w:r>
        <w:rPr>
          <w:color w:val="000000"/>
        </w:rPr>
        <w:t xml:space="preserve"> </w:t>
      </w:r>
      <w:r>
        <w:rPr>
          <w:rFonts w:ascii="Arial;sans-serif" w:hAnsi="Arial;sans-serif"/>
          <w:b w:val="false"/>
          <w:color w:val="000000"/>
          <w:sz w:val="20"/>
        </w:rPr>
        <w:t>compared to $(26.4) million for the three months ended</w:t>
      </w:r>
      <w:r>
        <w:rPr>
          <w:color w:val="000000"/>
          <w:shd w:fill="FFFFFF" w:val="clear"/>
        </w:rPr>
        <w:t xml:space="preserve"> </w:t>
      </w:r>
      <w:r>
        <w:rPr>
          <w:rFonts w:ascii="Arial;sans-serif" w:hAnsi="Arial;sans-serif"/>
          <w:b w:val="false"/>
          <w:color w:val="000000"/>
          <w:sz w:val="20"/>
        </w:rPr>
        <w:t>July 31, 2025</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Net Loss as a percentage of revenue was (13.2)%, and (32.6)% for the three months ended </w:t>
      </w:r>
      <w:r>
        <w:rPr>
          <w:rFonts w:ascii="Arial;sans-serif" w:hAnsi="Arial;sans-serif"/>
          <w:b w:val="false"/>
          <w:color w:val="000000"/>
          <w:sz w:val="20"/>
          <w:shd w:fill="FFFFFF" w:val="clear"/>
        </w:rPr>
        <w:t>July 31, 2026</w:t>
      </w:r>
      <w:r>
        <w:rPr>
          <w:color w:val="000000"/>
        </w:rPr>
        <w:t xml:space="preserve"> </w:t>
      </w:r>
      <w:r>
        <w:rPr>
          <w:rFonts w:ascii="Arial;sans-serif" w:hAnsi="Arial;sans-serif"/>
          <w:b w:val="false"/>
          <w:color w:val="000000"/>
          <w:sz w:val="20"/>
        </w:rPr>
        <w:t>and 2025, respectively. Net Loss was $(31.8) million for the six months ended</w:t>
      </w:r>
      <w:r>
        <w:rPr>
          <w:color w:val="000000"/>
          <w:shd w:fill="FFFFFF" w:val="clear"/>
        </w:rPr>
        <w:t xml:space="preserve"> </w:t>
      </w:r>
      <w:r>
        <w:rPr>
          <w:rFonts w:ascii="Arial;sans-serif" w:hAnsi="Arial;sans-serif"/>
          <w:b w:val="false"/>
          <w:color w:val="000000"/>
          <w:sz w:val="20"/>
          <w:shd w:fill="FFFFFF" w:val="clear"/>
        </w:rPr>
        <w:t>July 31, 2026</w:t>
      </w:r>
      <w:r>
        <w:rPr>
          <w:color w:val="000000"/>
        </w:rPr>
        <w:t xml:space="preserve"> </w:t>
      </w:r>
      <w:r>
        <w:rPr>
          <w:rFonts w:ascii="Arial;sans-serif" w:hAnsi="Arial;sans-serif"/>
          <w:b w:val="false"/>
          <w:color w:val="000000"/>
          <w:sz w:val="20"/>
        </w:rPr>
        <w:t>compared to $(52.5) million for the six months ended</w:t>
      </w:r>
      <w:r>
        <w:rPr>
          <w:color w:val="000000"/>
          <w:shd w:fill="FFFFFF" w:val="clear"/>
        </w:rPr>
        <w:t xml:space="preserve"> </w:t>
      </w:r>
      <w:r>
        <w:rPr>
          <w:rFonts w:ascii="Arial;sans-serif" w:hAnsi="Arial;sans-serif"/>
          <w:b w:val="false"/>
          <w:color w:val="000000"/>
          <w:sz w:val="20"/>
        </w:rPr>
        <w:t>July 31, 2025</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Net Loss as a percentage of revenue was (17.0)%, and (34.9)% for the six months ended </w:t>
      </w:r>
      <w:r>
        <w:rPr>
          <w:rFonts w:ascii="Arial;sans-serif" w:hAnsi="Arial;sans-serif"/>
          <w:b w:val="false"/>
          <w:color w:val="000000"/>
          <w:sz w:val="20"/>
          <w:shd w:fill="FFFFFF" w:val="clear"/>
        </w:rPr>
        <w:t>July 31, 2026</w:t>
      </w:r>
      <w:r>
        <w:rPr>
          <w:color w:val="000000"/>
        </w:rPr>
        <w:t xml:space="preserve"> </w:t>
      </w:r>
      <w:r>
        <w:rPr>
          <w:rFonts w:ascii="Arial;sans-serif" w:hAnsi="Arial;sans-serif"/>
          <w:b w:val="false"/>
          <w:color w:val="000000"/>
          <w:sz w:val="20"/>
        </w:rPr>
        <w:t>and 2025, respectively. Net Loss decreased year-over-year primarily due to lower reported Interest Expense and higher Gross Profit partially offset by higher General and Administrative and Securities Litigation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Adjusted EBITDA was $12.6 million for the three months ended July 31, 2026 compared to $3.6 million for the three months ended July 31, 2025, representing margins of 12.9% and 4.4%, respectively. Our Adjusted EBITDA was $11.8 million for the six months ended July 31, 2026 compared to $2.3 million for the six months ended July 31, 2025, representing margins of 6.3% and 1.5%, respectively. Adjusted EBITDA increased year-over-year primarily due to higher Revenue partially offset by higher Revenue Share costs within Rental Product Depreciation and Revenue Share and Fulfillment costs. Adjusted EBITDA Margin increased year-over-year primarily due to lower General and Administrative, Fulfillment, Technology, and Marketing expenses as a percentage of Revenue partially offset by higher Revenue Share expenses as a percentage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a reconciliation of net loss, the most comparable GAAP financial measure, to Adjusted EBITDA for the periods presented:</w:t>
      </w:r>
    </w:p>
    <w:tbl>
      <w:tblPr>
        <w:tblW w:w="8912" w:type="dxa"/>
        <w:jc w:val="left"/>
        <w:tblInd w:w="0" w:type="dxa"/>
        <w:tblLayout w:type="fixed"/>
        <w:tblCellMar>
          <w:top w:w="28" w:type="dxa"/>
          <w:left w:w="28" w:type="dxa"/>
          <w:bottom w:w="28" w:type="dxa"/>
          <w:right w:w="28" w:type="dxa"/>
        </w:tblCellMar>
      </w:tblPr>
      <w:tblGrid>
        <w:gridCol w:w="1264"/>
        <w:gridCol w:w="1111"/>
        <w:gridCol w:w="1119"/>
        <w:gridCol w:w="211"/>
        <w:gridCol w:w="601"/>
        <w:gridCol w:w="286"/>
        <w:gridCol w:w="109"/>
        <w:gridCol w:w="109"/>
        <w:gridCol w:w="109"/>
        <w:gridCol w:w="211"/>
        <w:gridCol w:w="601"/>
        <w:gridCol w:w="286"/>
        <w:gridCol w:w="109"/>
        <w:gridCol w:w="109"/>
        <w:gridCol w:w="109"/>
        <w:gridCol w:w="211"/>
        <w:gridCol w:w="601"/>
        <w:gridCol w:w="286"/>
        <w:gridCol w:w="109"/>
        <w:gridCol w:w="109"/>
        <w:gridCol w:w="109"/>
        <w:gridCol w:w="211"/>
        <w:gridCol w:w="601"/>
        <w:gridCol w:w="331"/>
      </w:tblGrid>
      <w:tr>
        <w:trPr/>
        <w:tc>
          <w:tcPr>
            <w:tcW w:w="126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 (1)</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 (2)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(3)</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 of liquidated assets (4)</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Non-recurring adjustments (5)</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Non-ordinary course legal fees (6)</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transition (7)</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 (8)</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Securities litigation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(gains) / losses (9)</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as a percentage of revenue</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 (10)</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Includes debt (premium) discount amortization of $(2.3) million in the three months ended July 31, 2026, $(3.9) million in the three months ended July 31, 2025, $(4.5) million in the six months ended July 31, 2026 and $3.0 million in the six months ended July 31, 2025. </w:t>
      </w:r>
    </w:p>
    <w:p>
      <w:pPr>
        <w:pStyle w:val="TextBody"/>
        <w:bidi w:val="0"/>
        <w:spacing w:lineRule="auto" w:line="288" w:before="1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Reflects non-rental product depreciation and capitalized software amortization.</w:t>
      </w:r>
    </w:p>
    <w:p>
      <w:pPr>
        <w:pStyle w:val="TextBody"/>
        <w:bidi w:val="0"/>
        <w:spacing w:lineRule="auto" w:line="288" w:before="1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Reflects the non-cash expense for share-based compensation.</w:t>
      </w:r>
    </w:p>
    <w:p>
      <w:pPr>
        <w:pStyle w:val="TextBody"/>
        <w:bidi w:val="0"/>
        <w:spacing w:lineRule="auto" w:line="288" w:before="120" w:after="120"/>
        <w:ind w:left="0" w:right="0" w:hanging="360"/>
        <w:jc w:val="left"/>
        <w:rPr/>
      </w:pPr>
      <w:r>
        <w:rPr>
          <w:rFonts w:ascii="Arial;sans-serif" w:hAnsi="Arial;sans-serif"/>
          <w:b w:val="false"/>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288" w:before="0" w:after="0"/>
        <w:ind w:left="0" w:right="0" w:hanging="360"/>
        <w:jc w:val="left"/>
        <w:rPr/>
      </w:pPr>
      <w:r>
        <w:rPr>
          <w:rFonts w:ascii="Arial;sans-serif" w:hAnsi="Arial;sans-serif"/>
          <w:b w:val="false"/>
          <w:color w:val="000000"/>
          <w:sz w:val="10"/>
        </w:rPr>
        <w:t>(5)</w:t>
      </w:r>
      <w:r>
        <w:rPr>
          <w:rFonts w:ascii="Arial;sans-serif" w:hAnsi="Arial;sans-serif"/>
          <w:b w:val="false"/>
          <w:color w:val="000000"/>
          <w:sz w:val="16"/>
        </w:rPr>
        <w:t>Non-recurring adjustments for the three and six months ended July 31, 2026 includes none and $0.1 million of costs related to public company SOX readiness. Non-recurring adjustments for the three and six months ended July 31, 2025 includes $2.0 million of transaction related costs.</w:t>
      </w:r>
    </w:p>
    <w:p>
      <w:pPr>
        <w:pStyle w:val="TextBody"/>
        <w:bidi w:val="0"/>
        <w:spacing w:lineRule="auto" w:line="288" w:before="120" w:after="283"/>
        <w:ind w:left="0" w:right="0" w:hanging="360"/>
        <w:jc w:val="left"/>
        <w:rPr/>
      </w:pPr>
      <w:r>
        <w:rPr>
          <w:rFonts w:ascii="Arial;sans-serif" w:hAnsi="Arial;sans-serif"/>
          <w:b w:val="false"/>
          <w:color w:val="000000"/>
          <w:sz w:val="10"/>
        </w:rPr>
        <w:t>(6)</w:t>
      </w:r>
      <w:r>
        <w:rPr>
          <w:rFonts w:ascii="Arial;sans-serif" w:hAnsi="Arial;sans-serif"/>
          <w:b w:val="false"/>
          <w:color w:val="000000"/>
          <w:sz w:val="16"/>
        </w:rPr>
        <w:t>Non-ordinary course legal fees for the three and six months ended July 31, 2026 includes $0.7 million and $1.3 million of costs related to securities lawsuits and non-recurring legal fees. Non-ordinary course legal fees for the three and six months ended July 31, 2025 includes $1.4 million and $2.0 million of costs related to securities lawsuits and non-recurring legal fees including transaction related costs.</w:t>
      </w:r>
    </w:p>
    <w:p>
      <w:pPr>
        <w:pStyle w:val="TextBody"/>
        <w:bidi w:val="0"/>
        <w:spacing w:lineRule="auto" w:line="288" w:before="120" w:after="283"/>
        <w:ind w:left="0" w:right="0" w:hanging="360"/>
        <w:jc w:val="left"/>
        <w:rPr/>
      </w:pPr>
      <w:r>
        <w:rPr>
          <w:rFonts w:ascii="Arial;sans-serif" w:hAnsi="Arial;sans-serif"/>
          <w:b w:val="false"/>
          <w:color w:val="000000"/>
          <w:sz w:val="10"/>
        </w:rPr>
        <w:t>(7)</w:t>
      </w:r>
      <w:r>
        <w:rPr>
          <w:rFonts w:ascii="Arial;sans-serif" w:hAnsi="Arial;sans-serif"/>
          <w:b w:val="false"/>
          <w:color w:val="000000"/>
          <w:sz w:val="16"/>
        </w:rPr>
        <w:t>Executive transition for the three and six months ended July 31, 2026 includes $1.8 million of costs related to the transitions of the Chief Executive Officer and Executive Chair roles.</w:t>
      </w:r>
    </w:p>
    <w:p>
      <w:pPr>
        <w:pStyle w:val="TextBody"/>
        <w:bidi w:val="0"/>
        <w:spacing w:lineRule="auto" w:line="288" w:before="120" w:after="283"/>
        <w:ind w:left="0" w:right="0" w:hanging="360"/>
        <w:jc w:val="left"/>
        <w:rPr/>
      </w:pPr>
      <w:r>
        <w:rPr>
          <w:rFonts w:ascii="Arial;sans-serif" w:hAnsi="Arial;sans-serif"/>
          <w:b w:val="false"/>
          <w:color w:val="000000"/>
          <w:sz w:val="10"/>
        </w:rPr>
        <w:t>(8)</w:t>
      </w:r>
      <w:r>
        <w:rPr>
          <w:rFonts w:ascii="Arial;sans-serif" w:hAnsi="Arial;sans-serif"/>
          <w:b w:val="false"/>
          <w:color w:val="000000"/>
          <w:sz w:val="16"/>
        </w:rPr>
        <w:t>Includes other (income) / expense recognized in the period.</w:t>
      </w:r>
    </w:p>
    <w:p>
      <w:pPr>
        <w:pStyle w:val="TextBody"/>
        <w:bidi w:val="0"/>
        <w:spacing w:lineRule="auto" w:line="288" w:before="120" w:after="283"/>
        <w:ind w:left="0" w:right="0" w:hanging="360"/>
        <w:jc w:val="left"/>
        <w:rPr/>
      </w:pPr>
      <w:r>
        <w:rPr>
          <w:rFonts w:ascii="Arial;sans-serif" w:hAnsi="Arial;sans-serif"/>
          <w:b w:val="false"/>
          <w:color w:val="000000"/>
          <w:sz w:val="10"/>
        </w:rPr>
        <w:t>(9)</w:t>
      </w:r>
      <w:r>
        <w:rPr>
          <w:rFonts w:ascii="Arial;sans-serif" w:hAnsi="Arial;sans-serif"/>
          <w:b w:val="false"/>
          <w:color w:val="000000"/>
          <w:sz w:val="16"/>
        </w:rPr>
        <w:t>Includes gains / losses recognized in relation to foreign exchange, operating lease terminations and the related surrender of fixed assets (see “Note 4 - Leases – Lessee Accounting” in the Notes to the Condensed Consolidated Financial Statements).</w:t>
      </w:r>
    </w:p>
    <w:p>
      <w:pPr>
        <w:pStyle w:val="TextBody"/>
        <w:bidi w:val="0"/>
        <w:spacing w:lineRule="auto" w:line="288" w:before="120" w:after="283"/>
        <w:ind w:left="0" w:right="0" w:hanging="360"/>
        <w:jc w:val="left"/>
        <w:rPr/>
      </w:pPr>
      <w:r>
        <w:rPr>
          <w:rFonts w:ascii="Arial;sans-serif" w:hAnsi="Arial;sans-serif"/>
          <w:b w:val="false"/>
          <w:color w:val="000000"/>
          <w:sz w:val="10"/>
        </w:rPr>
        <w:t>(10)</w:t>
      </w:r>
      <w:r>
        <w:rPr>
          <w:rFonts w:ascii="Arial;sans-serif" w:hAnsi="Arial;sans-serif"/>
          <w:b w:val="false"/>
          <w:color w:val="000000"/>
          <w:sz w:val="16"/>
        </w:rPr>
        <w:t>Adjusted EBITDA Margin calculated as Adjusted EBITDA as a percentage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120" w:after="283"/>
        <w:jc w:val="left"/>
        <w:rPr/>
      </w:pPr>
      <w:r>
        <w:rPr>
          <w:rFonts w:ascii="Arial;sans-serif" w:hAnsi="Arial;sans-serif"/>
          <w:b w:val="false"/>
          <w:color w:val="000000"/>
          <w:sz w:val="20"/>
        </w:rPr>
        <w:t>We have incurred net losses of $(12.9) million and $(31.8) million for the three and six months ended July 31, 2026. We have incurred significant recurring net operating losses since inception and have an accumulated deficit of $</w:t>
      </w:r>
      <w:r>
        <w:rPr>
          <w:rFonts w:ascii="Arial;sans-serif" w:hAnsi="Arial;sans-serif"/>
          <w:b w:val="false"/>
          <w:color w:val="000000"/>
          <w:sz w:val="20"/>
          <w:shd w:fill="FFFFFF" w:val="clear"/>
        </w:rPr>
        <w:t>(1,132.2)</w:t>
      </w:r>
      <w:r>
        <w:rPr>
          <w:color w:val="000000"/>
        </w:rPr>
        <w:t xml:space="preserve"> </w:t>
      </w:r>
      <w:r>
        <w:rPr>
          <w:rFonts w:ascii="Arial;sans-serif" w:hAnsi="Arial;sans-serif"/>
          <w:b w:val="false"/>
          <w:color w:val="000000"/>
          <w:sz w:val="20"/>
        </w:rPr>
        <w:t xml:space="preserve">million as of July 31, 2026. We have historically relied upon debt and equity financing to fund our operations. Our cash flows (used in) provided by operations for the six months ended July 31, 2026 were $(5.0) million. Cash outflows from investing activities were $(16.6) million for the six months ended July 31, 2026. </w:t>
      </w:r>
      <w:r>
        <w:rPr>
          <w:rFonts w:ascii="Arial;sans-serif" w:hAnsi="Arial;sans-serif"/>
          <w:b w:val="false"/>
          <w:color w:val="000000"/>
          <w:sz w:val="20"/>
          <w:shd w:fill="FFFFFF" w:val="clear"/>
        </w:rPr>
        <w:t>As of July 31, 2026, we had cash and cash equivalents of $29.0 million, restricted cash of $8.2 million, current liabilities of $</w:t>
      </w:r>
      <w:r>
        <w:rPr>
          <w:rFonts w:ascii="Arial;sans-serif" w:hAnsi="Arial;sans-serif"/>
          <w:b w:val="false"/>
          <w:color w:val="000000"/>
          <w:sz w:val="20"/>
        </w:rPr>
        <w:t>66.1</w:t>
      </w:r>
      <w:r>
        <w:rPr>
          <w:color w:val="000000"/>
          <w:shd w:fill="FFFFFF" w:val="clear"/>
        </w:rPr>
        <w:t xml:space="preserve"> </w:t>
      </w:r>
      <w:r>
        <w:rPr>
          <w:rFonts w:ascii="Arial;sans-serif" w:hAnsi="Arial;sans-serif"/>
          <w:b w:val="false"/>
          <w:color w:val="000000"/>
          <w:sz w:val="20"/>
          <w:shd w:fill="FFFFFF" w:val="clear"/>
        </w:rPr>
        <w:t xml:space="preserve">million as of </w:t>
      </w:r>
      <w:r>
        <w:rPr>
          <w:rFonts w:ascii="Arial;sans-serif" w:hAnsi="Arial;sans-serif"/>
          <w:b w:val="false"/>
          <w:color w:val="000000"/>
          <w:sz w:val="20"/>
        </w:rPr>
        <w:t>July 31,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$157.5</w:t>
      </w:r>
      <w:r>
        <w:rPr>
          <w:color w:val="000000"/>
          <w:shd w:fill="FFFFFF" w:val="clear"/>
        </w:rPr>
        <w:t xml:space="preserve"> </w:t>
      </w:r>
      <w:r>
        <w:rPr>
          <w:rFonts w:ascii="Arial;sans-serif" w:hAnsi="Arial;sans-serif"/>
          <w:b w:val="false"/>
          <w:color w:val="000000"/>
          <w:sz w:val="20"/>
          <w:shd w:fill="FFFFFF" w:val="clear"/>
        </w:rPr>
        <w:t xml:space="preserve">million of long-term debt that matures in October 2029. </w:t>
      </w:r>
      <w:r>
        <w:rPr>
          <w:rFonts w:ascii="Arial;sans-serif" w:hAnsi="Arial;sans-serif"/>
          <w:b w:val="false"/>
          <w:color w:val="000000"/>
          <w:sz w:val="20"/>
        </w:rPr>
        <w:t>We currently expect that our cash and cash equivalents balance will decline in fiscal year 2026 as a result of our business plans and strategy to continue to invest in improving the experience of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October 28, 2025, we completed recapitalization transactions to enhance our financial position and financial flexibility by significantly reducing our existing indebtedness, improving our borrowing rate and extending the maturity of our remaining indebtedness (the “Recapitalization Transactions”). Under the terms of the Recapitalization Transactions, we entered into the New Credit Agreement. The Lender exchanged $100 million of existing outstanding indebtedness on a dollar-for-dollar cashless basis for new term loans under the New Credit Agreement and exchanged the remaining indebtedness for 26,175,193 newly issued shares of our Class A Common Stock. The Investor Group also provided an additional $20 million of new term loans under the New Credit Agreement, resulting in a total aggregate principal amount of $120 million. Our minimum liquidity maintenance covenant was also reduced from $30 million to $15 million until February 20, 2027 prior to its removal pursuant to the First Amendment to the New Credit Agreement on January 28, 2026. We also received $12.5 million in proceeds from a concurrent rights offering. On April 1, 2026, we entered into the Second Amendment to the New Credit Agreement, which provides us with the ability to capitalize interest in lieu of cash payments until May 3, 2027. On September 1, 2026,we entered into the Third Amendment to the New Credit Agreement. The Third Amendment provides an additional $10.0 million of new term loans from the Investor Group.</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For a description of the terms o</w:t>
      </w:r>
      <w:r>
        <w:rPr>
          <w:rFonts w:ascii="Arial;sans-serif" w:hAnsi="Arial;sans-serif"/>
          <w:b w:val="false"/>
          <w:color w:val="000000"/>
          <w:sz w:val="20"/>
          <w:shd w:fill="FFFFFF" w:val="clear"/>
        </w:rPr>
        <w:t xml:space="preserve">f our current and prior credit agreements, see “Note </w:t>
      </w:r>
      <w:r>
        <w:rPr>
          <w:rFonts w:ascii="Arial;sans-serif" w:hAnsi="Arial;sans-serif"/>
          <w:b w:val="false"/>
          <w:color w:val="000000"/>
          <w:sz w:val="20"/>
        </w:rPr>
        <w:t>6</w:t>
      </w:r>
      <w:r>
        <w:rPr>
          <w:color w:val="000000"/>
          <w:shd w:fill="FFFFFF" w:val="clear"/>
        </w:rPr>
        <w:t xml:space="preserve"> – </w:t>
      </w:r>
      <w:r>
        <w:rPr>
          <w:rFonts w:ascii="Arial;sans-serif" w:hAnsi="Arial;sans-serif"/>
          <w:b w:val="false"/>
          <w:color w:val="000000"/>
          <w:sz w:val="20"/>
        </w:rPr>
        <w:t>Long-Term Debt</w:t>
      </w:r>
      <w:r>
        <w:rPr>
          <w:color w:val="000000"/>
          <w:shd w:fill="FFFFFF" w:val="clear"/>
        </w:rPr>
        <w:t xml:space="preserve">” </w:t>
      </w:r>
      <w:r>
        <w:rPr>
          <w:rFonts w:ascii="Arial;sans-serif" w:hAnsi="Arial;sans-serif"/>
          <w:b w:val="false"/>
          <w:color w:val="000000"/>
          <w:sz w:val="20"/>
          <w:shd w:fill="FFFFFF" w:val="clear"/>
        </w:rPr>
        <w:t>in the Notes to the Condensed Consolidated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our registration statement on Form S-3 in any 12-month period.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 all. If this occurs, our repayment obligations under the New Credit Agreement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future capital requirements will depend on many factors, including, but not limited to, customer demand for our offering, investment in rental product and the timing of investments in technology and personnel to support the overall growth of our business. We believe our existing cash and cash equivalents, and cash generated from our operations, will be sufficient to sustain our business operations and satisfy our debt service obligations for at least the next twelve months from the date of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cash flows for the periods presented:</w:t>
      </w:r>
    </w:p>
    <w:tbl>
      <w:tblPr>
        <w:tblW w:w="8603" w:type="dxa"/>
        <w:jc w:val="left"/>
        <w:tblInd w:w="0" w:type="dxa"/>
        <w:tblLayout w:type="fixed"/>
        <w:tblCellMar>
          <w:top w:w="28" w:type="dxa"/>
          <w:left w:w="28" w:type="dxa"/>
          <w:bottom w:w="28" w:type="dxa"/>
          <w:right w:w="28" w:type="dxa"/>
        </w:tblCellMar>
      </w:tblPr>
      <w:tblGrid>
        <w:gridCol w:w="2359"/>
        <w:gridCol w:w="2068"/>
        <w:gridCol w:w="2082"/>
        <w:gridCol w:w="211"/>
        <w:gridCol w:w="541"/>
        <w:gridCol w:w="109"/>
        <w:gridCol w:w="109"/>
        <w:gridCol w:w="109"/>
        <w:gridCol w:w="109"/>
        <w:gridCol w:w="211"/>
        <w:gridCol w:w="541"/>
        <w:gridCol w:w="154"/>
      </w:tblGrid>
      <w:tr>
        <w:trPr/>
        <w:tc>
          <w:tcPr>
            <w:tcW w:w="23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 xml:space="preserve">July 31, </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measure the cash consumption of the business including capital expenditures, by assessing net cash used in operating activities and net cash used in investing activities on a combined basis, which was $(21.6) million for the six months ended July 31, 2026 and $(32.9) million for the six months ended July 31, 2025. The cash consumption of the business was lower in the first and second quarters of fiscal year 2026 compared with the same period of fiscal year 2025 primarily due to timing of vendor payments partially offset by lower purchases of rental product. The sum of net cash used in operating activities and net cash used in investing activities, as a percentage of revenue, was (11.5)% for the six months ended July 31, 2026 and (21.9)% for the six months ended July 31, 2025.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shd w:fill="FFFFFF" w:val="clear"/>
        </w:rPr>
        <w:t>Net cash (used in) provided by operating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net cash (used in) provided by operating activities was $(5.0) million, which consisted of a net loss of $(31.8) million, non-cash charges of $36.0 million, the reclassification of the proceeds from the sale of rental product of $13.3 million and a net change of $4.1 million in our operating assets and liabilities. The non-cash charges were primarily comprised of $28.6 million of rental product depreciation and write-off expenses, $</w:t>
      </w:r>
      <w:r>
        <w:rPr>
          <w:rFonts w:ascii="Arial;sans-serif" w:hAnsi="Arial;sans-serif"/>
          <w:b w:val="false"/>
          <w:color w:val="000000"/>
          <w:sz w:val="20"/>
        </w:rPr>
        <w:t>5.4</w:t>
      </w:r>
      <w:r>
        <w:rPr>
          <w:color w:val="000000"/>
          <w:shd w:fill="FFFFFF" w:val="clear"/>
        </w:rPr>
        <w:t xml:space="preserve"> </w:t>
      </w:r>
      <w:r>
        <w:rPr>
          <w:rFonts w:ascii="Arial;sans-serif" w:hAnsi="Arial;sans-serif"/>
          <w:b w:val="false"/>
          <w:color w:val="000000"/>
          <w:sz w:val="20"/>
          <w:shd w:fill="FFFFFF" w:val="clear"/>
        </w:rPr>
        <w:t>million of payment-in-kind interest, $2.2 million of share-based compensation, $(4.5) million of debt discount amortization, and $4.3 million of other fixed and intangible asset depreciation.</w:t>
      </w:r>
    </w:p>
    <w:p>
      <w:pPr>
        <w:pStyle w:val="TextBody"/>
        <w:bidi w:val="0"/>
        <w:spacing w:lineRule="auto" w:line="288" w:before="240" w:after="283"/>
        <w:jc w:val="left"/>
        <w:rPr/>
      </w:pP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July 31, 2025</w:t>
      </w:r>
      <w:r>
        <w:rPr>
          <w:rFonts w:ascii="Arial;sans-serif" w:hAnsi="Arial;sans-serif"/>
          <w:b w:val="false"/>
          <w:color w:val="000000"/>
          <w:sz w:val="20"/>
          <w:shd w:fill="FFFFFF" w:val="clear"/>
        </w:rPr>
        <w:t xml:space="preserve">, net cash used in operating activities was $(2.2) million, which consisted of a net loss of $(52.5) million, non-cash charges of $47.1 million, the reclassification of the proceeds from the sale of rental product of $11.8 million and a net change of $15.0 million in our operating assets and liabilities. The non-cash charges were primarily comprised of $28.7 million of rental product depreciation and write-off expenses, </w:t>
      </w:r>
      <w:r>
        <w:rPr>
          <w:rFonts w:ascii="Arial;sans-serif" w:hAnsi="Arial;sans-serif"/>
          <w:b w:val="false"/>
          <w:color w:val="000000"/>
          <w:sz w:val="20"/>
        </w:rPr>
        <w:t>$7.2</w:t>
      </w:r>
      <w:r>
        <w:rPr>
          <w:color w:val="000000"/>
          <w:shd w:fill="FFFFFF" w:val="clear"/>
        </w:rPr>
        <w:t xml:space="preserve"> </w:t>
      </w:r>
      <w:r>
        <w:rPr>
          <w:rFonts w:ascii="Arial;sans-serif" w:hAnsi="Arial;sans-serif"/>
          <w:b w:val="false"/>
          <w:color w:val="000000"/>
          <w:sz w:val="20"/>
          <w:shd w:fill="FFFFFF" w:val="clear"/>
        </w:rPr>
        <w:t>million of payment-in-kind interest, $2.9 million of share-based compensation, $3.0 million of debt discount amortization, and $5.3 million of other fixed and intangible asset depreciation.</w:t>
      </w:r>
    </w:p>
    <w:p>
      <w:pPr>
        <w:pStyle w:val="TextBody"/>
        <w:bidi w:val="0"/>
        <w:spacing w:lineRule="auto" w:line="288" w:before="240" w:after="283"/>
        <w:jc w:val="left"/>
        <w:rPr/>
      </w:pPr>
      <w:r>
        <w:rPr>
          <w:rFonts w:ascii="Arial;sans-serif" w:hAnsi="Arial;sans-serif"/>
          <w:b/>
          <w:color w:val="000000"/>
          <w:sz w:val="20"/>
          <w:shd w:fill="FFFFFF" w:val="clear"/>
        </w:rPr>
        <w:t>Net cash (used in) provided by investing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net cash used in investing activi</w:t>
      </w:r>
      <w:r>
        <w:rPr>
          <w:rFonts w:ascii="Arial;sans-serif" w:hAnsi="Arial;sans-serif"/>
          <w:b w:val="false"/>
          <w:color w:val="000000"/>
          <w:sz w:val="20"/>
        </w:rPr>
        <w:t>ties was $(16.6) million, primarily consisting of $(27.7) million of purchases of rental product incurred in the period and $(3.0) million of purchases of fixed and intangible assets. The investment in rental product does not include an additional $(1.4) million of cost for units received in the current period but not yet paid for, but does include $1.6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$13.3 million of proceeds from the sale of owned rental product and $0.8 million of proceeds from the liquidation of rental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six months ended July 31, 2025, net cash used in investing activities was $(30.7) million, primarily consisting of $(42.0) million of purchases of rental product incurred in the period and $(2.1) million of purchases of fixed and intangible assets. The investment in rental product did not include an additional $(4.4) million of cost for units received in the current period but not yet paid for, but did include $2.7 million of cost for units paid for in the current period but received in the prior period (see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$11.8 million of proceeds from sales of owned rental products and $1.6 million of proceeds from the liquidation of rental product.</w:t>
      </w:r>
    </w:p>
    <w:p>
      <w:pPr>
        <w:pStyle w:val="TextBody"/>
        <w:bidi w:val="0"/>
        <w:spacing w:lineRule="auto" w:line="288" w:before="240" w:after="283"/>
        <w:jc w:val="left"/>
        <w:rPr/>
      </w:pPr>
      <w:r>
        <w:rPr>
          <w:rFonts w:ascii="Arial;sans-serif" w:hAnsi="Arial;sans-serif"/>
          <w:b/>
          <w:color w:val="000000"/>
          <w:sz w:val="20"/>
          <w:shd w:fill="FFFFFF" w:val="clear"/>
        </w:rPr>
        <w:t>Net cash provided by (used in) financing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xml:space="preserve">, net cash used in financing activities was $(0.3) million, consisting of other financing payments and net cash proceeds from the issuance of common stock. </w:t>
      </w:r>
    </w:p>
    <w:p>
      <w:pPr>
        <w:pStyle w:val="TextBody"/>
        <w:bidi w:val="0"/>
        <w:spacing w:lineRule="auto" w:line="288" w:before="240" w:after="283"/>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July 31, 2025</w:t>
      </w:r>
      <w:r>
        <w:rPr>
          <w:rFonts w:ascii="Arial;sans-serif" w:hAnsi="Arial;sans-serif"/>
          <w:b w:val="false"/>
          <w:color w:val="000000"/>
          <w:sz w:val="20"/>
          <w:shd w:fill="FFFFFF" w:val="clear"/>
        </w:rPr>
        <w:t>, net cash used in financing activities was $(1.4) million, consisting of other financing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Contractual Obligations and Commitments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July 31, 2026, we had approximately $157.5 million of long-term debt, net, none of which matures within the next 12 months. In October 2025, the Company completed the recapitalization transactions to enhance the Company’s financial position and financial flexibility by significantly reducing its existing indebtedness, improving its borrowing rate and extending the maturity of its remaining indebtedness. See “Note 6 — Long-Term Debt” in the Notes to the Condensed Consolidated Financial Statements for more information. See “Note 4 – Leases – Lessee Accounting” in the Notes to the Condensed Consolidated Financial Statements for our minimum fixed lease obligations under existing lease agreements as of July 31, 2026. See “Note 14 - Commitments and Contingencies” in the Notes to the Condensed Consolidated Financial Statements for our minimum purchase commitments for technology services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lineRule="auto" w:line="288" w:before="240" w:after="283"/>
        <w:jc w:val="left"/>
        <w:rPr/>
      </w:pPr>
      <w:r>
        <w:rPr>
          <w:rFonts w:ascii="Arial;sans-serif" w:hAnsi="Arial;sans-serif"/>
          <w:b w:val="false"/>
          <w:color w:val="000000"/>
          <w:sz w:val="20"/>
          <w:shd w:fill="FFFFFF" w:val="clear"/>
        </w:rPr>
        <w:t xml:space="preserve">Our critical accounting estimates are described under the heading “Management’s Discussion and Analysis of Financial Condition and Results of Operations-Critical Accounting Estimates” in our 2025 Annual Report on Form 10-K. In the </w:t>
      </w:r>
      <w:r>
        <w:rPr>
          <w:rFonts w:ascii="Arial;sans-serif" w:hAnsi="Arial;sans-serif"/>
          <w:b w:val="false"/>
          <w:color w:val="000000"/>
          <w:sz w:val="20"/>
        </w:rPr>
        <w:t>six months ended July 31, 2026</w:t>
      </w:r>
      <w:r>
        <w:rPr>
          <w:rFonts w:ascii="Arial;sans-serif" w:hAnsi="Arial;sans-serif"/>
          <w:b w:val="false"/>
          <w:color w:val="000000"/>
          <w:sz w:val="20"/>
          <w:shd w:fill="FFFFFF" w:val="clear"/>
        </w:rPr>
        <w:t>, there were no material changes to our critical accounting estimates from those discussed in our 2025 Annual Report on Form 10-K except as discussed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Interim Impairment Evaluation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Given the Company’s stock price decline during the first and second quarters of fiscal year 2026 and fiscal year 2025, the Company concluded a triggering event had occurred and performed an impairment analysis of its long-lived assets as of July 31, 2026 and January 31, 2026. Based on the quantitative assessments performed, undiscounted cash flows expected to be generated by the use and eventual disposition of the Company’s long-lived assets exceeded their carrying values and therefore no impairment was recognized for the six months ended July 31, 2026 and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Accounting Pronouncements</w:t>
      </w:r>
    </w:p>
    <w:p>
      <w:pPr>
        <w:pStyle w:val="TextBody"/>
        <w:bidi w:val="0"/>
        <w:spacing w:lineRule="auto" w:line="288" w:before="120" w:after="283"/>
        <w:jc w:val="left"/>
        <w:rPr/>
      </w:pPr>
      <w:r>
        <w:rPr>
          <w:rFonts w:ascii="Arial;sans-serif" w:hAnsi="Arial;sans-serif"/>
          <w:b w:val="false"/>
          <w:color w:val="000000"/>
          <w:sz w:val="20"/>
          <w:shd w:fill="FFFFFF" w:val="clear"/>
        </w:rPr>
        <w:t xml:space="preserve">See “Note 2 — </w:t>
      </w:r>
      <w:r>
        <w:rPr>
          <w:rFonts w:ascii="Arial;sans-serif" w:hAnsi="Arial;sans-serif"/>
          <w:b w:val="false"/>
          <w:color w:val="000000"/>
          <w:sz w:val="20"/>
        </w:rPr>
        <w:t>Summary of Significant Accounting Policies</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Notes to Condensed Consolidated Financial Statements</w:t>
      </w:r>
      <w:r>
        <w:rPr>
          <w:color w:val="000000"/>
          <w:shd w:fill="FFFFFF" w:val="clear"/>
        </w:rPr>
        <w:t xml:space="preserve"> </w:t>
      </w:r>
      <w:r>
        <w:rPr>
          <w:rFonts w:ascii="Arial;sans-serif" w:hAnsi="Arial;sans-serif"/>
          <w:b w:val="false"/>
          <w:color w:val="000000"/>
          <w:sz w:val="20"/>
          <w:shd w:fill="FFFFFF" w:val="clear"/>
        </w:rPr>
        <w:t>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JOBS Act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pPr>
      <w:r>
        <w:rPr>
          <w:rFonts w:ascii="Arial;sans-serif" w:hAnsi="Arial;sans-serif"/>
          <w:b w:val="false"/>
          <w:color w:val="000000"/>
          <w:sz w:val="20"/>
          <w:shd w:fill="FFFFFF" w:val="clear"/>
        </w:rPr>
        <w:t xml:space="preserve">Our quantitative and qualitative disclosures about market risk are described under the heading “Quantitative and Qualitative Disclosures About Market Risk” in our 2025 Annual Report on Form 10-K. In the three months ended </w:t>
      </w:r>
      <w:r>
        <w:rPr>
          <w:rFonts w:ascii="Arial;sans-serif" w:hAnsi="Arial;sans-serif"/>
          <w:b w:val="false"/>
          <w:color w:val="000000"/>
          <w:sz w:val="20"/>
        </w:rPr>
        <w:t>July 31, 2026</w:t>
      </w:r>
      <w:r>
        <w:rPr>
          <w:rFonts w:ascii="Arial;sans-serif" w:hAnsi="Arial;sans-serif"/>
          <w:b w:val="false"/>
          <w:color w:val="000000"/>
          <w:sz w:val="20"/>
          <w:shd w:fill="FFFFFF" w:val="clear"/>
        </w:rPr>
        <w:t xml:space="preserve">, there were no material changes to our quantitative and qualitative disclosures about market risk from those discussed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July 31, 2026 because of the material weaknesses in our internal control over financial reporting described below.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Material Weaknesses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July 31, 2026, these material weaknesses remain unremediated.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Remediation Efforts to Address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implement measures designed to remediate the identified material weaknesses. The measures include (i) formalizing the Company’s framework and policies with respect to maintaining evidence in the operation of control procedures, and (ii) improving our control framework to include the appropriate segregation of duties and controls over the preparation and review of journal entries.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establish additional controls over segregation of duties and the preparation and review of journal entries.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we have substantially designed and implemented the internal controls necessary to remediate the material weakness related to IT general controls for information systems that are relevant to the preparation of our consolidated financial statements. During the quarter ended July 31, 2026, we continued to operate and monitor performance of these controls.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described in the “Remediation Efforts to Address Material Weaknesses” above, there were changes in our internal control over financial reporting (as defined in Rules 13a-15(f) and 15d-15(f) under the Exchange Act) that occurred during the three months ended July 31, 2026,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information contained in “Note 14 — Commitments and Contingencies” in the Notes to the Condensed Consolidated Financial Statements is incorporated by reference into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Business and Industry</w:t>
      </w:r>
    </w:p>
    <w:p>
      <w:pPr>
        <w:pStyle w:val="TextBody"/>
        <w:bidi w:val="0"/>
        <w:spacing w:lineRule="auto" w:line="288" w:before="240" w:after="283"/>
        <w:jc w:val="left"/>
        <w:rPr/>
      </w:pPr>
      <w:r>
        <w:rPr>
          <w:rFonts w:ascii="Arial;sans-serif" w:hAnsi="Arial;sans-serif"/>
          <w:b/>
          <w:i/>
          <w:color w:val="000000"/>
          <w:sz w:val="20"/>
        </w:rPr>
        <w:t>If we are unable to drive future growth or manage our growth effectively, our brand, Company culture, and financial performance may suffer</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We must continue to drive revenue growth to be successful. To effectively drive growth, we must continue to enhance customer experience and attract and retain customers (particularly subscribers), invest in rental product, iterate our </w:t>
      </w:r>
      <w:r>
        <w:rPr>
          <w:rFonts w:ascii="Arial;sans-serif" w:hAnsi="Arial;sans-serif"/>
          <w:b w:val="false"/>
          <w:color w:val="000000"/>
          <w:sz w:val="20"/>
          <w:shd w:fill="FFFFFF" w:val="clear"/>
        </w:rPr>
        <w:t>p</w:t>
      </w:r>
      <w:r>
        <w:rPr>
          <w:rFonts w:ascii="Arial;sans-serif" w:hAnsi="Arial;sans-serif"/>
          <w:b w:val="false"/>
          <w:color w:val="000000"/>
          <w:sz w:val="20"/>
        </w:rPr>
        <w:t>roducts and services, manage the interplay between our various offerings, invest in digital consumer innovation, maintain and expand our brand awareness and marketing, keep pace with customer preferences and expectations, evolve our marketing and product strategies to address emerging machine learning, automated decision-making and artificial intelligence algorithms, models and technologies (collectively, “AI”), including agentic AI, and maintain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Our growth strategy is focused on continuing to retain and grow our customer base, by focusing on our core business of renting and selling, continuing to invest in our rental product, offerings and technology to improve her experience, and continuing to drive acquisition through effective and efficient marketing. The majority of our revenue is generated by our subscribers. Our base Subscription plans range in price and customers can customize their Subscription monthly by purchasing additional slots and shipments. Although we often highlight certain Subscription plans over others in an attempt to optimize conversion and highlight opportunities to add shipments and spots to Subscription plans mid-month, we cannot be certain that these actions will be successful. Also,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enforce our terms of service, collect data or deliver relevant promotions or media, whether due to new regulations or otherwise, may significantly lower our subscription retention rate. We also offer our customers the option to rent or buy items via our Reserve offering and Resale offering, respectively, which we believe is a strong competitive advantage but adds complexity to our business that we must effectively manage to drive growth. For example, our Resale strategy shifts from time to time to optimize rental product in-stock and revenue by reducing or increasing our units sold via Resale. Further, in fiscal year 2025, we focused on Active Subscriber growth and experienced weakness in Reserve, which we anticipate will continue in fiscal year 2026 as we are in the process of revisiting our Reserve strategy and plans, and onboarding new leadership. Our Subscription plans and offerings do not have demonstrably long track records of</w:t>
      </w:r>
      <w:r>
        <w:rPr>
          <w:color w:val="000000"/>
        </w:rPr>
        <w:t xml:space="preserve"> </w:t>
      </w:r>
      <w:r>
        <w:rPr>
          <w:rFonts w:ascii="Arial;sans-serif" w:hAnsi="Arial;sans-serif"/>
          <w:b w:val="false"/>
          <w:color w:val="000000"/>
          <w:sz w:val="20"/>
        </w:rPr>
        <w:t>success and may not grow as much or as fast as we expect. For example, our Active Subscriber count decreased year-over-year in fiscal year 2024 and, although we are focused on growth initiatives and our Active Subscriber count increased year-over-year in fiscal year 2025, it may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anticipate an increase in our year-over-year revenue growth rate in fiscal year 2026, if our growth and/or growth rates do not meet expectations, the perception of our business, financial condition and results of operations by investors and our third-party service providers and brand partners may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fashion industry is rapidly evolving and our business may not develop as we expect. Overall growth of our revenue will depend on a number of factors, including our ability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traditional consumer buying habits and normalize clothing subscription, rental and resale;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price and structure our Subscription, Reserve and Resale offerings so that we are able to attract new customers, and retain and expand our relationships with existing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ensure that we maintain an adequate depth and breadth of available products to meet customer demand and respond swiftly and appropriately to new and changing styles, trends or desired consumer preferences;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accurately forecast our revenue and plan our fulfillment,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provide customers with a high-quality, seamless user experience and order fulfillment, as well as customer service and support that meets their needs;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revitalize our Reserve offering and grow our Resale offering;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acquire customers into varying levels of Subscription programs at different price points and promotions;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improve our website and app performance and successfully identify and acquire, partner or invest in products, technologies, or businesses that we believe could complement or expand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maintain and grow our relationships with existing and new brand partners, including continuing to leverage and evolve our Share by RTR and Exclusive Design offerings and explore new rental product acquisition strategies;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disruptions in acquiring and distributing our products and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effectively manage our customer acquisition funnel to avoid disruption to our Subscription, Reserve, and Resale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be effective and efficient in our marketing, particularly our paid marketing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 and enhance our reputation and the value of our brand;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keep pace with AI developments such as agentic search for shopping, styling and outfit recommendation capabilities, and successfully integrate and leverage AI tools and capabilities;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hire, integrate and retain talented personnel across all levels of our organization;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compete with other companies that are currently in, or may in the future enter, the industry or the markets in which we operate, and respond to developments from these competitors such as pricing changes and the introduction of new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comply with existing and new laws and regulations applicable to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expand into new and penetrate existing geographic markets in the United States;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develop new offerings and innovate and enhance our existing offerings and their features, including in response to new trends, competitive dynamics or the needs of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growth of our business, personnel, and operations, including expanding our shipping and distribution capabilities and fulfillment center operations, as well as our logistics footprint and the number of facilities we operate in the future;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effectively manage our costs related to our business and operations;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respond to changes in macroeconomic realities, including consumer confidence, inflation, labor markets, tariffs, rising fuel costs, and consolidation or disruption in the retail industry and our individual brand partners;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or manage interruptions in our business from information technology downtime, global trade policies, cybersecurity or privacy incidents (including those resulting from our use of AI or others’ use of AI) and other factors that could affect our physical and digital infrastructure.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expect to continue to expend substantial financial and other resources to grow our business, and we may fail to allocate our resources in a manner that results in increased revenue growth in our business. Further, our cash position and New Credit Agreement covenants may limit our ability to invest sufficiently in future growth initiatives, including, but not limited to, funding marketing initiatives and procuring rental product.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global fashion industry is highly competitive and rapidly changing, and we may not be able to compete effectively.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 and maintain and grow brand awareness.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our ability to compete effectively depends on many factors within and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normalize fashion rental and change traditional retail shopping habits and norms;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differentiated our brand, offerings, customer experience and value proposition are from those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we market and communicate how to use our Subscription, Reserve and Resale offerings, manage the interplay between our offerings, and attract and retain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expand and maintain an appealing depth and breadth of our products to meet customer demand and to merchandise it effectively;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anticipating and successfully responding to changing apparel trends and consumer shopping preferences, including the use of AI in e-commerce;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anticipating and successfully responding to changing requirements of digital marketing platforms, including those supporting search and social advertising, and mobile app platforms;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price at which we offer our Subscription, Reserve and Resale offerings and our ability to optimize pricing;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diversity, and quality of brands that we or our competitors offer;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acquire products on favorable and efficient terms, including leveraging and evolving our Share by RTR and Exclusive Design programs;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speed and cost at which we can deliver products to our customers and the ease with which they can return our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customer satisfaction with our offering and customer policies and the effectiveness of our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further developing our data science capabilities for brand partners;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strength of our brand, including maintaining favorable brand recognition and effectively marketing our services and value proposition to customers;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reverse-logistics processes in delivering products in good condition to customers.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inability to respond effectively to competitive pressures, improved performance by our competitors, our failure to achieve broad acceptance or changes in consumer trends or in the fashion retail markets could result in lost market share and have a material adverse effect on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We rely on consumer discretionary spending and have been, and may in the future be, adversely affected by economic downturns and other macroeconomic conditions or trends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volatility in tariff rates and global trade policies; war in the Middle East;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and increases in brand, shipping, and other supplier costs as a result.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response to the changing business environment and related inflationary pressure, we have implemented pricing increases and expect to do so in the future if our costs continue to increase. Such price increases may include, but are not limited to, higher Subscription fees and/or Reserve rental fees, new or increased shipping fees, or other types of fees or surcharges. For example, in June 2026, we implemented a new shipping charge on our Subscription plans to address rising shipping costs from carriers, which had a temporary negative impact to subscriber retention in June and may have a negative impact on subscriber retention in the future even though it is intended to be a temporary charge. Such pricing changes may be negatively perceived by customers, particularly in a period of economic uncertainty, and/or may fail to adequately mitigate cost increases we face, and our business and financial results could be harmed. Furthermore, increases in consumer discretionary spending tend to fluctuate and may decrease, particularly if there is a recession, a weaker jobs market,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adverse economic changes could reduce consumer confidence, and could thereby negatively affect our operating results. In the event of a prolonged economic downturn, uncertainty,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pPr>
      <w:r>
        <w:rPr>
          <w:rFonts w:ascii="Arial;sans-serif" w:hAnsi="Arial;sans-serif"/>
          <w:b/>
          <w:i/>
          <w:color w:val="000000"/>
          <w:sz w:val="20"/>
        </w:rPr>
        <w:t>Our continued growth depends on our ability to attract new, and retain existing, customers, which may fluctuate based on our level of investment and success in our organic and paid marketing initiatives</w:t>
      </w:r>
      <w:r>
        <w:rPr>
          <w:rFonts w:ascii="Arial;sans-serif" w:hAnsi="Arial;sans-serif"/>
          <w:b w:val="false"/>
          <w:color w:val="000000"/>
          <w:sz w:val="20"/>
        </w:rPr>
        <w:t>.</w:t>
      </w:r>
      <w:r>
        <w:rPr>
          <w:color w:val="000000"/>
        </w:rPr>
        <w:t xml:space="preserve"> </w:t>
      </w:r>
      <w:r>
        <w:rPr>
          <w:rFonts w:ascii="Arial;sans-serif" w:hAnsi="Arial;sans-serif"/>
          <w:b/>
          <w:i/>
          <w:color w:val="000000"/>
          <w:sz w:val="20"/>
        </w:rPr>
        <w:t>If we are</w:t>
      </w:r>
      <w:r>
        <w:rPr>
          <w:color w:val="000000"/>
        </w:rPr>
        <w:t xml:space="preserve"> </w:t>
      </w:r>
      <w:r>
        <w:rPr>
          <w:rFonts w:ascii="Arial;sans-serif" w:hAnsi="Arial;sans-serif"/>
          <w:b/>
          <w:i/>
          <w:color w:val="000000"/>
          <w:sz w:val="20"/>
        </w:rPr>
        <w:t>unable to cost-effectively grow our customer base, our business, financial condition and results of operations would be harmed</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improving our email marketing performance, refreshing our lifecycle marketing engine, increasing paid marketing efficiency, focusing on referrals and other community-driven “word of mouth” strategies, and aiming to optimize discovery via search engine optimization, agentic search, and enhanced iOS App Store presence. These efforts are ongoing and, although we have seen some positive results, they are subject to change and may not result in a sustained increase in customer conversion, loyalty or engagement.The impact of emerging technologies, including, but not limited to, AI tools such as agentic search, is not yet certain and may increase these risks. See “Our use of AI may subject us to new or heightened legal, regulatory, ethical, operational or other challenges.” As a result, our levels of paid and organic growth may continue to fluctuate and/or overall growth may decline.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may determine that more significant investment in marketing will be required in the future. However, in light of cost constraints, we reduced our marketing spend, particularly in paid marketing, in fiscal years 2024 and 2025 (relative to years prior), which resulted in lower customer acquisitions in fiscal year 2024 and led us to invest more heavily in promotions in fiscal year 2025. Our marketing spend levels and prioritization of lower funnel marketing may have also negatively impacted brand awareness despite our efforts to revitalize our brand. In addition, we believe that our overall levels of marketing spend relative to our revenue - both historic and projected for fiscal year 2026 - indicate that we are underinvested in marketing relative to typical market practice for our industry and our competitors and have less channel diversification. Further, although we focus on full funnel marketing, our marketing spend has prioritized, and is expected to continue to prioritize, paid marketing over upper funnel, brand marketing investments, which may have a negative impact on brand awareness and growth. In addition, our marketing efforts may be unsuccessful for various reasons, including a failure to effectively reach potential customers or to be cost-effective (particularly as we have seen costs consistently increase for performance marketing), changes in regulations (e.g., privacy, pricing, and auto-renew regulations) or third-party actions that could limit the effectiveness of search engines, social media platforms, and other tools for marketing, and the possibility that potential customers may decide not to rent through our platform or the spend of new customers may not yield the intended return on investment, any of which could negatively affect our results of operations. Further, as described elsewhere in these Risk Factors, we rely on a third-party CRM and other marketing and communication vendors to execute our marketing strategies, manage customer lifecycles, and deliver timely communications via email and SMS to customers, the failure of which could have a negative impact on our business, We also may incur marketing expenses significantly in advance of the time we anticipate recognized revenue associated with such expenses. In addition, the success of our marketing initiatives overall depends upon our marketing team and leadership, which is lean and has experienced (and is expected to continue to experience) transition due to personnel and vendor changes and evolving priorities. If our team building efforts or marketing strategies are not successful or are not executed successfully, our growth may decline and we may not achieve our growth and/or profitability goals.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utilize promotional pricing to attract customers and subscribers who may have heightened price sensitivity and who may not be willing to pay full price for our offering when the promotion period expires. For example, we have observed that subscribers who receive steep discounts have higher rates of cancellation. Our promotional and pricing strategy changes regularly and is subject to experimentation. In fiscal year 2025, we increased our use of promotional pricing to drive growth in customer acquisitions, and we expect that we will continue to adjust our promotional policies in response to our business objectives and market conditions. Our business performance may be adversely impacted if our promotional strategy is not effective at attracting and retaining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customer preferences may change and customers may not rent through our platform as frequently or spend as much with us. Customers may also react negatively to policy changes that we make from time to time, such as pricing increases or more stringent late fees or customer service refund policies, which could cause them to cancel their subscriptions.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pStyle w:val="TextBody"/>
        <w:bidi w:val="0"/>
        <w:spacing w:lineRule="auto" w:line="288" w:before="360" w:after="283"/>
        <w:jc w:val="left"/>
        <w:rPr/>
      </w:pPr>
      <w:r>
        <w:rPr>
          <w:rFonts w:ascii="Arial;sans-serif" w:hAnsi="Arial;sans-serif"/>
          <w:b/>
          <w:i/>
          <w:color w:val="000000"/>
          <w:sz w:val="20"/>
        </w:rPr>
        <w:t>If we fail to retain customers, our business, financial condition, and results of operations would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decrease in the number of customers, their tenures with us, and/or a reduction in the amount customers spend on our offerings could negatively affect our operating results. Notably, a high proportion of our revenue comes from longer-tenured subscribers.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number of customers and the amounts they spend on our offerings may decline materially or fluctuate as a result of many factors, including, among other things: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quality, consumer appeal, price, and reliability of our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dissatisfaction with changes we make to our offerings and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keep pace with new and emerging technologies, such as AI tools for shopping and styling;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perceived value of our offerings, especially in response to price increases and surcharges and changes in the macroeconomic environment;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quality control the products delivered to our customers and their fit;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ensuring on-time delivery of orders;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ease with which customers can find items they are looking for, including the effectiveness of our search and discovery tools, merchandising, and rental product availability;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performance of our website and mobile app, including reliability;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level of our investment in marketing and the success of our marketing strategies and tactics, including changes in efficiency of our historic or current customer acquisition and retention methods;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negative customer service experience;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intense competition in the fashion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negative publicity that impacts our brand and reputation;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consumer preferences, such as regarding the use of pre-loved apparel;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lack of market acceptance of our business model;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future outbreak of disease or public health concern, such as COVID-19;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(or perceived failure) to meet different and sometimes conflicting stakeholder expectations regarding our environmental, social and governance (“ESG”) initiatives.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left"/>
        <w:rPr/>
      </w:pPr>
      <w:r>
        <w:rPr>
          <w:rFonts w:ascii="Arial;sans-serif" w:hAnsi="Arial;sans-serif"/>
          <w:b w:val="false"/>
          <w:color w:val="000000"/>
          <w:sz w:val="20"/>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For example, we have increased the price of our Subscription plans in the past and added new or increased shipping charges across our offerings, which have caused short-term increases in Subscription cancellation rates in the past.</w:t>
      </w:r>
      <w:r>
        <w:rPr>
          <w:color w:val="000000"/>
          <w:shd w:fill="FFFFFF" w:val="clear"/>
        </w:rPr>
        <w:t xml:space="preserve"> </w:t>
      </w:r>
      <w:r>
        <w:rPr>
          <w:rFonts w:ascii="Arial;sans-serif" w:hAnsi="Arial;sans-serif"/>
          <w:b w:val="false"/>
          <w:color w:val="000000"/>
          <w:sz w:val="20"/>
          <w:shd w:fill="FFFFFF" w:val="clear"/>
        </w:rPr>
        <w:t>We anticipate that we will likely increase prices again in the future</w:t>
      </w:r>
      <w:r>
        <w:rPr>
          <w:rFonts w:ascii="Arial;sans-serif" w:hAnsi="Arial;sans-serif"/>
          <w:b w:val="false"/>
          <w:color w:val="000000"/>
          <w:sz w:val="20"/>
        </w:rPr>
        <w:t>. If our customers no longer perceive our offerings as appropriately priced and cancel or pause their Subscriptions, our business and financial results could be harmed. We are focused on investing in the customer experience and delivering greater value to her and emphasizing the value proposition of our offering in our marketing materials, among other initiatives; however these or other initiatives to retain customers may not be successful at improving customer satisfaction, retention and/or revenues and may require additional costs or lead to unanticipated consequences. For example, we may offer discounts to retain subscribers who have heightened price sensitivity and who may not be willing to continue to pay full price for a Subscription. Reductions or changes to when and under what circumstances such Subscription discounts are offered may impact retention. Even if our existing customers continue to find our offerings and products appealing and our customer service satisfactory, they may decide to downgrade to a lower cost Subscription plan, and/or rent or buy fewer or lower priced items due to price sensitivity and/or changing demand or other reasons. If customers downgrade their Subscription plan, reduce their add-on Subscription items, or make fewer or lower priced Reserve rentals or Resale purchases, our financial results could be negatively affected.</w:t>
      </w:r>
    </w:p>
    <w:p>
      <w:pPr>
        <w:pStyle w:val="TextBody"/>
        <w:bidi w:val="0"/>
        <w:spacing w:lineRule="auto" w:line="288" w:before="360" w:after="283"/>
        <w:jc w:val="left"/>
        <w:rPr/>
      </w:pPr>
      <w:r>
        <w:rPr>
          <w:rFonts w:ascii="Arial;sans-serif" w:hAnsi="Arial;sans-serif"/>
          <w:b/>
          <w:i/>
          <w:color w:val="000000"/>
          <w:sz w:val="20"/>
        </w:rPr>
        <w:t>We have a history of losses, and we may be unable to achieve or sustain profitability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had a net income (loss) of $(31.8) million and $22.6 million for the six months ended July 31, 2026 and year ended January 31, 2026, respectively, and have in the past had recurring net losses. We reported net income for the year ended January 31, 2026 due to the recognition of a Gain on Debt Restructuring of $96.3 million. As of July 31, 2026, we had an accumulated deficit of $(1,132.2) million. Further, for a variety of reasons, it is difficult for us to predict our future operating results. We will need to generate and sustain increased revenue and manage our costs to achieve profitability. Even if we do, we may not be able to sustain or increase our profitability.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Fiscal year 2025 was a year of investment as we significantly increased the amount of new rental product we acquired and, therefore, increased our net losses year-over-year, excluding the Gain on Debt Restructuring discussed above. We may also continue to generate net losses in order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fulfill customer orders and provide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increase the engagement, enhance retention and improve the experience, of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drive customer acquisition and brand awareness through marketing and promotional initiatives;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invest in technology, including to enhance our website and mobile offerings and functionality;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attract, motivate and retain our employees;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enhance our current offerings and develop new offerings;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generally support a larger customer base;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invest in our operations, including our logistics fulfillment, capacity and footprint, and other capital expenditures to support the growth in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for reasons within or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If we fail to anticipate and respond successfully to new and changing fashion trends and consumer preferences and accurately forecast consumer demand, our business could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availability, including depth and breadth levels, has negatively impacted active subscriber retention in the past. Although we are focused on ensuring that there are adequate quantities of rental product on our site, we plan to acquire fewer rental product units year-over-year in fiscal year 2026 and we expect that new rental product levels will fluctuate quarterly due to the timing of our purchases, seasonality and other factors within or outside of our control, which may negatively impact customer retention and, therefore, revenue. Any decreases in our rental product availability levels or perceived availability levels, including in connection with other business objectives, may negatively impact active subscribers.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or buy on our platform may lead to lower demand for our offerings, which could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pStyle w:val="TextBody"/>
        <w:bidi w:val="0"/>
        <w:spacing w:lineRule="auto" w:line="288" w:before="360" w:after="283"/>
        <w:jc w:val="left"/>
        <w:rPr/>
      </w:pPr>
      <w:r>
        <w:rPr>
          <w:rFonts w:ascii="Arial;sans-serif" w:hAnsi="Arial;sans-serif"/>
          <w:b/>
          <w:i/>
          <w:color w:val="000000"/>
          <w:sz w:val="20"/>
        </w:rPr>
        <w:t>Shipping and logistics are a critical part of our business and our supply chain and any changes or interruptions in shipping or logistics operations could adversely affect our operating results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primarily relying on a single national carrier may impact customer sentiment and satisfaction, which could lead to unanticipated costs and/or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receive inbound products efficiently and ship products to and from customers may be negatively affected by many events outside of our control, including inclement weather, public health crises, governmental regulations, labor disputes and other factors. We are also subject to risks of damage or loss during delivery by our shipping vendors. Customers who do not receive their orders in good condition or on time, or perceive our shipping promise as too slow, often become dissatisfied and even cease using our services, which may adversely affect our business and operating results if the issues become persistent or impact a significant amount of customers.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months and years, and these costs may continue to increase in the future, particularly in light of the current macroeconomic landscape and global conflicts. In addition, although we have achieved efficiencies in our supply chain operations in recent years, these efficiencies may not be sustainable or meet our broader business objectives. Increases in shipping costs, in particular for our primary shipping vendor, are likely to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offering the ability to return products by dropping off items with our primary third-party shipping vendor, we offer at-home pickup for customers located in multiple markets.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acquire and manage our products effectively and plan for future expenses, our operating results could be adversely affected.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been focused on expanding our relationships with brand partners and continuing to evolve our Exclusive Designs and Share by RTR arrangements, which are our more capital-efficient ways of acquiring rental product, particularly in light of our 2025 and 2026 rental product strategy. For our Exclusive Designs, RTR traditionally has sourced the materials and relied upon third-party manufacturing partners to produce products; however, we have updated our Exclusive Designs model and, starting in fiscal year 2025, certain brands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ensure successful brand relationships,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procure and manufacture products outside of the United States. Global sourcing and foreign trade involve numerous factors and uncertainties beyond our control including increased shipping costs, increased or changing tariffs,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the war between Russia and Ukraine and conflict in the Middle East have in the past led to, and are likely to continue to lead to, increased fuel and, therefore,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must execute our cleaning and repair protocols and reverse logistics operations efficiently and at a significant scale to maximize the utilization of units and help ensure adequate availability levels the failure of which may adversely affect our operating results. We cannot control products while they are out of our possession or prevent all damage while in our fulfillment centers, during shipping, or while with customers, third-party suppliers or partners. We are focused on enhancing our automation and quality control processes to ensure that we are appropriately managing our rental product across our Subscription, Reserve, and Resale offerings; however, we may deactivate rental product prematurely, which could reduce availability to our customers, or we may deactivate rental product too slowly, which could increase costs and harm our reputation if customers and potential customers believe that our products are not of high quality or may be damaged.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If we fail to maintain and enhance our brand, our ability to attract and retain customers will be impaired and our business, financial condition, and results of operations may suffer</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resources to promote and maintain our brand; however we believe that we are underinvested in brand marketing and channel diversification relative to typical market practice and our competitors (as discussed elsewhere in these risk factors). Further, although we focus on full funnel marketing, our marketing spend has prioritized, and is expected to continue to prioritize, paid marketing over upper funnel, brand marketing investments, which may negatively impact our brand awareness and growth. Further,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whether accurate or not, negative publicity about our business, operations, leadership or employees, and customer complaints have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If we are not able to continue to improve our website and mobile app performance, keep pace with technological changes or consumer expectations, enhance our current offerings, and develop new offerings in a timely way to respond to the changing needs of partners and customers, our business, financial performance, and growth may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include new software applications or related services based on AI, including agentic search and machine learning, augmented reality, or robotics or more generally evolving trends in e-commerce. For example, we continue to focus on improving the performance and design of our website and mobile application for our customers, including by leveraging AI tools and capabilities and increased personalization and styling; however, our efforts may be unsuccessful. The technologies that we currently use to support our business platform are highly interconnected and complex (as discussed elsewhere in these risk factors) and may become inadequate or obsolete, the cost of incorporating new technologies into our offerings and services may be substantial, and third-party vendors providing technologies to us may experience their own business disruptions or challenges (as described elsewhere in these Risk Factors).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to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 For risks related to our adoption and use of AI, see “Our use of AI may subject us to new or heightened legal, regulatory, ethical, operational or other challenges.”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as we invest in and experiment with new offerings or changes to our platform, our partners and customers may find these changes to be disruptive and may perceive them negatively. These new offerings and updates do not have demonstrably long track records of success for us and could result in higher costs, increased liability, not meet our expectations and goals, be a distraction from our core business goals, dilute our brand, and/or have other unforeseen impacts on the business. In addition, developing new offerings and services is complex, and the timetable for their public launch is difficult to predict and may vary from our expectations.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use of AI may subject us to new or heightened legal, regulatory, ethical, operational or other challenges.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use AI in connection with our business and operations and expect to expand our uses of AI. There are significant risks involved in utilizing AI, and no assurance can be provided that such use will enhance our business or operations or result in our business or operations being more efficient or profitable. For example, AI models and algorithms, and the data and other material or content on which they rely,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If we do not have sufficient rights to use the models, algorithms, data or other material or content on which our AI solutions rely, or the inputs or outputs thereof, we could also incur liability through the violation of applicable laws and regulations, third-party intellectual property, privacy or other rights, or contracts to which we are a party. If any of our employees, contractors, vendors or service providers use any third-party AI solutions in connection with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protect and enforce, our intellectual property rights or confidential information, harming our competitive position and business. Further, any content created by us using generative AI may not be subject to copyright protection which may adversely affect our intellectual property rights in, or ability to commercialize or use, any such content. Content created using generative AI may also be perceived by consumers to be deficient, received in the context of changing community sentiment regarding AI-generated content, or subject to rapidly evolving laws governing the use and disclosure of generative AI outputs. In addition, the use of AI solutions by companies has resulted in, and may in the future result in, failures, interruptions and security breaches of their information technology networks and systems and data privacy, data security, data protection and consumer protection violations that implicate the personal or confidential information of users of such AI solutions. Our competitors may also adopt or develop more effective AI-based tools, solutions or products, which could place us at a competitive disadvantage.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regulation of AI is rapidly evolving worldwide as legislators and regulators are increasingly focused on this emerging technology. The technologies underlying AI and its uses are already subject to a variety of laws and regulations, including intellectual property, data privacy, data security, data protection, consumer protection, competition and equal opportunity laws and regulations,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and data privacy, data security, data protection and consumer protection laws and regulations to AI or are considering general legal frameworks for AI. It is possible that we will not be able to anticipate how to respond to these rapidly evolving frameworks, and we could be required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We rely heavily on the effective operation of our proprietary technology systems and software, as well as those of our third-party vendors and service providers, for our business to</w:t>
      </w:r>
      <w:r>
        <w:rPr>
          <w:color w:val="000000"/>
        </w:rPr>
        <w:t xml:space="preserve"> </w:t>
      </w:r>
      <w:r>
        <w:rPr>
          <w:rFonts w:ascii="Arial;sans-serif" w:hAnsi="Arial;sans-serif"/>
          <w:b/>
          <w:i/>
          <w:color w:val="000000"/>
          <w:sz w:val="20"/>
        </w:rPr>
        <w:t>effectively operate and to safeguard confidential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marketing tools, and financial systems, depends significantly on the reliability and capacity of these IT Systems. Implementing new systems, migrating services, or updating existing integrations of our IT Systems carries operational risks, which could delay and/or negatively impact our ability to execute our strategies effectively and operate our business. We are critically dependent on the integrity, connectivity, security and consistent operations of our IT Systems, which are highly dependent on coordination of our internal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from time to time and are likely to occur in the future, which could harm our ability to meet customer expectations, fulfill orders, manage our products, and achieve our objectives for operating efficiencies and profitability.</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have an unintended impacts on other sections of our code, which have in the past resulted in errors or vulnerabilities to our platform and/or launch delays that negatively impact the customer experience and functionality of our offerings and could result in serious errors, vulnerabilities or delays in the future. Our use of AI-assisted coding may increase the potential for errors or vulnerabilities in our code base.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AI systems and technologies, which are complex, expected to pose new or unknown cybersecurity risks and challenges, and may have errors or inadequacies that are not easily detectable. As discussed elsewhere in these risk factors, these systems and technologies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Any significant technology disruption or failure, cyberattack or data security incident could adversely affect our business, financial condition and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or to keep pace with rapidly developing technologies, such as AI.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or maintain operational controls for data protection, retention, or deletion, whether due to cost savings, resource constraints, a failure to identify the need or other reasons, could negatively impact our business.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Additionally, despite various security measures that have been implemented, our IT Systems and those of our third-party service providers and business partners as well as the Confidential Information stored thereon are vulnerable to numerous and rapidly evolving cybersecurity risks that threaten their confidentiality, integrity and availability, including security incidents, technology developments (including, but not limited to, AI developments),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inadvertent disclosures or other similar events. Notably, AI technologies, including generative AI, agentic AI and AI-enabled automation technologies, have introduced new and complex cybersecurity risks, including, but not limited to, more sophisticated AI-powered social engineering and phishing campaigns, AI-driven generation and refinement of malicious code, accelerated discovery and exploitation of vulnerabilities, automated reconnaissance and targeting, rapid iteration on attack techniques, and the potential for novel attack vectors involving AI (such as prompt injection, model poisoning, and loop exploits to drain tokens), which broadens the scope, intensity and sophistication of campaigns, reduces the time available to identify and mitigate emerging threats, and presents a significant challenge for the Company and our third-party providers and business partners. Rapid development and increasing use of advanced AI models, algorithms and autonomous or semi-autonomous agents create new attack surfaces, methods for adversaries and cybersecurity risks and risks of employee non-compliance, with which our business policies and internal security controls may not keep pace. Additionally, our third-party AI service providers may fail to comply with their obligations regarding the confidentiality or security of inputs or outputs, otherwise use the data that we may provide in ways that may result in the unauthorized access to or disclosure of our Confidential Information, or experience security breaches or other incidents which may result in the unauthorized access to our Confidential Information or IT Systems.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AI)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(including, but not limited to, our ability to keep pace with evolving AI capabilities and threats) may not be, and have not always been, effective in every instance.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contracted customer service provider, shipping partners, human resources information system, payment processor, data warehouses, and various IT Systems providers. Because we do not control these service providers and our ability to monitor their security measures is limited,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Due to applicable laws and regulations or contractual obligations, we may be held responsible for such incidents as they relate to the information we share with them. Moreover, we or our third-party service providers may be more vulnerable to such attacks in remote or hybrid work environments or when operating internationally. Any cyberattack, security incident, or material disruption or slowdown affecting our Confidential Information or IT Systems or those of our third-party service providers or business partners, could result in actual or alleged breaches of applicable laws or our contractual obligations,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e-commerce business faces distinct risks, such as fulfillment of orders, and our failure to successfully manage these risks could have a negative impact on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We cannot guarantee that we will be able to renew or negotiate new or renewed leases in the future on terms acceptable to us or at all. If we are unable to secure such leases, or if we can only secure such leases on economic terms that are less than optimal for us, it may materially adversely impact our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Risks associated with our e-commerce business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provide a delightful and effective search and discovery experience for our customers;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failure to successfully execute planned enhancements to our website and mobile application performance in order to keep pace with industry standards and meet customer expectations, including with respect to the implementation of AI tools and capabilities;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in internet service or power outages;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reliance on third parties for computer hardware and software, as well as delivery of products to our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rapid technology changes;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credit or debit card fraud and other payment processing related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applicable federal, state and international regulations;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claims related to our e-commerce operations and fulfillment, including liability for online content;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cybersecurity, consumer privacy and consumer protection concerns and regulation;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natural disasters or adverse weather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we may receive less favorable terms and conditions, including requiring upfront payments or other demonstrations of credit.</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must keep up to date with competitive technology trends, including the use of new or improved technology, checkout and payment options, creative user interfaces, virtual and augmented reality, AI,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pStyle w:val="TextBody"/>
        <w:bidi w:val="0"/>
        <w:spacing w:lineRule="auto" w:line="288" w:before="360" w:after="283"/>
        <w:jc w:val="left"/>
        <w:rPr/>
      </w:pPr>
      <w:r>
        <w:rPr>
          <w:rFonts w:ascii="Arial;sans-serif" w:hAnsi="Arial;sans-serif"/>
          <w:b/>
          <w:i/>
          <w:color w:val="000000"/>
          <w:sz w:val="20"/>
        </w:rPr>
        <w:t>Our quarterly and annual results of operations may fluctuate, which may make it difficult to predict our future performance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success in attracting and retaining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maintaining successful relationships with brand partners and our ability to acquire products at acceptable prices and offer a compelling mix of products that are available for Subscription, Reserve or Resale at any given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and timing of our fulfillment costs,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timing and success of product launches, including pricing changes, new services and features we may introduce;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marketing and promotional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adverse economic and market conditions and other adverse global events that negatively impact commerce and consumer behavior and that could lead to inflationary pressures and supply chain disruptions;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or defects in our software or operations, such as privacy or data security incidents, outages, or other incidents that impact the availability, reliability, or performance of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competitive developments and our response to those developments;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manage our business and future growth;</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recruit and retain employees including fulfillment center labor to process, itemize, list, pack and ship our products;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seasonality of our business;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litigation matters and demands that may be costly to manage or that have a negative impact on our reputation;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face risks arising from cost-cutting and restructuring of our operations, which could adversely affect our financial condition, results of operations, cash flows, or business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taken and plan to continue to take actions intended to drive efficiencies and maintain a cost structure that aligns with our business and financial objectives. For example, in September 2022 and January 2024, we announced significant restructuring plans intended to reduce costs, streamline our organizational structure and drive operational efficiencies and growth. We have also taken smaller actions with similar goals in mind, such as off-shoring over a majority of our customer service operations in fiscal years 2025 and 2026 and eliminating our customer service styling program in fiscal year 2025. These plans or other future restructuring plans, including as a result of leveraging AI efficiencies, present significant risks that could have a material adverse effect on our operations, financial condition, results of operations, cash flow, or business reputation. Such risks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to achieve targeted cost savings and efficiency, and growth, cash flow and profitability goals;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decrease in employee morale, a negative impact to our corporate culture, and heightened regrettable attrition, including by critical employees, each of which we’ve observed to some extent and are focused on addressing;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increase in employment claims;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perceived disruption of service or reduction in service standards to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loss of institutional knowledge and/or employee expertise, which could lead to inefficiencies or business disruptions, some of which may be significant and our efforts to address may not be successful;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delay or failure to meet our operational standards, needs, or goals due to fewer employees, including potential single points of failure, or due to reduced or reallocated resources generally.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are currently experiencing CEO and CFO transitions. We rely on the experience and expertise of our senior management team, key technical and strategic employees and hourly personnel.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success and future growth depend largely upon the leadership and services of our senior management team. From time to time, there have been and may be future changes in our executive management team resulting from the hiring or departure of these executives. Following the recent resignations of our CEO and CFO, we have appointed a permanent CEO and interim CFO and, ultimately, intend to appoint a permanent hire to the CFO role. If we do not successfully manage these leadership transitions and timely hire new executives, we could experience increased regrettable attrition and fail to achieve our business goals. All employees, including our executive officers are employed on an at-will basis, which means they may terminate their employment with us at any time. These types of management changes have the potential to disrupt our operations due to the operational and administrative inefficiencies, added costs, increased likelihood of turnover, and the loss of personnel with vital institutional knowledge, experience and expertise, which could result in significant disruptions to our operations. The loss of additional senior leaders, the failure to appropriately manage and integrate the current executive and Board transitions, or the failure of the management team and Board to collaborate effectively and lead our Company could materially harm our business. We do not maintain key man life insurance with respect to any member of management or other employee.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our future success will depend upon our ability to attract and retain employees, particularly for key roles, such as engineering and product (including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i) our stock price has declined significantly since our 2021 IPO and ii) we expect to grant future equity awards to a small group of senior leaders. If the perceived value of our equity awards is inadequate or experiences significant volatility, it may adversely affect our ability to recruit and retain key employees. Although we have implemented different types of programs with a goal of incentivizing our employees, 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an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experienced in the past, and may in the future experience, voluntary attrition at significant rates for various reasons, including challenges with employee morale, perception of our business and financial condition, and challenging labor market conditions such as rising wages and competition in hiring.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believe that our Company culture has contributed to our success and if we cannot maintain this culture as we grow, our business could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failure to maintain and/or improve employee morale and engagement for a variety of reasons, including, but not limited to, our office-centric approach in our New York City headquarters, past and future restructurings and layoffs, the perception of our business and financial condition, and our continued efforts to ensure a cost-conscious and efficient workforce that supports our growth and profitability goals;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to identify, attract, reward, and retain employees who share and further our culture, values, and mission;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failure to successfully integrate AI tools and capabilities into the day-to-day operations of our teams;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evolving size, complexity and geographic diversity of our workforce, and our ability to promote a uniform and consistent culture across all our offices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hybrid working model for employees in Galway and the remote working model for customer service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continued challenges of a rapidly-evolving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increasing need to develop expertise in new areas of business that affect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employee and market perception of our ESG efforts, which may impact employee morale and recruiting efforts.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pStyle w:val="TextBody"/>
        <w:bidi w:val="0"/>
        <w:spacing w:lineRule="auto" w:line="288" w:before="360" w:after="120"/>
        <w:jc w:val="left"/>
        <w:rPr>
          <w:rFonts w:ascii="Arial;sans-serif" w:hAnsi="Arial;sans-serif"/>
          <w:b/>
          <w:i/>
          <w:color w:val="000000"/>
          <w:sz w:val="20"/>
        </w:rPr>
      </w:pPr>
      <w:r>
        <w:rPr>
          <w:rFonts w:ascii="Arial;sans-serif" w:hAnsi="Arial;sans-serif"/>
          <w:b/>
          <w:i/>
          <w:color w:val="000000"/>
          <w:sz w:val="20"/>
        </w:rPr>
        <w:t>Material changes in the pricing practices of our brand and manufacturing partners and/or the costs of raw materials could negatively impact our profitability.</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 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 between the United States and other countries with respect to global trade policies, tariffs and treatises. The United States has imposed significant tariffs on foreign countries, including China, related to the importation of certain product categories, and countries may change their business and trade policies in anticipation of or in response to the United States’s increased import tariffs and other changes in U.S. trade policies already enacted or that may be enacted in the future. For example, in early 2025, the U.S. imposed blanket 10% tariffs on virtually all imports to the U.S. and significantly higher tariffs applicable to imports from many countries, which have resulted in other countries imposing additional tariffs on imports from the U.S., and is likely to continue to result in more retaliatory tariffs. The U.S. Supreme Court invalidated the reciprocal tariffs on February 20, 2026; however,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has contributed to continued volatility in the supply chain.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Disruptions in the supply chain due to a variety of macroeconomic factors and the recent inflationary environment have increased raw material costs, impacted pricing of our products, and caused shipping delays. In addition to the general uncertainty and overall risk from changes in global trade policies, tariffs, treatises and supply chains, as we make business decisions in the face of such uncertainty, we may incorrectly anticipate the outcomes, miss out on business opportunities, or fail to effectively adapt our business strategies and manage the adjustments that are necessary in response to such changes. For example, to respond to inflationary and tariff pressures, we have increased the price of our Subscription plans in the past and added new or increased shipping charges across our offerings. Any future developments of these issues, or the perception regarding such developments, could increase the costs associated with procuring rental product, negatively impact our brand partners’ business operations which could in turn negatively impact us, reduce the supply of materials used in the design and manufacture of our rental products; and negatively impact customer demand for our products, any of which could have a material adverse effect on our business, financial condition and results of operation.</w:t>
      </w:r>
    </w:p>
    <w:p>
      <w:pPr>
        <w:pStyle w:val="TextBody"/>
        <w:bidi w:val="0"/>
        <w:spacing w:before="360" w:after="283"/>
        <w:jc w:val="left"/>
        <w:rPr/>
      </w:pPr>
      <w:r>
        <w:rPr/>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affected by seasonality.</w:t>
      </w:r>
    </w:p>
    <w:p>
      <w:pPr>
        <w:pStyle w:val="TextBody"/>
        <w:bidi w:val="0"/>
        <w:spacing w:lineRule="auto" w:line="288" w:before="120" w:after="283"/>
        <w:jc w:val="left"/>
        <w:rPr/>
      </w:pPr>
      <w:r>
        <w:rPr>
          <w:rFonts w:ascii="Arial;sans-serif" w:hAnsi="Arial;sans-serif"/>
          <w:b w:val="false"/>
          <w:color w:val="000000"/>
          <w:sz w:val="20"/>
        </w:rPr>
        <w:t xml:space="preserve">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COVID-19 pandemic. </w:t>
      </w:r>
      <w:r>
        <w:rPr>
          <w:rFonts w:ascii="Arial;sans-serif" w:hAnsi="Arial;sans-serif"/>
          <w:b w:val="false"/>
          <w:color w:val="000000"/>
          <w:sz w:val="20"/>
          <w:shd w:fill="FFFFFF" w:val="clear"/>
        </w:rPr>
        <w:t>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w:t>
      </w:r>
      <w:r>
        <w:rPr>
          <w:rFonts w:ascii="Arial;sans-serif" w:hAnsi="Arial;sans-serif"/>
          <w:b w:val="false"/>
          <w:color w:val="000000"/>
          <w:sz w:val="20"/>
        </w:rPr>
        <w:t>omic conditions, could have a disproportionate effect on our results of operations for our entire fiscal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We may fail to realize all of the anticipated benefits of the Recapitalization Transactions, or those benefits may be short-lived or insufficient for our future needs.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28, 2025, we completed the recapitalization transactions to strengthen our financial position and financial flexibility by significantly reducing our existing indebtedness and adding capital to the business (the “Recapitalization Transactions”). See “Note 3 — Liquidity” and “Note 6 - Long-Term Debt” in the Notes to the Condensed Consolidated Financial Statements for more information. We may fail to fully realize the anticipated benefits of the Recapitalization Transactions or such benefits may be short-lived or insufficient for our future needs due to factors within or outside our control. Our ability to continue to grow our business depends, among other things, upon our ability to successfully execute on our business strategies, hire, retain and motivate key talent, obtain financing for our capital needs, scale our systems efficiently and effectively, control costs, comply with our debt covenants, and manage the pressures on our management and administrative, operational and financial infrastructure. If we fail to realize the anticipated benefits of the Recapitalization Transactions, or if those benefits are short-lived or insufficient for our future needs, it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Failure to manage updates to our Board could materially adversely affect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facilitate the Recapitalization Transactions, the Board was restructured in 2025, and has continued to experience changes, including new and departing members, changes to the Audit Committee composition, and updates to Board leadership, which may cause temporary uncertainty and disruption.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potential uncertainty and disruption resulting from these Board updates could have an adverse effect on our business, financial condition and results of operations. For more information on the Board transition relating to the Recapitalization Transactions, see “Note 6 - Long-Term Debt” in the Notes to the Condensed Consolidated Financial Statements for more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may require additional capital to support the growth of our business and satisfy our debt obligations, and this capital might not be available on acceptable terms, if at all.</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our market capitalization, business performance and/or level of indebtedness and/or governance structure may adversely impact efforts to raise additional capital. Our principal sources of liquidity are existing cash and cash equivalents and cash flows from operating activities. There is no remaining borrowing availability under our New Credit Agreement. If we are unable to obtain adequate financing or financing on terms satisfactory to us, our ability to 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76" w:before="360" w:after="283"/>
        <w:jc w:val="left"/>
        <w:rPr>
          <w:rFonts w:ascii="Arial;sans-serif" w:hAnsi="Arial;sans-serif"/>
          <w:b/>
          <w:i/>
          <w:color w:val="000000"/>
          <w:sz w:val="20"/>
        </w:rPr>
      </w:pPr>
      <w:r>
        <w:rPr>
          <w:rFonts w:ascii="Arial;sans-serif" w:hAnsi="Arial;sans-serif"/>
          <w:b/>
          <w:i/>
          <w:color w:val="000000"/>
          <w:sz w:val="20"/>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New Credit Agreement amended and restated our prior credit agreement, dated as of July 23, 2018, by and among the Company, as borrower, the lenders from time to time party thereto and the Agent (as successor-in-interest to Double Helix Pte Ltd.) (the “Prior Credit Agreement”). The New Credit Agreement, including subsequent amendments thereto, contain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Further, </w:t>
      </w:r>
      <w:r>
        <w:rPr>
          <w:rFonts w:ascii="Arial;sans-serif" w:hAnsi="Arial;sans-serif"/>
          <w:b w:val="false"/>
          <w:color w:val="000000"/>
          <w:sz w:val="20"/>
          <w:shd w:fill="FFFFFF" w:val="clear"/>
        </w:rPr>
        <w:t>in the past we have sought waivers and/or concessions from our Lender and the Investor Group to ensure our continued compliance with certain covenants under our Prior Credit Agreement and New Credit Agreement and/or to support our liquidity needs. If we were unable to comply with our covenants and successfully negotiate with the Investor Group for a waiver or dispensation of such covenants under the New Credit Agreement, the Agent would have the right to accelerate repayment of all outstanding obligations under the New Credit Agreement, which would become immediately due and payable, and exercise all other rights and remedies available under the New Credit Agreement. There can be no assurance that the Investor Group will be willing to provide waivers or concessions or negotiate our debt terms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Our level of indebtedness could have a material adverse effect on our ability to generate sufficient cash to fulfill our obligations under such indebtedness, to react to changes in our</w:t>
      </w:r>
      <w:r>
        <w:rPr>
          <w:color w:val="000000"/>
        </w:rPr>
        <w:t xml:space="preserve"> </w:t>
      </w:r>
      <w:r>
        <w:rPr>
          <w:rFonts w:ascii="Arial;sans-serif" w:hAnsi="Arial;sans-serif"/>
          <w:b/>
          <w:i/>
          <w:color w:val="000000"/>
          <w:sz w:val="20"/>
        </w:rPr>
        <w:t>business and to incur additional indebtedness to fund future needs.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As of July 31, 2026, we had $157.5 million aggregate amount of borrowings, consisting of principal and debt (premium) discount under the New Credit Agreement. If we are unable to successfully manage our long-term debt obligations, our liquidity, results of operations, cash flows, and financial condition may be materially adversely impacted. See Risks Related to the Recapitalization Transactions </w:t>
      </w:r>
      <w:r>
        <w:rPr>
          <w:rFonts w:ascii="Arial;sans-serif" w:hAnsi="Arial;sans-serif"/>
          <w:b w:val="false"/>
          <w:color w:val="000000"/>
          <w:sz w:val="20"/>
          <w:shd w:fill="FFFFFF" w:val="clear"/>
        </w:rPr>
        <w:t xml:space="preserve">and </w:t>
      </w:r>
      <w:r>
        <w:rPr>
          <w:rFonts w:ascii="Arial;sans-serif" w:hAnsi="Arial;sans-serif"/>
          <w:b w:val="false"/>
          <w:color w:val="000000"/>
          <w:sz w:val="20"/>
        </w:rPr>
        <w:t>Note 6 —Long-Term Debt</w:t>
      </w:r>
      <w:r>
        <w:rPr>
          <w:color w:val="000000"/>
          <w:shd w:fill="FFFFFF" w:val="clear"/>
        </w:rPr>
        <w:t xml:space="preserve"> </w:t>
      </w:r>
      <w:r>
        <w:rPr>
          <w:rFonts w:ascii="Arial;sans-serif" w:hAnsi="Arial;sans-serif"/>
          <w:b w:val="false"/>
          <w:color w:val="000000"/>
          <w:sz w:val="20"/>
        </w:rPr>
        <w:t>in the Notes to the Condensed Consolidated Financial Statements for more information on our indebtedness and the Recapitalization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ability to make interest and principal payments and to fund our planned capital expenditures will depend on our ability to generate cash flows. Our ability to generate cash flows is, to a certain extent, subject to general economic, financial, competitive, legislative, regulatory and other factors that are beyond our control, such as an environment of rising or continuously high interest rates. To the extent we are impacted by macroeconomic trends, or other factors, including, but not limited to, lower demand for our business, increased rental product spend or tariffs, we plan to reduce fixed and variable costs accordingly and have established plans to preserve existing cash liquidity, which includes additional reductions to labor, operating expenses, and/or capital expenditures. However, these actions may not provide sufficient incremental liquidity to fund our debt service obligations when they become current. If our cash flows, capital resources and any measures to reduce fixed and variable costs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if needed, will depend on the condition of the capital markets and our financial condition at such time, as well as cooperation with our Lenders.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If we need to generate additional levels of cash to service our indebtedness or meet our covenant obligations, we may need to undertake additional cost-cutting measures. These financing risks, in addition to potential rising interest rates and changes in market conditions, if realized, could negatively impact our business, financial condition and results of operations. See “Note 6 —Long-Term Debt” in the Notes to the Condensed Consolidated Financial Statements for more information on our indebtedness and the Recapitalization Transactions.</w:t>
      </w:r>
    </w:p>
    <w:p>
      <w:pPr>
        <w:pStyle w:val="TextBody"/>
        <w:bidi w:val="0"/>
        <w:spacing w:lineRule="auto" w:line="288" w:before="360" w:after="283"/>
        <w:jc w:val="left"/>
        <w:rPr/>
      </w:pPr>
      <w:r>
        <w:rPr>
          <w:rFonts w:ascii="Arial;sans-serif" w:hAnsi="Arial;sans-serif"/>
          <w:b/>
          <w:i/>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 and the price of our Class A stock could decline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identified material weaknesses in our internal control over financial reporting, as described below. As of July 31, 2026,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pStyle w:val="TextBody"/>
        <w:bidi w:val="0"/>
        <w:spacing w:lineRule="auto" w:line="288" w:before="360" w:after="283"/>
        <w:jc w:val="left"/>
        <w:rPr/>
      </w:pPr>
      <w:r>
        <w:rPr>
          <w:rFonts w:ascii="Arial;sans-serif" w:hAnsi="Arial;sans-serif"/>
          <w:b/>
          <w:i/>
          <w:color w:val="000000"/>
          <w:sz w:val="20"/>
        </w:rPr>
        <w:t>The requirements of being a public company may strain our resources, divert management’s attention, and affect our ability to attract and retain executive management and qualified board members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qualified executive officers.</w:t>
      </w:r>
    </w:p>
    <w:p>
      <w:pPr>
        <w:pStyle w:val="TextBody"/>
        <w:bidi w:val="0"/>
        <w:spacing w:lineRule="auto" w:line="288" w:before="360" w:after="283"/>
        <w:jc w:val="left"/>
        <w:rPr/>
      </w:pPr>
      <w:r>
        <w:rPr>
          <w:rFonts w:ascii="Arial;sans-serif" w:hAnsi="Arial;sans-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or a “smaller reporting company.” At such time, our compliance with Section 404 will require that we incur substantial expenses and expend significant management efforts. However, for as long as we are an “emerging growth company” or a “smaller reporting company with under $75M in public float,” our independent registered public accounting firm will not be required to attest to the effectiveness of our internal control over financial reporting pursuant to Section 404(b). See “We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360" w:after="283"/>
        <w:jc w:val="left"/>
        <w:rPr/>
      </w:pPr>
      <w:r>
        <w:rPr>
          <w:rFonts w:ascii="Arial;sans-serif" w:hAnsi="Arial;sans-serif"/>
          <w:b/>
          <w:i/>
          <w:color w:val="000000"/>
          <w:sz w:val="20"/>
        </w:rPr>
        <w:t>Strategic investments, partnerships, alliances, or acquisitions could be difficult to identify, pose integration challenges, divert the attention of management, disrupt our business, dilute</w:t>
      </w:r>
      <w:r>
        <w:rPr>
          <w:color w:val="000000"/>
        </w:rPr>
        <w:t xml:space="preserve"> </w:t>
      </w:r>
      <w:r>
        <w:rPr>
          <w:rFonts w:ascii="Arial;sans-serif" w:hAnsi="Arial;sans-serif"/>
          <w:b/>
          <w:i/>
          <w:color w:val="000000"/>
          <w:sz w:val="20"/>
        </w:rPr>
        <w:t>stockholder value, and adversely affect our business, financial condition, and results of operations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partnership or acquisition may disrupt our ongoing business, divert resources, increase our expenses, and distract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we may encounter difficulties or unforeseen expenditures in integrating the business, offerings, technologies, personnel, or operations of any company that we partner with or acquire;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earnings per share may decrease.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360" w:after="283"/>
        <w:jc w:val="left"/>
        <w:rPr/>
      </w:pPr>
      <w:r>
        <w:rPr>
          <w:rFonts w:ascii="Arial;sans-serif" w:hAnsi="Arial;sans-serif"/>
          <w:b/>
          <w:i/>
          <w:color w:val="000000"/>
          <w:sz w:val="20"/>
        </w:rPr>
        <w:t>Our reported financial results may be adversely affected by changes in accounting principles generally accepted in the United States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bidi w:val="0"/>
        <w:spacing w:lineRule="auto" w:line="288" w:before="360" w:after="283"/>
        <w:jc w:val="left"/>
        <w:rPr/>
      </w:pPr>
      <w:r>
        <w:rPr>
          <w:rFonts w:ascii="Arial;sans-serif" w:hAnsi="Arial;sans-serif"/>
          <w:b/>
          <w:i/>
          <w:color w:val="000000"/>
          <w:sz w:val="20"/>
        </w:rPr>
        <w:t>If our estimates or judgments relating to our critical accounting policies prove to be incorrect, our results of operations could be adversely affected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The preparation of financial statements in conformity with GAAP requires management to make estimates and assumptions that affect the amounts reported in our condensed consolidated financial statements and accompanying notes appearing elsewhere in this Quarterly</w:t>
      </w:r>
      <w:r>
        <w:rPr>
          <w:color w:val="000000"/>
          <w:shd w:fill="FFFFFF" w:val="clear"/>
        </w:rPr>
        <w:t xml:space="preserve"> </w:t>
      </w:r>
      <w:r>
        <w:rPr>
          <w:rFonts w:ascii="Arial;sans-serif" w:hAnsi="Arial;sans-serif"/>
          <w:b w:val="false"/>
          <w:color w:val="000000"/>
          <w:sz w:val="20"/>
          <w:shd w:fill="FFFFFF" w:val="clear"/>
        </w:rPr>
        <w:t>Report</w:t>
      </w:r>
      <w:r>
        <w:rPr>
          <w:rFonts w:ascii="Arial;sans-serif" w:hAnsi="Arial;sans-serif"/>
          <w:b w:val="false"/>
          <w:color w:val="000000"/>
          <w:sz w:val="20"/>
        </w:rPr>
        <w:t xml:space="preserve">.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w:t>
      </w:r>
      <w:r>
        <w:rPr>
          <w:rFonts w:ascii="Arial;sans-serif" w:hAnsi="Arial;sans-serif"/>
          <w:b w:val="false"/>
          <w:color w:val="000000"/>
          <w:sz w:val="20"/>
          <w:shd w:fill="FFFFFF" w:val="clear"/>
        </w:rPr>
        <w:t>the useful life and salvage value of rental product, incremental borrowing rate to determine lease liabilities and right-of-use assets, valuation of share-based compensation and warrants, and recoverability of long-lived assets.</w:t>
      </w:r>
      <w:r>
        <w:rPr>
          <w:color w:val="000000"/>
        </w:rPr>
        <w:t xml:space="preserve"> </w:t>
      </w:r>
      <w:r>
        <w:rPr>
          <w:rFonts w:ascii="Arial;sans-serif" w:hAnsi="Arial;sans-serif"/>
          <w:b w:val="false"/>
          <w:color w:val="000000"/>
          <w:sz w:val="20"/>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Scrutiny and evolving expectations from consumers, investors, regulators, policymakers, employees and other stakeholders regarding environmental, social and governance matters may adversely impact our business and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has been heightened and, at 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pStyle w:val="TextBody"/>
        <w:bidi w:val="0"/>
        <w:spacing w:lineRule="auto" w:line="288" w:before="120" w:after="283"/>
        <w:jc w:val="left"/>
        <w:rPr/>
      </w:pPr>
      <w:r>
        <w:rPr>
          <w:rFonts w:ascii="Arial;sans-serif" w:hAnsi="Arial;sans-serif"/>
          <w:b w:val="false"/>
          <w:color w:val="000000"/>
          <w:sz w:val="20"/>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w:t>
      </w:r>
      <w:r>
        <w:rPr>
          <w:color w:val="000000"/>
          <w:shd w:fill="FFFFFF" w:val="clear"/>
        </w:rPr>
        <w:t xml:space="preserve"> </w:t>
      </w:r>
      <w:r>
        <w:rPr>
          <w:rFonts w:ascii="Arial;sans-serif" w:hAnsi="Arial;sans-serif"/>
          <w:b w:val="false"/>
          <w:color w:val="000000"/>
          <w:sz w:val="20"/>
          <w:shd w:fill="FFFFFF" w:val="clear"/>
        </w:rPr>
        <w:t>Report</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pStyle w:val="TextBody"/>
        <w:bidi w:val="0"/>
        <w:spacing w:lineRule="auto" w:line="288" w:before="120" w:after="283"/>
        <w:jc w:val="left"/>
        <w:rPr/>
      </w:pPr>
      <w:r>
        <w:rPr>
          <w:rFonts w:ascii="Arial;sans-serif" w:hAnsi="Arial;sans-serif"/>
          <w:b/>
          <w:i/>
          <w:color w:val="000000"/>
          <w:sz w:val="20"/>
        </w:rPr>
        <w:t>The COVID-19 pandemic had a material adverse impact on our business</w:t>
      </w:r>
      <w:r>
        <w:rPr>
          <w:rFonts w:ascii="Arial;sans-serif" w:hAnsi="Arial;sans-serif"/>
          <w:b w:val="false"/>
          <w:color w:val="000000"/>
          <w:sz w:val="20"/>
        </w:rPr>
        <w:t xml:space="preserve">. </w:t>
      </w:r>
      <w:r>
        <w:rPr>
          <w:rFonts w:ascii="Arial;sans-serif" w:hAnsi="Arial;sans-serif"/>
          <w:b/>
          <w:i/>
          <w:color w:val="000000"/>
          <w:sz w:val="20"/>
        </w:rPr>
        <w:t>Other future pandemics or public health crises may have a similar adverse impact on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Expansion of our operations internationally requires management attention and resources, involves additional risks, and may be unsuccessful.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lower acceptance of our offerings and the concept of renting apparel and accessories and the need to localize our products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competition from local incumbents that understand the local market and may operate more effectively;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regulatory requirements, taxes, trade laws, trade sanctions and economic embargoes, tariffs, export quotas, custom duties, or other trade restrictions, or any unexpected changes thereto;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risks resulting from changes in currency exchange rates.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invest substantial time and resources to establish and expand our operations internationally and are unable to do so successfully and in a timely manner, our operating results would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Legal and Regulatory Environment</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business is subject to a large number of U.S. and non-U.S. laws and regulations, many of which are evolving, and failure to comply could potentially impact our operating and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numerous evolving laws and regulations in the United States and around the world, including those relating to consumer protection, environmental protection, intellectual property, consumer product safety, data privacy, data security and data protection, AI,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pStyle w:val="TextBody"/>
        <w:bidi w:val="0"/>
        <w:spacing w:lineRule="auto" w:line="288" w:before="360" w:after="283"/>
        <w:jc w:val="left"/>
        <w:rPr/>
      </w:pPr>
      <w:r>
        <w:rPr>
          <w:rFonts w:ascii="Arial;sans-serif" w:hAnsi="Arial;sans-serif"/>
          <w:b/>
          <w:i/>
          <w:color w:val="000000"/>
          <w:sz w:val="20"/>
        </w:rPr>
        <w:t>We are subject to U.S. and certain foreign export and import controls, sanctions, embargoes, anti-corruption laws, and anti-money laundering laws and regulations. Compliance</w:t>
      </w:r>
      <w:r>
        <w:rPr>
          <w:color w:val="000000"/>
        </w:rPr>
        <w:t xml:space="preserve"> </w:t>
      </w:r>
      <w:r>
        <w:rPr>
          <w:rFonts w:ascii="Arial;sans-serif" w:hAnsi="Arial;sans-serif"/>
          <w:b/>
          <w:i/>
          <w:color w:val="000000"/>
          <w:sz w:val="20"/>
        </w:rPr>
        <w:t>with these</w:t>
      </w:r>
      <w:r>
        <w:rPr>
          <w:color w:val="000000"/>
        </w:rPr>
        <w:t xml:space="preserve"> </w:t>
      </w:r>
      <w:r>
        <w:rPr>
          <w:rFonts w:ascii="Arial;sans-serif" w:hAnsi="Arial;sans-serif"/>
          <w:b/>
          <w:i/>
          <w:color w:val="000000"/>
          <w:sz w:val="20"/>
        </w:rPr>
        <w:t>legal standards could impair our ability to compete in domestic and international markets, and we could face criminal liability and other serious consequences for violations, which could harm our business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From time to time, we may be subject to claims, legal proceedings, regulatory disputes, and governmental inquiries that could cause us to incur significant expenses, divert our</w:t>
      </w:r>
      <w:r>
        <w:rPr>
          <w:color w:val="000000"/>
        </w:rPr>
        <w:t xml:space="preserve"> </w:t>
      </w:r>
      <w:r>
        <w:rPr>
          <w:rFonts w:ascii="Arial;sans-serif" w:hAnsi="Arial;sans-serif"/>
          <w:b/>
          <w:i/>
          <w:color w:val="000000"/>
          <w:sz w:val="20"/>
        </w:rPr>
        <w:t>management’s attention, and materially harm our business, financial condition, and operating results</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From time to time, we may be subject to claims, lawsuits, government investigations, and other proceedings involving products liability, competition and antitrust, intellectual property, data privacy, data security and data protection, consumer protection, securities, tax, labor and employment, commercial disputes, environmental regulations, and other matters that could adversely affect our business operations and financial condition. . See “Note 14, Commitments and Contingencies” </w:t>
      </w:r>
      <w:r>
        <w:rPr>
          <w:rFonts w:ascii="Arial;sans-serif" w:hAnsi="Arial;sans-serif"/>
          <w:b w:val="false"/>
          <w:color w:val="000000"/>
          <w:sz w:val="20"/>
          <w:shd w:fill="FFFFFF" w:val="clear"/>
        </w:rPr>
        <w:t xml:space="preserve">in the Notes to the Condensed Consolidated Financial Statements </w:t>
      </w:r>
      <w:r>
        <w:rPr>
          <w:rFonts w:ascii="Arial;sans-serif" w:hAnsi="Arial;sans-serif"/>
          <w:b w:val="false"/>
          <w:color w:val="000000"/>
          <w:sz w:val="20"/>
        </w:rPr>
        <w:t>for more details about material litigation matters, including the settlement of our previously reported class action.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in recent years, we have seen a rise in the number and potential significance of these disputes and inquiries and evolving areas of focus for regulators and private plaintiffs. For example, there has been an increase in consumer class action lawsuits and mass arbitrations relating to subscription products, fees, and data privacy practices.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and our insurance coverage and assets may be insufficient to cover these cost. Adverse outcomes with respect to claims, litigation or any of these legal proceedings may result in significant settlement costs or judgments, damages, penalties and fines, or require us to modify our products and offerings or other business processes, which could negatively affect our financial performance or our revenue growth and/or cash balances.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Failure to adequately obtain, maintain, protect and enforce our intellectual property and proprietary rights could harm our brand, devalue our proprietary content, and adversely affect our ability to compete effectively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particularly as our use of AI tools and resources (and the use of AI tools and resources by third parties) increases, if we or our third-party partners fail to adequately safeguard our intellectual property. Failure to adequately protect and enforce our intellectual property rights and/or develop new intellectual property could harm our brand, devalue our proprietary technology and content, and adversely affect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which could compete with or devalue our business. For example, the trademark clearance and prosecution process is expensive and time consuming. As such, we may not be able to engage in the clearance process or obtain registrations for every trademark that we use. If our unregistered trademarks are infringed, we may have inadequate protections in place to enforce against third party uses. Additionally, we may not timely or successfully register our trademarks in all jurisdictions, which could enable third parties to use or inhibit use of our brand name and thus create potential impediments to our business, including any efforts to expand the business outside of the U.S. The copyright registrations we have obtained for our website may not adequately protect all material contained on our website, and these registrations do not cover any material that is not part of our website. As such, if our copyrighted works are infringed or otherwise violated, we may not have sufficient registrations in place to enforce our rights in court or to obtain potentially available statutory damages, and we may need to take additional steps to be able to enforce our rights.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generally enter into confidentiality and invention assignment agreements with our employees and consultants, as well as agreements with other third parties, including suppliers and other partners, that contain confidentiality obligations and work-for-hire or assignment provisions. However, we cannot guarantee that we have entered into such agreements with each party that has developed intellectual property for us or that may have had access to our proprietary information and technology, know-how, and trade secrets, and in certain jurisdictions the agreements that we have entered into may not be enforceable.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be required to spend significant financial and managerial resources to monitor and protect our intellectual property rights. Litigation and other enforcement actions may be necessary in the future to enforce our intellectual property rights and to protect our trade secrets. The legal systems of certain countries do not favor the enforcement of patents, trademarks, copyrights, trade secrets and other intellectual property and proprietary protection, which could make it difficult for us to stop the infringement, misappropriation, dilution or other violation of our intellectual property or marketing of competing products or solutions in violation of our intellectual property or proprietary rights generally. In particular, the ownership, protectability and enforceability of intellectual property and other proprietary rights arising from or in connection with the use of AI is subject to uncertainty and has not been fully addressed by laws or courts inside or outside the U.S.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proceedings could result in rendering our patents unenforceable or could result in narrowing the scope of the patent claims so that they no longer cover the technology we intend to protect. The outcome following legal assertions of invalidity and unenforceability is unpredictable. An adverse result in any litigation or defense proceedings could have a material adverse impact on our business by making the technology at issue freely available for others to use. Our inability to protect our trade secrets and proprietary technology against unauthorized copying, disclosure,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even with appropriate protective mechanisms in place,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Third parties may assert claims against us alleging that we infringe upon, misappropriate, dilute or otherwise violate their intellectual property rights. For example, as trademark clearance and prosecution matters can be expensive and time consuming, we may not be able to engage in a comprehensive clearance process or obtain registrations for every trademark that we use. As such, a third party could claim that our unregistered mark closely resembles the third party’s trademark used for similar services and could make trademark infringement or passing off claims against us. Further, we may not be able to engage in copyright clearance for all content that we use in our business. As such, third parties could claim that content on our website or social media pages (or posted by social media influencers or brand ambassadors that we engage) infringes or otherwise violates the intellectual property rights of others.</w:t>
      </w:r>
    </w:p>
    <w:p>
      <w:pPr>
        <w:pStyle w:val="TextBody"/>
        <w:bidi w:val="0"/>
        <w:spacing w:before="12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measures in place designed to avoid infringing, misappropriating or otherwise violating the intellectual property rights of others. However, there is a risk that third parties may assert patent infringement claims against us for the sole purpose of extracting a settlement for a sum that may amount to nuisance value. For example, non-practicing entities may file lawsuits against us, regardless of merit, seeking to arrive at a quick settlement and payment. Moreover, despite our efforts to ensure that our employees and other third parties do not use the intellectual property and other proprietary information of third parties in their work for us, we may be subject to claims that we, our employees or third parties working on our behalf have inadvertently or otherwise used or disclosed intellectual property or other proprietary information of a former employer or other third parties.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may also be subject to claims of infringement, misappropriation or other violation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from time to time, we have received cease and desist and demand letters from third parties in connection with our use of certain marketing and advertising assets and our rental product designs,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such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misappropriation or other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pStyle w:val="TextBody"/>
        <w:bidi w:val="0"/>
        <w:spacing w:lineRule="auto" w:line="288" w:before="120" w:after="283"/>
        <w:jc w:val="left"/>
        <w:rPr/>
      </w:pPr>
      <w:r>
        <w:rPr>
          <w:rFonts w:ascii="Arial;sans-serif" w:hAnsi="Arial;sans-serif"/>
          <w:b/>
          <w:i/>
          <w:color w:val="000000"/>
          <w:sz w:val="20"/>
        </w:rPr>
        <w:t>Our use of third-party open-source software could adversely affect our ability to offer our products</w:t>
      </w:r>
      <w:r>
        <w:rPr>
          <w:color w:val="000000"/>
        </w:rPr>
        <w:t xml:space="preserve"> </w:t>
      </w:r>
      <w:r>
        <w:rPr>
          <w:rFonts w:ascii="Arial;sans-serif" w:hAnsi="Arial;sans-serif"/>
          <w:b/>
          <w:i/>
          <w:color w:val="000000"/>
          <w:sz w:val="20"/>
        </w:rPr>
        <w:t>and offerings and subjects us to possible litigation</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to expend substantial time and resources to re-engineer some or all of our software. We could also be precluded from charging fees for third-party use of our proprietary code.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particularly with limited community support, may also present additional security risks because the public availability of such software may make it easier for hackers and other third parties to compromise our platform. Further, due to the ad hoc nature of updates to open-source software, we may be unable to maintain the most secure versions of the software. Any of the foregoing could be harmful to our business, financial condition, or results of operations and could help our competitors develop offerings that are similar to or better than ours.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We are subject to rapidly changing and increasingly stringent laws, industry standards and consumer expectations relating to data privacy, data security, data protection, and consumer protection</w:t>
      </w:r>
      <w:r>
        <w:rPr>
          <w:rFonts w:ascii="Arial;sans-serif" w:hAnsi="Arial;sans-serif"/>
          <w:b/>
          <w:color w:val="000000"/>
          <w:sz w:val="20"/>
        </w:rPr>
        <w:t xml:space="preserve">. </w:t>
      </w:r>
      <w:r>
        <w:rPr>
          <w:rFonts w:ascii="Arial;sans-serif" w:hAnsi="Arial;sans-serif"/>
          <w:b/>
          <w:i/>
          <w:color w:val="000000"/>
          <w:sz w:val="20"/>
        </w:rPr>
        <w:t>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 regulations, standards or guidelines.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U.S. data privacy, data security, data protection, and consumer protection laws are complex and changing rapidly, with the frequent imposition of new and changing requirements across our business. Many U.S. states have enacted, or are considering enacting, laws regulating the online collection, use, processing,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the California Consumer Privacy Act of 2018, as amended by the California Privacy Rights Act of 2020 (collectively,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European Economic Area,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evolving privacy policy requirements of the mobile application platforms, the adoption by consumers of browser settings or “ad-blocking” software, and the development and deployment of new technologies (including technologies using AI) could materially impact our ability to collect data or reduce our ability to deliver relevant promotions or media, which could materially impair the results of our operations. In addition, while we strive to publish and prominently display privacy policies that are accurate, comprehensive, and compliant with applicable laws, regulations and industry standards, we cannot ensure that our privacy policies and other statements regarding our practices will be sufficient to protect us from claims, proceedings, liability or adverse publicity relating to data privacy, data security, data protection and consumer protection. Although we endeavor to comply with our privacy policies, we may at times fail to do so or be alleged to have failed to do so, and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or if our practices are not consistent or viewed as not consistent with legal and regulatory requirements, including changes in laws and regulations or new interpretations or applications of existing laws and regulations, we may become subject to audits, inquiries, whistleblower complaints, adverse media coverage, investigations, loss of export privileges, or severe criminal or civil sanctions, any of which may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we are subject to the Payment Card Industry Data Security Standard (“PCI DSS”), which is a multifaceted security standard that is designed to protect payment card data as mandated by payment card industry entities. We rely on vendors to handle PCI DSS matters for us and to ensure PCI DSS compliance. Despite our compliance efforts, we may become subject to claims that we have violated the PCI DSS, based on past, present, and future business practices, which could subject us to fines, restrictions and expulsion from card acceptance programs, have an adverse impact on our business and reputation, and be costly for us to defend.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use of AI tools and resources may also subject us to additional data privacy, data security, data protection and consumer protection risks that may impact our business. See “Risks Related to Our Business and Industry—Our use of AI may subject us to new or heightened legal, regulatory, ethical, operational or other challenges.”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not be successful in achieving compliance with the rapidly evolving data privacy, data security, AI, data protection, and consumer protection requirements discussed above, as well as other data privacy, security, AI,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or partners may not uphold their legal, regulatory or contractual obligations to comply with these data privacy, data security, data protection, consumer protection or AI requirements, thereby exposing us to risks in these areas. Any actual or perceived non-compliance could result in litigation (including class action lawsuits and mass arbitrations)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litigation or proceedings, or from disruptions in or failure or security intrusion of our IT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pStyle w:val="TextBody"/>
        <w:bidi w:val="0"/>
        <w:spacing w:lineRule="auto" w:line="288" w:before="360" w:after="283"/>
        <w:jc w:val="left"/>
        <w:rPr/>
      </w:pPr>
      <w:r>
        <w:rPr>
          <w:rFonts w:ascii="Arial;sans-serif" w:hAnsi="Arial;sans-serif"/>
          <w:b/>
          <w:i/>
          <w:color w:val="000000"/>
          <w:sz w:val="20"/>
        </w:rPr>
        <w:t>We could incur significant liabilities related to, and significant costs in complying with, environmental, health and safety laws and regulations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emission and discharge of wastewater; the health and safety of our employees; and the maintenance of our facilities and operations. Our compliance efforts are expected to require ongoing investments and may be costly to maintain.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These laws and regulations are complex and evolving. Despite our efforts, we have been, and may in the future be, subject to claims that we have violated such laws and regulations based on past, present, and future practices, which could have an adverse impact on our business and reputation, and be costly for us to defend. For example, we have received notices from regulatory agencies regarding permitting issues and compliance deficiencies related to our warehouse operations; we cannot guarantee that these or future matters will continue to be immaterial or resolved successfully. Failure to comply with such laws and regulations, which tend to become more stringent over time, failure to obtain or maintain permits necessary for our warehouse operations, or failure to favorably resolve violation notices can result in significant fines, penalties, costs, liabilities or restrictions on operations (including shutdown), injunctive relief, civil or criminal sanctions, and could expose us to costs of investigation or remediation, as well as tort claims for property damage or personal injury, and could negatively affect our business, financial condition or results of operations. Liability for the improper release or disposal of waste can be joint and several and significant and there can be no assurance that we will not have to expend material amounts to remediate the consequences of the generation or disposal of waste in the future, particularly with respect to our cleaning operations. Further, we may be responsible as a lessee operator for the costs of investigation, removal or remediation of hazardous or non-hazardous substances or waste located on or in or emanating from our leased properties, as well as any property damage. Insurance coverage for such matters is unlikely to be available and, even if available, it may be inadequate to cover potential costs and losses. There can be no assurance that our future operations, properties, uses or conditions will not result in the imposition of liability upon us under environmental laws or other regulations, or expose us to third-party actions such as tort suits.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shd w:fill="FFFFFF" w:val="clear"/>
        </w:rPr>
        <w:t>Our ability to utilize our net operating loss carryforwards and certain other tax attributes to offset taxable income or taxes may be limited</w:t>
      </w:r>
      <w:r>
        <w:rPr>
          <w:rFonts w:ascii="Arial;sans-serif" w:hAnsi="Arial;sans-serif"/>
          <w:b w:val="false"/>
          <w:color w:val="000000"/>
          <w:sz w:val="20"/>
          <w:shd w:fill="FFFFFF" w:val="clear"/>
        </w:rPr>
        <w:t>.</w:t>
      </w:r>
    </w:p>
    <w:p>
      <w:pPr>
        <w:pStyle w:val="TextBody"/>
        <w:bidi w:val="0"/>
        <w:spacing w:lineRule="auto" w:line="288" w:before="120" w:after="283"/>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January 31, 2026</w:t>
      </w:r>
      <w:r>
        <w:rPr>
          <w:rFonts w:ascii="Arial;sans-serif" w:hAnsi="Arial;sans-serif"/>
          <w:b w:val="false"/>
          <w:color w:val="000000"/>
          <w:sz w:val="20"/>
          <w:shd w:fill="FFFFFF" w:val="clear"/>
        </w:rPr>
        <w:t>, we had federal net operating loss carryforwards of $507.3 million, $7.8 million of which will expire at various times through 2038. Furthermore, we had state net operating loss carryforwards of $537.9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utilization of such losses is subject to limitations. In addition, for state income tax purposes, there may be periods during which the use of net operating loss carryforwards is suspended or otherwise limited, which could accelerate or permanently increase state taxes owed.</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In addition, under Sections 382 and 383 of the Internal Revenue Code of 1986, as amended (the “Code”), and corresponding provisions of state law, an ownership change, generally defined as a significant change in equity ownership, may limit the Company’s ability to utilize net operating loss carryforwards and other tax attributes generated prior to the change. The Company previously completed a Section 382 analysis and concluded that an ownership change occurred in 2010; however, all net operating losses subject to that limitation were fully utilized in prior periods. The Company subsequently updated its Section 382 analysis through November 2025 and further determined that an additional ownership change occurred on October 28, 2025. As a result, net operating losses arising prior to that date are subject to annual limitations on utilization under Section 382, which may limit the amount of such net operating losses available to offset future taxable income. These limitations were considered in assessing the realizability of the Company’s deferred tax as</w:t>
      </w:r>
      <w:r>
        <w:rPr>
          <w:rFonts w:ascii="Arial;sans-serif" w:hAnsi="Arial;sans-serif"/>
          <w:b w:val="false"/>
          <w:color w:val="000000"/>
          <w:sz w:val="20"/>
        </w:rPr>
        <w:t xml:space="preserve">sets, and the Company has recorded a full valuation allowance against its U.S. deferred tax assets. </w:t>
      </w:r>
    </w:p>
    <w:p>
      <w:pPr>
        <w:pStyle w:val="TextBody"/>
        <w:bidi w:val="0"/>
        <w:spacing w:lineRule="auto" w:line="288" w:before="360" w:after="283"/>
        <w:jc w:val="left"/>
        <w:rPr/>
      </w:pPr>
      <w:r>
        <w:rPr>
          <w:rFonts w:ascii="Arial;sans-serif" w:hAnsi="Arial;sans-serif"/>
          <w:b/>
          <w:i/>
          <w:color w:val="000000"/>
          <w:sz w:val="20"/>
        </w:rPr>
        <w:t>Changes in our effective tax rate or tax liability may have an adverse effect on our results of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subject to income and other taxes in the United States on a federal and state basis, as well as subject to taxation in Ireland. Our effective tax rate or tax liability could be adversely affected due to several factors, including:</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shd w:fill="FFFFFF" w:val="clear"/>
        </w:rPr>
        <w:t>changes in the relative amounts of income before taxes in the various jurisdictions in which we operate that have differing statutory tax rates;</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shd w:fill="FFFFFF" w:val="clear"/>
        </w:rPr>
        <w:t>changes in the United States or foreign tax laws, tax treaties, and regulations or their interpretation;</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shd w:fill="FFFFFF" w:val="clear"/>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limitations on the utilization of net operating losses and other tax attributes, including those arising under Sections 382, 383 and 108 of the Code;</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shd w:fill="FFFFFF" w:val="clear"/>
        </w:rPr>
        <w:t>the outcome of current and future tax audits, examinations, or administrative appeals; and</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shd w:fill="FFFFFF" w:val="clear"/>
        </w:rPr>
        <w:t>limitations or adverse findings regarding our ability to do business in some jurisdictions.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Dependence on Third Parties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We face risks associated with brand and manufacturing partners from whom our products are sourced or co-manufactured.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discontinue selling products to us or manufacturing our Exclusive Designs;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enter into arrangements with competitors that could impair our ability to source their products, including by giving our competitors exclusivity arrangements or limiting our access to certain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raise the prices they charge us;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are not satisfied with the value proposition we offer them;</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view our brand or financial profile favorably;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pricing terms to require us to pay a significant portion of the cost of items on delivery or upfront;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negative publicity or reputational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follow our vendor code of conduct and/or violate legal and regulatory requirements;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supply chain disruptions that cause lead times to be lengthened or missed entirely; or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 to execute on the design we have provided for co-manufactured products.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We rely on third parties to provide the payment processing infrastructure underlying our business. If these third-party providers become unavailable or unavailable on favorable terms, our business could be adversely affected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pStyle w:val="TextBody"/>
        <w:bidi w:val="0"/>
        <w:spacing w:lineRule="auto" w:line="288" w:before="360" w:after="283"/>
        <w:jc w:val="left"/>
        <w:rPr/>
      </w:pPr>
      <w:r>
        <w:rPr>
          <w:rFonts w:ascii="Arial;sans-serif" w:hAnsi="Arial;sans-serif"/>
          <w:b/>
          <w:i/>
          <w:color w:val="000000"/>
          <w:sz w:val="20"/>
        </w:rPr>
        <w:t>Our business relies on third-party cloud infrastructures, and any disruption of, or interference with, our use of cloud infrastructures could adversely affect our business, financial condition or results of operations</w:t>
      </w:r>
      <w:r>
        <w:rPr>
          <w:rFonts w:ascii="Arial;sans-serif" w:hAnsi="Arial;sans-serif"/>
          <w:b w:val="false"/>
          <w:color w:val="000000"/>
          <w:sz w:val="20"/>
        </w:rPr>
        <w: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previously migrated a substantial portion of our primary production environment, core architecture, and data storage to a third-party cloud provider, which provides a distributed computing infrastructure as a service platform for business operations. We are in the process of consolidating even more of our production environment, architecture, and data storage with this cloud provider and retain a separate third-party cloud provider for other discrete portions of our business. The consolidation of most of our business operations into a single cloud provider is intended to drive efficiencies and improve costs but could increase the impact to our company in the event of a security incident or other type of service interruption (as further described below). Further, this migration may take longer than anticipated, result in higher costs than planned, and lead to significant business disruption if our migration does not go as planned.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cloud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primary third-party cloud providers do not have an obligation to renew their agreements with us on terms acceptable to us or at all. Although alternative cloud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agreements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pStyle w:val="TextBody"/>
        <w:bidi w:val="0"/>
        <w:spacing w:lineRule="auto" w:line="288" w:before="360" w:after="283"/>
        <w:jc w:val="left"/>
        <w:rPr/>
      </w:pPr>
      <w:r>
        <w:rPr>
          <w:rFonts w:ascii="Arial;sans-serif" w:hAnsi="Arial;sans-serif"/>
          <w:b/>
          <w:i/>
          <w:color w:val="000000"/>
          <w:sz w:val="20"/>
        </w:rPr>
        <w:t>We depend on search engines, social media platforms, mobile application stores, content-based and cross-context behavioral</w:t>
      </w:r>
      <w:r>
        <w:rPr>
          <w:color w:val="000000"/>
        </w:rPr>
        <w:t xml:space="preserve"> </w:t>
      </w:r>
      <w:r>
        <w:rPr>
          <w:rFonts w:ascii="Arial;sans-serif" w:hAnsi="Arial;sans-serif"/>
          <w:b/>
          <w:i/>
          <w:color w:val="000000"/>
          <w:sz w:val="20"/>
        </w:rPr>
        <w:t>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 Finally, if consumer use of AI agents or other AI tools grows, this may in turn reduce the usage of search engines, which could also result in reduced traffic to our websites. For risks related to AI, see “Our use of AI may subject us to new or heightened legal, regulatory, ethical, operational or other challenges.”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maintain and increase the number of consumers directed to our products from digital platforms is not entirely within our control. Search engines, social media platforms 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consumers may have difficulty accessing our sites, and our business and operating results are likely to suffer. Also, bots and non-human traffic accessing our site skew reporting, making results and trends more difficult to discern and, as a result, may impact our ability to assess the effectiveness of our marketing and product offerings, which could adversely affect our business and operating results. Our efforts to attract consumers and convert them into customers also rely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such channels increase, we may incur additional marketing expenses or be required to allocate a larger portion of our marketing spend to other channels and our business and operating results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pStyle w:val="TextBody"/>
        <w:bidi w:val="0"/>
        <w:spacing w:lineRule="auto" w:line="288" w:before="360" w:after="283"/>
        <w:jc w:val="left"/>
        <w:rPr/>
      </w:pPr>
      <w:r>
        <w:rPr>
          <w:rFonts w:ascii="Arial;sans-serif" w:hAnsi="Arial;sans-serif"/>
          <w:b/>
          <w:i/>
          <w:color w:val="000000"/>
          <w:sz w:val="20"/>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products we rent or sell to our customers are subject to regulation by the U.S.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We may incur significant losses from fraud</w:t>
      </w:r>
      <w:r>
        <w:rPr>
          <w:rFonts w:ascii="Arial;sans-serif" w:hAnsi="Arial;sans-serif"/>
          <w:b w:val="false"/>
          <w:color w:val="000000"/>
          <w:sz w:val="20"/>
        </w:rPr>
        <w: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insurance coverage may be insufficient to cover all of our liabilities and coverage needs. If our insurance coverage is insufficient for the needs of our business or otherwise or our insurance providers are unable or unwilling to meet their obligations, it could have an adverse effect on our business, financial condition and results of operations and/or we may not be able to mitigate the risks facing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procure third-party insurance policies that are intended to cover various operations-related risks including employment practices liability, workers’ compensation, property and business interruptions, cybersecurity and data security incidents, crime, directors’ and officers’ liability, and general business liabilities; however our insurance policies may fail to meet all of our coverage needs and liabilities. In addition, we are required to maintain certain levels of insurance coverage in certain commercial agreements, such as our real estate leases, and in our New Credit Agreement; however, we cannot guarantee that we will continue to maintain adequate insurance coverage on favorable terms that meets our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and/or liability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Insurance providers have also raised premiums, self-insured retentions, and deductibles for many businesses in the past,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Ownership of Our Class A Common Stock</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pStyle w:val="TextBody"/>
        <w:bidi w:val="0"/>
        <w:spacing w:lineRule="auto" w:line="288" w:before="120" w:after="283"/>
        <w:jc w:val="left"/>
        <w:rPr/>
      </w:pPr>
      <w:r>
        <w:rPr>
          <w:rFonts w:ascii="Arial;sans-serif" w:hAnsi="Arial;sans-serif"/>
          <w:b w:val="false"/>
          <w:color w:val="000000"/>
          <w:sz w:val="20"/>
        </w:rPr>
        <w:t xml:space="preserve">We are an “emerging growth company,” as defined in the </w:t>
      </w:r>
      <w:r>
        <w:rPr>
          <w:rFonts w:ascii="Arial;sans-serif" w:hAnsi="Arial;sans-serif"/>
          <w:b w:val="false"/>
          <w:color w:val="000000"/>
          <w:sz w:val="20"/>
          <w:shd w:fill="FFFFFF" w:val="clear"/>
        </w:rPr>
        <w:t>Jumpstart Our Business Startups Act of 2012 (“</w:t>
      </w:r>
      <w:r>
        <w:rPr>
          <w:rFonts w:ascii="Arial;sans-serif" w:hAnsi="Arial;sans-serif"/>
          <w:b w:val="false"/>
          <w:color w:val="000000"/>
          <w:sz w:val="20"/>
        </w:rPr>
        <w:t>JOBS Act”), and we may take advantage of certain exemptions from reporting requirements that are applicable to other public companies that are not “emerging growth companies,”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auditor attestation requirements of Section 404;</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reduced disclosure obligations regarding executive compensation in our periodic reports and proxy statements;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exemptions from the requirements of holding a non-binding advisory stockholder vote on executive compensation and non-binding advisory stockholder vote to approve any golden parachute payments not previously approved.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earliest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fiscal year following the fifth anniversary of our IPO;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first fiscal year in which our annual gross revenue is $1.235 billion or more;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on which we have, during the previous rolling three-year period, issued more than $1 billion in non-convertible debt securities;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we qualify as a “large accelerated filer,” with at least $700 million of equity securities held by non-affiliates.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 See also “Our shares of Class A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 which could make our Class A common stock less attractive to investors or otherwise harm our stock price.”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Our share price may be volatile, and our investors may be unable to sell shares at or above the price they paid for them</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The market price of our Class A common stock has declined significantly since our IPO, has been volatile and is likely to continue to be volatile and could be subject to wide fluctuations in response to the risk factors described in this Quarterly</w:t>
      </w:r>
      <w:r>
        <w:rPr>
          <w:color w:val="000000"/>
          <w:shd w:fill="FFFFFF" w:val="clear"/>
        </w:rPr>
        <w:t xml:space="preserve"> </w:t>
      </w:r>
      <w:r>
        <w:rPr>
          <w:rFonts w:ascii="Arial;sans-serif" w:hAnsi="Arial;sans-serif"/>
          <w:b w:val="false"/>
          <w:color w:val="000000"/>
          <w:sz w:val="20"/>
          <w:shd w:fill="FFFFFF" w:val="clear"/>
        </w:rPr>
        <w:t>Report</w:t>
      </w:r>
      <w:r>
        <w:rPr>
          <w:rFonts w:ascii="Arial;sans-serif" w:hAnsi="Arial;sans-serif"/>
          <w:b w:val="false"/>
          <w:color w:val="000000"/>
          <w:sz w:val="20"/>
        </w:rPr>
        <w:t>, and others within or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Recapitalization Transactions;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anticipated fluctuations in our revenue or other operating metrics;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actual or anticipated operating performance and the operating performance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financial projections we provide to the public or our failure to meet these projections;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positive or negative publicity;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any major change in our board of directors, management, or key personnel;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economy as a whole and market conditions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in global trade policies, tariffs and other measures that could restrict international trade;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overall stock market conditions;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rumors and market speculation involving us or other companies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legal and regulatory landscape and changes in the application of existing laws or adoption of new laws that impact our business, including changes in e-commerce and tax laws;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and regulatory claims, litigation, or pre-litigation disputes and other proceedings;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pandemics like COVID-19 on our business or the fashion industry and sharing economy generally;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sales or expected sales of our Class A common stock by us, our officers, directors, principal stockholders,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securities or industry analysts publish research about our business, or if they publish unfavorable research;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other events or factors, including those resulting from geopolitical conditions, including war, incidents of terrorism, or responses to these events.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Current or future securities litigation could divert resources and the attention of management from our business, and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Arial;sans-serif" w:hAnsi="Arial;sans-serif"/>
          <w:b/>
          <w:i/>
          <w:color w:val="000000"/>
          <w:sz w:val="20"/>
        </w:rPr>
        <w:t>Our management has broad discretion in the use of our cash resources and may not use them effectively</w:t>
      </w:r>
      <w:r>
        <w:rPr>
          <w:rFonts w:ascii="Arial;sans-serif" w:hAnsi="Arial;sans-serif"/>
          <w:b w:val="false"/>
          <w:color w:val="000000"/>
          <w:sz w:val="2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has broad discretion, subject to our New Credit Agreement and Board oversight,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pStyle w:val="TextBody"/>
        <w:bidi w:val="0"/>
        <w:spacing w:lineRule="auto" w:line="288" w:before="360" w:after="283"/>
        <w:jc w:val="left"/>
        <w:rPr/>
      </w:pPr>
      <w:r>
        <w:rPr>
          <w:rFonts w:ascii="Arial;sans-serif" w:hAnsi="Arial;sans-serif"/>
          <w:b/>
          <w:i/>
          <w:color w:val="000000"/>
          <w:sz w:val="20"/>
        </w:rPr>
        <w:t>Our business and financial performance may differ from any projections that we disclose or any information that may be attributed to us by third parties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bidi w:val="0"/>
        <w:spacing w:lineRule="auto" w:line="288" w:before="360" w:after="283"/>
        <w:jc w:val="left"/>
        <w:rPr/>
      </w:pPr>
      <w:r>
        <w:rPr>
          <w:rFonts w:ascii="Arial;sans-serif" w:hAnsi="Arial;sans-serif"/>
          <w:b/>
          <w:i/>
          <w:color w:val="000000"/>
          <w:sz w:val="20"/>
        </w:rPr>
        <w:t>Future sales of our common stock in the public market could cause our share price to fall</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See Risks Related to the Recapitalization Transactions and “Note 6 - Long-Term Debt</w:t>
      </w:r>
      <w:r>
        <w:rPr>
          <w:color w:val="000000"/>
          <w:shd w:fill="FFFFFF" w:val="clear"/>
        </w:rPr>
        <w:t xml:space="preserve">” </w:t>
      </w:r>
      <w:r>
        <w:rPr>
          <w:rFonts w:ascii="Arial;sans-serif" w:hAnsi="Arial;sans-serif"/>
          <w:b w:val="false"/>
          <w:color w:val="000000"/>
          <w:sz w:val="20"/>
        </w:rPr>
        <w:t>in the Notes to the Condensed Consolidated Financial Statements for more information on the Recapitalization Transactions, including the sale and issuance of our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Generally, 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future, we may sell additional Class A common stock, other series of common stock, convertible securities, or other equity securities, including preferred securities, in one or more transactions at prices and in a manner we determine from time to time, including but not limited to pursuant to our shelf registration statement on Form S-3. For example, on April 15, 2026, we entered into an At-the-Market Sales Agreement with BTIG, LLC, as agent, for the issuance and sale in an “at the market offering” as defined in Rule 415(a)(4) under the Securities Act, of our Class A common stock with an aggregate offering price of up to $40,000,000.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pStyle w:val="TextBody"/>
        <w:bidi w:val="0"/>
        <w:spacing w:lineRule="auto" w:line="288" w:before="240" w:after="283"/>
        <w:jc w:val="left"/>
        <w:rPr/>
      </w:pPr>
      <w:r>
        <w:rPr>
          <w:rFonts w:ascii="Arial;sans-serif" w:hAnsi="Arial;sans-serif"/>
          <w:b w:val="false"/>
          <w:color w:val="000000"/>
          <w:sz w:val="20"/>
        </w:rPr>
        <w:t xml:space="preserve">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w:t>
      </w:r>
      <w:r>
        <w:rPr>
          <w:rFonts w:ascii="Arial;sans-serif" w:hAnsi="Arial;sans-serif"/>
          <w:b w:val="false"/>
          <w:color w:val="000000"/>
          <w:sz w:val="20"/>
          <w:shd w:fill="FFFFFF" w:val="clear"/>
        </w:rPr>
        <w:t>restricted stock units and performance stock units</w:t>
      </w:r>
      <w:r>
        <w:rPr>
          <w:color w:val="000000"/>
        </w:rPr>
        <w:t xml:space="preserve"> </w:t>
      </w:r>
      <w:r>
        <w:rPr>
          <w:rFonts w:ascii="Arial;sans-serif" w:hAnsi="Arial;sans-serif"/>
          <w:b w:val="false"/>
          <w:color w:val="000000"/>
          <w:sz w:val="20"/>
        </w:rPr>
        <w:t>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factors could also make it more difficult for us to raise additional funds through future offerings of our shares of Class A common stock or other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shares of Class A common stock are listed on the Nasdaq Global Market, and we are a “controlled company” within the meaning of the rules and listing standards of The Nasdaq Stock Market LLC (Nasdaq). As a result, we rely on exemptions from certain corporate governance requirements. Our stockholders do not have the same protections as those afforded to stockholders of companies that are not “controlled,” which could make our Class A common stock less attractive to investors or otherwise harm our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CHS US Investments LLC (“CHS”) and its affiliates control a majority of the voting power of our outstanding Class A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are not required to have a board that is composed of a majority of “independent directors,” as defined under the rules and listing standards of Nasdaq;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are not required to have a compensation committee that is composed entirely of independent directors or have a written charter addressing the committee’s purpose and responsibilities;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utilize, and intend to continue to utilize, certain of these exemptions. We do not have a compensation committee or a nominating and corporate governance committee. Accordingly, our stockholders do not have the same protections afforded to stockholders of companies that are subject to all of the corporate governance requirements of Nasdaq, which could make our Class A common stock less attractive to some investors or otherwise harm our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CHS is also a Lender pursuant to our New Credit Agreement. If CHS loses confidence in our business or if their investment strategy evolves and we are no longer an attractive investment, it could materially adversely affect our business, financial condition and results of operations. If at any time we cease to be a “controlled company” under Nasdaq listing rules, our board of directors will take all action necessary to comply with Nasdaq’s corporate governance rules, including establishing certain committees composed entirely of independent directors, subject to a permitted “phase-in” period. Notwithstanding our status as a controlled company, we will remain subject to the Nasdaq corporate governance standards that require us to have an audit committee with at least three independent directors, as well as to be composed entirely of independent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Certain provisions in our corporate charter documents and under Delaware law may prevent or hinder attempts by our stockholders to change our Board or to acquire a controlling interest in us, and the trading price of our Class A common stock may be lower as a result</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are provisions in our Amended Charter and Third Amended and Restated Bylaws (“Amended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classified board of directors so that not all members of our board of directors are elected at one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requirement that our directors may only be removed for cause;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fill all board vacancies, subject to the rights granted pursuant to the investor rights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advance notice procedures for stockholder director nominees and annual meeting matters (other than the parties to our investor rights agreement), subject to certain exceptions;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amend our Amended Bylaws without stockholder consent;and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cumulative voting for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240" w:after="283"/>
        <w:jc w:val="left"/>
        <w:rPr/>
      </w:pPr>
      <w:r>
        <w:rPr>
          <w:rFonts w:ascii="Arial;sans-serif" w:hAnsi="Arial;sans-serif"/>
          <w:b/>
          <w:i/>
          <w:color w:val="000000"/>
          <w:sz w:val="20"/>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06"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Amended Charter provides that the doctrine of “corporate opportunity” does not apply with respect to any directors appointed to the Board by Nexus or STORY3 (or their affiliates) who are not our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doctrine of “corporate opportunity” does not apply with respect to any directors appointed to the Board by Nexus or STORY3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appointed to the Board by Nexus or STORY3, or their respective affiliates,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effects of climate change and related regulatory, customer and investor responses may adversely impact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Unregistered Sales of Equity Securities </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Item 3. Defaults Upon Senior Securities </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07"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September 11, 2026 (the “Appointment Date”), our Board of Directors (the “Board”) appointed Paige Thomas as our Chief Executive Officer, principal executive officer, President and member of the Board, effective as of September 14, 2026 (the “Effective Date”).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Ms. Thomas, age 55, served as Chief Merchant &amp; Product Innovation Officer at Signet Jewelers from June 2024 to August 2025. Prior to that, she served as President &amp; CEO of Saks OFF 5th from 2020 to 2023. From 2012 to 2020, Ms. Thomas served in various executive roles at Nordstrom, most recently as Executive Vice President, General Merchandise Manager, Mens and Kids from 2017 to 2020, and Executive Vice President, General Merchandise Manager and Chief Merchant of Nordstrom Rack from 2012 to 2017. Ms. Thomas also held several roles of increasing seniority at Kohl’s Department Stores from 2003 to 2012, including Executive Vice President, General Merchandise Manager, Juniors, Jewelry, Accessories, Cosmetics. Ms. Thomas holds a B.A. in Business from the University of Washington.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her appointment as Chief Executive Officer and President, we entered into an offer letter with Ms. Thomas (the “Offer Letter”) providing for, among other things, (i) an annual base salary of $650,000, (ii) a target annual bonus opportunity equal to 100% of her annual base salary, (iii) a grant of restricted stock units and performance stock units pursuant to our Second Amended and Restated 2021 Incentive Award Plan, as amended, and (iv) severance payments and benefits upon certain qualifying terminations of employment pursuant to our Amended and Restated Executive Severance Plan. The foregoing summary of the terms of the Offer Letter is qualified in its entirety by reference to the complete text of the Offer Letter, a copy of which is filed as Exhibit 10.4 hereto, and is incorporated by reference herein.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are no family relationships between Ms. Thomas and any director or executive officer of the Company, and other than as described above, there are no arrangements or understandings between Ms. Thomas and any other person pursuant to which she was selected as Chief Executive Officer, President or as a member of the Board. There are no related person transactions within the meaning of Item 404(a) of Regulation S-K between Ms. Thomas and the Company.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connection with Ms. Thomas’ appointment, on the Appointment Date, Ms. Bariquit stepped down as our Interim Chief Executive Officer and President and was appointed by the Board to serve as non-executive Chair of the Board, effective as of the Effective Date. In connection with such appointment, Dhiren Fonseca stepped down as Executive Chairman and will continue to serve as a Class III director of the Board. In connection with Ms. Bariquit’s appointment as non-executive Chair of the Board, we entered into a letter agreement with Ms. Bariquit (the “Bariquit Letter”), providing for (i) annual cash compensation of $150,000, payable quarterly in arrears and (ii) a grant of restricted stock units pursuant to our Second Amended and Restated 2021 Incentive Award Plan, as amended. The foregoing summary of the terms of the Bariquit Letter is qualified in its entirety by reference to the complete text of the Bariquit Letter, a copy of which is filed as Exhibit 10.5 hereto,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08"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Item 6. Exhibits</w:t>
      </w:r>
    </w:p>
    <w:p>
      <w:pPr>
        <w:pStyle w:val="TextBody"/>
        <w:bidi w:val="0"/>
        <w:spacing w:lineRule="auto" w:line="288" w:before="120" w:after="283"/>
        <w:ind w:left="0" w:right="0" w:hanging="270"/>
        <w:jc w:val="left"/>
        <w:rPr/>
      </w:pPr>
      <w:r>
        <w:rPr>
          <w:rFonts w:ascii="sans-serif" w:hAnsi="sans-serif"/>
          <w:b w:val="false"/>
          <w:color w:val="000000"/>
          <w:sz w:val="22"/>
        </w:rPr>
        <w:t>(a)</w:t>
      </w:r>
      <w:r>
        <w:rPr>
          <w:rFonts w:ascii="Arial;sans-serif" w:hAnsi="Arial;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1"/>
        <w:gridCol w:w="247"/>
        <w:gridCol w:w="248"/>
        <w:gridCol w:w="109"/>
        <w:gridCol w:w="109"/>
        <w:gridCol w:w="109"/>
        <w:gridCol w:w="1340"/>
        <w:gridCol w:w="1167"/>
        <w:gridCol w:w="1171"/>
        <w:gridCol w:w="109"/>
        <w:gridCol w:w="109"/>
        <w:gridCol w:w="109"/>
        <w:gridCol w:w="175"/>
        <w:gridCol w:w="175"/>
        <w:gridCol w:w="176"/>
        <w:gridCol w:w="109"/>
        <w:gridCol w:w="109"/>
        <w:gridCol w:w="109"/>
        <w:gridCol w:w="251"/>
        <w:gridCol w:w="251"/>
        <w:gridCol w:w="193"/>
        <w:gridCol w:w="109"/>
        <w:gridCol w:w="109"/>
        <w:gridCol w:w="109"/>
        <w:gridCol w:w="220"/>
        <w:gridCol w:w="220"/>
        <w:gridCol w:w="221"/>
        <w:gridCol w:w="109"/>
        <w:gridCol w:w="109"/>
        <w:gridCol w:w="109"/>
        <w:gridCol w:w="214"/>
        <w:gridCol w:w="214"/>
        <w:gridCol w:w="215"/>
        <w:gridCol w:w="109"/>
        <w:gridCol w:w="109"/>
        <w:gridCol w:w="109"/>
        <w:gridCol w:w="367"/>
        <w:gridCol w:w="367"/>
        <w:gridCol w:w="53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 / Furnished Herewith</w:t>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Arial;sans-serif" w:hAnsi="Arial;sans-serif"/>
                  <w:b w:val="false"/>
                  <w:color w:val="0000FF"/>
                  <w:sz w:val="20"/>
                  <w:u w:val="single"/>
                </w:rPr>
                <w:t>Thirteenth Amended and Restated Certificate of Incorporation of Rent the Runway, Inc., dated July 15,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07/16/2026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Arial;sans-serif" w:hAnsi="Arial;sans-serif"/>
                  <w:b w:val="false"/>
                  <w:color w:val="0000FF"/>
                  <w:sz w:val="20"/>
                  <w:u w:val="single"/>
                </w:rPr>
                <w:t>Amended &amp;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transitionagreementdf.htm">
              <w:r>
                <w:rPr>
                  <w:rStyle w:val="InternetLink"/>
                  <w:rFonts w:ascii="Arial;sans-serif" w:hAnsi="Arial;sans-serif"/>
                  <w:b w:val="false"/>
                  <w:color w:val="000080"/>
                  <w:sz w:val="20"/>
                  <w:u w:val="single"/>
                </w:rPr>
                <w:t>Transition</w:t>
              </w:r>
            </w:hyperlink>
            <w:hyperlink w:anchor="transitionagreementdf.htm">
              <w:r>
                <w:rPr>
                  <w:rStyle w:val="InternetLink"/>
                  <w:rFonts w:ascii="Arial;sans-serif" w:hAnsi="Arial;sans-serif"/>
                  <w:b w:val="false"/>
                  <w:color w:val="000080"/>
                  <w:sz w:val="20"/>
                  <w:u w:val="single"/>
                </w:rPr>
                <w:t xml:space="preserve"> and Board </w:t>
              </w:r>
            </w:hyperlink>
            <w:hyperlink w:anchor="transitionagreementdf.htm">
              <w:r>
                <w:rPr>
                  <w:rStyle w:val="InternetLink"/>
                  <w:rFonts w:ascii="Arial;sans-serif" w:hAnsi="Arial;sans-serif"/>
                  <w:b w:val="false"/>
                  <w:color w:val="000080"/>
                  <w:sz w:val="20"/>
                  <w:u w:val="single"/>
                </w:rPr>
                <w:t>Service Agre</w:t>
              </w:r>
            </w:hyperlink>
            <w:hyperlink w:anchor="transitionagreementdf.htm">
              <w:r>
                <w:rPr>
                  <w:rStyle w:val="InternetLink"/>
                  <w:rFonts w:ascii="Arial;sans-serif" w:hAnsi="Arial;sans-serif"/>
                  <w:b w:val="false"/>
                  <w:color w:val="000080"/>
                  <w:sz w:val="20"/>
                  <w:u w:val="single"/>
                </w:rPr>
                <w:t xml:space="preserve">ement </w:t>
              </w:r>
            </w:hyperlink>
            <w:hyperlink w:anchor="transitionagreementdf.htm">
              <w:r>
                <w:rPr>
                  <w:rStyle w:val="InternetLink"/>
                  <w:rFonts w:ascii="Arial;sans-serif" w:hAnsi="Arial;sans-serif"/>
                  <w:b w:val="false"/>
                  <w:color w:val="000080"/>
                  <w:sz w:val="20"/>
                  <w:u w:val="single"/>
                </w:rPr>
                <w:t>between</w:t>
              </w:r>
            </w:hyperlink>
            <w:hyperlink w:anchor="transitionagreementdf.htm">
              <w:r>
                <w:rPr>
                  <w:rStyle w:val="InternetLink"/>
                  <w:rFonts w:ascii="Arial;sans-serif" w:hAnsi="Arial;sans-serif"/>
                  <w:b w:val="false"/>
                  <w:color w:val="000080"/>
                  <w:sz w:val="20"/>
                  <w:u w:val="single"/>
                </w:rPr>
                <w:t xml:space="preserve"> Rent the Runway, Inc. and Dhiren Fonseca, </w:t>
              </w:r>
            </w:hyperlink>
            <w:hyperlink w:anchor="transitionagreementdf.htm">
              <w:r>
                <w:rPr>
                  <w:rStyle w:val="InternetLink"/>
                  <w:rFonts w:ascii="Arial;sans-serif" w:hAnsi="Arial;sans-serif"/>
                  <w:b w:val="false"/>
                  <w:color w:val="000080"/>
                  <w:sz w:val="20"/>
                  <w:u w:val="single"/>
                </w:rPr>
                <w:t>effective July 1, 2</w:t>
              </w:r>
            </w:hyperlink>
            <w:hyperlink w:anchor="transitionagreementdf.htm">
              <w:r>
                <w:rPr>
                  <w:rStyle w:val="InternetLink"/>
                  <w:rFonts w:ascii="Arial;sans-serif" w:hAnsi="Arial;sans-serif"/>
                  <w:b w:val="false"/>
                  <w:color w:val="000080"/>
                  <w:sz w:val="20"/>
                  <w:u w:val="single"/>
                </w:rPr>
                <w:t>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Arial;sans-serif" w:hAnsi="Arial;sans-serif"/>
                  <w:b w:val="false"/>
                  <w:color w:val="0000FF"/>
                  <w:sz w:val="20"/>
                  <w:u w:val="single"/>
                </w:rPr>
                <w:t>Third Amendment to Amended and Restated Credit Agreement, dated September 1, 2026, by and among the Company, the Agent, and the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Arial;sans-serif" w:hAnsi="Arial;sans-serif"/>
                  <w:b w:val="false"/>
                  <w:color w:val="0000FF"/>
                  <w:sz w:val="20"/>
                  <w:u w:val="single"/>
                </w:rPr>
                <w:t>Stipulation and Agreement of Settlement, dated September 3,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temploymentagreement.htm">
              <w:r>
                <w:rPr>
                  <w:rStyle w:val="InternetLink"/>
                  <w:rFonts w:ascii="Arial;sans-serif" w:hAnsi="Arial;sans-serif"/>
                  <w:b w:val="false"/>
                  <w:color w:val="0000FF"/>
                  <w:sz w:val="20"/>
                  <w:u w:val="single"/>
                </w:rPr>
                <w:t>Employment Agreement between the Company and Paige Thomas, dated September 11,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tr-letteragreementtb.htm">
              <w:r>
                <w:rPr>
                  <w:rStyle w:val="InternetLink"/>
                  <w:rFonts w:ascii="Arial;sans-serif" w:hAnsi="Arial;sans-serif"/>
                  <w:b w:val="false"/>
                  <w:color w:val="000080"/>
                  <w:sz w:val="20"/>
                  <w:u w:val="single"/>
                </w:rPr>
                <w:t>L</w:t>
              </w:r>
            </w:hyperlink>
            <w:hyperlink w:anchor="rtr-letteragreementtb.htm">
              <w:r>
                <w:rPr>
                  <w:rStyle w:val="InternetLink"/>
                  <w:rFonts w:ascii="Arial;sans-serif" w:hAnsi="Arial;sans-serif"/>
                  <w:b w:val="false"/>
                  <w:color w:val="000080"/>
                  <w:sz w:val="20"/>
                  <w:u w:val="single"/>
                </w:rPr>
                <w:t>etter Agreement between the Company and Teri Bariquit, dated Sep</w:t>
              </w:r>
            </w:hyperlink>
            <w:hyperlink w:anchor="rtr-letteragreementtb.htm">
              <w:r>
                <w:rPr>
                  <w:rStyle w:val="InternetLink"/>
                  <w:rFonts w:ascii="Arial;sans-serif" w:hAnsi="Arial;sans-serif"/>
                  <w:b w:val="false"/>
                  <w:color w:val="000080"/>
                  <w:sz w:val="20"/>
                  <w:u w:val="single"/>
                </w:rPr>
                <w:t xml:space="preserve">tember </w:t>
              </w:r>
            </w:hyperlink>
            <w:hyperlink w:anchor="rtr-letteragreementtb.htm">
              <w:r>
                <w:rPr>
                  <w:rStyle w:val="InternetLink"/>
                  <w:rFonts w:ascii="Arial;sans-serif" w:hAnsi="Arial;sans-serif"/>
                  <w:b w:val="false"/>
                  <w:color w:val="000080"/>
                  <w:sz w:val="20"/>
                  <w:u w:val="single"/>
                </w:rPr>
                <w:t>11</w:t>
              </w:r>
            </w:hyperlink>
            <w:hyperlink w:anchor="rtr-letteragreementtb.htm">
              <w:r>
                <w:rPr>
                  <w:rStyle w:val="InternetLink"/>
                  <w:rFonts w:ascii="Arial;sans-serif" w:hAnsi="Arial;sans-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1q2fy26.htm">
              <w:r>
                <w:rPr>
                  <w:rStyle w:val="InternetLink"/>
                  <w:rFonts w:ascii="Arial;sans-serif" w:hAnsi="Arial;sans-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2q2fy26.htm">
              <w:r>
                <w:rPr>
                  <w:rStyle w:val="InternetLink"/>
                  <w:rFonts w:ascii="Arial;sans-serif" w:hAnsi="Arial;sans-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q2fy26.htm">
              <w:r>
                <w:rPr>
                  <w:rStyle w:val="InternetLink"/>
                  <w:rFonts w:ascii="Arial;sans-serif" w:hAnsi="Arial;sans-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q2fy26.htm">
              <w:r>
                <w:rPr>
                  <w:rStyle w:val="InternetLink"/>
                  <w:rFonts w:ascii="Arial;sans-serif" w:hAnsi="Arial;sans-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09"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595" w:type="dxa"/>
        <w:jc w:val="left"/>
        <w:tblInd w:w="0" w:type="dxa"/>
        <w:tblLayout w:type="fixed"/>
        <w:tblCellMar>
          <w:top w:w="28" w:type="dxa"/>
          <w:left w:w="28" w:type="dxa"/>
          <w:bottom w:w="28" w:type="dxa"/>
          <w:right w:w="28" w:type="dxa"/>
        </w:tblCellMar>
      </w:tblPr>
      <w:tblGrid>
        <w:gridCol w:w="868"/>
        <w:gridCol w:w="762"/>
        <w:gridCol w:w="770"/>
        <w:gridCol w:w="397"/>
        <w:gridCol w:w="397"/>
        <w:gridCol w:w="397"/>
        <w:gridCol w:w="1171"/>
        <w:gridCol w:w="1171"/>
        <w:gridCol w:w="1662"/>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RENT THE RUNWAY, INC.</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September 11, 2026</w:t>
            </w:r>
          </w:p>
        </w:tc>
        <w:tc>
          <w:tcPr>
            <w:tcW w:w="11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David Loretta</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David Loretta</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Interim Chief Financial Officer and Treasurer</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360" w:after="283"/>
        <w:jc w:val="center"/>
        <w:rPr/>
      </w:pPr>
      <w:r>
        <w:rPr/>
      </w:r>
    </w:p>
    <w:p>
      <w:pPr>
        <w:pStyle w:val="TextBody"/>
        <w:bidi w:val="0"/>
        <w:spacing w:before="0" w:after="0"/>
        <w:jc w:val="center"/>
        <w:rPr/>
      </w:pPr>
      <w:bookmarkStart w:id="0" w:name="transitionagreementdf.htm"/>
      <w:bookmarkStart w:id="1" w:name="kstransitionagreementdf"/>
      <w:bookmarkEnd w:id="0"/>
      <w:bookmarkEnd w:id="1"/>
      <w:r>
        <w:rPr/>
        <w:drawing>
          <wp:inline distT="0" distB="0" distL="0" distR="0">
            <wp:extent cx="10048875" cy="13001625"/>
            <wp:effectExtent l="0" t="0" r="0" b="0"/>
            <wp:docPr id="1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jc w:val="center"/>
        <w:rPr>
          <w:color w:val="FFFFFF"/>
          <w:sz w:val="2"/>
        </w:rPr>
      </w:pPr>
      <w:r>
        <w:rPr>
          <w:color w:val="FFFFFF"/>
          <w:sz w:val="2"/>
        </w:rPr>
        <w:t xml:space="preserve">Ex.10.1 TRANSITION AND BOARD SERVICE AGREEMENT June 29, 2026 Mr. Dhiren Fonseca At the address on file with the Company Dear Dhiren: This Transition and Board Service Agreement (the “Agreement”) confirms the agreement between you and Rent the Runway, Inc. (together with its subsidiaries and affiliates, the “Company”) describing the terms and conditions of the transition of your employment and role to a non-executive member of the Company’s Board of Directors (the “Board”). 1. Transition. Your title of Executive Chair of the Company, as set forth in the employment agreement by and between you and the Company, executed as of February 24, 2026 and effective as of October 28, 2025 (the “Employment Agreement”), will cease effective as of the earlier of (i) the Company’s appointment of a permanent Chief Executive Officer and (ii) January 31, 2027 (such earliest date to occur, the “Transition Date”). Effective July 1, 2026, your status shall be that of a Board member and not an employee or officer of the Company. During the period between July 1, 2026 and the Transition Date (the “Transition Period”), you will reasonably cooperate to effect an orderly, smooth and efficient transition of your duties and responsibilities as the Company may reasonably direct. 2. Accrued Obligations. The Company will pay you any (i) earned but unpaid base salary in accordance with the Company’s regular payroll processes, (ii) amounts owing under applicable employee benefit plans and (iii) reimbursement of any incurred but unreimbursed business expenses submitted within 30 days of the date hereof (in accordance with the Company’s Business Travel &amp; Expense Policy) (collectively, the “Accrued Obligations”). You are entitled to payment of the Accrued Obligations regardless of whether you execute this Agreement and the Reaffirmation (as defined below). 3. Board Service. Effective as of July 1, 2026, your service on the Board will become that of a non-employee director. You will receive cash compensation in connection with your Board service on and following July 1, 2026. You will be eligible to receive an equity grant in connection with your Board service following the Company’s 2027 annual meeting of stockholders (subject to your continued service as a member of the Board and the term and conditions of the Company’s Non- Employee Director Compensation Program then in effect). 4. Equity Awards; Refinancing Transaction Bonus; Taxes. Effective as of the date hereof, the performance stock units (“PSUs”) granted pursuant to the Notice of Performance Stock Unit Award and Performance Stock Unit Award Agreement between you and the Company dated as of February 27, 2026 (together, the “PSU Award”) and the Refinancing Transaction Bonus set forth in Section 4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Employment Agreement shall be cancelled and forfeited in their entirety. Effective as of the date hereof and subject to Section 7, 134,648 restricted stock units (“RSUs”) subject to the Notice of Restricted Stock Unit Inducement Award and Restricted Stock Unit Inducement Award Agreement, between you and the Company dated as of February 27, 2026 (together, the “RSU Award”), representing pro-rata vesting from October 28, 2025 through June 30, 2026, shall accelerate and vest (the “Accelerated RSUs”). All RSUs granted under the RSU Award other than the Accelerated RSUs shall be cancelled and forfeited in their entirety for no consideration as of the date hereof. The Accelerated RSUs shall be delivered to you in shares of the Company’s Class A common stock in accordance with, and shall otherwise remain subject to, the terms and conditions of the RSU Award. In addition, the Company will reimburse you for the incremental cost of tax return preparation services for fiscal year 2026, up to a maximum of $10,000, resulting from New York State taxes, if any, incurred as a result of your employment with the Company, within 30 days following your delivery of an invoice therefor. 5. COBRA. If you properly and timely exercise your right to continue medical, dental and/or vision coverages, as applicable, under the Company’s group health insurance plan in accordance with the Consolidated Omnibus Budget Reconciliation Act of 1985 (“COBRA”) continuation coverage requirements, from July 1, 2026 to the Transition Date (or, if earlier, the first date following the date hereof upon which you are eligible to receive comparable group welfare benefits from a subsequent employer), then the Company will pay the full cost of COBRA coverage for the group welfare benefits in effect at the date hereof (or generally comparable coverage) for you and your spouse and eligible dependents, as the same may be changed from time to time for the senior-most executives of the Company generally, as if you had continued in employment during such period. Notwithstanding the foregoing, to the extent such coverage is not permitted by the Company’s insurance carrier(s) or applicable law, the Company shall instead reimburse you for your reasonable, documented costs of purchasing comparable replacement coverage for the applicable period. After the Transition Date, you may continue such COBRA coverage for the remainder of the COBRA period at your own expense and in accordance with the terms of the applicable plans and COBRA. You will provide notice of your eligibility of comparable group welfare benefits from a subsequent employer to legal@renttherunway.com as soon as reasonably practicable following the date you become eligible for such benefits. You understand that the Company will no longer pay for any COBRA coverage as of the earliest date you are eligible to receive such benefits from a subsequent employer (whether or not you enroll). You also understand that should you fail to provide the notice required by this paragraph and the Company already has paid for COBRA coverage on your behalf that extends after such date, you agree to reimburse the Company for such amounts. 6. No Further Payments or Benefits. You acknowledge and agree that you are not entitled to any additional compensation and benefits from the Company, whether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under the Employment Agreement, the PSU Award or the RSU Award, other than as set forth in this Agreement. 7. Release of All Claims. (a) Release. In consideration for the Accelerated RSUs, COBRA coverage, and other good and valuable consideration, you acknowledge and agree that you shall execute and be bound by the release of claims attached as Exhibit A to the Employment Agreement, which is attached hereto as Exhibit A (the “Release”). (b) Executive Affirmations. In connection with your execution and nonrevocation of the Release, you agree that you have been paid and/or received all leave (paid or unpaid), compensation, wages, bonuses, severance or termination pay, commissions, notice period and/or benefits to which you may have been entitled and that no other remuneration or benefits are due to you, except as set forth in this Agreement. You affirm that you have had no known workplace injuries or occupational diseases. The Company’s obligations under this Agreement are in full discharge of any and all of the Company’s liabilities and obligations to you of any type whatsoever, whether written or oral, including, without limitation, any claim for guaranteed employment, severance pay, bonus compensation or other remuneration of any type, whether under a plan, individual agreement or otherwise. Subject to Section 10, you represent that you have disclosed to the Company any information you have concerning any fraudulent or unlawful conduct involving the Company Released Parties (as defined in the Release). You represent and warrant that you are not aware of any facts, events or circumstances existing as of the date hereof that would reasonably be expected to give rise to a termination of your employment by the Company for Cause. (c) Executive Reaffirmation. You hereby agree to reaffirm your waiver and release of claims pursuant to this Section 7 and the Release attached hereto as Exhibit A on or within five days following the Transition Date by signing the second signature line of this Agreement (the “Reaffirmation”). You may revoke the Reaffirmation after signing it by delivering a written notice of your decision to revoke to the Company within seven calendar days after the Transition Date. You understand that this Reaffirmation and your right to receive the payments and benefits set forth in this Agreement (excluding the Accrued Obligations) shall be forfeited in its entirety if you fail to execute and return the Reaffirmation or if you revoke your execution of the Reaffirmation within such seven-calendar day period. You acknowledge and agree that this Reaffirmation shall become effective on the first day after the seven-calendar day revocation period. You may not execute the Reaffirmation at any time prior to the Transition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8. Employment Agreement; Executive Chair Letter. You and the Company will remain bound by Sections 5(c), 5(d), 7, 8, 9, 11, 17 and 19 of the Employment Agreement and any other restrictive covenants in any other agreement between you and the Company, which are incorporated herein by reference. The Executive Chair Letter between you and the Company dated October 28, 2025 and all other provisions of the Employment Agreement other than the foregoing shall be deemed terminated and of no further force or effect as of the date hereof. For the avoidance of doubt, nothing in this Agreement forms the basis for a resignation for Good Reason (as defined in the Employment Agreement) and any right to resign for Good Reason is terminated and of no further force or effect as of the date hereof. You will remain bound by the Company’s policies and agreements entered into between you and the Company applicable to your Board service. 9. Confidentiality of this Agreement. Subject to Section 10 and any required public filings, you and the Company agree that you and the Company have not, and in the future will not, disclose to any other person or entity (directly or indirectly) the circumstances leading up to this Agreement without the prior written consent of the Board or you as applicable, except (i) as may be required pursuant to a valid subpoena, a request by a government agency in connection with any charge filed, investigation or proceeding or as otherwise required by law and (ii) for you, to your immediate family members, financial advisors and attorneys, provided that you first inform them of the confidentiality of this Agreement and they agree to maintain its confidentiality and, for the Company, to its employees and advisors who may need to be informed of the circumstances leading up to this Agreement. 10. Preservation of Rights. (a) Nothing in this Agreement shall waive any right that is not subject to waiver by private agreement, including without limitation any claims arising under state unemployment insurance or workers’ compensation laws, or a challenge to the validity of this Agreement. (b) You acknowledge and agree that nothing contained in this Agreement shall be construed to prohibit you from filing a charge with or participating in any investigation or proceeding conducted by the federal Equal Employment Opportunity Commission or a comparable state or local agency. You further understand that nothing contained in this Agreement shall be construed to limit, restrict or in any other way affect your communicating with any governmental agency or entity, or communicating with any official or staff person of a governmental agency or entity, concerning matters relevant to such governmental agency or entity. (c) Nothing in this Agreement or otherwise limits your ability to communicate directly with and provide information, including documents, not otherwise protected from disclosure by any applicable law or privilege to the SEC, any other federal, state or local governmental agency or commission (“Government Agency”) or self-regulatory organization regarding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possible legal violations, without disclosure to the Company. The Company may not retaliate against you for any of these activities, and nothing in this Agreement requires you to waive any monetary award or other payment that you might become entitled to from the SEC or any other Government Agency or self-regulatory organization. Moreover, nothing in this Agreement or otherwise prohibits you from notifying the Company that you are going to make a report or disclosure to law enforcement. 11. Severability. If any term of this Agreement is held to be invalid, void or unenforceable, the remainder of this Agreement will remain in full force and effect and will in no way be affected, and the parties will use their best efforts to find an alternate way to achieve the same result. 12. Choice of Law. This Agreement will be construed and interpreted in accordance with the laws of the State of New York. 13. Execution. This Agreement may be executed in counterparts, each of which will be considered an original, but all of which together will constitute one agreement. Execution of an electronic copy will have the same force and effect as execution of an original, and an electronic signature will be deemed an original and valid signature. 14. Binding Effect. This Agreement is binding upon, and shall inure to the benefit of, the parties and their respective heirs, executors, administrators, successors and assigns, and any payments due following your death shall be made to your estate or beneficiaries. 15. Entire Agreement. Except as expressly provided in this Agreement, this Agreement constitutes the complete understanding between the Company and you regarding the subject matter of this Agreement and this Agreement supersedes and renders null and void all prior agreements, understandings and discussions, whether written or oral, between you and the Company. If any term in this Agreement conflicts with terms in any other agreements between you and the Company, this Agreement shall control. This Agreement may be modified only in a written document signed by you and a duly authorized officer of the Company. 16. Consideration and Revocation Periods. You agree by your signature below that you had, and that the Company gave you, at least 21 days to review and consider this Agreement before signing it, and that such period was sufficient for you to fully and completely consider all of its terms. The Company hereby advises you to discuss this Agreement with your own attorney during this period if you wish to do so. You may accept this Agreement by delivering a copy of the Agreement signed by you to Cara Schembri, cara@renttherunway.com, within 21 days from the day you receive the Agreement. You may revoke your acceptance of the Agreement for a period of seven days after signing the Agreement by delivering written notification within that seven-day period. If you do not revoke your acceptance of the Agreement, it will be effective on the eighth day after you sign it. If you revoke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your acceptance of this Agreement, you will not be entitled to the compensation, benefits and other consideration provided for herein. You agree that you have carefully read this Agreement, fully understand what it means and are entering into it voluntarily without duress, coercion, fraud, misrepresentation or threat to withdraw or alter the offer prior to the expiration of the 21-day consideration period.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Please indicate your agreement with the above terms by signing below. Very truly yours, /s/ Cara Schembri Cara Schembri Chief Legal and Administrative Officer Rent the Runway, Inc. I agree to the terms of this Agreement. /s/ Dhiren Fonseca Dhiren Fonseca Dated: July 1, 2026 REAFFIRMATION You may not execute this Reaffirmation at any time prior to the Transition Date. I hereby reaffirm my agreement to the terms of this Agreement, effective as of the Transition Date. Dhiren Fonseca Dated: 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 RELEASE This Release of Claims (this “Release”) is entered into pursuant to the Employment Agreement, executed as of February 24, 2026 and effective as of October 28, 2025, to which Dhiren Fonseca (the “Employee”) and Rent the Runway, Inc., a Delaware corporation (the “Company”), are parties, as such agreement is from time to time amended in accordance with its terms (the “Employment Agreement”). 1. Release of Claims by Employee. (a) Pursuant to the Employment Agreement, the Employee, with the intention of binding himself and his heirs, executors, administrators and assigns (collectively, and together with the Employee, the “Employee Releasors”), hereby releases, remises, acquits and forever discharges the Company and each of its subsidiaries and affiliates (the “Company Affiliated Group”), and their past and present directors, employees, stockholders, agents, attorneys, accountants, representatives, plan fiduciaries, and the successors, predecessors and assigns of each of the foregoing (collectively, and together with the members of the Company Affiliated Group, the “Company Released Parties”),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the Employee’s employment with the Company or the termination of such employment (collectively, “Released Claims”) and that the Employee, individually or as a member of a class, now has, owns or holds, or has at any time heretofore had, owned or held, against any Company Released Party in any capacity, including any and all Released Claims arising out of or in any way connected with the Employee’s service to any member of the Company Affiliated Group (or the predecessors thereof) in any capacity (including as an employee, officer or director), or the termination of such service in any such capacity, for severance or vacation benefits, unpaid wages, salary or incentive payments, for breach of contract, wrongful discharge, impairment of economic opportunity, defamation, intentional infliction of emotional harm or other tort, for any violation of applicable federal, state and local labor and employment laws (including all laws concerning unlawful and unfair labor and employment practices) and for employment discrimination under any applicable federal, state or local statute, provision, order or regulation, and including, without limitation but only to extent applicable, any claim under Title VII of the Civil Rights Act of 1964 (“Title VII”), the Age Discrimination in Employment Act (“ADEA”) and any similar or analogous state statute, excepting only that no claim in respect of any of the following rights shall constitute a Released Claim: (1) any right arising under, or preserved by, this Release; (2) any right arising under Section 4 or Section 6 of the Employment Agreement which are meant to last following the Employee’s termination of employment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Company, or by which its terms arises following the date hereof under another section of the Employment Agreement; (3) any claim related solely to the Employee’s status as an equityholder of the Company or any affiliate thereof; (4) any right to indemnification under (i) applicable law, (ii) the Employment Agreement, (iii) the limited liability agreement, partnership agreement, by-laws or certificate of incorporation of any Company Released Party, (iv) any other agreement between the Employee and a Company Released Party or (v) as an insured under any director’s and officer’s liability insurance policy now or previously in force; or (5) any claim for vested benefits under any health, disability, retirement, life insurance or similar employee benefit plan of the Company Affiliated Group. (b) No Employee Releasor shall file or cause to be filed any action, suit, claim, charge or proceeding with any governmental agency, court or tribunal relating to any Released Claim within the scope of this Section 1. (c) In the event any action, suit, claim, charge or proceeding within the scope of this Section 1 is brought by any government agency, putative class representative or other third Party to vindicate any alleged rights of the Employee, the Employee shall, except to the extent required or compelled by law, legal process or subpoena, refrain from participating, testifying or producing documents therein, and all damages, inclusive of attorneys’ fees, if any, required to be paid to the Employee by the Company as a consequence of such action, suit, claim, charge or proceeding shall be repaid to the Company by the Employee within ten (10) calendar days of his receipt thereof. (d) The amounts and other benefits set forth in Section 6 of the Employment Agreement, to which the Employee would not be entitled in the absence of this Release, are being paid to the Employee in return for the Employee’s execution and nonrevocation of this Release and the Employee’s agreements and covenants contained in the Employment Agreement. The Employee acknowledges and agrees that the release of claims set forth in this Section 1 is not to be construed in any way as an admission of any liability whatsoever by any Company Released Party, any such liability being expressly denied. (e) 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The Employee specifically acknowledges that his acceptance of the terms of the release of claims set forth in this Section 1 is, among other things, a specific waiver of his rights, claims and causes of action under Title VII, ADEA and any state or local law or regulation in respect of discrimination of any kind; provided, however, that nothing herein shall be deemed, nor does anything contained herein purport, to be a waiver of any right or claim or cause of action which by law the Employee is not permitted to waive. Nothing in this Release shall prohibit the Employee from reporting possible violations of federal law or regulation to any governmental agency or entity in accordance with the provisions 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rules promulgated under Section 21F of the Securities Exchange Act of 1934 or Section 806 of the Sarbanes-Oxley Act of 2002, or any other whistleblower protection provisions of state or federal law or regulation. Furthermore, the terms of Section 18 of the Employment Agreement shall apply mutatis mutandis hereunder. Nevertheless, the Employee acknowledges and agrees that by virtue of this Release, the Employee has waived any relief available to the Employee from any Company Released Party (including without limitation, monetary damages, equitable relief and reinstatement) under any of the claims and/or causes of action waived in this Agreement. Therefore, except as set forth herein, the Employee agrees that the Employee will not seek or accept any award or settlement from any Company Released Party (including but not limited to any proceeding brought by any other person or by any governmental agency) with respect to any claim or right waived pursuant to this Release. This Release does not, however, waive or release the Employee’s right to receive a monetary award from any governmental agency or self-regulatory organization for information provided to any governmental agency or self-regulatory organization. 2. Voluntary Execution of Agreement. BY HIS SIGNATURE BELOW, THE EMPLOYEE ACKNOWLEDGES THAT: (a) HE HAS RECEIVED A COPY OF THIS RELEASE AND WAS OFFERED A PERIOD OF 21 DAYS TO REVIEW AND CONSIDER IT; (b) IF HE SIGNS THIS RELEASE PRIOR TO THE EXPIRATION OF 21 CALENDAR DAYS, HE KNOWINGLY AND VOLUNTARILY WAIVES AND GIVES UP THIS RIGHT OF REVIEW; (c) HE HAS THE RIGHT TO REVOKE THIS RELEASE FOR A PERIOD OF SEVEN CALENDAR DAYS AFTER HE SIGNS IT BY MAILING OR DELIVERING A WRITTEN NOTICE OF REVOCATION TO THE COMPANY NO LATER THAN THE CLOSE OF BUSINESS ON THE SEVENTH CALENDAR DAY AFTER THE DAY ON WHICH HE SIGNED THIS RELEASE; (d) THIS RELEASE SHALL NOT BECOME EFFECTIVE OR ENFORCEABLE UNTIL THE FOREGOING SEVEN-DAY REVOCATION PERIOD HAS EXPIRED WITHOUT THE RELEASE HAVING BEEN REVOKED; (e) THIS RELEASE WILL BE FINAL AND BINDING AFTER THE EXPIRATION OF THE FOREGOING REVOCATION PERIOD REFERRED TO IN SECTION 2(c) HEREOF, AND FOLLOWING SUCH REVOCATION PERIOD, THE EMPLOYEE AGREES NOT TO CHALLENGE ITS ENFORCEABILITY; (f) HE IS AWARE OF HIS RIGHT TO CONSULT AN ATTORNEY, HAS BEEN ADVISED IN WRITING TO CONSULT WITH AN ATTORNEY, AND HAS HAD THE OPPORTUNITY TO CONSULT WITH AN ATTORNEY, IF DESIRED, PRIOR TO SIGNING THIS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 NO PROMISE OR INDUCEMENT FOR THIS RELEASE HAS BEEN MADE EXCEPT AS SET FORTH IN THE EMPLOYMENT AGREEMENT AND THIS RELEASE; (h) HE HAS CAREFULLY READ THIS RELEASE, ACKNOWLEDGES THAT HE HAS NOT RELIED ON ANY REPRESENTATION OR STATEMENT, WRITTEN OR ORAL, NOT SET FORTH IN THIS DOCUMENT OR THE EMPLOYMENT AGREEMENT, AND WARRANTS AND REPRESENTS THAT HE IS SIGNING THIS RELEASE KNOWINGLY AND VOLUNTARILY. 3. Miscellaneous. 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Employee has acknowledged, executed and delivered this Release as of the date indicated below. EMPLOYEE: Dhiren Fonseca Date of Execution: 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ptemploymentagreement.htm"/>
      <w:bookmarkStart w:id="3" w:name="ksptemploymentagreement"/>
      <w:bookmarkEnd w:id="2"/>
      <w:bookmarkEnd w:id="3"/>
      <w:r>
        <w:rPr/>
        <w:drawing>
          <wp:inline distT="0" distB="0" distL="0" distR="0">
            <wp:extent cx="10048875" cy="13001625"/>
            <wp:effectExtent l="0" t="0" r="0" b="0"/>
            <wp:docPr id="1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September 11, 2026 Paige Thomas Delivered via email: Pthomas2@renttherunway.com Dear Paige: On behalf of Rent the Runway, Inc. (the “Company”), we are pleased to offer you the position of Chief Executive Officer and President of the Company. This executive employment agreement (the “Agreement”) will be effective as of September 14, 2026 (the “Appointment Date” and the period from the Effective Date through your employment termination date, the “Term”) and sets forth the terms and conditions of your employment and position. As of the Effective Date, this Agreement will replace and supersede in its entirety your prior offer letter with the Company, dated as of May 29, 2026 (the “Prior Offer Letter”), other than as expressly set forth herein. APPOINTMENT DATE &amp; LOCATION: Your appointment as Chief Executive Officer and President of the Company will be effective on the Appointment Date. You will continue to be based in our Brooklyn, NY headquarters. TITLE &amp; DUTIES: During the Term, you will serve as Chief Executive Officer and President of the Company, reporting to the Board of Directors of the Company (the “Board”), and you will have such duties, authorities and responsibilities as are customarily rendered by a Chief Executive Officer and President in companies of a similar size and nature, and such other duties, authorities and responsibilities as the Board may designate from time to time that are not inconsistent with your position as Chief Executive Officer and President of the Company. You will devote your full working time and attention to your duties and use your best efforts to promote the interests of the Company and its business. BOARD MEMBERSHIP: During the Term, you will also serve as a member of the Board effective as of the Effective Date, subject to the following sentence and as otherwise set forth in this Agreement. The Company will nominate you for a seat on the Board upon expiration of your initial term as a member of the Board and upon the expiration of each renewal term thereafter, subject to your remaining employed in good standing as Chief Executive Officer and President of the Company. BASE SALARY: During the Term, your annualized salary will be $650,000 per year, paid in equal installments every 15th and last day of each month (or closest preceding business day), subject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tax and other withholdings as required by law and subject to review no less frequently than annually for increase (but not decrease) by the Board. ANNUAL CASH BONUS: During the Term, you will be eligible for an annual cash bonus for each fiscal year you serve as Chief Executive Officer and President of the Company on terms and conditions consistent with those that apply to other similarly situated executives of the Company (the “Annual Bonus”), with a target bonus opportunity of 100% of your base salary (the “Target Amount”). The Annual Bonus for each fiscal year will be based upon the achievement of certain Company and/or personal performance metrics, as set and determined by the Board and in consultation with you prior to the commencement of each fiscal year. Subject to the following paragraph, the actual amount of any Annual Bonus that may be earned by you will range between 0% to 175% of the Target Amount, subject to the achievement of any applicable performance metrics. Your Annual Bonus, if any, will be payable at the same time as annual bonuses are paid to similarly situated executives of the Company, subject to your continued employment on the payment date (except as set forth below). Notwithstanding the foregoing, with respect to fiscal year 2026, the Annual Bonus will be no lower than 75% of the Target Amount and will be subject to proration based on the number of days you were employed with the Company during fiscal year 2026. EQUITY AWARDS: The Company will recommend to the Board that you are granted an equity award in the form of restricted stock units (“RSUs”), subject to your continued employment through the grant date. The RSUs will vest 25% on the one-year anniversary of the grant date, with the remaining 75% of the RSUs vesting in 6.25% increments on a quarterly basis for the next three years. Except as set forth in the applicable award agreement, you must remain employed with the Company on each vesting date for the RSUs to vest. The Company will also recommend to the Board that you are granted an equity award in the form of performance stock units (“PSUs”), subject to your continued employment through the grant date (except as set forth in the applicable award agreement). The RSUs and PSUs (i) will be denominated in an aggregate number of shares of the Company’s Class A common stock (“Common Stock”) such that the total number of equity awards held by you on the Effective Date will be equal to 2.5% (assuming “good” or target performance with respect to any PSUs) of the Company’s outstanding Common Stock (determined on a fully-diluted basis by the Company and in prior consultation with you), which such number of shares of Common Stock shall be granted to you 50% in the form of RSUs and 50% in the form of PSUs (assuming “good” or target performance), and (ii) will otherwise be subject to all the terms and conditions set forth in the Company’s Second Amended and Restated Incentive Award Plan, as amended (the “Plan”) and in the applicable award agreements. To the extent of any conflict between this Agreement, the Plan or the award agreements, the Plan or the award agreements will control (as applicable). BENEFITS: The Company offers a generous and comprehensive benefits package, including vacation, health, disability, 401k and life insurance. During the Term, you will be eligible to participate in a full range of benefits and perquisites, consistent with the benefits and perquisites offered to similarly situated executives of the Company, in accordance with the Company’s current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eligibility requirements (as in effect from time to time). Vacation is 15 business days, accrued on an annual basis based on the Company’s fiscal year (February 1-January 31) and may not be carried over year to year. EXPENSE REIMBURSEMENT: The Company will reimburse you for all reasonable travel and other documented business-related expenses incurred by you during the Term in fulfillment of your duties, subject to the Company’s travel and expense reimbursement policies (as in effect from time to time). INDEMNIFICATION: The Company will indemnify you and hold you harmless to the fullest extent permitted by applicable law and under the by-laws of the Company in accordance with the indemnification agreement, dated as of June 1, 2026, by and between you and the Company. The Company agrees that you shall be covered and insured up to the full limits provided by all directors’ and officers’ insurance which the Company then maintains to indemnify its directors and officers (and to indemnify the Company for any obligations which it incurs as a result of its undertaking to indemnify its officers and directors), subject to applicable deductibles and to the terms and conditions of such policies (as in effect from time to time). AT-WILL EMPLOYMENT AND SEVERANCE: This Agreement shall not be construed as an agreement, either expressed or implied, to employ you for any stated term, and shall in no way alter the Company’s policy of employment at will, under which both you and the Company remain free to terminate the employment relationship, with or without cause, at any time. As of the Effective Date, you will no longer participate in the Company’s Amended and Restated Executive Severance Plan (the “Severance Plan”) as a member of the Senior Leadership Group (as defined in the Severance Plan) but will instead participate in the Severance Plan on the basis set forth in the participation letter attached hereto as Exhibit A. Notwithstanding anything to the contrary in this Agreement, in the event that your employment with the Company terminates for any reason, then you will resign and/or be removed automatically from any and all director, officer, fiduciary or other positions that you then hold with the Company or its affiliates, and you will execute any and all documents reasonably required to effectuate such resignation and/or removal. Notwithstanding anything to the contrary in this Agreement, you will not be required to resign as a member of the Board in the event that the Board unanimously determines by affirmative vote or written consent to request that you continue as a member of the Board until the expiration of her then-current term. COMPANY NONDISPARAGEMENT: The Company will instruct its officers and directors not to, at any time, directly or through the direction or control of others, participate in any disparagement of you, nor use, disclose, disseminate, or confirm, directly or indirectly, to anyone any information or material that may harm, disparage, demean, or reflect negatively upon, or cause injury to, the reputation, character, or career of you. The Company agrees to limit discussions about you and your personal and business affairs only to those persons who have a need to know such information as permitted by law or in the ordinary course of business (including, for the avoidance of doubt, with any officer, director, employee, shareholder or their respective representatives), and otherwise to refrain from discussing you and your personal and business affairs with other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COMPENSATION RECOVERY POLICY: You hereby acknowledge and agree that the Company’s Policy Relating to Recovery of Erroneously Awarded Compensation in effect on the date hereof and any subsequently adopted amendment to such policy or new policy required by law or applicable stock exchange listing rules will apply and that you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 KEY EMPLOYMENT CONDITIONS AND REPRESENTATIONS: 1. You agree that you will remain bound by and subject to the Confidentiality, Intellectual Property, and Other Obligations Agreement, dated as of May 29, 2026, by and between you and the Company (the “Restrictive Covenant Agreement”) in accordance with the terms thereof. 2. You represent that you are not bound by any employment contract, restrictive covenant or other restriction preventing you from entering into employment with or carrying out your responsibilities for the Company, or which is in any way inconsistent with the terms of this Agreement. 3. You agree to comply with the Company’s policies, procedures and any codes of conduct which are applicable to you, which will be made available to you and may change from time to time. RETURN OF COMPANY PROPERTY: Upon your termination of employment, or at any other time the Company so requests, you must return to your manager all the Company property in your possession, including but not limited to, keys, access cards, computers, phones, and the original and all copies of any written, recorded, or computer readable information about Company practices, procedures, trade secrets, or marketing associated with the Company’s business. ATTORNEY’S FEES. The Company will pay directly for reasonable and documented attorneys’ fees and expenses incurred in connection with the review and negotiation of this Agreement and any ancillary employment-related agreements contemplated hereby, up to an aggregate maximum of $35,000, payable within 30 days after the Effective Date and the Company’s receipt of invoices and other supporting documentation. SECTION 409A: It is intended that the provisions of this Agreement comply with or are exempt from Section 409A of the Code (“Section 409A”), and all provisions of this Agreement will be construed and interpreted in a manner consistent with such intent. In no event shall the Company or any of its affiliates be liable for any additional tax, interest or penalty that may be imposed on you by Section 409A, and the Company makes no representations that this Agreement is exempt from or complies with Section 409A. For purposes of Section 409A, each right to a payment hereunder will be deemed a “separate payment” within the meaning of Treas. Reg. Section 1.409A- 2(b)(iii). To the extent that you are a “specified employee” within the meaning of Section 409A as of the date of your separation from service (as determined by the Company), no amounts payable under this Agreement that constitute “deferred compensation” within the meaning of Section 409A that are payable on account of your separation from service will be paid to you until the expiration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of the six-month period measured from the date of your separation from service (or, if earlier, the date of your death following such separation from service). Upon the first business day following the expiration of such delay period, all such amounts deferred pursuant to the preceding sentence will be paid to you (without interest). WITHHOLDING: Any payments made or benefits provided to you under this Agreement will be reduced by any applicable withholding taxes or other amounts required to be withheld or deducted by law or contract. DISPUTE RESOLUTION: You and the Company agree that any and all disputes, claims or controversies arising out of or relating to this Agreement or your employment shall be submitted to the Judicial Arbitration and Mediation Services (“JAMS”), or its successor, for mediation, and if the matter is not resolved through mediation, then it shall be resolved by binding arbitration in New York, New York (AAA rules), except that the Company may bring claims relating to inventions, confidentiality, non-competition, and non-solicitation in New York courts. Either party may seek injunctive relief and arbitration decisions will be final and binding. Except as otherwise provided in the Severance Plan, each party shall be responsible for its own attorneys’ or representative’s fees. However, if any party prevails on a statutory claim that affords the prevailing party’s attorneys’ fees, or if there is a breach of any material term of this Agreement or any other material agreements entered into between the parties herein, the arbitrator may award reasonable fees to the prevailing party. SECTION 280G: In the event any payments or benefits provided under this Agreement or otherwise, either alone or together with other payments or benefits which you receive or are entitled to receive from the Company or any affiliate (“Payments”) constitute “parachute payments” within the meaning of Section 280G of the Code and may be subject to the excise tax imposed by Section 4999 of the Code (“Excise Tax”) as a result of a transaction affecting the Company described in Section 280G(b)(2)(A)(i) of the Code (a “280G Transaction”) that occurs at any time following the date of this Agreement, then the Payments shall be reduced to the minimum extent necessary to ensure that no portion of the Payments is subject to the Excise Tax, but only if (i) the net amount of such Payments, as so reduced (and after subtracting the net amount of federal, state and local income and employment taxes on such reduced Payments and after taking into account the phase out of itemized deductions and personal exemptions attributable to such reduced Payments), is greater than or equal to (ii) the net amount of such Payments without such reduction (but after subtracting the net amount of federal, state and local income and employment taxes on such Payments and the amount of the Excise Tax to which you would be subject in respect of such unreduced Payments and after taking into account the phase out of itemized deductions and personal exemptions attributable to such unreduced Payments). The Payments shall be reduced in a manner that maximizes your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 All determinations required to be made under this section shall be made by a public accounting or employee benefits consulting firm with a national practice selected by the Company and which is reasonably acceptable to you (the “Accounting Firm”), as promptly as is practicable upon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following the applicable 280G Transaction affecting the Company. The Accounting Firm shall provide detailed supporting calculations both to the Company and you. All fees and expenses of the Accounting Firm shall be borne solely by the Company. Any determination by the Accounting Firm shall be binding upon the Company and you. ENTIRE AGREEMENT: This Agreement, together with all exhibits hereto, sets forth the entire agreement of the parties hereto in respect of the subject matter contained herein and supersedes any and all prior agreements or understandings between you and the Company with respect to the subject matter hereof, including, but not limited to, the Prior Offer Letter. This Agreement and all of the provisions hereof shall be binding upon, and inure to the benefit of, the parties hereto and their successors (including successors by merger, consolidation, sale or similar transactions, permitted assigns, executors, administrators, personal representatives, heirs and distributees). CONFIDENTIALITY OF AGREEMENT: You and the Company agree that you and the Company have not, and in the future will not, disclose to any other person or entity (directly or indirectly) the circumstances leading up to this Agreement without the prior written consent of the Board or you as applicable, except (i) as may be required pursuant to a valid subpoena, a request by a government agency in connection with any charge filed, investigation or proceeding or as otherwise required by law and (ii) for you, to your immediate family members, financial advisors and attorneys, provided that you first inform them of the confidentiality of this Agreement and they agree to maintain its confidentiality and, for the Company, to its employees and advisors who may need to be informed of the circumstances leading up to this Agreement. Nothing in this paragraph prohibits you from disclosing information to the extent necessary to enforce the terms of this Agreement or from discussing the terms and conditions of your employment to the extent protected by applicable law. If you agree with the provisions of this Agreement, please sign in the space provided below. Signing and submitting the Agreement electronically will be deemed as valid as if the parties physically signed a paper document. Sincerely, Cara Schembri Chief Legal &amp; Administrative Officer The foregoing correctly sets forth the terms of my employment by Rent the Runway, Inc. Name: Paige Thomas Chief Executive Officer and President Signature: /s/ Paige Thomas Date: 9/11/2026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Exhibit A Severance Plan Participation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RENT THE RUNWAY, INC. EXECUTIVE SEVERANCE PLAN PARTICIPATION LETTER We are pleased to inform you that you have been designated as a Participant in the Rent the Runway, Inc. (“Company”) Executive Severance Plan (the “Plan”), subject to your execution and delivery of this Participation Letter. A copy of the Plan is attached to this Participation Letter. Please see the attached Appendix B and Appendix C for purposes of calculating your severance benefits under the Plan. Your participation in the Plan is subject to the terms and conditions of the Plan, this Participation Letter, and your continued compliance with the Restrictive Covenant Agreements (as defined in the Plan). Notwithstanding anything contained in the Plan to the contrary, the parties hereto agree that the definition of Good Reason set forth in Appendix A of the Plan will additionally include the following conditions: (4) failure of the Company to nominate you for election to the Board in accordance with the terms and conditions of your employment agreement with the Company, dated as of September 11, 2026 (the “Employment Agreement”), and (5) a material breach by the Company of its obligations under the Plan, the Employment Agreement or any other material agreement entered into between the parties hereto. Severance benefits are also subject to the execution and non- revocation of a release of claims upon any Qualifying Termination, as set forth in the Plan. Capitalized terms used but not defined herein shall have the meaning ascribed to such terms as set forth in the Plan. Notwithstanding anything to the contrary set forth in the Plan, you shall not be eligible for the equity acceleration described in Section 6.2 of the Plan in connection with your Qualifying Voluntary Resignation. This Participation Letter will be effective as of September 14, 2026 (the “Effective Date”), subject to your commencing employment as Chief Executive Officer and President of the Company. As of the Effective Date, this Participation Letter shall replace and supersede in its entirety your prior Participation Letter with the Company dated as of June 3, 2026.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Sincerely, Rent the Runway, Inc. By: /s/ Cara Schembri Name: Cara Schembri Title: Chief Legal and Administrative Officer Accepted, Acknowledged and Agreed, By: Name: Paige Thomas Title: Chief Executive Officer and President /s/ Paige Thomas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APPENDIX B CALCULATION OF SEVERANCE BENEFITS Severance Payment(1) Severance Period COBRA Period(2) 100% Base Salary Rate 12 months 12 months (1) Notwithstanding anything contained in the Plan to the contrary, with respect to a Qualifying Termination that takes place in fiscal year 2026, the payment described in Section 4.2(b) of the Plan shall not be less than $325,000.00. (2) COBRA Period begins on the first day of the month following the month in which the Qualifying Termination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APPENDIX C CALCULATION OF CIC SEVERANCE BENEFITS CIC Severance Payment Bonus Multiplier (1) COBRA Period (2) Equity Treatment 100% Base Salary 1.0 12 months Full vesting of the Rate time-based vesting portion of any outstanding Equity Awards granted prior to the Effective Date; the performance- based vesting portion of any outstanding Equity Awards granted prior to the Effective Date to accelerate to the extent provided in any written agreement between the Participant and the Company Group (1) Notwithstanding anything to the contrary set forth in the Plan, Participant’s CIC Bonus shall be calculated in accordance with Section 5.2(b)(x) of the Plan and without regard to Section 5.2(b)(y) of the Plan, even if applying Section 5.2(b)(y) would result in a greater CIC Bonus than applying Section 5.2(b)(x). (2) COBRA Period begins on the first day of the month following the month in which the Qualifying Termination occurs.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rtr-letteragreementtb.htm"/>
      <w:bookmarkStart w:id="5" w:name="ksrtrletteragreementtb"/>
      <w:bookmarkEnd w:id="4"/>
      <w:bookmarkEnd w:id="5"/>
      <w:r>
        <w:rPr/>
        <w:drawing>
          <wp:inline distT="0" distB="0" distL="0" distR="0">
            <wp:extent cx="10048875" cy="13001625"/>
            <wp:effectExtent l="0" t="0" r="0" b="0"/>
            <wp:docPr id="1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#103334156v5 BOARD SERVICE AGREEMENT September 11, 2026 Ms. Teri Bariquit At the address on file with the Company Dear Teri: This Board Service Agreement (the “Agreement”) confirms the agreement between you and Rent the Runway, Inc. (together with its subsidiaries, the “Company”) describing the terms and conditions of your role as non-executive Chair of the Company’s Board of Directors (the “Board”). As of September 14, 2025 (the “Effective Date”), this Agreement shall supersede and replace that certain Services Agreement, dated as of November 1, 2025, by and between you and the Company (the “Prior Agreement”), including, without limitation, each statement of work issued under the Prior Agreement. 1. Role. On the Effective Date, you will (i) cease serving as interim Chief Executive Officer and President of the Company and (ii) serve as Chair of the Board. During your service as Chair of the Board, you will have such duties, authorities, and responsibilities as the Board may designate from time to time that are not inconsistent with your position as Chair of the Board. 2. Cash Compensation. You will receive an annualized cash retainer equal to $150,000 (the “Cash Retainer”) while you are serving as Chair of the Board. The Cash Retainer will be paid to you quarterly in arrears within 30 days following the end of each applicable fiscal quarter and will be pro-rated for any partial fiscal quarters that you serve as Chair of the Board. 3. Equity Compensation. On the Effective Date, you will be granted an award of restricted stock units denominated in shares of Class A common stock of the Company having an aggregate Fair Market Value (as defined in the Company’s Non-Employee Director Compensation Program, adopted on December 16, 2025 (the “Program”)) of $120,000, multiplied by a fraction, the numerator of which is the number of days from and including the Effective Date up to but not including July 14, 2027, and the denominator of which is 365 (the “RSU Award”). The RSU Award will vest in full on the earliest to occur of (i) July 14, 2027 or (ii) immediately before the 2027 regular Annual Meeting of Shareholders, subject to your service on the Board through the applicable vesting date. The RSU Award will be subject to the terms and conditions of the Program, the Plan (as defined in the Program), and an award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#103334156v5 Please indicate your agreement with the above terms by signing below. Very truly yours, /s/ Cara Schembri Cara Schembri Chief Legal and Administrative Officer Rent the Runway, Inc. I agree to the terms of this Agreement. /s/ Teri Bariquit Teri Bariquit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Teri Bariquit,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16" w:type="dxa"/>
        <w:jc w:val="left"/>
        <w:tblInd w:w="0" w:type="dxa"/>
        <w:tblLayout w:type="fixed"/>
        <w:tblCellMar>
          <w:top w:w="28" w:type="dxa"/>
          <w:left w:w="28" w:type="dxa"/>
          <w:bottom w:w="28" w:type="dxa"/>
          <w:right w:w="28" w:type="dxa"/>
        </w:tblCellMar>
      </w:tblPr>
      <w:tblGrid>
        <w:gridCol w:w="868"/>
        <w:gridCol w:w="762"/>
        <w:gridCol w:w="770"/>
        <w:gridCol w:w="109"/>
        <w:gridCol w:w="109"/>
        <w:gridCol w:w="109"/>
        <w:gridCol w:w="134"/>
        <w:gridCol w:w="134"/>
        <w:gridCol w:w="136"/>
        <w:gridCol w:w="872"/>
        <w:gridCol w:w="872"/>
        <w:gridCol w:w="1241"/>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September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/s/ Teri Bariquit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Teri Bariquit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Interim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David Loretta,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20" w:type="dxa"/>
        <w:jc w:val="left"/>
        <w:tblInd w:w="0" w:type="dxa"/>
        <w:tblLayout w:type="fixed"/>
        <w:tblCellMar>
          <w:top w:w="28" w:type="dxa"/>
          <w:left w:w="28" w:type="dxa"/>
          <w:bottom w:w="28" w:type="dxa"/>
          <w:right w:w="28" w:type="dxa"/>
        </w:tblCellMar>
      </w:tblPr>
      <w:tblGrid>
        <w:gridCol w:w="868"/>
        <w:gridCol w:w="762"/>
        <w:gridCol w:w="770"/>
        <w:gridCol w:w="109"/>
        <w:gridCol w:w="109"/>
        <w:gridCol w:w="109"/>
        <w:gridCol w:w="134"/>
        <w:gridCol w:w="134"/>
        <w:gridCol w:w="136"/>
        <w:gridCol w:w="1257"/>
        <w:gridCol w:w="1257"/>
        <w:gridCol w:w="1775"/>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September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David Loretta</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David Loretta</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Interim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Teri Bariquit, the Interim Chief Executive Officer of Rent the Runway, Inc., certify, pursuant to 18 U.S.C. Section 1350, as adopted pursuant to Section 906 of the Sarbanes-Oxley Act of 2002, that the Quarterly Report on Form 10-Q of Rent the Runway, Inc. for the quarterly period ended July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pStyle w:val="TextBody"/>
        <w:bidi w:val="0"/>
        <w:spacing w:before="0" w:after="0"/>
        <w:jc w:val="left"/>
        <w:rPr/>
      </w:pPr>
      <w:r>
        <w:rPr/>
      </w:r>
    </w:p>
    <w:p>
      <w:pPr>
        <w:pStyle w:val="TextBody"/>
        <w:bidi w:val="0"/>
        <w:spacing w:before="0" w:after="0"/>
        <w:jc w:val="left"/>
        <w:rPr/>
      </w:pPr>
      <w:r>
        <w:rPr/>
      </w:r>
    </w:p>
    <w:tbl>
      <w:tblPr>
        <w:tblW w:w="5650"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134"/>
        <w:gridCol w:w="134"/>
        <w:gridCol w:w="136"/>
        <w:gridCol w:w="791"/>
        <w:gridCol w:w="791"/>
        <w:gridCol w:w="111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Teri Bariquit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Teri Bariquit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 David Loretta, the Interim Chief Financial Officer and Treasurer of Rent the Runway, Inc., certify, pursuant to 18 U.S.C. Section 1350, as adopted pursuant to Section 906 of the Sarbanes-Oxley Act of 2002, that the Quarterly Report on Form 10-Q of Rent the Runway, Inc. for the quarterly period ended July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r>
        <w:rPr>
          <w:color w:val="000000"/>
        </w:rPr>
        <w:t xml:space="preserve"> </w:t>
      </w:r>
    </w:p>
    <w:p>
      <w:pPr>
        <w:pStyle w:val="TextBody"/>
        <w:bidi w:val="0"/>
        <w:spacing w:before="0" w:after="0"/>
        <w:jc w:val="left"/>
        <w:rPr/>
      </w:pPr>
      <w:r>
        <w:rPr/>
      </w:r>
    </w:p>
    <w:p>
      <w:pPr>
        <w:pStyle w:val="TextBody"/>
        <w:bidi w:val="0"/>
        <w:spacing w:before="0" w:after="0"/>
        <w:jc w:val="left"/>
        <w:rPr/>
      </w:pPr>
      <w:r>
        <w:rPr/>
      </w:r>
    </w:p>
    <w:tbl>
      <w:tblPr>
        <w:tblW w:w="6730"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134"/>
        <w:gridCol w:w="134"/>
        <w:gridCol w:w="136"/>
        <w:gridCol w:w="1103"/>
        <w:gridCol w:w="1103"/>
        <w:gridCol w:w="157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David Loretta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Loretta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Interim 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7/000146832726000044/rtr-13tharcertificateofinc.htm" TargetMode="External"/><Relationship Id="rId3" Type="http://schemas.openxmlformats.org/officeDocument/2006/relationships/hyperlink" Target="https://www.sec.gov/Archives/edgar/data/1468327/000146832726000064/thirdarbylaws1.htm" TargetMode="External"/><Relationship Id="rId4" Type="http://schemas.openxmlformats.org/officeDocument/2006/relationships/hyperlink" Target="https://www.sec.gov/Archives/edgar/data/1468327/000095010326013373/dp252774_ex1001.htm" TargetMode="External"/><Relationship Id="rId5" Type="http://schemas.openxmlformats.org/officeDocument/2006/relationships/hyperlink" Target="https://www.sec.gov/Archives/edgar/data/1468327/000146832726000069/rtr-stipulationofsettlem.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72879</Words>
  <Characters>402767</Characters>
  <CharactersWithSpaces>474066</CharactersWithSpaces>
  <Paragraphs>2537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rtr-letteragreementtb</dc:title>
</cp:coreProperties>
</file>