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4"/>
          <w:szCs w:val="14"/>
          <w:b w:val="1"/>
          <w:bCs w:val="1"/>
          <w:color w:val="auto"/>
        </w:rPr>
        <w:t>As filed with the Securities and Exchange Commission on October 26, 2021.</w:t>
      </w:r>
    </w:p>
    <w:p>
      <w:pPr>
        <w:spacing w:after="0" w:line="19" w:lineRule="exact"/>
        <w:rPr>
          <w:sz w:val="24"/>
          <w:szCs w:val="24"/>
          <w:color w:val="auto"/>
        </w:rPr>
      </w:pPr>
    </w:p>
    <w:p>
      <w:pPr>
        <w:ind w:left="9104"/>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118110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S-1</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UNDER</w:t>
      </w:r>
    </w:p>
    <w:p>
      <w:pPr>
        <w:jc w:val="center"/>
        <w:ind w:right="-3"/>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117475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RENT THE RUNWAY, INC.</w:t>
      </w:r>
    </w:p>
    <w:p>
      <w:pPr>
        <w:spacing w:after="0" w:line="57"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126365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7" w:lineRule="exact"/>
        <w:rPr>
          <w:sz w:val="24"/>
          <w:szCs w:val="24"/>
          <w:color w:val="auto"/>
        </w:rPr>
      </w:pPr>
    </w:p>
    <w:tbl>
      <w:tblPr>
        <w:tblLayout w:type="fixed"/>
        <w:tblInd w:w="844"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7389</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80-0376379</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spacing w:after="0" w:line="9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10 Jay Street</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Brooklyn, New York 11201</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(212) 524-6860</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9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Jennifer Y. Hyman, Co-Founder, Chief Executive Officer and Chair</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Rent the Runway, Inc.</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10 Jay Street</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Brooklyn, New York 11201</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(212) 524-6860</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126365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320" w:type="dxa"/>
            <w:vAlign w:val="bottom"/>
          </w:tcPr>
          <w:p>
            <w:pPr>
              <w:ind w:left="820"/>
              <w:spacing w:after="0"/>
              <w:rPr>
                <w:sz w:val="20"/>
                <w:szCs w:val="20"/>
                <w:color w:val="auto"/>
              </w:rPr>
            </w:pPr>
            <w:r>
              <w:rPr>
                <w:rFonts w:ascii="Arial" w:cs="Arial" w:eastAsia="Arial" w:hAnsi="Arial"/>
                <w:sz w:val="14"/>
                <w:szCs w:val="14"/>
                <w:b w:val="1"/>
                <w:bCs w:val="1"/>
                <w:i w:val="1"/>
                <w:iCs w:val="1"/>
                <w:color w:val="auto"/>
              </w:rPr>
              <w:t>Copies to:</w:t>
            </w:r>
          </w:p>
        </w:tc>
        <w:tc>
          <w:tcPr>
            <w:tcW w:w="362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3120" w:type="dxa"/>
            <w:vAlign w:val="bottom"/>
          </w:tcPr>
          <w:p>
            <w:pPr>
              <w:jc w:val="center"/>
              <w:ind w:right="1748"/>
              <w:spacing w:after="0"/>
              <w:rPr>
                <w:sz w:val="20"/>
                <w:szCs w:val="20"/>
                <w:color w:val="auto"/>
              </w:rPr>
            </w:pPr>
            <w:r>
              <w:rPr>
                <w:rFonts w:ascii="Arial" w:cs="Arial" w:eastAsia="Arial" w:hAnsi="Arial"/>
                <w:sz w:val="14"/>
                <w:szCs w:val="14"/>
                <w:b w:val="1"/>
                <w:bCs w:val="1"/>
                <w:color w:val="auto"/>
              </w:rPr>
              <w:t>Marc D. Jaffe</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Scarlett O’Sullivan</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Nicole Brookshire</w:t>
            </w:r>
          </w:p>
        </w:tc>
      </w:tr>
      <w:tr>
        <w:trPr>
          <w:trHeight w:val="162"/>
        </w:trPr>
        <w:tc>
          <w:tcPr>
            <w:tcW w:w="1220" w:type="dxa"/>
            <w:vAlign w:val="bottom"/>
          </w:tcPr>
          <w:p>
            <w:pPr>
              <w:spacing w:after="0"/>
              <w:rPr>
                <w:sz w:val="14"/>
                <w:szCs w:val="14"/>
                <w:color w:val="auto"/>
              </w:rPr>
            </w:pPr>
          </w:p>
        </w:tc>
        <w:tc>
          <w:tcPr>
            <w:tcW w:w="3120" w:type="dxa"/>
            <w:vAlign w:val="bottom"/>
          </w:tcPr>
          <w:p>
            <w:pPr>
              <w:jc w:val="center"/>
              <w:ind w:right="1748"/>
              <w:spacing w:after="0"/>
              <w:rPr>
                <w:sz w:val="20"/>
                <w:szCs w:val="20"/>
                <w:color w:val="auto"/>
              </w:rPr>
            </w:pPr>
            <w:r>
              <w:rPr>
                <w:rFonts w:ascii="Arial" w:cs="Arial" w:eastAsia="Arial" w:hAnsi="Arial"/>
                <w:sz w:val="14"/>
                <w:szCs w:val="14"/>
                <w:b w:val="1"/>
                <w:bCs w:val="1"/>
                <w:color w:val="auto"/>
              </w:rPr>
              <w:t>Emily E. Taylor</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Cara Schembri</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Christina T. Roupas</w:t>
            </w:r>
          </w:p>
        </w:tc>
      </w:tr>
      <w:tr>
        <w:trPr>
          <w:trHeight w:val="162"/>
        </w:trPr>
        <w:tc>
          <w:tcPr>
            <w:tcW w:w="434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rPr>
              <w:t>Latham &amp; Watkins LLP</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Rent the Runway, Inc.</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434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rPr>
              <w:t>1271 Avenue of the Americas</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10 Jay Street</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500 Boylston Street</w:t>
            </w:r>
          </w:p>
        </w:tc>
      </w:tr>
      <w:tr>
        <w:trPr>
          <w:trHeight w:val="162"/>
        </w:trPr>
        <w:tc>
          <w:tcPr>
            <w:tcW w:w="434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rPr>
              <w:t>New York, New York 10020</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Brooklyn, New York 11201</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Boston, Massachusetts 02116</w:t>
            </w:r>
          </w:p>
        </w:tc>
      </w:tr>
      <w:tr>
        <w:trPr>
          <w:trHeight w:val="190"/>
        </w:trPr>
        <w:tc>
          <w:tcPr>
            <w:tcW w:w="434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rPr>
              <w:t>(212) 906-1200</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(212) 524-6860</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(617) 937-2300</w:t>
            </w:r>
          </w:p>
        </w:tc>
      </w:tr>
      <w:tr>
        <w:trPr>
          <w:trHeight w:val="134"/>
        </w:trPr>
        <w:tc>
          <w:tcPr>
            <w:tcW w:w="122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620" w:type="dxa"/>
            <w:vAlign w:val="bottom"/>
          </w:tcPr>
          <w:p>
            <w:pPr>
              <w:spacing w:after="0"/>
              <w:rPr>
                <w:sz w:val="11"/>
                <w:szCs w:val="11"/>
                <w:color w:val="auto"/>
              </w:rPr>
            </w:pPr>
          </w:p>
        </w:tc>
      </w:tr>
      <w:tr>
        <w:trPr>
          <w:trHeight w:val="223"/>
        </w:trPr>
        <w:tc>
          <w:tcPr>
            <w:tcW w:w="12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620" w:type="dxa"/>
            <w:vAlign w:val="bottom"/>
          </w:tcPr>
          <w:p>
            <w:pPr>
              <w:spacing w:after="0"/>
              <w:rPr>
                <w:sz w:val="19"/>
                <w:szCs w:val="19"/>
                <w:color w:val="auto"/>
              </w:rPr>
            </w:pPr>
          </w:p>
        </w:tc>
      </w:tr>
    </w:tbl>
    <w:p>
      <w:pPr>
        <w:spacing w:after="0" w:line="54" w:lineRule="exact"/>
        <w:rPr>
          <w:sz w:val="24"/>
          <w:szCs w:val="24"/>
          <w:color w:val="auto"/>
        </w:rPr>
      </w:pPr>
    </w:p>
    <w:p>
      <w:pPr>
        <w:ind w:left="544"/>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100" w:lineRule="exact"/>
        <w:rPr>
          <w:sz w:val="24"/>
          <w:szCs w:val="24"/>
          <w:color w:val="auto"/>
        </w:rPr>
      </w:pPr>
    </w:p>
    <w:p>
      <w:pPr>
        <w:ind w:left="4" w:right="60" w:firstLine="551"/>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5" w:lineRule="exact"/>
        <w:rPr>
          <w:sz w:val="24"/>
          <w:szCs w:val="24"/>
          <w:color w:val="auto"/>
        </w:rPr>
      </w:pPr>
    </w:p>
    <w:p>
      <w:pPr>
        <w:ind w:left="4" w:right="100" w:firstLine="551"/>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Arial" w:cs="Arial" w:eastAsia="Arial" w:hAnsi="Arial"/>
          <w:sz w:val="14"/>
          <w:szCs w:val="14"/>
          <w:color w:val="auto"/>
        </w:rPr>
        <w:t xml:space="preserve"> File No. 333-260027</w:t>
      </w:r>
    </w:p>
    <w:p>
      <w:pPr>
        <w:spacing w:after="0" w:line="55" w:lineRule="exact"/>
        <w:rPr>
          <w:sz w:val="24"/>
          <w:szCs w:val="24"/>
          <w:color w:val="auto"/>
        </w:rPr>
      </w:pPr>
    </w:p>
    <w:p>
      <w:pPr>
        <w:ind w:left="4" w:right="460" w:firstLine="55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8" w:lineRule="exact"/>
        <w:rPr>
          <w:sz w:val="24"/>
          <w:szCs w:val="24"/>
          <w:color w:val="auto"/>
        </w:rPr>
      </w:pPr>
    </w:p>
    <w:p>
      <w:pPr>
        <w:ind w:left="4" w:right="440" w:firstLine="55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ind w:left="4" w:right="220" w:firstLine="551"/>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4"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46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46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360" w:type="dxa"/>
            <w:vAlign w:val="bottom"/>
          </w:tcPr>
          <w:p>
            <w:pPr>
              <w:ind w:left="346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5" w:lineRule="exact"/>
        <w:rPr>
          <w:sz w:val="24"/>
          <w:szCs w:val="24"/>
          <w:color w:val="auto"/>
        </w:rPr>
      </w:pPr>
    </w:p>
    <w:p>
      <w:pPr>
        <w:ind w:left="4" w:right="1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117475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7"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32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29"/>
        </w:trPr>
        <w:tc>
          <w:tcPr>
            <w:tcW w:w="43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 maximum</w:t>
            </w:r>
          </w:p>
        </w:tc>
        <w:tc>
          <w:tcPr>
            <w:tcW w:w="17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520" w:type="dxa"/>
            <w:vAlign w:val="bottom"/>
          </w:tcPr>
          <w:p>
            <w:pPr>
              <w:spacing w:after="0"/>
              <w:rPr>
                <w:sz w:val="11"/>
                <w:szCs w:val="11"/>
                <w:color w:val="auto"/>
              </w:rPr>
            </w:pPr>
          </w:p>
        </w:tc>
      </w:tr>
      <w:tr>
        <w:trPr>
          <w:trHeight w:val="162"/>
        </w:trPr>
        <w:tc>
          <w:tcPr>
            <w:tcW w:w="4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Shares to be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 offering price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 Aggregate</w:t>
            </w:r>
          </w:p>
        </w:tc>
        <w:tc>
          <w:tcPr>
            <w:tcW w:w="152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 of</w:t>
            </w:r>
          </w:p>
        </w:tc>
      </w:tr>
      <w:tr>
        <w:trPr>
          <w:trHeight w:val="175"/>
        </w:trPr>
        <w:tc>
          <w:tcPr>
            <w:tcW w:w="43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34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Registered(1)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Price(1)</w:t>
            </w: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Registration Fee(2)</w:t>
            </w:r>
          </w:p>
        </w:tc>
      </w:tr>
      <w:tr>
        <w:trPr>
          <w:trHeight w:val="156"/>
        </w:trPr>
        <w:tc>
          <w:tcPr>
            <w:tcW w:w="432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Class A common stock, $0.001 par value per share</w:t>
            </w:r>
          </w:p>
        </w:tc>
        <w:tc>
          <w:tcPr>
            <w:tcW w:w="1340" w:type="dxa"/>
            <w:vAlign w:val="bottom"/>
            <w:tcBorders>
              <w:bottom w:val="single" w:sz="8" w:color="auto"/>
              <w:right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2,300,000</w:t>
            </w:r>
          </w:p>
        </w:tc>
        <w:tc>
          <w:tcPr>
            <w:tcW w:w="2080" w:type="dxa"/>
            <w:vAlign w:val="bottom"/>
            <w:tcBorders>
              <w:bottom w:val="single" w:sz="8" w:color="auto"/>
              <w:right w:val="single" w:sz="8" w:color="auto"/>
            </w:tcBorders>
          </w:tcPr>
          <w:p>
            <w:pPr>
              <w:jc w:val="center"/>
              <w:ind w:left="8"/>
              <w:spacing w:after="0" w:line="155" w:lineRule="exact"/>
              <w:rPr>
                <w:sz w:val="20"/>
                <w:szCs w:val="20"/>
                <w:color w:val="auto"/>
              </w:rPr>
            </w:pPr>
            <w:r>
              <w:rPr>
                <w:rFonts w:ascii="Arial" w:cs="Arial" w:eastAsia="Arial" w:hAnsi="Arial"/>
                <w:sz w:val="14"/>
                <w:szCs w:val="14"/>
                <w:color w:val="auto"/>
              </w:rPr>
              <w:t>$21.00</w:t>
            </w:r>
          </w:p>
        </w:tc>
        <w:tc>
          <w:tcPr>
            <w:tcW w:w="17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$48,300,000</w:t>
            </w:r>
          </w:p>
        </w:tc>
        <w:tc>
          <w:tcPr>
            <w:tcW w:w="15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$4,477.41</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424" w:right="160" w:hanging="424"/>
        <w:spacing w:after="0" w:line="241"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only the additional number of shares of Class A common stock being registered, and includes 300,000 additional shares of Class A common stock that the underwriters have the option to purchase. Does not include the securities that the registrant previously registered on the Registration Statement on Form S-1, as amended (File No. 333-260027).</w:t>
      </w:r>
    </w:p>
    <w:p>
      <w:pPr>
        <w:spacing w:after="0" w:line="1" w:lineRule="exact"/>
        <w:rPr>
          <w:rFonts w:ascii="Arial" w:cs="Arial" w:eastAsia="Arial" w:hAnsi="Arial"/>
          <w:sz w:val="14"/>
          <w:szCs w:val="14"/>
          <w:color w:val="auto"/>
        </w:rPr>
      </w:pPr>
    </w:p>
    <w:p>
      <w:pPr>
        <w:ind w:left="424" w:right="120" w:hanging="424"/>
        <w:spacing w:after="0" w:line="247"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is calculated in accordance with Rule 457(a) under the Securities Act of 1933, as amended, based on the proposed maximum aggregate offering price. The registrant previously paid a filing of $33,581 for the Registration Statement on Form S-1 (File No. 333-260027), which was declared effective on October 26, 2021. In accordance with Rule 462(b) under the Securities Act of 1933, as amended, an additional amount of securities having a proposed maximum aggregate offering price of $48,300,000 are hereby registered, which includes the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6" w:lineRule="exact"/>
        <w:rPr>
          <w:sz w:val="24"/>
          <w:szCs w:val="24"/>
          <w:color w:val="auto"/>
        </w:rPr>
      </w:pPr>
    </w:p>
    <w:p>
      <w:pPr>
        <w:ind w:left="4" w:right="220"/>
        <w:spacing w:after="0" w:line="285" w:lineRule="auto"/>
        <w:rPr>
          <w:sz w:val="20"/>
          <w:szCs w:val="20"/>
          <w:color w:val="auto"/>
        </w:rPr>
      </w:pPr>
      <w:r>
        <w:rPr>
          <w:rFonts w:ascii="Arial" w:cs="Arial" w:eastAsia="Arial" w:hAnsi="Arial"/>
          <w:sz w:val="14"/>
          <w:szCs w:val="14"/>
          <w:b w:val="1"/>
          <w:bCs w:val="1"/>
          <w:color w:val="auto"/>
        </w:rPr>
        <w:t>This Registration Statement shall become effective upon filing with the Securities and Exchange Commission in accordance with Rule 462(b) of the Securities Act,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34" w:right="4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 AND INCORPORATION OF</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INFORMATION BY REFERENCE</w:t>
      </w:r>
    </w:p>
    <w:p>
      <w:pPr>
        <w:spacing w:after="0" w:line="212" w:lineRule="exact"/>
        <w:rPr>
          <w:sz w:val="20"/>
          <w:szCs w:val="20"/>
          <w:color w:val="auto"/>
        </w:rPr>
      </w:pPr>
    </w:p>
    <w:p>
      <w:pPr>
        <w:ind w:firstLine="551"/>
        <w:spacing w:after="0" w:line="237" w:lineRule="auto"/>
        <w:rPr>
          <w:sz w:val="20"/>
          <w:szCs w:val="20"/>
          <w:color w:val="auto"/>
        </w:rPr>
      </w:pPr>
      <w:r>
        <w:rPr>
          <w:rFonts w:ascii="Arial" w:cs="Arial" w:eastAsia="Arial" w:hAnsi="Arial"/>
          <w:sz w:val="18"/>
          <w:szCs w:val="18"/>
          <w:color w:val="auto"/>
        </w:rPr>
        <w:t>Rent the Runway, Inc., a Delaware corporation (the “Registrant”), is filing this Registration Statement with the Securities and Exchange Commission (the “Commission”) pursuant to Rule 462(b) under the Securities Act of 1933, as amended (the “Securities Act”), with respect to the registration of additional shares of Class A common stock, par value $0.001 per share of Registrant. This Registration Statement relates to the public offering of securities contemplated by the earlier registration statement on Form S-1, as amended (File No. 333-260027) (the “Prior Registration Statement”), which the Commission declared effective on October 26, 2021. The contents of the Prior Registration Statement, including all amendments and exhibits thereto, are incorporated by reference into this Registration Statement.</w:t>
      </w:r>
    </w:p>
    <w:p>
      <w:pPr>
        <w:spacing w:after="0" w:line="203" w:lineRule="exact"/>
        <w:rPr>
          <w:sz w:val="20"/>
          <w:szCs w:val="20"/>
          <w:color w:val="auto"/>
        </w:rPr>
      </w:pPr>
    </w:p>
    <w:p>
      <w:pPr>
        <w:ind w:right="40" w:firstLine="551"/>
        <w:spacing w:after="0" w:line="237" w:lineRule="auto"/>
        <w:rPr>
          <w:sz w:val="20"/>
          <w:szCs w:val="20"/>
          <w:color w:val="auto"/>
        </w:rPr>
      </w:pPr>
      <w:r>
        <w:rPr>
          <w:rFonts w:ascii="Arial" w:cs="Arial" w:eastAsia="Arial" w:hAnsi="Arial"/>
          <w:sz w:val="18"/>
          <w:szCs w:val="18"/>
          <w:color w:val="auto"/>
        </w:rPr>
        <w:t>The Registrant is filing this Registration Statement for the sole purpose of increasing the aggregate number of shares of Class A common stock offered by Registrant by 2,300,000 shares of its Class A common stock, which includes 300,000 shares of Class A common stock that may be sold pursuant to the underwriters’ option to purchase additional shares. The additional shares of Class A common stock that are being registered for issuance and sale are in an amount and at a price that together represent no more than 20% of the maximum aggregate offering price set forth in the Calculation of Registration Fee table contained in the Prior Registration Statement.</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required opinion and consents are listed on the Exhibit Index attached hereto and filed herewith.</w:t>
      </w:r>
    </w:p>
    <w:p>
      <w:pPr>
        <w:sectPr>
          <w:pgSz w:w="11900" w:h="16838" w:orient="portrait"/>
          <w:cols w:equalWidth="0" w:num="1">
            <w:col w:w="10880"/>
          </w:cols>
          <w:pgMar w:left="440" w:top="265" w:right="5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0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5"/>
                <w:szCs w:val="15"/>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 of Exhibit</w:t>
            </w:r>
          </w:p>
        </w:tc>
        <w:tc>
          <w:tcPr>
            <w:tcW w:w="8240" w:type="dxa"/>
            <w:vAlign w:val="bottom"/>
            <w:gridSpan w:val="5"/>
          </w:tcPr>
          <w:p>
            <w:pPr>
              <w:spacing w:after="0"/>
              <w:rPr>
                <w:sz w:val="15"/>
                <w:szCs w:val="15"/>
                <w:color w:val="auto"/>
              </w:rPr>
            </w:pPr>
          </w:p>
        </w:tc>
      </w:tr>
      <w:tr>
        <w:trPr>
          <w:trHeight w:val="277"/>
        </w:trPr>
        <w:tc>
          <w:tcPr>
            <w:tcW w:w="54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740" w:type="dxa"/>
            <w:vAlign w:val="bottom"/>
            <w:tcBorders>
              <w:bottom w:val="single" w:sz="8" w:color="0000EE"/>
            </w:tcBorders>
            <w:gridSpan w:val="7"/>
          </w:tcPr>
          <w:p>
            <w:pPr>
              <w:spacing w:after="0"/>
              <w:rPr>
                <w:rFonts w:ascii="Arial" w:cs="Arial" w:eastAsia="Arial" w:hAnsi="Arial"/>
                <w:sz w:val="18"/>
                <w:szCs w:val="18"/>
                <w:color w:val="0000EE"/>
              </w:rPr>
            </w:pPr>
            <w:hyperlink r:id="rId19">
              <w:r>
                <w:rPr>
                  <w:rFonts w:ascii="Arial" w:cs="Arial" w:eastAsia="Arial" w:hAnsi="Arial"/>
                  <w:sz w:val="18"/>
                  <w:szCs w:val="18"/>
                  <w:color w:val="0000EE"/>
                </w:rPr>
                <w:t>Opinion of Latham &amp; Watkins LLP (incorporated by reference to Exhibit 5.1 filed with the Prior Registration Statement filed</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6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9">
              <w:r>
                <w:rPr>
                  <w:rFonts w:ascii="Arial" w:cs="Arial" w:eastAsia="Arial" w:hAnsi="Arial"/>
                  <w:sz w:val="18"/>
                  <w:szCs w:val="18"/>
                  <w:color w:val="0000EE"/>
                  <w:w w:val="99"/>
                </w:rPr>
                <w:t>on October 18, 2021).</w:t>
              </w:r>
            </w:hyperlink>
          </w:p>
        </w:tc>
        <w:tc>
          <w:tcPr>
            <w:tcW w:w="7980" w:type="dxa"/>
            <w:vAlign w:val="bottom"/>
            <w:gridSpan w:val="4"/>
          </w:tcPr>
          <w:p>
            <w:pPr>
              <w:spacing w:after="0"/>
              <w:rPr>
                <w:sz w:val="15"/>
                <w:szCs w:val="15"/>
                <w:color w:val="auto"/>
              </w:rPr>
            </w:pPr>
          </w:p>
        </w:tc>
      </w:tr>
      <w:tr>
        <w:trPr>
          <w:trHeight w:val="291"/>
        </w:trPr>
        <w:tc>
          <w:tcPr>
            <w:tcW w:w="540" w:type="dxa"/>
            <w:vAlign w:val="bottom"/>
          </w:tcPr>
          <w:p>
            <w:pPr>
              <w:jc w:val="right"/>
              <w:ind w:right="116"/>
              <w:spacing w:after="0"/>
              <w:rPr>
                <w:sz w:val="20"/>
                <w:szCs w:val="20"/>
                <w:color w:val="auto"/>
              </w:rPr>
            </w:pPr>
            <w:r>
              <w:rPr>
                <w:rFonts w:ascii="Arial" w:cs="Arial" w:eastAsia="Arial" w:hAnsi="Arial"/>
                <w:sz w:val="18"/>
                <w:szCs w:val="18"/>
                <w:color w:val="auto"/>
                <w:w w:val="91"/>
              </w:rPr>
              <w:t>23.1</w:t>
            </w:r>
          </w:p>
        </w:tc>
        <w:tc>
          <w:tcPr>
            <w:tcW w:w="640" w:type="dxa"/>
            <w:vAlign w:val="bottom"/>
          </w:tcPr>
          <w:p>
            <w:pPr>
              <w:spacing w:after="0"/>
              <w:rPr>
                <w:sz w:val="24"/>
                <w:szCs w:val="24"/>
                <w:color w:val="auto"/>
              </w:rPr>
            </w:pPr>
          </w:p>
        </w:tc>
        <w:tc>
          <w:tcPr>
            <w:tcW w:w="974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PricewaterhouseCoopers LLP.</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540" w:type="dxa"/>
            <w:vAlign w:val="bottom"/>
          </w:tcPr>
          <w:p>
            <w:pPr>
              <w:jc w:val="right"/>
              <w:ind w:right="36"/>
              <w:spacing w:after="0"/>
              <w:rPr>
                <w:sz w:val="20"/>
                <w:szCs w:val="20"/>
                <w:color w:val="auto"/>
              </w:rPr>
            </w:pPr>
            <w:r>
              <w:rPr>
                <w:rFonts w:ascii="Arial" w:cs="Arial" w:eastAsia="Arial" w:hAnsi="Arial"/>
                <w:sz w:val="18"/>
                <w:szCs w:val="18"/>
                <w:color w:val="auto"/>
                <w:w w:val="95"/>
              </w:rPr>
              <w:t>23.2*</w:t>
            </w:r>
          </w:p>
        </w:tc>
        <w:tc>
          <w:tcPr>
            <w:tcW w:w="640" w:type="dxa"/>
            <w:vAlign w:val="bottom"/>
          </w:tcPr>
          <w:p>
            <w:pPr>
              <w:spacing w:after="0"/>
              <w:rPr>
                <w:sz w:val="24"/>
                <w:szCs w:val="24"/>
                <w:color w:val="auto"/>
              </w:rPr>
            </w:pPr>
          </w:p>
        </w:tc>
        <w:tc>
          <w:tcPr>
            <w:tcW w:w="4720" w:type="dxa"/>
            <w:vAlign w:val="bottom"/>
            <w:tcBorders>
              <w:bottom w:val="single" w:sz="8" w:color="0000EE"/>
            </w:tcBorders>
            <w:gridSpan w:val="5"/>
          </w:tcPr>
          <w:p>
            <w:pPr>
              <w:spacing w:after="0"/>
              <w:rPr>
                <w:rFonts w:ascii="Arial" w:cs="Arial" w:eastAsia="Arial" w:hAnsi="Arial"/>
                <w:sz w:val="18"/>
                <w:szCs w:val="18"/>
                <w:color w:val="0000EE"/>
                <w:w w:val="99"/>
              </w:rPr>
            </w:pPr>
            <w:hyperlink r:id="rId19">
              <w:r>
                <w:rPr>
                  <w:rFonts w:ascii="Arial" w:cs="Arial" w:eastAsia="Arial" w:hAnsi="Arial"/>
                  <w:sz w:val="18"/>
                  <w:szCs w:val="18"/>
                  <w:color w:val="0000EE"/>
                  <w:w w:val="99"/>
                </w:rPr>
                <w:t>Consent of Latham &amp; Watkins LLP (included in Exhibit 5.1).</w:t>
              </w:r>
            </w:hyperlink>
          </w:p>
        </w:tc>
        <w:tc>
          <w:tcPr>
            <w:tcW w:w="5020" w:type="dxa"/>
            <w:vAlign w:val="bottom"/>
            <w:gridSpan w:val="2"/>
          </w:tcPr>
          <w:p>
            <w:pPr>
              <w:spacing w:after="0"/>
              <w:rPr>
                <w:sz w:val="24"/>
                <w:szCs w:val="24"/>
                <w:color w:val="auto"/>
              </w:rPr>
            </w:pPr>
          </w:p>
        </w:tc>
      </w:tr>
      <w:tr>
        <w:trPr>
          <w:trHeight w:val="291"/>
        </w:trPr>
        <w:tc>
          <w:tcPr>
            <w:tcW w:w="540" w:type="dxa"/>
            <w:vAlign w:val="bottom"/>
          </w:tcPr>
          <w:p>
            <w:pPr>
              <w:jc w:val="right"/>
              <w:ind w:right="36"/>
              <w:spacing w:after="0"/>
              <w:rPr>
                <w:sz w:val="20"/>
                <w:szCs w:val="20"/>
                <w:color w:val="auto"/>
              </w:rPr>
            </w:pPr>
            <w:r>
              <w:rPr>
                <w:rFonts w:ascii="Arial" w:cs="Arial" w:eastAsia="Arial" w:hAnsi="Arial"/>
                <w:sz w:val="18"/>
                <w:szCs w:val="18"/>
                <w:color w:val="auto"/>
                <w:w w:val="95"/>
              </w:rPr>
              <w:t>24.1*</w:t>
            </w:r>
          </w:p>
        </w:tc>
        <w:tc>
          <w:tcPr>
            <w:tcW w:w="640" w:type="dxa"/>
            <w:vAlign w:val="bottom"/>
          </w:tcPr>
          <w:p>
            <w:pPr>
              <w:spacing w:after="0"/>
              <w:rPr>
                <w:sz w:val="24"/>
                <w:szCs w:val="24"/>
                <w:color w:val="auto"/>
              </w:rPr>
            </w:pPr>
          </w:p>
        </w:tc>
        <w:tc>
          <w:tcPr>
            <w:tcW w:w="9340" w:type="dxa"/>
            <w:vAlign w:val="bottom"/>
            <w:tcBorders>
              <w:bottom w:val="single" w:sz="8" w:color="0000EE"/>
            </w:tcBorders>
            <w:gridSpan w:val="6"/>
          </w:tcPr>
          <w:p>
            <w:pPr>
              <w:spacing w:after="0"/>
              <w:rPr>
                <w:rFonts w:ascii="Arial" w:cs="Arial" w:eastAsia="Arial" w:hAnsi="Arial"/>
                <w:sz w:val="18"/>
                <w:szCs w:val="18"/>
                <w:color w:val="0000EE"/>
              </w:rPr>
            </w:pPr>
            <w:hyperlink r:id="rId20">
              <w:r>
                <w:rPr>
                  <w:rFonts w:ascii="Arial" w:cs="Arial" w:eastAsia="Arial" w:hAnsi="Arial"/>
                  <w:sz w:val="18"/>
                  <w:szCs w:val="18"/>
                  <w:color w:val="0000EE"/>
                </w:rPr>
                <w:t>Power of Attorney (incorporated by reference to Exhibit 24.1 filed with the Prior Registration Statement on October 4,</w:t>
              </w:r>
            </w:hyperlink>
          </w:p>
        </w:tc>
        <w:tc>
          <w:tcPr>
            <w:tcW w:w="400" w:type="dxa"/>
            <w:vAlign w:val="bottom"/>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20">
              <w:r>
                <w:rPr>
                  <w:rFonts w:ascii="Arial" w:cs="Arial" w:eastAsia="Arial" w:hAnsi="Arial"/>
                  <w:sz w:val="18"/>
                  <w:szCs w:val="18"/>
                  <w:color w:val="0000EE"/>
                  <w:w w:val="97"/>
                </w:rPr>
                <w:t>2021).</w:t>
              </w:r>
            </w:hyperlink>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4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9" w:lineRule="exact"/>
        <w:rPr>
          <w:sz w:val="20"/>
          <w:szCs w:val="20"/>
          <w:color w:val="auto"/>
        </w:rPr>
      </w:pPr>
    </w:p>
    <w:p>
      <w:pPr>
        <w:ind w:left="424" w:hanging="424"/>
        <w:spacing w:after="0" w:line="258" w:lineRule="auto"/>
        <w:tabs>
          <w:tab w:leader="none" w:pos="424"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filed with Registrant’s Registration Statement on Form S-1, as amended (File No. 333-260027), initially filed with the Securities and Exchange Commission on October 4, 2021 and incorporated by reference herein.</w:t>
      </w:r>
    </w:p>
    <w:p>
      <w:pPr>
        <w:spacing w:after="0" w:line="12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64"/>
          </w:cols>
          <w:pgMar w:left="436" w:top="265"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34" w:lineRule="exact"/>
        <w:rPr>
          <w:sz w:val="20"/>
          <w:szCs w:val="20"/>
          <w:color w:val="auto"/>
        </w:rPr>
      </w:pPr>
    </w:p>
    <w:p>
      <w:pPr>
        <w:ind w:right="220" w:firstLine="551"/>
        <w:spacing w:after="0" w:line="24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Brooklyn, State of New York, on October 26, 2021.</w:t>
      </w:r>
    </w:p>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RENT THE RUNWAY, INC.</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-1905</wp:posOffset>
            </wp:positionV>
            <wp:extent cx="2597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Jennifer Y. Hyman</w:t>
      </w:r>
    </w:p>
    <w:p>
      <w:pPr>
        <w:ind w:left="6980"/>
        <w:spacing w:after="0"/>
        <w:rPr>
          <w:sz w:val="20"/>
          <w:szCs w:val="20"/>
          <w:color w:val="auto"/>
        </w:rPr>
      </w:pPr>
      <w:r>
        <w:rPr>
          <w:rFonts w:ascii="Arial" w:cs="Arial" w:eastAsia="Arial" w:hAnsi="Arial"/>
          <w:sz w:val="18"/>
          <w:szCs w:val="18"/>
          <w:color w:val="auto"/>
        </w:rPr>
        <w:t>Chief Executive Officer</w:t>
      </w:r>
    </w:p>
    <w:p>
      <w:pPr>
        <w:spacing w:after="0" w:line="212" w:lineRule="exact"/>
        <w:rPr>
          <w:sz w:val="20"/>
          <w:szCs w:val="20"/>
          <w:color w:val="auto"/>
        </w:rPr>
      </w:pPr>
    </w:p>
    <w:p>
      <w:pPr>
        <w:ind w:right="160" w:firstLine="551"/>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92"/>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Jennifer Y. Hyman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7"/>
        </w:trPr>
        <w:tc>
          <w:tcPr>
            <w:tcW w:w="4320" w:type="dxa"/>
            <w:vAlign w:val="bottom"/>
          </w:tcPr>
          <w:p>
            <w:pPr>
              <w:jc w:val="center"/>
              <w:spacing w:after="0"/>
              <w:rPr>
                <w:sz w:val="20"/>
                <w:szCs w:val="20"/>
                <w:color w:val="auto"/>
              </w:rPr>
            </w:pPr>
            <w:r>
              <w:rPr>
                <w:rFonts w:ascii="Arial" w:cs="Arial" w:eastAsia="Arial" w:hAnsi="Arial"/>
                <w:sz w:val="18"/>
                <w:szCs w:val="18"/>
                <w:color w:val="auto"/>
                <w:w w:val="98"/>
              </w:rPr>
              <w:t>Jennifer Y. Hyman</w:t>
            </w:r>
          </w:p>
        </w:tc>
        <w:tc>
          <w:tcPr>
            <w:tcW w:w="468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Executive Officer)</w:t>
            </w:r>
          </w:p>
        </w:tc>
        <w:tc>
          <w:tcPr>
            <w:tcW w:w="2020" w:type="dxa"/>
            <w:vAlign w:val="bottom"/>
          </w:tcPr>
          <w:p>
            <w:pPr>
              <w:spacing w:after="0"/>
              <w:rPr>
                <w:sz w:val="18"/>
                <w:szCs w:val="18"/>
                <w:color w:val="auto"/>
              </w:rPr>
            </w:pPr>
          </w:p>
        </w:tc>
      </w:tr>
      <w:tr>
        <w:trPr>
          <w:trHeight w:val="41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Scarlett O’Sullivan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7"/>
        </w:trPr>
        <w:tc>
          <w:tcPr>
            <w:tcW w:w="4320" w:type="dxa"/>
            <w:vAlign w:val="bottom"/>
          </w:tcPr>
          <w:p>
            <w:pPr>
              <w:jc w:val="center"/>
              <w:spacing w:after="0"/>
              <w:rPr>
                <w:sz w:val="20"/>
                <w:szCs w:val="20"/>
                <w:color w:val="auto"/>
              </w:rPr>
            </w:pPr>
            <w:r>
              <w:rPr>
                <w:rFonts w:ascii="Arial" w:cs="Arial" w:eastAsia="Arial" w:hAnsi="Arial"/>
                <w:sz w:val="18"/>
                <w:szCs w:val="18"/>
                <w:color w:val="auto"/>
              </w:rPr>
              <w:t>Scarlett O’Sullivan</w:t>
            </w:r>
          </w:p>
        </w:tc>
        <w:tc>
          <w:tcPr>
            <w:tcW w:w="468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Principal Accounting Officer)</w:t>
            </w: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8"/>
              </w:rPr>
              <w:t>Tim Bixby</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9"/>
              </w:rPr>
              <w:t>Jennifer Fleiss</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8"/>
              </w:rPr>
              <w:t>Scott Friend</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9"/>
              </w:rPr>
              <w:t>Melanie Harris</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9"/>
              </w:rPr>
              <w:t>Beth Kaplan</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9"/>
              </w:rPr>
              <w:t>Dan Nova</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9"/>
              </w:rPr>
              <w:t>Gwyneth Paltrow</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October 26, 2021</w:t>
            </w: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Carley Roney</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6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2"/>
          </w:tcPr>
          <w:p>
            <w:pPr>
              <w:ind w:left="940"/>
              <w:spacing w:after="0"/>
              <w:rPr>
                <w:sz w:val="20"/>
                <w:szCs w:val="20"/>
                <w:color w:val="auto"/>
              </w:rPr>
            </w:pPr>
            <w:r>
              <w:rPr>
                <w:rFonts w:ascii="Arial" w:cs="Arial" w:eastAsia="Arial" w:hAnsi="Arial"/>
                <w:sz w:val="18"/>
                <w:szCs w:val="18"/>
                <w:color w:val="auto"/>
              </w:rPr>
              <w:t>II-2</w:t>
            </w:r>
          </w:p>
        </w:tc>
        <w:tc>
          <w:tcPr>
            <w:tcW w:w="2020" w:type="dxa"/>
            <w:vAlign w:val="bottom"/>
          </w:tcPr>
          <w:p>
            <w:pPr>
              <w:spacing w:after="0"/>
              <w:rPr>
                <w:sz w:val="24"/>
                <w:szCs w:val="24"/>
                <w:color w:val="auto"/>
              </w:rPr>
            </w:pPr>
          </w:p>
        </w:tc>
      </w:tr>
    </w:tbl>
    <w:p>
      <w:pPr>
        <w:sectPr>
          <w:pgSz w:w="11900" w:h="16838" w:orient="portrait"/>
          <w:cols w:equalWidth="0" w:num="1">
            <w:col w:w="11020"/>
          </w:cols>
          <w:pgMar w:left="440" w:top="265" w:right="439" w:bottom="1440" w:gutter="0" w:footer="0" w:header="0"/>
        </w:sectPr>
      </w:pPr>
    </w:p>
    <w:bookmarkStart w:id="4" w:name="page5"/>
    <w:bookmarkEnd w:id="4"/>
    <w:p>
      <w:pPr>
        <w:jc w:val="both"/>
        <w:ind w:left="2120"/>
        <w:spacing w:after="0"/>
        <w:tabs>
          <w:tab w:leader="none" w:pos="4420" w:val="left"/>
          <w:tab w:leader="none" w:pos="9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7"/>
          <w:szCs w:val="17"/>
          <w:color w:val="auto"/>
        </w:rPr>
        <w:t>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7514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Dan Rosensweig</w:t>
      </w:r>
    </w:p>
    <w:p>
      <w:pPr>
        <w:spacing w:after="0" w:line="225" w:lineRule="exact"/>
        <w:rPr>
          <w:sz w:val="20"/>
          <w:szCs w:val="20"/>
          <w:color w:val="auto"/>
        </w:rPr>
      </w:pPr>
    </w:p>
    <w:p>
      <w:pPr>
        <w:jc w:val="both"/>
        <w:ind w:left="2120"/>
        <w:spacing w:after="0"/>
        <w:tabs>
          <w:tab w:leader="none" w:pos="4420" w:val="left"/>
          <w:tab w:leader="none" w:pos="9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7"/>
          <w:szCs w:val="17"/>
          <w:color w:val="auto"/>
        </w:rPr>
        <w:t>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751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Mike Roth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wp:posOffset>
            </wp:positionV>
            <wp:extent cx="25114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Jennifer Y. Hyman</w:t>
      </w:r>
    </w:p>
    <w:p>
      <w:pPr>
        <w:ind w:left="440"/>
        <w:spacing w:after="0"/>
        <w:rPr>
          <w:sz w:val="20"/>
          <w:szCs w:val="20"/>
          <w:color w:val="auto"/>
        </w:rPr>
      </w:pPr>
      <w:r>
        <w:rPr>
          <w:rFonts w:ascii="Arial" w:cs="Arial" w:eastAsia="Arial" w:hAnsi="Arial"/>
          <w:sz w:val="18"/>
          <w:szCs w:val="18"/>
          <w:color w:val="auto"/>
        </w:rPr>
        <w:t>Attorney-in-Fact</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700"/>
          </w:cols>
          <w:pgMar w:left="440" w:top="287"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July 16, 2021 relating to the financial statements, which appears in Amendment No. 2 to the Registration Statement on Form S-1 (No. 333-260027) of Rent the Runway, Inc. We also consent to the reference to us under the heading “Experts” in Amendment No. 2 to the Registration Statement on Form S-1 (No. 333-260027) incorporated by reference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19" Type="http://schemas.openxmlformats.org/officeDocument/2006/relationships/hyperlink" Target="http://www.sec.gov/Archives/edgar/data/1468327/000119312521301156/d194411dex51.htm" TargetMode="External"/><Relationship Id="rId20" Type="http://schemas.openxmlformats.org/officeDocument/2006/relationships/hyperlink" Target="http://www.sec.gov/Archives/edgar/data/1468327/000119312521291103/d194411ds1.htm#ii194411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2021-10-26T21:06:26Z</dcterms:created>
  <dcterms:modified xsi:type="dcterms:W3CDTF">2021-10-26T21:06:26Z</dcterms:modified>
</cp:coreProperties>
</file>