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-598170</wp:posOffset>
            </wp:positionV>
            <wp:extent cx="5651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17145</wp:posOffset>
            </wp:positionV>
            <wp:extent cx="7049135" cy="945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5007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Friend Scott</w:t>
        </w:r>
      </w:hyperlink>
    </w:p>
    <w:p>
      <w:pPr>
        <w:spacing w:after="0" w:line="29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00"/>
        <w:spacing w:after="0" w:line="348" w:lineRule="auto"/>
        <w:rPr>
          <w:sz w:val="20"/>
          <w:szCs w:val="20"/>
          <w:color w:val="auto"/>
        </w:rPr>
      </w:pPr>
      <w:r>
        <w:rPr>
          <w:rFonts w:ascii="Arial" w:cs="Arial" w:eastAsia="Arial" w:hAnsi="Arial"/>
          <w:sz w:val="16"/>
          <w:szCs w:val="16"/>
          <w:color w:val="0000FF"/>
        </w:rPr>
        <w:t>C/O BAIN CAPITAL VENTURE INVESTORS, LLC 200 CLARENDON STREET</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26"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6"/>
          <w:szCs w:val="16"/>
          <w:color w:val="0000FF"/>
        </w:rPr>
        <w:t>BOSTON</w:t>
      </w:r>
      <w:r>
        <w:rPr>
          <w:sz w:val="20"/>
          <w:szCs w:val="20"/>
          <w:color w:val="auto"/>
        </w:rPr>
        <w:tab/>
      </w:r>
      <w:r>
        <w:rPr>
          <w:rFonts w:ascii="Arial" w:cs="Arial" w:eastAsia="Arial" w:hAnsi="Arial"/>
          <w:sz w:val="16"/>
          <w:szCs w:val="16"/>
          <w:color w:val="0000FF"/>
        </w:rPr>
        <w:t>MA</w:t>
      </w:r>
      <w:r>
        <w:rPr>
          <w:sz w:val="20"/>
          <w:szCs w:val="20"/>
          <w:color w:val="auto"/>
        </w:rPr>
        <w:tab/>
      </w:r>
      <w:r>
        <w:rPr>
          <w:rFonts w:ascii="Arial" w:cs="Arial" w:eastAsia="Arial" w:hAnsi="Arial"/>
          <w:sz w:val="14"/>
          <w:szCs w:val="14"/>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3820" w:type="dxa"/>
            <w:vAlign w:val="bottom"/>
            <w:gridSpan w:val="4"/>
          </w:tcPr>
          <w:p>
            <w:pPr>
              <w:ind w:left="60"/>
              <w:spacing w:after="0" w:line="130" w:lineRule="exact"/>
              <w:rPr>
                <w:rFonts w:ascii="Arial" w:cs="Arial" w:eastAsia="Arial" w:hAnsi="Arial"/>
                <w:sz w:val="15"/>
                <w:szCs w:val="15"/>
                <w:color w:val="0000EE"/>
              </w:rPr>
            </w:pPr>
            <w:hyperlink r:id="rId13">
              <w:r>
                <w:rPr>
                  <w:rFonts w:ascii="Arial" w:cs="Arial" w:eastAsia="Arial" w:hAnsi="Arial"/>
                  <w:sz w:val="15"/>
                  <w:szCs w:val="15"/>
                  <w:color w:val="0000EE"/>
                </w:rPr>
                <w:t xml:space="preserve">Rent the Runway,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RENT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vMerge w:val="restart"/>
          </w:tcPr>
          <w:p>
            <w:pPr>
              <w:ind w:left="8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680" w:type="dxa"/>
            <w:vAlign w:val="bottom"/>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168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62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2"/>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80" w:type="dxa"/>
            <w:vAlign w:val="bottom"/>
          </w:tcPr>
          <w:p>
            <w:pPr>
              <w:ind w:left="600"/>
              <w:spacing w:after="0" w:line="102" w:lineRule="exact"/>
              <w:rPr>
                <w:sz w:val="20"/>
                <w:szCs w:val="20"/>
                <w:color w:val="auto"/>
              </w:rPr>
            </w:pPr>
            <w:r>
              <w:rPr>
                <w:rFonts w:ascii="Arial" w:cs="Arial" w:eastAsia="Arial" w:hAnsi="Arial"/>
                <w:sz w:val="11"/>
                <w:szCs w:val="11"/>
                <w:color w:val="auto"/>
              </w:rPr>
              <w:t>below)</w:t>
            </w:r>
          </w:p>
        </w:tc>
        <w:tc>
          <w:tcPr>
            <w:tcW w:w="1620" w:type="dxa"/>
            <w:vAlign w:val="bottom"/>
          </w:tcPr>
          <w:p>
            <w:pPr>
              <w:ind w:left="50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66"/>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820" w:type="dxa"/>
            <w:vAlign w:val="bottom"/>
            <w:gridSpan w:val="3"/>
          </w:tcPr>
          <w:p>
            <w:pPr>
              <w:ind w:left="60"/>
              <w:spacing w:after="0"/>
              <w:rPr>
                <w:sz w:val="20"/>
                <w:szCs w:val="20"/>
                <w:color w:val="auto"/>
              </w:rPr>
            </w:pPr>
            <w:r>
              <w:rPr>
                <w:rFonts w:ascii="Arial" w:cs="Arial" w:eastAsia="Arial" w:hAnsi="Arial"/>
                <w:sz w:val="16"/>
                <w:szCs w:val="16"/>
                <w:color w:val="0000FF"/>
              </w:rPr>
              <w:t>10/29/2021</w:t>
            </w: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300" w:type="dxa"/>
            <w:vAlign w:val="bottom"/>
            <w:gridSpan w:val="2"/>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600" w:space="240"/>
            <w:col w:w="7240"/>
          </w:cols>
          <w:pgMar w:left="460" w:top="219" w:right="359" w:bottom="0" w:gutter="0" w:footer="0" w:header="0"/>
          <w:type w:val="continuous"/>
        </w:sectPr>
      </w:pPr>
    </w:p>
    <w:p>
      <w:pPr>
        <w:spacing w:after="0" w:line="1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jc w:val="right"/>
              <w:ind w:right="339"/>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740"/>
              <w:spacing w:after="0" w:line="120"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108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gridSpan w:val="2"/>
          </w:tcPr>
          <w:p>
            <w:pPr>
              <w:ind w:left="74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3" w:lineRule="exact"/>
              <w:rPr>
                <w:sz w:val="20"/>
                <w:szCs w:val="20"/>
                <w:color w:val="auto"/>
              </w:rPr>
            </w:pPr>
            <w:r>
              <w:rPr>
                <w:rFonts w:ascii="Arial" w:cs="Arial" w:eastAsia="Arial" w:hAnsi="Arial"/>
                <w:sz w:val="11"/>
                <w:szCs w:val="11"/>
                <w:b w:val="1"/>
                <w:bCs w:val="1"/>
                <w:color w:val="auto"/>
              </w:rPr>
              <w:t>(D) or Indirect</w:t>
            </w:r>
          </w:p>
        </w:tc>
        <w:tc>
          <w:tcPr>
            <w:tcW w:w="10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Owned Following    (I) (Instr. 4)</w:t>
            </w:r>
          </w:p>
        </w:tc>
        <w:tc>
          <w:tcPr>
            <w:tcW w:w="10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3"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5"/>
            <w:vMerge w:val="restart"/>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75"/>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740" w:type="dxa"/>
            <w:vAlign w:val="bottom"/>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center"/>
              <w:ind w:left="55"/>
              <w:spacing w:after="0"/>
              <w:rPr>
                <w:sz w:val="20"/>
                <w:szCs w:val="20"/>
                <w:color w:val="auto"/>
              </w:rPr>
            </w:pPr>
            <w:r>
              <w:rPr>
                <w:rFonts w:ascii="Arial" w:cs="Arial" w:eastAsia="Arial" w:hAnsi="Arial"/>
                <w:sz w:val="16"/>
                <w:szCs w:val="16"/>
                <w:color w:val="0000FF"/>
                <w:w w:val="89"/>
              </w:rPr>
              <w:t>3,992,000</w:t>
            </w: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79"/>
              <w:spacing w:after="0"/>
              <w:rPr>
                <w:sz w:val="20"/>
                <w:szCs w:val="20"/>
                <w:color w:val="auto"/>
              </w:rPr>
            </w:pPr>
            <w:r>
              <w:rPr>
                <w:rFonts w:ascii="Arial" w:cs="Arial" w:eastAsia="Arial" w:hAnsi="Arial"/>
                <w:sz w:val="10"/>
                <w:szCs w:val="10"/>
                <w:color w:val="008000"/>
              </w:rPr>
              <w:t>(1)</w:t>
            </w:r>
          </w:p>
        </w:tc>
        <w:tc>
          <w:tcPr>
            <w:tcW w:w="1540" w:type="dxa"/>
            <w:vAlign w:val="bottom"/>
            <w:gridSpan w:val="3"/>
            <w:vMerge w:val="restart"/>
          </w:tcPr>
          <w:p>
            <w:pPr>
              <w:jc w:val="center"/>
              <w:ind w:right="363"/>
              <w:spacing w:after="0"/>
              <w:rPr>
                <w:sz w:val="20"/>
                <w:szCs w:val="20"/>
                <w:color w:val="auto"/>
              </w:rPr>
            </w:pPr>
            <w:r>
              <w:rPr>
                <w:rFonts w:ascii="Arial" w:cs="Arial" w:eastAsia="Arial" w:hAnsi="Arial"/>
                <w:sz w:val="16"/>
                <w:szCs w:val="16"/>
                <w:color w:val="0000FF"/>
                <w:w w:val="89"/>
              </w:rPr>
              <w:t>4,475,732</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tcBorders>
              <w:top w:val="single" w:sz="8" w:color="2C2C2C"/>
            </w:tcBorders>
            <w:gridSpan w:val="2"/>
            <w:vMerge w:val="restart"/>
          </w:tcPr>
          <w:p>
            <w:pPr>
              <w:jc w:val="center"/>
              <w:ind w:left="55"/>
              <w:spacing w:after="0"/>
              <w:rPr>
                <w:sz w:val="20"/>
                <w:szCs w:val="20"/>
                <w:color w:val="auto"/>
              </w:rPr>
            </w:pPr>
            <w:r>
              <w:rPr>
                <w:rFonts w:ascii="Arial" w:cs="Arial" w:eastAsia="Arial" w:hAnsi="Arial"/>
                <w:sz w:val="16"/>
                <w:szCs w:val="16"/>
                <w:color w:val="0000FF"/>
                <w:w w:val="89"/>
              </w:rPr>
              <w:t>1,691,175</w:t>
            </w:r>
          </w:p>
        </w:tc>
        <w:tc>
          <w:tcPr>
            <w:tcW w:w="4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7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6,166,907</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20" w:type="dxa"/>
            <w:vAlign w:val="bottom"/>
            <w:tcBorders>
              <w:top w:val="single" w:sz="8" w:color="2C2C2C"/>
            </w:tcBorders>
            <w:vMerge w:val="restart"/>
          </w:tcPr>
          <w:p>
            <w:pPr>
              <w:jc w:val="center"/>
              <w:ind w:left="135"/>
              <w:spacing w:after="0"/>
              <w:rPr>
                <w:sz w:val="20"/>
                <w:szCs w:val="20"/>
                <w:color w:val="auto"/>
              </w:rPr>
            </w:pPr>
            <w:r>
              <w:rPr>
                <w:rFonts w:ascii="Arial" w:cs="Arial" w:eastAsia="Arial" w:hAnsi="Arial"/>
                <w:sz w:val="16"/>
                <w:szCs w:val="16"/>
                <w:color w:val="0000FF"/>
                <w:w w:val="89"/>
              </w:rPr>
              <w:t>370,369</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7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6,537,276</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20" w:type="dxa"/>
            <w:vAlign w:val="bottom"/>
            <w:tcBorders>
              <w:top w:val="single" w:sz="8" w:color="2C2C2C"/>
            </w:tcBorders>
            <w:vMerge w:val="restart"/>
          </w:tcPr>
          <w:p>
            <w:pPr>
              <w:jc w:val="center"/>
              <w:ind w:left="135"/>
              <w:spacing w:after="0"/>
              <w:rPr>
                <w:sz w:val="20"/>
                <w:szCs w:val="20"/>
                <w:color w:val="auto"/>
              </w:rPr>
            </w:pPr>
            <w:r>
              <w:rPr>
                <w:rFonts w:ascii="Arial" w:cs="Arial" w:eastAsia="Arial" w:hAnsi="Arial"/>
                <w:sz w:val="16"/>
                <w:szCs w:val="16"/>
                <w:color w:val="0000FF"/>
                <w:w w:val="89"/>
              </w:rPr>
              <w:t>395,193</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7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6,932,469</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20" w:type="dxa"/>
            <w:vAlign w:val="bottom"/>
            <w:tcBorders>
              <w:top w:val="single" w:sz="8" w:color="2C2C2C"/>
            </w:tcBorders>
            <w:vMerge w:val="restart"/>
          </w:tcPr>
          <w:p>
            <w:pPr>
              <w:jc w:val="center"/>
              <w:ind w:left="135"/>
              <w:spacing w:after="0"/>
              <w:rPr>
                <w:sz w:val="20"/>
                <w:szCs w:val="20"/>
                <w:color w:val="auto"/>
              </w:rPr>
            </w:pPr>
            <w:r>
              <w:rPr>
                <w:rFonts w:ascii="Arial" w:cs="Arial" w:eastAsia="Arial" w:hAnsi="Arial"/>
                <w:sz w:val="16"/>
                <w:szCs w:val="16"/>
                <w:color w:val="0000FF"/>
                <w:w w:val="89"/>
              </w:rPr>
              <w:t>550,469</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7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7,482,938</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20" w:type="dxa"/>
            <w:vAlign w:val="bottom"/>
            <w:tcBorders>
              <w:top w:val="single" w:sz="8" w:color="2C2C2C"/>
            </w:tcBorders>
            <w:vMerge w:val="restart"/>
          </w:tcPr>
          <w:p>
            <w:pPr>
              <w:jc w:val="center"/>
              <w:ind w:left="135"/>
              <w:spacing w:after="0"/>
              <w:rPr>
                <w:sz w:val="20"/>
                <w:szCs w:val="20"/>
                <w:color w:val="auto"/>
              </w:rPr>
            </w:pPr>
            <w:r>
              <w:rPr>
                <w:rFonts w:ascii="Arial" w:cs="Arial" w:eastAsia="Arial" w:hAnsi="Arial"/>
                <w:sz w:val="16"/>
                <w:szCs w:val="16"/>
                <w:color w:val="0000FF"/>
                <w:w w:val="89"/>
              </w:rPr>
              <w:t>558,074</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7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8,041,012</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720" w:type="dxa"/>
            <w:vAlign w:val="bottom"/>
            <w:tcBorders>
              <w:top w:val="single" w:sz="8" w:color="2C2C2C"/>
            </w:tcBorders>
            <w:vMerge w:val="restart"/>
          </w:tcPr>
          <w:p>
            <w:pPr>
              <w:jc w:val="center"/>
              <w:ind w:left="135"/>
              <w:spacing w:after="0"/>
              <w:rPr>
                <w:sz w:val="20"/>
                <w:szCs w:val="20"/>
                <w:color w:val="auto"/>
              </w:rPr>
            </w:pPr>
            <w:r>
              <w:rPr>
                <w:rFonts w:ascii="Arial" w:cs="Arial" w:eastAsia="Arial" w:hAnsi="Arial"/>
                <w:sz w:val="16"/>
                <w:szCs w:val="16"/>
                <w:color w:val="0000FF"/>
                <w:w w:val="89"/>
              </w:rPr>
              <w:t>135,406</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79"/>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8,176,418</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44"/>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800" w:type="dxa"/>
            <w:vAlign w:val="bottom"/>
            <w:tcBorders>
              <w:top w:val="single" w:sz="8" w:color="2C2C2C"/>
            </w:tcBorders>
            <w:gridSpan w:val="2"/>
            <w:vMerge w:val="restart"/>
          </w:tcPr>
          <w:p>
            <w:pPr>
              <w:jc w:val="center"/>
              <w:ind w:left="55"/>
              <w:spacing w:after="0"/>
              <w:rPr>
                <w:sz w:val="20"/>
                <w:szCs w:val="20"/>
                <w:color w:val="auto"/>
              </w:rPr>
            </w:pPr>
            <w:r>
              <w:rPr>
                <w:rFonts w:ascii="Arial" w:cs="Arial" w:eastAsia="Arial" w:hAnsi="Arial"/>
                <w:sz w:val="16"/>
                <w:szCs w:val="16"/>
                <w:color w:val="0000FF"/>
                <w:w w:val="89"/>
              </w:rPr>
              <w:t>8,176,418</w:t>
            </w:r>
          </w:p>
        </w:tc>
        <w:tc>
          <w:tcPr>
            <w:tcW w:w="4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D</w:t>
            </w:r>
          </w:p>
        </w:tc>
        <w:tc>
          <w:tcPr>
            <w:tcW w:w="700" w:type="dxa"/>
            <w:vAlign w:val="bottom"/>
            <w:tcBorders>
              <w:top w:val="single" w:sz="8" w:color="2C2C2C"/>
            </w:tcBorders>
            <w:vMerge w:val="restart"/>
          </w:tcPr>
          <w:p>
            <w:pPr>
              <w:jc w:val="right"/>
              <w:ind w:right="179"/>
              <w:spacing w:after="0"/>
              <w:rPr>
                <w:sz w:val="20"/>
                <w:szCs w:val="20"/>
                <w:color w:val="auto"/>
              </w:rPr>
            </w:pPr>
            <w:r>
              <w:rPr>
                <w:rFonts w:ascii="Arial" w:cs="Arial" w:eastAsia="Arial" w:hAnsi="Arial"/>
                <w:sz w:val="10"/>
                <w:szCs w:val="10"/>
                <w:color w:val="008000"/>
              </w:rPr>
              <w:t>(2)</w:t>
            </w:r>
          </w:p>
        </w:tc>
        <w:tc>
          <w:tcPr>
            <w:tcW w:w="740" w:type="dxa"/>
            <w:vAlign w:val="bottom"/>
            <w:tcBorders>
              <w:top w:val="single" w:sz="8" w:color="2C2C2C"/>
            </w:tcBorders>
            <w:gridSpan w:val="2"/>
            <w:vMerge w:val="restart"/>
          </w:tcPr>
          <w:p>
            <w:pPr>
              <w:jc w:val="center"/>
              <w:ind w:left="311"/>
              <w:spacing w:after="0"/>
              <w:rPr>
                <w:sz w:val="20"/>
                <w:szCs w:val="20"/>
                <w:color w:val="auto"/>
              </w:rPr>
            </w:pPr>
            <w:r>
              <w:rPr>
                <w:rFonts w:ascii="Arial" w:cs="Arial" w:eastAsia="Arial" w:hAnsi="Arial"/>
                <w:sz w:val="16"/>
                <w:szCs w:val="16"/>
                <w:color w:val="0000FF"/>
                <w:w w:val="89"/>
              </w:rPr>
              <w:t>0</w:t>
            </w: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Borders>
              <w:top w:val="single" w:sz="8" w:color="2C2C2C"/>
            </w:tcBorders>
            <w:gridSpan w:val="2"/>
            <w:vMerge w:val="restart"/>
          </w:tcPr>
          <w:p>
            <w:pPr>
              <w:ind w:left="840"/>
              <w:spacing w:after="0"/>
              <w:rPr>
                <w:sz w:val="20"/>
                <w:szCs w:val="20"/>
                <w:color w:val="auto"/>
              </w:rPr>
            </w:pPr>
            <w:r>
              <w:rPr>
                <w:rFonts w:ascii="Arial" w:cs="Arial" w:eastAsia="Arial" w:hAnsi="Arial"/>
                <w:sz w:val="16"/>
                <w:szCs w:val="16"/>
                <w:color w:val="0000FF"/>
              </w:rPr>
              <w:t>10/29/2021</w:t>
            </w:r>
          </w:p>
        </w:tc>
        <w:tc>
          <w:tcPr>
            <w:tcW w:w="10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44"/>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800" w:type="dxa"/>
            <w:vAlign w:val="bottom"/>
            <w:tcBorders>
              <w:top w:val="single" w:sz="8" w:color="2C2C2C"/>
            </w:tcBorders>
            <w:gridSpan w:val="2"/>
            <w:vMerge w:val="restart"/>
          </w:tcPr>
          <w:p>
            <w:pPr>
              <w:jc w:val="center"/>
              <w:ind w:left="55"/>
              <w:spacing w:after="0"/>
              <w:rPr>
                <w:sz w:val="20"/>
                <w:szCs w:val="20"/>
                <w:color w:val="auto"/>
              </w:rPr>
            </w:pPr>
            <w:r>
              <w:rPr>
                <w:rFonts w:ascii="Arial" w:cs="Arial" w:eastAsia="Arial" w:hAnsi="Arial"/>
                <w:sz w:val="16"/>
                <w:szCs w:val="16"/>
                <w:color w:val="0000FF"/>
                <w:w w:val="89"/>
              </w:rPr>
              <w:t>8,176,418</w:t>
            </w:r>
          </w:p>
        </w:tc>
        <w:tc>
          <w:tcPr>
            <w:tcW w:w="4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79"/>
              <w:spacing w:after="0"/>
              <w:rPr>
                <w:sz w:val="20"/>
                <w:szCs w:val="20"/>
                <w:color w:val="auto"/>
              </w:rPr>
            </w:pPr>
            <w:r>
              <w:rPr>
                <w:rFonts w:ascii="Arial" w:cs="Arial" w:eastAsia="Arial" w:hAnsi="Arial"/>
                <w:sz w:val="10"/>
                <w:szCs w:val="10"/>
                <w:color w:val="008000"/>
              </w:rPr>
              <w:t>(2)</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8,176,418</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00" w:type="dxa"/>
            <w:vAlign w:val="bottom"/>
            <w:tcBorders>
              <w:top w:val="single" w:sz="8" w:color="2C2C2C"/>
            </w:tcBorders>
            <w:gridSpan w:val="10"/>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60" w:type="dxa"/>
            <w:vAlign w:val="bottom"/>
            <w:gridSpan w:val="8"/>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0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35"/>
              <w:spacing w:after="0" w:line="123"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w w:val="94"/>
              </w:rPr>
              <w:t>Seed Series</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2"/>
                <w:szCs w:val="12"/>
                <w:color w:val="0000FF"/>
              </w:rPr>
              <w:t>Convertible</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3"/>
              <w:spacing w:after="0"/>
              <w:rPr>
                <w:sz w:val="20"/>
                <w:szCs w:val="20"/>
                <w:color w:val="auto"/>
              </w:rPr>
            </w:pPr>
            <w:r>
              <w:rPr>
                <w:rFonts w:ascii="Arial" w:cs="Arial" w:eastAsia="Arial" w:hAnsi="Arial"/>
                <w:sz w:val="12"/>
                <w:szCs w:val="12"/>
                <w:color w:val="0000FF"/>
                <w:w w:val="89"/>
              </w:rPr>
              <w:t>3,992,000</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5"/>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29"/>
              <w:spacing w:after="0" w:line="120" w:lineRule="exact"/>
              <w:rPr>
                <w:sz w:val="20"/>
                <w:szCs w:val="20"/>
                <w:color w:val="auto"/>
              </w:rPr>
            </w:pPr>
            <w:r>
              <w:rPr>
                <w:rFonts w:ascii="Arial" w:cs="Arial" w:eastAsia="Arial" w:hAnsi="Arial"/>
                <w:sz w:val="12"/>
                <w:szCs w:val="12"/>
                <w:color w:val="0000FF"/>
                <w:w w:val="94"/>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3,992,000</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89"/>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4"/>
          </w:tcPr>
          <w:p>
            <w:pPr>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2"/>
                <w:szCs w:val="12"/>
                <w:color w:val="0000FF"/>
              </w:rPr>
              <w:t>Convertible</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3"/>
              <w:spacing w:after="0"/>
              <w:rPr>
                <w:sz w:val="20"/>
                <w:szCs w:val="20"/>
                <w:color w:val="auto"/>
              </w:rPr>
            </w:pPr>
            <w:r>
              <w:rPr>
                <w:rFonts w:ascii="Arial" w:cs="Arial" w:eastAsia="Arial" w:hAnsi="Arial"/>
                <w:sz w:val="12"/>
                <w:szCs w:val="12"/>
                <w:color w:val="0000FF"/>
                <w:w w:val="89"/>
              </w:rPr>
              <w:t>1,691,175</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5"/>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29"/>
              <w:spacing w:after="0" w:line="120" w:lineRule="exact"/>
              <w:rPr>
                <w:sz w:val="20"/>
                <w:szCs w:val="20"/>
                <w:color w:val="auto"/>
              </w:rPr>
            </w:pPr>
            <w:r>
              <w:rPr>
                <w:rFonts w:ascii="Arial" w:cs="Arial" w:eastAsia="Arial" w:hAnsi="Arial"/>
                <w:sz w:val="12"/>
                <w:szCs w:val="12"/>
                <w:color w:val="0000FF"/>
                <w:w w:val="94"/>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1,691,175</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89"/>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4"/>
          </w:tcPr>
          <w:p>
            <w:pPr>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2"/>
                <w:szCs w:val="12"/>
                <w:color w:val="0000FF"/>
              </w:rPr>
              <w:t>Convertible</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3"/>
              <w:spacing w:after="0"/>
              <w:rPr>
                <w:sz w:val="20"/>
                <w:szCs w:val="20"/>
                <w:color w:val="auto"/>
              </w:rPr>
            </w:pPr>
            <w:r>
              <w:rPr>
                <w:rFonts w:ascii="Arial" w:cs="Arial" w:eastAsia="Arial" w:hAnsi="Arial"/>
                <w:sz w:val="12"/>
                <w:szCs w:val="12"/>
                <w:color w:val="0000FF"/>
                <w:w w:val="92"/>
              </w:rPr>
              <w:t>370,369</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5"/>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29"/>
              <w:spacing w:after="0" w:line="120" w:lineRule="exact"/>
              <w:rPr>
                <w:sz w:val="20"/>
                <w:szCs w:val="20"/>
                <w:color w:val="auto"/>
              </w:rPr>
            </w:pPr>
            <w:r>
              <w:rPr>
                <w:rFonts w:ascii="Arial" w:cs="Arial" w:eastAsia="Arial" w:hAnsi="Arial"/>
                <w:sz w:val="12"/>
                <w:szCs w:val="12"/>
                <w:color w:val="0000FF"/>
                <w:w w:val="94"/>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370,369</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89"/>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4"/>
          </w:tcPr>
          <w:p>
            <w:pPr>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2"/>
                <w:szCs w:val="12"/>
                <w:color w:val="0000FF"/>
              </w:rPr>
              <w:t>Convertible</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3"/>
              <w:spacing w:after="0"/>
              <w:rPr>
                <w:sz w:val="20"/>
                <w:szCs w:val="20"/>
                <w:color w:val="auto"/>
              </w:rPr>
            </w:pPr>
            <w:r>
              <w:rPr>
                <w:rFonts w:ascii="Arial" w:cs="Arial" w:eastAsia="Arial" w:hAnsi="Arial"/>
                <w:sz w:val="12"/>
                <w:szCs w:val="12"/>
                <w:color w:val="0000FF"/>
                <w:w w:val="92"/>
              </w:rPr>
              <w:t>395,193</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5"/>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29"/>
              <w:spacing w:after="0" w:line="120" w:lineRule="exact"/>
              <w:rPr>
                <w:sz w:val="20"/>
                <w:szCs w:val="20"/>
                <w:color w:val="auto"/>
              </w:rPr>
            </w:pPr>
            <w:r>
              <w:rPr>
                <w:rFonts w:ascii="Arial" w:cs="Arial" w:eastAsia="Arial" w:hAnsi="Arial"/>
                <w:sz w:val="12"/>
                <w:szCs w:val="12"/>
                <w:color w:val="0000FF"/>
                <w:w w:val="94"/>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395,193</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89"/>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4"/>
          </w:tcPr>
          <w:p>
            <w:pPr>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2"/>
                <w:szCs w:val="12"/>
                <w:color w:val="0000FF"/>
              </w:rPr>
              <w:t>Convertible</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3"/>
              <w:spacing w:after="0"/>
              <w:rPr>
                <w:sz w:val="20"/>
                <w:szCs w:val="20"/>
                <w:color w:val="auto"/>
              </w:rPr>
            </w:pPr>
            <w:r>
              <w:rPr>
                <w:rFonts w:ascii="Arial" w:cs="Arial" w:eastAsia="Arial" w:hAnsi="Arial"/>
                <w:sz w:val="12"/>
                <w:szCs w:val="12"/>
                <w:color w:val="0000FF"/>
                <w:w w:val="92"/>
              </w:rPr>
              <w:t>550,469</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5"/>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29"/>
              <w:spacing w:after="0" w:line="120" w:lineRule="exact"/>
              <w:rPr>
                <w:sz w:val="20"/>
                <w:szCs w:val="20"/>
                <w:color w:val="auto"/>
              </w:rPr>
            </w:pPr>
            <w:r>
              <w:rPr>
                <w:rFonts w:ascii="Arial" w:cs="Arial" w:eastAsia="Arial" w:hAnsi="Arial"/>
                <w:sz w:val="12"/>
                <w:szCs w:val="12"/>
                <w:color w:val="0000FF"/>
                <w:w w:val="94"/>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550,469</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89"/>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4"/>
          </w:tcPr>
          <w:p>
            <w:pPr>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F</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2"/>
                <w:szCs w:val="12"/>
                <w:color w:val="0000FF"/>
              </w:rPr>
              <w:t>Convertible</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1020" w:type="dxa"/>
            <w:vAlign w:val="bottom"/>
            <w:vMerge w:val="restart"/>
          </w:tcPr>
          <w:p>
            <w:pPr>
              <w:jc w:val="center"/>
              <w:ind w:left="243"/>
              <w:spacing w:after="0"/>
              <w:rPr>
                <w:sz w:val="20"/>
                <w:szCs w:val="20"/>
                <w:color w:val="auto"/>
              </w:rPr>
            </w:pPr>
            <w:r>
              <w:rPr>
                <w:rFonts w:ascii="Arial" w:cs="Arial" w:eastAsia="Arial" w:hAnsi="Arial"/>
                <w:sz w:val="12"/>
                <w:szCs w:val="12"/>
                <w:color w:val="0000FF"/>
                <w:w w:val="92"/>
              </w:rPr>
              <w:t>558,074</w:t>
            </w:r>
          </w:p>
        </w:tc>
        <w:tc>
          <w:tcPr>
            <w:tcW w:w="720" w:type="dxa"/>
            <w:vAlign w:val="bottom"/>
          </w:tcPr>
          <w:p>
            <w:pPr>
              <w:jc w:val="right"/>
              <w:ind w:right="284"/>
              <w:spacing w:after="0"/>
              <w:rPr>
                <w:sz w:val="20"/>
                <w:szCs w:val="20"/>
                <w:color w:val="auto"/>
              </w:rPr>
            </w:pPr>
            <w:r>
              <w:rPr>
                <w:rFonts w:ascii="Arial" w:cs="Arial" w:eastAsia="Arial" w:hAnsi="Arial"/>
                <w:sz w:val="10"/>
                <w:szCs w:val="10"/>
                <w:color w:val="008000"/>
              </w:rPr>
              <w:t>(1)</w:t>
            </w:r>
          </w:p>
        </w:tc>
        <w:tc>
          <w:tcPr>
            <w:tcW w:w="720" w:type="dxa"/>
            <w:vAlign w:val="bottom"/>
          </w:tcPr>
          <w:p>
            <w:pPr>
              <w:jc w:val="center"/>
              <w:ind w:right="15"/>
              <w:spacing w:after="0"/>
              <w:rPr>
                <w:sz w:val="20"/>
                <w:szCs w:val="20"/>
                <w:color w:val="auto"/>
              </w:rPr>
            </w:pPr>
            <w:r>
              <w:rPr>
                <w:rFonts w:ascii="Arial" w:cs="Arial" w:eastAsia="Arial" w:hAnsi="Arial"/>
                <w:sz w:val="10"/>
                <w:szCs w:val="10"/>
                <w:color w:val="008000"/>
                <w:w w:val="97"/>
              </w:rPr>
              <w:t>(1)</w:t>
            </w:r>
          </w:p>
        </w:tc>
        <w:tc>
          <w:tcPr>
            <w:tcW w:w="560" w:type="dxa"/>
            <w:vAlign w:val="bottom"/>
            <w:gridSpan w:val="2"/>
          </w:tcPr>
          <w:p>
            <w:pPr>
              <w:jc w:val="center"/>
              <w:ind w:right="29"/>
              <w:spacing w:after="0" w:line="120" w:lineRule="exact"/>
              <w:rPr>
                <w:sz w:val="20"/>
                <w:szCs w:val="20"/>
                <w:color w:val="auto"/>
              </w:rPr>
            </w:pPr>
            <w:r>
              <w:rPr>
                <w:rFonts w:ascii="Arial" w:cs="Arial" w:eastAsia="Arial" w:hAnsi="Arial"/>
                <w:sz w:val="12"/>
                <w:szCs w:val="12"/>
                <w:color w:val="0000FF"/>
                <w:w w:val="94"/>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558,074</w:t>
            </w:r>
          </w:p>
        </w:tc>
        <w:tc>
          <w:tcPr>
            <w:tcW w:w="740" w:type="dxa"/>
            <w:vAlign w:val="bottom"/>
            <w:gridSpan w:val="2"/>
          </w:tcPr>
          <w:p>
            <w:pPr>
              <w:jc w:val="center"/>
              <w:spacing w:after="0"/>
              <w:rPr>
                <w:sz w:val="20"/>
                <w:szCs w:val="20"/>
                <w:color w:val="auto"/>
              </w:rPr>
            </w:pPr>
            <w:r>
              <w:rPr>
                <w:rFonts w:ascii="Arial" w:cs="Arial" w:eastAsia="Arial" w:hAnsi="Arial"/>
                <w:sz w:val="10"/>
                <w:szCs w:val="10"/>
                <w:color w:val="008000"/>
                <w:w w:val="97"/>
              </w:rPr>
              <w:t>(1)</w:t>
            </w:r>
          </w:p>
        </w:tc>
        <w:tc>
          <w:tcPr>
            <w:tcW w:w="80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89"/>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4"/>
          </w:tcPr>
          <w:p>
            <w:pPr>
              <w:spacing w:after="0" w:line="161"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(3)(4)</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Stock</w:t>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693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135" cy="1693545"/>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8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700" w:type="dxa"/>
            <w:vAlign w:val="bottom"/>
          </w:tcPr>
          <w:p>
            <w:pPr>
              <w:ind w:left="60"/>
              <w:spacing w:after="0"/>
              <w:rPr>
                <w:sz w:val="20"/>
                <w:szCs w:val="20"/>
                <w:color w:val="auto"/>
              </w:rPr>
            </w:pPr>
            <w:r>
              <w:rPr>
                <w:rFonts w:ascii="Arial" w:cs="Arial" w:eastAsia="Arial" w:hAnsi="Arial"/>
                <w:sz w:val="12"/>
                <w:szCs w:val="12"/>
                <w:color w:val="0000FF"/>
              </w:rPr>
              <w:t>Series G</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0"/>
        </w:trPr>
        <w:tc>
          <w:tcPr>
            <w:tcW w:w="700" w:type="dxa"/>
            <w:vAlign w:val="bottom"/>
          </w:tcPr>
          <w:p>
            <w:pPr>
              <w:ind w:left="60"/>
              <w:spacing w:after="0" w:line="120" w:lineRule="exact"/>
              <w:rPr>
                <w:sz w:val="20"/>
                <w:szCs w:val="20"/>
                <w:color w:val="auto"/>
              </w:rPr>
            </w:pPr>
            <w:r>
              <w:rPr>
                <w:rFonts w:ascii="Arial" w:cs="Arial" w:eastAsia="Arial" w:hAnsi="Arial"/>
                <w:sz w:val="12"/>
                <w:szCs w:val="12"/>
                <w:color w:val="0000FF"/>
              </w:rPr>
              <w:t>Convertible</w:t>
            </w:r>
          </w:p>
        </w:tc>
        <w:tc>
          <w:tcPr>
            <w:tcW w:w="740" w:type="dxa"/>
            <w:vAlign w:val="bottom"/>
          </w:tcPr>
          <w:p>
            <w:pPr>
              <w:ind w:left="320"/>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right"/>
              <w:ind w:right="183"/>
              <w:spacing w:after="0"/>
              <w:rPr>
                <w:sz w:val="20"/>
                <w:szCs w:val="20"/>
                <w:color w:val="auto"/>
              </w:rPr>
            </w:pPr>
            <w:r>
              <w:rPr>
                <w:rFonts w:ascii="Arial" w:cs="Arial" w:eastAsia="Arial" w:hAnsi="Arial"/>
                <w:sz w:val="12"/>
                <w:szCs w:val="12"/>
                <w:color w:val="0000FF"/>
              </w:rPr>
              <w:t>10/29/2021</w:t>
            </w:r>
          </w:p>
        </w:tc>
        <w:tc>
          <w:tcPr>
            <w:tcW w:w="104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900" w:type="dxa"/>
            <w:vAlign w:val="bottom"/>
            <w:vMerge w:val="restart"/>
          </w:tcPr>
          <w:p>
            <w:pPr>
              <w:ind w:left="400"/>
              <w:spacing w:after="0"/>
              <w:rPr>
                <w:sz w:val="20"/>
                <w:szCs w:val="20"/>
                <w:color w:val="auto"/>
              </w:rPr>
            </w:pPr>
            <w:r>
              <w:rPr>
                <w:rFonts w:ascii="Arial" w:cs="Arial" w:eastAsia="Arial" w:hAnsi="Arial"/>
                <w:sz w:val="12"/>
                <w:szCs w:val="12"/>
                <w:color w:val="0000FF"/>
              </w:rPr>
              <w:t>135,406</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660" w:type="dxa"/>
            <w:vAlign w:val="bottom"/>
          </w:tcPr>
          <w:p>
            <w:pPr>
              <w:jc w:val="right"/>
              <w:ind w:right="206"/>
              <w:spacing w:after="0"/>
              <w:rPr>
                <w:sz w:val="20"/>
                <w:szCs w:val="20"/>
                <w:color w:val="auto"/>
              </w:rPr>
            </w:pPr>
            <w:r>
              <w:rPr>
                <w:rFonts w:ascii="Arial" w:cs="Arial" w:eastAsia="Arial" w:hAnsi="Arial"/>
                <w:sz w:val="10"/>
                <w:szCs w:val="10"/>
                <w:color w:val="008000"/>
              </w:rPr>
              <w:t>(1)</w:t>
            </w:r>
          </w:p>
        </w:tc>
        <w:tc>
          <w:tcPr>
            <w:tcW w:w="600" w:type="dxa"/>
            <w:vAlign w:val="bottom"/>
          </w:tcPr>
          <w:p>
            <w:pPr>
              <w:ind w:left="80"/>
              <w:spacing w:after="0" w:line="120" w:lineRule="exact"/>
              <w:rPr>
                <w:sz w:val="20"/>
                <w:szCs w:val="20"/>
                <w:color w:val="auto"/>
              </w:rPr>
            </w:pPr>
            <w:r>
              <w:rPr>
                <w:rFonts w:ascii="Arial" w:cs="Arial" w:eastAsia="Arial" w:hAnsi="Arial"/>
                <w:sz w:val="12"/>
                <w:szCs w:val="12"/>
                <w:color w:val="0000FF"/>
              </w:rPr>
              <w:t>Common</w:t>
            </w:r>
          </w:p>
        </w:tc>
        <w:tc>
          <w:tcPr>
            <w:tcW w:w="760" w:type="dxa"/>
            <w:vAlign w:val="bottom"/>
            <w:vMerge w:val="restart"/>
          </w:tcPr>
          <w:p>
            <w:pPr>
              <w:jc w:val="right"/>
              <w:ind w:right="58"/>
              <w:spacing w:after="0"/>
              <w:rPr>
                <w:sz w:val="20"/>
                <w:szCs w:val="20"/>
                <w:color w:val="auto"/>
              </w:rPr>
            </w:pPr>
            <w:r>
              <w:rPr>
                <w:rFonts w:ascii="Arial" w:cs="Arial" w:eastAsia="Arial" w:hAnsi="Arial"/>
                <w:sz w:val="16"/>
                <w:szCs w:val="16"/>
                <w:color w:val="0000FF"/>
              </w:rPr>
              <w:t>135,406</w:t>
            </w:r>
          </w:p>
        </w:tc>
        <w:tc>
          <w:tcPr>
            <w:tcW w:w="660" w:type="dxa"/>
            <w:vAlign w:val="bottom"/>
          </w:tcPr>
          <w:p>
            <w:pPr>
              <w:ind w:left="280"/>
              <w:spacing w:after="0"/>
              <w:rPr>
                <w:sz w:val="20"/>
                <w:szCs w:val="20"/>
                <w:color w:val="auto"/>
              </w:rPr>
            </w:pPr>
            <w:r>
              <w:rPr>
                <w:rFonts w:ascii="Arial" w:cs="Arial" w:eastAsia="Arial" w:hAnsi="Arial"/>
                <w:sz w:val="10"/>
                <w:szCs w:val="10"/>
                <w:color w:val="008000"/>
              </w:rPr>
              <w:t>(1)</w:t>
            </w:r>
          </w:p>
        </w:tc>
        <w:tc>
          <w:tcPr>
            <w:tcW w:w="900" w:type="dxa"/>
            <w:vAlign w:val="bottom"/>
            <w:vMerge w:val="restart"/>
          </w:tcPr>
          <w:p>
            <w:pPr>
              <w:ind w:left="420"/>
              <w:spacing w:after="0"/>
              <w:rPr>
                <w:sz w:val="20"/>
                <w:szCs w:val="20"/>
                <w:color w:val="auto"/>
              </w:rPr>
            </w:pPr>
            <w:r>
              <w:rPr>
                <w:rFonts w:ascii="Arial" w:cs="Arial" w:eastAsia="Arial" w:hAnsi="Arial"/>
                <w:sz w:val="12"/>
                <w:szCs w:val="12"/>
                <w:color w:val="0000FF"/>
              </w:rPr>
              <w:t>0</w:t>
            </w:r>
          </w:p>
        </w:tc>
        <w:tc>
          <w:tcPr>
            <w:tcW w:w="7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color w:val="0000FF"/>
              </w:rPr>
              <w:t>Stock</w:t>
            </w:r>
          </w:p>
        </w:tc>
        <w:tc>
          <w:tcPr>
            <w:tcW w:w="7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ind w:left="60"/>
              <w:spacing w:after="0" w:line="161"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8"/>
                <w:szCs w:val="18"/>
                <w:color w:val="008000"/>
                <w:w w:val="99"/>
                <w:vertAlign w:val="superscript"/>
              </w:rPr>
              <w:t>(3)(4)</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Stock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20" w:right="120" w:hanging="5"/>
        <w:spacing w:after="0" w:line="266"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Seed Series, Series A, Series C, Series D, Series E, Series F and Series G Convertible Preferred Stock automatically converted into Common Stock on a 1-for-1 basis immediately prior to the closing of the Issuer's initial public offering. These shares had no expiration date.</w:t>
      </w:r>
    </w:p>
    <w:p>
      <w:pPr>
        <w:spacing w:after="0" w:line="14" w:lineRule="exact"/>
        <w:rPr>
          <w:rFonts w:ascii="Arial" w:cs="Arial" w:eastAsia="Arial" w:hAnsi="Arial"/>
          <w:sz w:val="12"/>
          <w:szCs w:val="12"/>
          <w:color w:val="008000"/>
        </w:rPr>
      </w:pPr>
    </w:p>
    <w:p>
      <w:pPr>
        <w:ind w:left="140" w:hanging="125"/>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 reclassification exempt under Rule 16b-7, each share of Common Stock was reclassified into one share of Class A Common Stock upon the closing of the Issuer's initial public offering.</w:t>
      </w:r>
    </w:p>
    <w:p>
      <w:pPr>
        <w:spacing w:after="0" w:line="46" w:lineRule="exact"/>
        <w:rPr>
          <w:rFonts w:ascii="Arial" w:cs="Arial" w:eastAsia="Arial" w:hAnsi="Arial"/>
          <w:sz w:val="12"/>
          <w:szCs w:val="12"/>
          <w:color w:val="008000"/>
        </w:rPr>
      </w:pPr>
    </w:p>
    <w:p>
      <w:pPr>
        <w:ind w:left="20" w:right="260" w:hanging="5"/>
        <w:spacing w:after="0" w:line="266"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Consists of securities held by Bain Capital Venture Fund 2009, L.P. ("BCV Fund 2009"), BCIP Venture Associates ("BCIP Venture") and BCIP Venture Associates-B ("BCIP Venture-B" and, together with BCV Fund 2009 and BCIP Venture, the "Bain Capital Venture Entities").</w:t>
      </w:r>
    </w:p>
    <w:p>
      <w:pPr>
        <w:spacing w:after="0" w:line="14" w:lineRule="exact"/>
        <w:rPr>
          <w:rFonts w:ascii="Arial" w:cs="Arial" w:eastAsia="Arial" w:hAnsi="Arial"/>
          <w:sz w:val="12"/>
          <w:szCs w:val="12"/>
          <w:color w:val="008000"/>
        </w:rPr>
      </w:pPr>
    </w:p>
    <w:p>
      <w:pPr>
        <w:ind w:left="20" w:right="280" w:hanging="5"/>
        <w:spacing w:after="0" w:line="250"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Bain Capital Venture Investors, LLC ("BCVI") (i) is the ultimate general partner of BCV Fund 2009 and (ii) governs the investment strategy and decision-making process with respect to investments held by each of BCIP Venture and BCIP Venture-B. Mr. Friend is a Managing Director of BCVI. By virtue of the relationships described in this footnote, Mr. Friend may be deemed to share voting and dispositive power with respect to the securities held by the Bain Capital Venture Entities. Mr. Friend disclaims beneficial ownership of such securities except to the extent of his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7"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/s/ Scott Friend</w:t>
            </w:r>
          </w:p>
        </w:tc>
        <w:tc>
          <w:tcPr>
            <w:tcW w:w="12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11/02/2021</w:t>
            </w:r>
          </w:p>
        </w:tc>
      </w:tr>
      <w:tr>
        <w:trPr>
          <w:trHeight w:val="213"/>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920" w:hanging="5"/>
        <w:spacing w:after="0" w:line="319" w:lineRule="auto"/>
        <w:tabs>
          <w:tab w:leader="none" w:pos="15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620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2021-11-02T20:36:21Z</dcterms:created>
  <dcterms:modified xsi:type="dcterms:W3CDTF">2021-11-02T20:36:21Z</dcterms:modified>
</cp:coreProperties>
</file>