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Friend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07/11/2024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1,685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2,422</w:t>
            </w: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408,820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a restricted stock unit representing a contingent right to receive 1,685 shares of the Issuer's Class A common stock upon the earliest of (i) the one-year anniversary of the grant date and (ii) the Issuer's next annual meeting of stockholders, provided that Mr. Friend continues to provide services to the Issuer through such vesting date.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the Issuer's Class A common stock held by Bain Capital Venture Fund 2009, L.P. ("BCV Fund 2009"), BCIP Venture Associates ("BCIP Venture") and BCIP Venture Associates-B ("BCIP Venture-B" and, together with BCV Fund 2009 and BCIP Venture, the "Bain Capital Venture Entities").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BCV Fund 2009 and (ii) governs the investment strategy and decision-making process with respect to investments held by each of BCIP Venture and BCIP Venture-B. Mr. Friend is a Partner of BCVI. By virtue of the relationships described in this footnote, Mr. Friend may be deemed to share voting and dispositive power with respect to the shares of the Issuer's Class A common stock held by the Bain Capital Venture Entities. Mr. Friend disclaims beneficial ownership of such securities except to the extent of his pecuniary interest therein.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Friend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07/12/2024</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620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2024-07-12T19:48:11Z</dcterms:created>
  <dcterms:modified xsi:type="dcterms:W3CDTF">2024-07-12T19:48:11Z</dcterms:modified>
</cp:coreProperties>
</file>