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4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11" w:lineRule="exact"/>
        <w:rPr>
          <w:sz w:val="24"/>
          <w:szCs w:val="24"/>
          <w:color w:val="auto"/>
        </w:rPr>
      </w:pPr>
    </w:p>
    <w:p>
      <w:pPr>
        <w:ind w:left="4040" w:right="3520" w:hanging="4016"/>
        <w:spacing w:after="0" w:line="429" w:lineRule="auto"/>
        <w:tabs>
          <w:tab w:leader="none" w:pos="529"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QUARTERLY REPORT PURSUANT TO SECTION 13 OR 15(d) OF THE SECURITIES EXCHANGE ACT OF 1934 For the quarterly period ended October 31, 2023</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OR</w:t>
      </w:r>
    </w:p>
    <w:p>
      <w:pPr>
        <w:spacing w:after="0" w:line="258" w:lineRule="exact"/>
        <w:rPr>
          <w:sz w:val="24"/>
          <w:szCs w:val="24"/>
          <w:color w:val="auto"/>
        </w:rPr>
      </w:pPr>
    </w:p>
    <w:p>
      <w:pPr>
        <w:ind w:left="3940" w:right="3520" w:hanging="3916"/>
        <w:spacing w:after="0" w:line="423" w:lineRule="auto"/>
        <w:tabs>
          <w:tab w:leader="none" w:pos="528"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 to ________</w:t>
      </w:r>
    </w:p>
    <w:p>
      <w:pPr>
        <w:ind w:left="4460"/>
        <w:spacing w:after="0"/>
        <w:rPr>
          <w:rFonts w:ascii="MS PGothic" w:cs="MS PGothic" w:eastAsia="MS PGothic" w:hAnsi="MS PGothic"/>
          <w:sz w:val="17"/>
          <w:szCs w:val="17"/>
          <w:color w:val="auto"/>
        </w:rPr>
      </w:pPr>
      <w:r>
        <w:rPr>
          <w:rFonts w:ascii="Arial" w:cs="Arial" w:eastAsia="Arial" w:hAnsi="Arial"/>
          <w:sz w:val="14"/>
          <w:szCs w:val="14"/>
          <w:b w:val="1"/>
          <w:bCs w:val="1"/>
          <w:color w:val="auto"/>
        </w:rPr>
        <w:t>Commission file number 001-40958</w:t>
      </w:r>
    </w:p>
    <w:p>
      <w:pPr>
        <w:spacing w:after="0" w:line="157" w:lineRule="exact"/>
        <w:rPr>
          <w:rFonts w:ascii="MS PGothic" w:cs="MS PGothic" w:eastAsia="MS PGothic" w:hAnsi="MS PGothic"/>
          <w:sz w:val="17"/>
          <w:szCs w:val="17"/>
          <w:color w:val="auto"/>
        </w:rPr>
      </w:pPr>
    </w:p>
    <w:p>
      <w:pPr>
        <w:ind w:left="4660"/>
        <w:spacing w:after="0"/>
        <w:rPr>
          <w:rFonts w:ascii="MS PGothic" w:cs="MS PGothic" w:eastAsia="MS PGothic" w:hAnsi="MS PGothic"/>
          <w:sz w:val="17"/>
          <w:szCs w:val="17"/>
          <w:color w:val="auto"/>
        </w:rPr>
      </w:pPr>
      <w:r>
        <w:rPr>
          <w:rFonts w:ascii="Times New Roman" w:cs="Times New Roman" w:eastAsia="Times New Roman" w:hAnsi="Times New Roman"/>
          <w:sz w:val="14"/>
          <w:szCs w:val="14"/>
          <w:color w:val="auto"/>
        </w:rPr>
        <w:t>____________________________</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RENT THE RUNWAY, INC.</w:t>
      </w:r>
    </w:p>
    <w:p>
      <w:pPr>
        <w:spacing w:after="0" w:line="4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300"/>
          </w:cols>
          <w:pgMar w:left="300" w:top="1008" w:right="299" w:bottom="1440" w:gutter="0" w:footer="0" w:header="0"/>
        </w:sectPr>
      </w:pPr>
    </w:p>
    <w:p>
      <w:pPr>
        <w:spacing w:after="0" w:line="214"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35502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95" w:lineRule="exact"/>
        <w:rPr>
          <w:sz w:val="24"/>
          <w:szCs w:val="24"/>
          <w:color w:val="auto"/>
        </w:rPr>
      </w:pPr>
    </w:p>
    <w:p>
      <w:pPr>
        <w:ind w:left="1920"/>
        <w:spacing w:after="0"/>
        <w:rPr>
          <w:sz w:val="20"/>
          <w:szCs w:val="20"/>
          <w:color w:val="auto"/>
        </w:rPr>
      </w:pPr>
      <w:r>
        <w:rPr>
          <w:rFonts w:ascii="Arial" w:cs="Arial" w:eastAsia="Arial" w:hAnsi="Arial"/>
          <w:sz w:val="14"/>
          <w:szCs w:val="14"/>
          <w:color w:val="auto"/>
        </w:rPr>
        <w:t>(State or other jurisdiction of</w:t>
      </w:r>
    </w:p>
    <w:p>
      <w:pPr>
        <w:spacing w:after="0" w:line="30" w:lineRule="exact"/>
        <w:rPr>
          <w:sz w:val="24"/>
          <w:szCs w:val="24"/>
          <w:color w:val="auto"/>
        </w:rPr>
      </w:pPr>
    </w:p>
    <w:p>
      <w:pPr>
        <w:ind w:left="1880"/>
        <w:spacing w:after="0"/>
        <w:rPr>
          <w:sz w:val="20"/>
          <w:szCs w:val="20"/>
          <w:color w:val="auto"/>
        </w:rPr>
      </w:pPr>
      <w:r>
        <w:rPr>
          <w:rFonts w:ascii="Arial" w:cs="Arial" w:eastAsia="Arial" w:hAnsi="Arial"/>
          <w:sz w:val="14"/>
          <w:szCs w:val="14"/>
          <w:color w:val="auto"/>
        </w:rPr>
        <w:t>incorporation or organization)</w:t>
      </w:r>
    </w:p>
    <w:p>
      <w:pPr>
        <w:spacing w:after="0" w:line="94"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10 Jay Street</w:t>
      </w:r>
    </w:p>
    <w:p>
      <w:pPr>
        <w:spacing w:after="0" w:line="23"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Brooklyn, New York 11201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35502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28" w:lineRule="exact"/>
        <w:rPr>
          <w:sz w:val="24"/>
          <w:szCs w:val="24"/>
          <w:color w:val="auto"/>
        </w:rPr>
      </w:pPr>
    </w:p>
    <w:p>
      <w:pPr>
        <w:ind w:left="15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260"/>
        <w:spacing w:after="0"/>
        <w:rPr>
          <w:sz w:val="20"/>
          <w:szCs w:val="20"/>
          <w:color w:val="auto"/>
        </w:rPr>
      </w:pPr>
      <w:r>
        <w:rPr>
          <w:rFonts w:ascii="Arial" w:cs="Arial" w:eastAsia="Arial" w:hAnsi="Arial"/>
          <w:sz w:val="14"/>
          <w:szCs w:val="14"/>
          <w:b w:val="1"/>
          <w:bCs w:val="1"/>
          <w:color w:val="auto"/>
        </w:rPr>
        <w:t>80-0376379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-1433830</wp:posOffset>
            </wp:positionH>
            <wp:positionV relativeFrom="paragraph">
              <wp:posOffset>68580</wp:posOffset>
            </wp:positionV>
            <wp:extent cx="35572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37" w:lineRule="exact"/>
        <w:rPr>
          <w:sz w:val="24"/>
          <w:szCs w:val="24"/>
          <w:color w:val="auto"/>
        </w:rPr>
      </w:pPr>
    </w:p>
    <w:p>
      <w:pPr>
        <w:ind w:left="20"/>
        <w:spacing w:after="0"/>
        <w:rPr>
          <w:sz w:val="20"/>
          <w:szCs w:val="20"/>
          <w:color w:val="auto"/>
        </w:rPr>
      </w:pPr>
      <w:r>
        <w:rPr>
          <w:rFonts w:ascii="Arial" w:cs="Arial" w:eastAsia="Arial" w:hAnsi="Arial"/>
          <w:sz w:val="14"/>
          <w:szCs w:val="14"/>
          <w:color w:val="auto"/>
        </w:rPr>
        <w:t>(I.R.S. Employer</w:t>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179" w:lineRule="exact"/>
        <w:rPr>
          <w:sz w:val="24"/>
          <w:szCs w:val="24"/>
          <w:color w:val="auto"/>
        </w:rPr>
      </w:pPr>
    </w:p>
    <w:p>
      <w:pPr>
        <w:jc w:val="center"/>
        <w:ind w:right="2260"/>
        <w:spacing w:after="0"/>
        <w:rPr>
          <w:sz w:val="20"/>
          <w:szCs w:val="20"/>
          <w:color w:val="auto"/>
        </w:rPr>
      </w:pPr>
      <w:r>
        <w:rPr>
          <w:rFonts w:ascii="Arial" w:cs="Arial" w:eastAsia="Arial" w:hAnsi="Arial"/>
          <w:sz w:val="14"/>
          <w:szCs w:val="14"/>
          <w:b w:val="1"/>
          <w:bCs w:val="1"/>
          <w:color w:val="auto"/>
        </w:rPr>
        <w:t>11201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-1433830</wp:posOffset>
            </wp:positionH>
            <wp:positionV relativeFrom="paragraph">
              <wp:posOffset>82550</wp:posOffset>
            </wp:positionV>
            <wp:extent cx="35572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59" w:lineRule="exact"/>
        <w:rPr>
          <w:sz w:val="24"/>
          <w:szCs w:val="24"/>
          <w:color w:val="auto"/>
        </w:rPr>
      </w:pPr>
    </w:p>
    <w:p>
      <w:pPr>
        <w:ind w:left="20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220" w:space="720"/>
            <w:col w:w="3360"/>
          </w:cols>
          <w:pgMar w:left="300" w:top="1008" w:right="299" w:bottom="1440" w:gutter="0" w:footer="0" w:header="0"/>
          <w:type w:val="continuous"/>
        </w:sectPr>
      </w:pP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(212) 524-6860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(Registrant's telephone number, including area code)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31"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73"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1"/>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Class A common stock, par value $0.001 per share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RENT</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The Nasdaq Capital Market</w:t>
            </w:r>
          </w:p>
        </w:tc>
      </w:tr>
    </w:tbl>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5700" w:type="dxa"/>
            <w:vAlign w:val="bottom"/>
          </w:tcPr>
          <w:p>
            <w:pPr>
              <w:jc w:val="right"/>
              <w:spacing w:after="0"/>
              <w:rPr>
                <w:sz w:val="20"/>
                <w:szCs w:val="20"/>
                <w:color w:val="auto"/>
              </w:rPr>
            </w:pPr>
            <w:r>
              <w:rPr>
                <w:rFonts w:ascii="Arial" w:cs="Arial" w:eastAsia="Arial" w:hAnsi="Arial"/>
                <w:sz w:val="14"/>
                <w:szCs w:val="14"/>
                <w:color w:val="auto"/>
              </w:rPr>
              <w:t>months (or for such shorter period that the registrant was required to file such reports); and</w:t>
            </w:r>
          </w:p>
        </w:tc>
        <w:tc>
          <w:tcPr>
            <w:tcW w:w="5580" w:type="dxa"/>
            <w:vAlign w:val="bottom"/>
          </w:tcPr>
          <w:p>
            <w:pPr>
              <w:ind w:left="20"/>
              <w:spacing w:after="0" w:line="184" w:lineRule="exact"/>
              <w:rPr>
                <w:sz w:val="20"/>
                <w:szCs w:val="20"/>
                <w:color w:val="auto"/>
              </w:rPr>
            </w:pPr>
            <w:r>
              <w:rPr>
                <w:rFonts w:ascii="Arial" w:cs="Arial" w:eastAsia="Arial" w:hAnsi="Arial"/>
                <w:sz w:val="14"/>
                <w:szCs w:val="14"/>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tc>
      </w:tr>
      <w:tr>
        <w:trPr>
          <w:trHeight w:val="553"/>
        </w:trPr>
        <w:tc>
          <w:tcPr>
            <w:tcW w:w="5700" w:type="dxa"/>
            <w:vAlign w:val="bottom"/>
          </w:tcPr>
          <w:p>
            <w:pPr>
              <w:jc w:val="right"/>
              <w:spacing w:after="0"/>
              <w:rPr>
                <w:sz w:val="20"/>
                <w:szCs w:val="20"/>
                <w:color w:val="auto"/>
              </w:rPr>
            </w:pPr>
            <w:r>
              <w:rPr>
                <w:rFonts w:ascii="Arial" w:cs="Arial" w:eastAsia="Arial" w:hAnsi="Arial"/>
                <w:sz w:val="14"/>
                <w:szCs w:val="14"/>
                <w:color w:val="auto"/>
              </w:rPr>
              <w:t>1</w:t>
            </w:r>
          </w:p>
        </w:tc>
        <w:tc>
          <w:tcPr>
            <w:tcW w:w="5580" w:type="dxa"/>
            <w:vAlign w:val="bottom"/>
          </w:tcPr>
          <w:p>
            <w:pPr>
              <w:spacing w:after="0"/>
              <w:rPr>
                <w:sz w:val="24"/>
                <w:szCs w:val="24"/>
                <w:color w:val="auto"/>
              </w:rPr>
            </w:pPr>
          </w:p>
        </w:tc>
      </w:tr>
      <w:tr>
        <w:trPr>
          <w:trHeight w:val="85"/>
        </w:trPr>
        <w:tc>
          <w:tcPr>
            <w:tcW w:w="5700" w:type="dxa"/>
            <w:vAlign w:val="bottom"/>
            <w:tcBorders>
              <w:bottom w:val="single" w:sz="8" w:color="9A9A9A"/>
            </w:tcBorders>
          </w:tcPr>
          <w:p>
            <w:pPr>
              <w:spacing w:after="0"/>
              <w:rPr>
                <w:sz w:val="7"/>
                <w:szCs w:val="7"/>
                <w:color w:val="auto"/>
              </w:rPr>
            </w:pPr>
          </w:p>
        </w:tc>
        <w:tc>
          <w:tcPr>
            <w:tcW w:w="5580" w:type="dxa"/>
            <w:vAlign w:val="bottom"/>
            <w:tcBorders>
              <w:bottom w:val="single" w:sz="8" w:color="9A9A9A"/>
            </w:tcBorders>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008" w:right="299" w:bottom="1440" w:gutter="0" w:footer="0" w:header="0"/>
          <w:type w:val="continuous"/>
        </w:sectPr>
      </w:pPr>
    </w:p>
    <w:bookmarkStart w:id="1" w:name="page2"/>
    <w:bookmarkEnd w:id="1"/>
    <w:p>
      <w:pPr>
        <w:ind w:right="80"/>
        <w:spacing w:after="0" w:line="21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80"/>
          </w:cols>
          <w:pgMar w:left="300" w:top="899" w:right="319" w:bottom="1440" w:gutter="0" w:footer="0" w:header="0"/>
        </w:sectPr>
      </w:pPr>
    </w:p>
    <w:p>
      <w:pPr>
        <w:spacing w:after="0" w:line="1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Accelerated filer</w:t>
      </w:r>
    </w:p>
    <w:p>
      <w:pPr>
        <w:spacing w:after="0" w:line="25" w:lineRule="exact"/>
        <w:rPr>
          <w:sz w:val="20"/>
          <w:szCs w:val="20"/>
          <w:color w:val="auto"/>
        </w:rPr>
      </w:pPr>
    </w:p>
    <w:p>
      <w:pPr>
        <w:sectPr>
          <w:pgSz w:w="11900" w:h="16838" w:orient="portrait"/>
          <w:cols w:equalWidth="0" w:num="2">
            <w:col w:w="7100" w:space="720"/>
            <w:col w:w="3460"/>
          </w:cols>
          <w:pgMar w:left="300" w:top="899" w:right="319" w:bottom="1440" w:gutter="0" w:footer="0" w:header="0"/>
          <w:type w:val="continuous"/>
        </w:sectPr>
      </w:pPr>
    </w:p>
    <w:p>
      <w:pPr>
        <w:ind w:left="31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85" w:lineRule="exact"/>
        <w:rPr>
          <w:sz w:val="20"/>
          <w:szCs w:val="20"/>
          <w:color w:val="auto"/>
        </w:rPr>
      </w:pPr>
    </w:p>
    <w:p>
      <w:pPr>
        <w:sectPr>
          <w:pgSz w:w="11900" w:h="16838" w:orient="portrait"/>
          <w:cols w:equalWidth="0" w:num="2">
            <w:col w:w="10180" w:space="720"/>
            <w:col w:w="380"/>
          </w:cols>
          <w:pgMar w:left="300" w:top="899" w:right="31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7" w:lineRule="exact"/>
        <w:rPr>
          <w:sz w:val="20"/>
          <w:szCs w:val="20"/>
          <w:color w:val="auto"/>
        </w:rPr>
      </w:pPr>
    </w:p>
    <w:p>
      <w:pPr>
        <w:sectPr>
          <w:pgSz w:w="11900" w:h="16838" w:orient="portrait"/>
          <w:cols w:equalWidth="0" w:num="2">
            <w:col w:w="7100" w:space="720"/>
            <w:col w:w="3460"/>
          </w:cols>
          <w:pgMar w:left="300" w:top="899" w:right="319" w:bottom="1440" w:gutter="0" w:footer="0" w:header="0"/>
          <w:type w:val="continuous"/>
        </w:sectPr>
      </w:pPr>
    </w:p>
    <w:p>
      <w:pPr>
        <w:ind w:left="31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81" w:lineRule="exact"/>
        <w:rPr>
          <w:sz w:val="20"/>
          <w:szCs w:val="20"/>
          <w:color w:val="auto"/>
        </w:rPr>
      </w:pPr>
    </w:p>
    <w:p>
      <w:pPr>
        <w:sectPr>
          <w:pgSz w:w="11900" w:h="16838" w:orient="portrait"/>
          <w:cols w:equalWidth="0" w:num="2">
            <w:col w:w="10180" w:space="720"/>
            <w:col w:w="380"/>
          </w:cols>
          <w:pgMar w:left="300" w:top="899" w:right="319" w:bottom="1440" w:gutter="0" w:footer="0" w:header="0"/>
          <w:type w:val="continuous"/>
        </w:sectPr>
      </w:pPr>
    </w:p>
    <w:p>
      <w:pPr>
        <w:ind w:left="7820"/>
        <w:spacing w:after="0"/>
        <w:rPr>
          <w:sz w:val="20"/>
          <w:szCs w:val="20"/>
          <w:color w:val="auto"/>
        </w:rPr>
      </w:pPr>
      <w:r>
        <w:rPr>
          <w:rFonts w:ascii="Arial" w:cs="Arial" w:eastAsia="Arial" w:hAnsi="Arial"/>
          <w:sz w:val="14"/>
          <w:szCs w:val="14"/>
          <w:color w:val="auto"/>
        </w:rPr>
        <w:t>Emerging growth company</w:t>
      </w:r>
    </w:p>
    <w:p>
      <w:pPr>
        <w:ind w:left="10900"/>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1">
            <w:col w:w="11280"/>
          </w:cols>
          <w:pgMar w:left="300" w:top="899" w:right="319" w:bottom="1440" w:gutter="0" w:footer="0" w:header="0"/>
          <w:type w:val="continuous"/>
        </w:sectPr>
      </w:pPr>
    </w:p>
    <w:p>
      <w:pPr>
        <w:spacing w:after="0" w:line="279" w:lineRule="exact"/>
        <w:rPr>
          <w:sz w:val="20"/>
          <w:szCs w:val="20"/>
          <w:color w:val="auto"/>
        </w:rPr>
      </w:pPr>
    </w:p>
    <w:p>
      <w:pPr>
        <w:ind w:right="540"/>
        <w:spacing w:after="0" w:line="18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8" w:lineRule="exact"/>
        <w:rPr>
          <w:sz w:val="20"/>
          <w:szCs w:val="20"/>
          <w:color w:val="auto"/>
        </w:rPr>
      </w:pPr>
    </w:p>
    <w:p>
      <w:pPr>
        <w:spacing w:after="0" w:line="176" w:lineRule="exact"/>
        <w:tabs>
          <w:tab w:leader="none" w:pos="7240" w:val="left"/>
          <w:tab w:leader="none" w:pos="76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4"/>
          <w:szCs w:val="14"/>
          <w:color w:val="auto"/>
        </w:rPr>
        <w:t>No</w:t>
      </w:r>
      <w:r>
        <w:rPr>
          <w:rFonts w:ascii="MS PGothic" w:cs="MS PGothic" w:eastAsia="MS PGothic" w:hAnsi="MS PGothic"/>
          <w:sz w:val="17"/>
          <w:szCs w:val="17"/>
          <w:color w:val="auto"/>
        </w:rPr>
        <w:t xml:space="preserve"> ☒</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had outstanding 67,223,096 shares of Class A common stock and 3,098,580 shares of Class B common stock as of November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720" w:type="dxa"/>
            <w:vAlign w:val="bottom"/>
            <w:gridSpan w:val="3"/>
          </w:tcPr>
          <w:p>
            <w:pPr>
              <w:ind w:left="320"/>
              <w:spacing w:after="0"/>
              <w:rPr>
                <w:sz w:val="20"/>
                <w:szCs w:val="20"/>
                <w:color w:val="auto"/>
              </w:rPr>
            </w:pPr>
            <w:r>
              <w:rPr>
                <w:rFonts w:ascii="Arial" w:cs="Arial" w:eastAsia="Arial" w:hAnsi="Arial"/>
                <w:sz w:val="14"/>
                <w:szCs w:val="14"/>
                <w:b w:val="1"/>
                <w:bCs w:val="1"/>
                <w:color w:val="auto"/>
              </w:rPr>
              <w:t>Table of Contents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Part I</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0000FF"/>
            </w:tcBorders>
            <w:shd w:val="clear" w:color="auto" w:fill="CCEEFF"/>
          </w:tcPr>
          <w:p>
            <w:pPr>
              <w:spacing w:after="0" w:line="149" w:lineRule="exact"/>
              <w:rPr>
                <w:sz w:val="20"/>
                <w:szCs w:val="20"/>
                <w:color w:val="auto"/>
              </w:rPr>
            </w:pPr>
            <w:r>
              <w:rPr>
                <w:rFonts w:ascii="Arial" w:cs="Arial" w:eastAsia="Arial" w:hAnsi="Arial"/>
                <w:sz w:val="14"/>
                <w:szCs w:val="14"/>
                <w:color w:val="0000FF"/>
                <w:w w:val="98"/>
              </w:rPr>
              <w:t>Item 1.</w:t>
            </w:r>
          </w:p>
        </w:tc>
        <w:tc>
          <w:tcPr>
            <w:tcW w:w="580" w:type="dxa"/>
            <w:vAlign w:val="bottom"/>
            <w:tcBorders>
              <w:bottom w:val="single" w:sz="8" w:color="CCEEFF"/>
            </w:tcBorders>
            <w:gridSpan w:val="2"/>
            <w:shd w:val="clear" w:color="auto" w:fill="CCEEFF"/>
          </w:tcPr>
          <w:p>
            <w:pPr>
              <w:spacing w:after="0"/>
              <w:rPr>
                <w:sz w:val="13"/>
                <w:szCs w:val="13"/>
                <w:color w:val="auto"/>
              </w:rPr>
            </w:pPr>
          </w:p>
        </w:tc>
        <w:tc>
          <w:tcPr>
            <w:tcW w:w="2100" w:type="dxa"/>
            <w:vAlign w:val="bottom"/>
            <w:tcBorders>
              <w:bottom w:val="single" w:sz="8" w:color="0000FF"/>
            </w:tcBorders>
            <w:gridSpan w:val="8"/>
            <w:shd w:val="clear" w:color="auto" w:fill="CCEEFF"/>
          </w:tcPr>
          <w:p>
            <w:pPr>
              <w:spacing w:after="0" w:line="149" w:lineRule="exact"/>
              <w:rPr>
                <w:sz w:val="20"/>
                <w:szCs w:val="20"/>
                <w:color w:val="auto"/>
              </w:rPr>
            </w:pPr>
            <w:r>
              <w:rPr>
                <w:rFonts w:ascii="Arial" w:cs="Arial" w:eastAsia="Arial" w:hAnsi="Arial"/>
                <w:sz w:val="14"/>
                <w:szCs w:val="14"/>
                <w:color w:val="0000FF"/>
              </w:rPr>
              <w:t>Financial Statements (Unaudited)</w:t>
            </w:r>
          </w:p>
        </w:tc>
        <w:tc>
          <w:tcPr>
            <w:tcW w:w="7320" w:type="dxa"/>
            <w:vAlign w:val="bottom"/>
            <w:tcBorders>
              <w:bottom w:val="single" w:sz="8" w:color="CCEEFF"/>
            </w:tcBorders>
            <w:gridSpan w:val="4"/>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Borders>
              <w:bottom w:val="single" w:sz="8" w:color="0000FF"/>
            </w:tcBorders>
          </w:tcPr>
          <w:p>
            <w:pPr>
              <w:spacing w:after="0" w:line="149" w:lineRule="exact"/>
              <w:rPr>
                <w:sz w:val="20"/>
                <w:szCs w:val="20"/>
                <w:color w:val="auto"/>
              </w:rPr>
            </w:pPr>
            <w:r>
              <w:rPr>
                <w:rFonts w:ascii="Arial" w:cs="Arial" w:eastAsia="Arial" w:hAnsi="Arial"/>
                <w:sz w:val="14"/>
                <w:szCs w:val="14"/>
                <w:color w:val="0000FF"/>
                <w:w w:val="98"/>
              </w:rPr>
              <w:t>Item 2.</w:t>
            </w:r>
          </w:p>
        </w:tc>
        <w:tc>
          <w:tcPr>
            <w:tcW w:w="580" w:type="dxa"/>
            <w:vAlign w:val="bottom"/>
            <w:gridSpan w:val="2"/>
          </w:tcPr>
          <w:p>
            <w:pPr>
              <w:spacing w:after="0"/>
              <w:rPr>
                <w:sz w:val="13"/>
                <w:szCs w:val="13"/>
                <w:color w:val="auto"/>
              </w:rPr>
            </w:pPr>
          </w:p>
        </w:tc>
        <w:tc>
          <w:tcPr>
            <w:tcW w:w="5560" w:type="dxa"/>
            <w:vAlign w:val="bottom"/>
            <w:tcBorders>
              <w:bottom w:val="single" w:sz="8" w:color="0000FF"/>
            </w:tcBorders>
            <w:gridSpan w:val="10"/>
          </w:tcPr>
          <w:p>
            <w:pPr>
              <w:spacing w:after="0" w:line="149" w:lineRule="exact"/>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3860" w:type="dxa"/>
            <w:vAlign w:val="bottom"/>
            <w:gridSpan w:val="2"/>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8"/>
              </w:rPr>
              <w:t>Item 3.</w:t>
            </w:r>
          </w:p>
        </w:tc>
        <w:tc>
          <w:tcPr>
            <w:tcW w:w="580" w:type="dxa"/>
            <w:vAlign w:val="bottom"/>
            <w:tcBorders>
              <w:bottom w:val="single" w:sz="8" w:color="CCEEFF"/>
            </w:tcBorders>
            <w:gridSpan w:val="2"/>
            <w:shd w:val="clear" w:color="auto" w:fill="CCEEFF"/>
          </w:tcPr>
          <w:p>
            <w:pPr>
              <w:spacing w:after="0"/>
              <w:rPr>
                <w:sz w:val="14"/>
                <w:szCs w:val="14"/>
                <w:color w:val="auto"/>
              </w:rPr>
            </w:pPr>
          </w:p>
        </w:tc>
        <w:tc>
          <w:tcPr>
            <w:tcW w:w="3700" w:type="dxa"/>
            <w:vAlign w:val="bottom"/>
            <w:tcBorders>
              <w:bottom w:val="single" w:sz="8" w:color="0000FF"/>
            </w:tcBorders>
            <w:gridSpan w:val="9"/>
            <w:shd w:val="clear" w:color="auto" w:fill="CCEEFF"/>
          </w:tcPr>
          <w:p>
            <w:pPr>
              <w:spacing w:after="0" w:line="155" w:lineRule="exact"/>
              <w:rPr>
                <w:sz w:val="20"/>
                <w:szCs w:val="20"/>
                <w:color w:val="auto"/>
              </w:rPr>
            </w:pPr>
            <w:r>
              <w:rPr>
                <w:rFonts w:ascii="Arial" w:cs="Arial" w:eastAsia="Arial" w:hAnsi="Arial"/>
                <w:sz w:val="14"/>
                <w:szCs w:val="14"/>
                <w:color w:val="0000FF"/>
              </w:rPr>
              <w:t>Quantitative and Qualitative Disclosures About Market Risk</w:t>
            </w:r>
          </w:p>
        </w:tc>
        <w:tc>
          <w:tcPr>
            <w:tcW w:w="5720" w:type="dxa"/>
            <w:vAlign w:val="bottom"/>
            <w:tcBorders>
              <w:bottom w:val="single" w:sz="8" w:color="CCEEFF"/>
            </w:tcBorders>
            <w:gridSpan w:val="3"/>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4.</w:t>
            </w:r>
          </w:p>
        </w:tc>
        <w:tc>
          <w:tcPr>
            <w:tcW w:w="9420" w:type="dxa"/>
            <w:vAlign w:val="bottom"/>
            <w:gridSpan w:val="12"/>
          </w:tcPr>
          <w:p>
            <w:pPr>
              <w:spacing w:after="0" w:line="149" w:lineRule="exact"/>
              <w:rPr>
                <w:sz w:val="20"/>
                <w:szCs w:val="20"/>
                <w:color w:val="auto"/>
              </w:rPr>
            </w:pPr>
            <w:r>
              <w:rPr>
                <w:rFonts w:ascii="Arial" w:cs="Arial" w:eastAsia="Arial" w:hAnsi="Arial"/>
                <w:sz w:val="14"/>
                <w:szCs w:val="14"/>
                <w:color w:val="0000FF"/>
              </w:rPr>
              <w:t>Controls and Procedures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40" w:type="dxa"/>
            <w:vAlign w:val="bottom"/>
            <w:tcBorders>
              <w:top w:val="single" w:sz="8" w:color="0000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380" w:type="dxa"/>
            <w:vAlign w:val="bottom"/>
            <w:tcBorders>
              <w:top w:val="single" w:sz="8" w:color="0000FF"/>
              <w:right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Part II</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0000FF"/>
                <w:w w:val="98"/>
              </w:rPr>
              <w:t>Item 1.</w:t>
            </w:r>
          </w:p>
        </w:tc>
        <w:tc>
          <w:tcPr>
            <w:tcW w:w="580" w:type="dxa"/>
            <w:vAlign w:val="bottom"/>
            <w:gridSpan w:val="2"/>
            <w:shd w:val="clear" w:color="auto" w:fill="CCEEFF"/>
          </w:tcPr>
          <w:p>
            <w:pPr>
              <w:spacing w:after="0"/>
              <w:rPr>
                <w:sz w:val="12"/>
                <w:szCs w:val="12"/>
                <w:color w:val="auto"/>
              </w:rPr>
            </w:pPr>
          </w:p>
        </w:tc>
        <w:tc>
          <w:tcPr>
            <w:tcW w:w="9420" w:type="dxa"/>
            <w:vAlign w:val="bottom"/>
            <w:gridSpan w:val="12"/>
            <w:shd w:val="clear" w:color="auto" w:fill="CCEEFF"/>
          </w:tcPr>
          <w:p>
            <w:pPr>
              <w:spacing w:after="0" w:line="149" w:lineRule="exact"/>
              <w:rPr>
                <w:sz w:val="20"/>
                <w:szCs w:val="20"/>
                <w:color w:val="auto"/>
              </w:rPr>
            </w:pPr>
            <w:r>
              <w:rPr>
                <w:rFonts w:ascii="Arial" w:cs="Arial" w:eastAsia="Arial" w:hAnsi="Arial"/>
                <w:sz w:val="14"/>
                <w:szCs w:val="14"/>
                <w:color w:val="0000FF"/>
              </w:rPr>
              <w:t>Legal Proceedings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1A.</w:t>
            </w:r>
          </w:p>
        </w:tc>
        <w:tc>
          <w:tcPr>
            <w:tcW w:w="9420" w:type="dxa"/>
            <w:vAlign w:val="bottom"/>
            <w:gridSpan w:val="12"/>
          </w:tcPr>
          <w:p>
            <w:pPr>
              <w:spacing w:after="0" w:line="149" w:lineRule="exact"/>
              <w:rPr>
                <w:sz w:val="20"/>
                <w:szCs w:val="20"/>
                <w:color w:val="auto"/>
              </w:rPr>
            </w:pPr>
            <w:r>
              <w:rPr>
                <w:rFonts w:ascii="Arial" w:cs="Arial" w:eastAsia="Arial" w:hAnsi="Arial"/>
                <w:sz w:val="14"/>
                <w:szCs w:val="14"/>
                <w:color w:val="0000FF"/>
              </w:rPr>
              <w:t>Risk Factors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line="155" w:lineRule="exact"/>
              <w:rPr>
                <w:sz w:val="20"/>
                <w:szCs w:val="20"/>
                <w:color w:val="auto"/>
              </w:rPr>
            </w:pPr>
            <w:r>
              <w:rPr>
                <w:rFonts w:ascii="Arial" w:cs="Arial" w:eastAsia="Arial" w:hAnsi="Arial"/>
                <w:sz w:val="14"/>
                <w:szCs w:val="14"/>
                <w:color w:val="0000FF"/>
                <w:w w:val="98"/>
              </w:rPr>
              <w:t>Item 2.</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20" w:type="dxa"/>
            <w:vAlign w:val="bottom"/>
            <w:gridSpan w:val="12"/>
            <w:shd w:val="clear" w:color="auto" w:fill="CCEEFF"/>
          </w:tcPr>
          <w:p>
            <w:pPr>
              <w:spacing w:after="0" w:line="155" w:lineRule="exact"/>
              <w:rPr>
                <w:sz w:val="20"/>
                <w:szCs w:val="20"/>
                <w:color w:val="auto"/>
              </w:rPr>
            </w:pPr>
            <w:r>
              <w:rPr>
                <w:rFonts w:ascii="Arial" w:cs="Arial" w:eastAsia="Arial" w:hAnsi="Arial"/>
                <w:sz w:val="14"/>
                <w:szCs w:val="14"/>
                <w:color w:val="0000FF"/>
              </w:rPr>
              <w:t>Unregistered Sales of Equity Securities and Use of Proceeds and Issuer Purchases of Equity Securities</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54"/>
        </w:trPr>
        <w:tc>
          <w:tcPr>
            <w:tcW w:w="20" w:type="dxa"/>
            <w:vAlign w:val="bottom"/>
            <w:tcBorders>
              <w:top w:val="single" w:sz="8" w:color="CCEEFF"/>
            </w:tcBorders>
          </w:tcPr>
          <w:p>
            <w:pPr>
              <w:spacing w:after="0"/>
              <w:rPr>
                <w:sz w:val="13"/>
                <w:szCs w:val="13"/>
                <w:color w:val="auto"/>
              </w:rPr>
            </w:pPr>
          </w:p>
        </w:tc>
        <w:tc>
          <w:tcPr>
            <w:tcW w:w="440" w:type="dxa"/>
            <w:vAlign w:val="bottom"/>
            <w:tcBorders>
              <w:top w:val="single" w:sz="8" w:color="0000FF"/>
            </w:tcBorders>
          </w:tcPr>
          <w:p>
            <w:pPr>
              <w:spacing w:after="0" w:line="149" w:lineRule="exact"/>
              <w:rPr>
                <w:sz w:val="20"/>
                <w:szCs w:val="20"/>
                <w:color w:val="auto"/>
              </w:rPr>
            </w:pPr>
            <w:r>
              <w:rPr>
                <w:rFonts w:ascii="Arial" w:cs="Arial" w:eastAsia="Arial" w:hAnsi="Arial"/>
                <w:sz w:val="14"/>
                <w:szCs w:val="14"/>
                <w:color w:val="0000FF"/>
                <w:w w:val="98"/>
              </w:rPr>
              <w:t>Item 3.</w:t>
            </w:r>
          </w:p>
        </w:tc>
        <w:tc>
          <w:tcPr>
            <w:tcW w:w="580" w:type="dxa"/>
            <w:vAlign w:val="bottom"/>
            <w:tcBorders>
              <w:top w:val="single" w:sz="8" w:color="CCEEFF"/>
            </w:tcBorders>
            <w:gridSpan w:val="2"/>
          </w:tcPr>
          <w:p>
            <w:pPr>
              <w:spacing w:after="0"/>
              <w:rPr>
                <w:sz w:val="13"/>
                <w:szCs w:val="13"/>
                <w:color w:val="auto"/>
              </w:rPr>
            </w:pPr>
          </w:p>
        </w:tc>
        <w:tc>
          <w:tcPr>
            <w:tcW w:w="6460" w:type="dxa"/>
            <w:vAlign w:val="bottom"/>
            <w:tcBorders>
              <w:top w:val="single" w:sz="8" w:color="0000FF"/>
            </w:tcBorders>
            <w:gridSpan w:val="11"/>
          </w:tcPr>
          <w:p>
            <w:pPr>
              <w:spacing w:after="0" w:line="149" w:lineRule="exact"/>
              <w:rPr>
                <w:sz w:val="20"/>
                <w:szCs w:val="20"/>
                <w:color w:val="auto"/>
              </w:rPr>
            </w:pPr>
            <w:r>
              <w:rPr>
                <w:rFonts w:ascii="Arial" w:cs="Arial" w:eastAsia="Arial" w:hAnsi="Arial"/>
                <w:sz w:val="14"/>
                <w:szCs w:val="14"/>
                <w:color w:val="0000FF"/>
              </w:rPr>
              <w:t>Defaults Upon Senior Securities</w:t>
            </w:r>
          </w:p>
        </w:tc>
        <w:tc>
          <w:tcPr>
            <w:tcW w:w="296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jc w:val="right"/>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top w:val="single" w:sz="8" w:color="0000FF"/>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8"/>
              </w:rPr>
              <w:t>Item 4.</w:t>
            </w:r>
          </w:p>
        </w:tc>
        <w:tc>
          <w:tcPr>
            <w:tcW w:w="580" w:type="dxa"/>
            <w:vAlign w:val="bottom"/>
            <w:tcBorders>
              <w:bottom w:val="single" w:sz="8" w:color="CCEEFF"/>
            </w:tcBorders>
            <w:gridSpan w:val="2"/>
            <w:shd w:val="clear" w:color="auto" w:fill="CCEEFF"/>
          </w:tcPr>
          <w:p>
            <w:pPr>
              <w:spacing w:after="0"/>
              <w:rPr>
                <w:sz w:val="14"/>
                <w:szCs w:val="14"/>
                <w:color w:val="auto"/>
              </w:rPr>
            </w:pPr>
          </w:p>
        </w:tc>
        <w:tc>
          <w:tcPr>
            <w:tcW w:w="1520" w:type="dxa"/>
            <w:vAlign w:val="bottom"/>
            <w:tcBorders>
              <w:top w:val="single" w:sz="8" w:color="0000FF"/>
              <w:bottom w:val="single" w:sz="8" w:color="0000FF"/>
            </w:tcBorders>
            <w:gridSpan w:val="5"/>
            <w:shd w:val="clear" w:color="auto" w:fill="CCEEFF"/>
          </w:tcPr>
          <w:p>
            <w:pPr>
              <w:spacing w:after="0" w:line="155" w:lineRule="exact"/>
              <w:rPr>
                <w:sz w:val="20"/>
                <w:szCs w:val="20"/>
                <w:color w:val="auto"/>
              </w:rPr>
            </w:pPr>
            <w:r>
              <w:rPr>
                <w:rFonts w:ascii="Arial" w:cs="Arial" w:eastAsia="Arial" w:hAnsi="Arial"/>
                <w:sz w:val="14"/>
                <w:szCs w:val="14"/>
                <w:color w:val="0000FF"/>
                <w:w w:val="99"/>
              </w:rPr>
              <w:t>Mine Safety Disclosures</w:t>
            </w:r>
          </w:p>
        </w:tc>
        <w:tc>
          <w:tcPr>
            <w:tcW w:w="48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7420" w:type="dxa"/>
            <w:vAlign w:val="bottom"/>
            <w:tcBorders>
              <w:bottom w:val="single" w:sz="8" w:color="CCEEFF"/>
            </w:tcBorders>
            <w:gridSpan w:val="5"/>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Borders>
              <w:bottom w:val="single" w:sz="8" w:color="0000FF"/>
            </w:tcBorders>
          </w:tcPr>
          <w:p>
            <w:pPr>
              <w:spacing w:after="0" w:line="149" w:lineRule="exact"/>
              <w:rPr>
                <w:sz w:val="20"/>
                <w:szCs w:val="20"/>
                <w:color w:val="auto"/>
              </w:rPr>
            </w:pPr>
            <w:r>
              <w:rPr>
                <w:rFonts w:ascii="Arial" w:cs="Arial" w:eastAsia="Arial" w:hAnsi="Arial"/>
                <w:sz w:val="14"/>
                <w:szCs w:val="14"/>
                <w:color w:val="0000FF"/>
                <w:w w:val="98"/>
              </w:rPr>
              <w:t>Item 5.</w:t>
            </w:r>
          </w:p>
        </w:tc>
        <w:tc>
          <w:tcPr>
            <w:tcW w:w="580" w:type="dxa"/>
            <w:vAlign w:val="bottom"/>
            <w:gridSpan w:val="2"/>
          </w:tcPr>
          <w:p>
            <w:pPr>
              <w:spacing w:after="0"/>
              <w:rPr>
                <w:sz w:val="13"/>
                <w:szCs w:val="13"/>
                <w:color w:val="auto"/>
              </w:rPr>
            </w:pPr>
          </w:p>
        </w:tc>
        <w:tc>
          <w:tcPr>
            <w:tcW w:w="1160" w:type="dxa"/>
            <w:vAlign w:val="bottom"/>
            <w:tcBorders>
              <w:bottom w:val="single" w:sz="8" w:color="0000FF"/>
            </w:tcBorders>
            <w:gridSpan w:val="4"/>
          </w:tcPr>
          <w:p>
            <w:pPr>
              <w:spacing w:after="0" w:line="149" w:lineRule="exact"/>
              <w:rPr>
                <w:sz w:val="20"/>
                <w:szCs w:val="20"/>
                <w:color w:val="auto"/>
              </w:rPr>
            </w:pPr>
            <w:r>
              <w:rPr>
                <w:rFonts w:ascii="Arial" w:cs="Arial" w:eastAsia="Arial" w:hAnsi="Arial"/>
                <w:sz w:val="14"/>
                <w:szCs w:val="14"/>
                <w:color w:val="0000FF"/>
              </w:rPr>
              <w:t>Other Information</w:t>
            </w:r>
          </w:p>
        </w:tc>
        <w:tc>
          <w:tcPr>
            <w:tcW w:w="8260" w:type="dxa"/>
            <w:vAlign w:val="bottom"/>
            <w:gridSpan w:val="8"/>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8"/>
              </w:rPr>
              <w:t>Item 6.</w:t>
            </w:r>
          </w:p>
        </w:tc>
        <w:tc>
          <w:tcPr>
            <w:tcW w:w="580" w:type="dxa"/>
            <w:vAlign w:val="bottom"/>
            <w:tcBorders>
              <w:bottom w:val="single" w:sz="8" w:color="CCEEFF"/>
            </w:tcBorders>
            <w:gridSpan w:val="2"/>
            <w:shd w:val="clear" w:color="auto" w:fill="CCEEFF"/>
          </w:tcPr>
          <w:p>
            <w:pPr>
              <w:spacing w:after="0"/>
              <w:rPr>
                <w:sz w:val="14"/>
                <w:szCs w:val="14"/>
                <w:color w:val="auto"/>
              </w:rPr>
            </w:pPr>
          </w:p>
        </w:tc>
        <w:tc>
          <w:tcPr>
            <w:tcW w:w="50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7"/>
              </w:rPr>
              <w:t>Exhibits</w:t>
            </w:r>
          </w:p>
        </w:tc>
        <w:tc>
          <w:tcPr>
            <w:tcW w:w="8920" w:type="dxa"/>
            <w:vAlign w:val="bottom"/>
            <w:tcBorders>
              <w:bottom w:val="single" w:sz="8" w:color="CCEEFF"/>
            </w:tcBorders>
            <w:gridSpan w:val="11"/>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Borders>
              <w:bottom w:val="single" w:sz="8" w:color="0000FF"/>
            </w:tcBorders>
            <w:gridSpan w:val="2"/>
          </w:tcPr>
          <w:p>
            <w:pPr>
              <w:spacing w:after="0" w:line="149" w:lineRule="exact"/>
              <w:rPr>
                <w:sz w:val="20"/>
                <w:szCs w:val="20"/>
                <w:color w:val="auto"/>
              </w:rPr>
            </w:pPr>
            <w:r>
              <w:rPr>
                <w:rFonts w:ascii="Arial" w:cs="Arial" w:eastAsia="Arial" w:hAnsi="Arial"/>
                <w:sz w:val="14"/>
                <w:szCs w:val="14"/>
                <w:color w:val="0000FF"/>
                <w:w w:val="98"/>
              </w:rPr>
              <w:t>Signatures</w:t>
            </w:r>
          </w:p>
        </w:tc>
        <w:tc>
          <w:tcPr>
            <w:tcW w:w="8740" w:type="dxa"/>
            <w:vAlign w:val="bottom"/>
            <w:gridSpan w:val="10"/>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Unless the context otherwise requires, we use the terms the “Company,” “RTR,” “Rent the Runway,” “we,” “us” and “our” in this Quarterly Report on Form 10-Q, or Quarterly Report, to refer to Rent the Runway, Inc. and, where appropriate, our consolidated subsidiaries.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4"/>
          <w:szCs w:val="14"/>
          <w:b w:val="1"/>
          <w:bCs w:val="1"/>
          <w:i w:val="1"/>
          <w:iCs w:val="1"/>
          <w:color w:val="auto"/>
        </w:rPr>
        <w:t>Risk Factor Summary</w:t>
      </w:r>
    </w:p>
    <w:p>
      <w:pPr>
        <w:spacing w:after="0" w:line="261"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Investing in our Class A common stock involves numerous risks, including the risks described in Part II, Item 1A. “Risk Factors” in this Quarterly Report on Form 10-Q. You should carefully consider these risks before making an investment. Below are some of these risks, any one of which could materially adversely affect our business, financial condition, results of operations, and prospects.</w:t>
      </w:r>
    </w:p>
    <w:p>
      <w:pPr>
        <w:spacing w:after="0" w:line="17" w:lineRule="exact"/>
        <w:rPr>
          <w:sz w:val="20"/>
          <w:szCs w:val="20"/>
          <w:color w:val="auto"/>
        </w:rPr>
      </w:pPr>
    </w:p>
    <w:p>
      <w:pPr>
        <w:ind w:left="520" w:right="5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grown rapidly in recent years and have limited experience at our current scale of operations. If we are unable to manage our growth effectively, our brand, company culture, and financial performance may suffer.</w:t>
      </w:r>
    </w:p>
    <w:p>
      <w:pPr>
        <w:spacing w:after="0" w:line="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global fashion industry is highly competitive and rapidly changing, and we may not be able to compete effectively.</w:t>
      </w:r>
    </w:p>
    <w:p>
      <w:pPr>
        <w:spacing w:after="0" w:line="61" w:lineRule="exact"/>
        <w:rPr>
          <w:rFonts w:ascii="Arial" w:cs="Arial" w:eastAsia="Arial" w:hAnsi="Arial"/>
          <w:sz w:val="14"/>
          <w:szCs w:val="14"/>
          <w:color w:val="auto"/>
        </w:rPr>
      </w:pPr>
    </w:p>
    <w:p>
      <w:pPr>
        <w:ind w:left="520" w:right="8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consumer discretionary spending and have been, and may in the future be, adversely affected by economic downturns and other macroeconomic conditions or trends.</w:t>
      </w:r>
    </w:p>
    <w:p>
      <w:pPr>
        <w:spacing w:after="0" w:line="3" w:lineRule="exact"/>
        <w:rPr>
          <w:rFonts w:ascii="Arial" w:cs="Arial" w:eastAsia="Arial" w:hAnsi="Arial"/>
          <w:sz w:val="14"/>
          <w:szCs w:val="14"/>
          <w:color w:val="auto"/>
        </w:rPr>
      </w:pPr>
    </w:p>
    <w:p>
      <w:pPr>
        <w:ind w:left="520" w:right="14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spacing w:after="0" w:line="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fail to retain customers, our business, financial condition, and results of operations would be harmed.</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are unable to accurately forecast customer demand, manage our products effectively and plan for future expenses, our operating results could be adversely affected.</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arising from the restructuring of our operations, which could adversely affect our financial condition, results of operations, cash flows, or business reputation.</w:t>
      </w:r>
    </w:p>
    <w:p>
      <w:pPr>
        <w:spacing w:after="0" w:line="72" w:lineRule="exact"/>
        <w:rPr>
          <w:rFonts w:ascii="Arial" w:cs="Arial" w:eastAsia="Arial" w:hAnsi="Arial"/>
          <w:sz w:val="14"/>
          <w:szCs w:val="14"/>
          <w:color w:val="auto"/>
        </w:rPr>
      </w:pPr>
    </w:p>
    <w:p>
      <w:pPr>
        <w:ind w:left="520" w:right="30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3" w:lineRule="exact"/>
        <w:rPr>
          <w:rFonts w:ascii="Arial" w:cs="Arial" w:eastAsia="Arial" w:hAnsi="Arial"/>
          <w:sz w:val="14"/>
          <w:szCs w:val="14"/>
          <w:color w:val="auto"/>
        </w:rPr>
      </w:pPr>
    </w:p>
    <w:p>
      <w:pPr>
        <w:ind w:left="520" w:right="28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COVID-19 has, and future COVID-19 outbreaks may in the future have, a material adverse impact on our business. Other future pandemics or public health crises may have a similar adverse impact on our business.</w:t>
      </w:r>
    </w:p>
    <w:p>
      <w:pPr>
        <w:spacing w:after="0" w:line="3" w:lineRule="exact"/>
        <w:rPr>
          <w:rFonts w:ascii="Arial" w:cs="Arial" w:eastAsia="Arial" w:hAnsi="Arial"/>
          <w:sz w:val="14"/>
          <w:szCs w:val="14"/>
          <w:color w:val="auto"/>
        </w:rPr>
      </w:pPr>
    </w:p>
    <w:p>
      <w:pPr>
        <w:ind w:left="520" w:right="4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Shipping and logistics are a critical part of our business and our supply chain and any changes or interruptions in shipping or logistics operations could adversely affect our operating results.</w:t>
      </w:r>
    </w:p>
    <w:p>
      <w:pPr>
        <w:spacing w:after="0" w:line="14" w:lineRule="exact"/>
        <w:rPr>
          <w:rFonts w:ascii="Arial" w:cs="Arial" w:eastAsia="Arial" w:hAnsi="Arial"/>
          <w:sz w:val="14"/>
          <w:szCs w:val="14"/>
          <w:color w:val="auto"/>
        </w:rPr>
      </w:pPr>
    </w:p>
    <w:p>
      <w:pPr>
        <w:ind w:left="520" w:hanging="260"/>
        <w:spacing w:after="0" w:line="265"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condensed consolidated financial statements or cause us to fail to meet our periodic reporting obligations, our ability to comply with applicable laws and regulations and our access to the capital markets to be impaired.</w:t>
      </w:r>
    </w:p>
    <w:p>
      <w:pPr>
        <w:spacing w:after="0" w:line="2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is subject to a large number of U.S. and non-U.S. laws and regulations, many of which are evolving.</w:t>
      </w:r>
    </w:p>
    <w:p>
      <w:pPr>
        <w:spacing w:after="0" w:line="61" w:lineRule="exact"/>
        <w:rPr>
          <w:rFonts w:ascii="Arial" w:cs="Arial" w:eastAsia="Arial" w:hAnsi="Arial"/>
          <w:sz w:val="14"/>
          <w:szCs w:val="14"/>
          <w:color w:val="auto"/>
        </w:rPr>
      </w:pPr>
    </w:p>
    <w:p>
      <w:pPr>
        <w:ind w:left="520" w:right="380" w:hanging="260"/>
        <w:spacing w:after="0" w:line="27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27" w:lineRule="exact"/>
        <w:rPr>
          <w:rFonts w:ascii="Arial" w:cs="Arial" w:eastAsia="Arial" w:hAnsi="Arial"/>
          <w:sz w:val="14"/>
          <w:szCs w:val="14"/>
          <w:color w:val="auto"/>
        </w:rPr>
      </w:pPr>
    </w:p>
    <w:p>
      <w:pPr>
        <w:ind w:left="520" w:right="18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Failure to adequately maintain and protect our intellectual property and proprietary rights could harm our brand, devalue our proprietary content, and adversely affect our ability to compete effectively.</w:t>
      </w:r>
    </w:p>
    <w:p>
      <w:pPr>
        <w:spacing w:after="0" w:line="3" w:lineRule="exact"/>
        <w:rPr>
          <w:rFonts w:ascii="Arial" w:cs="Arial" w:eastAsia="Arial" w:hAnsi="Arial"/>
          <w:sz w:val="14"/>
          <w:szCs w:val="14"/>
          <w:color w:val="auto"/>
        </w:rPr>
      </w:pPr>
    </w:p>
    <w:p>
      <w:pPr>
        <w:ind w:left="520" w:right="100" w:hanging="260"/>
        <w:spacing w:after="0" w:line="27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rapidly changing and increasingly stringent laws and industry standards relating to data privacy, data security, data protection, and consumer protection. The restrictions and costs imposed by these laws, or our actual or perceived failure to comply with them, could subject us to liabilities that adversely affect our business, operations, and financial performance.</w:t>
      </w:r>
    </w:p>
    <w:p>
      <w:pPr>
        <w:spacing w:after="0" w:line="1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associated with brand partners from whom our products are sourced or co-manufactured.</w:t>
      </w:r>
    </w:p>
    <w:p>
      <w:pPr>
        <w:spacing w:after="0" w:line="72" w:lineRule="exact"/>
        <w:rPr>
          <w:rFonts w:ascii="Arial" w:cs="Arial" w:eastAsia="Arial" w:hAnsi="Arial"/>
          <w:sz w:val="14"/>
          <w:szCs w:val="14"/>
          <w:color w:val="auto"/>
        </w:rPr>
      </w:pPr>
    </w:p>
    <w:p>
      <w:pPr>
        <w:ind w:left="520" w:right="10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third parties for elements of the payment processing infrastructure underlying our business. If these third-party elements become unavailable or unavailable on favorable terms, our business could be adversely affected.</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018" w:right="379" w:bottom="1440" w:gutter="0" w:footer="0" w:header="0"/>
        </w:sectPr>
      </w:pPr>
    </w:p>
    <w:bookmarkStart w:id="4" w:name="page5"/>
    <w:bookmarkEnd w:id="4"/>
    <w:p>
      <w:pPr>
        <w:ind w:left="520" w:right="16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p>
    <w:p>
      <w:pPr>
        <w:spacing w:after="0" w:line="27" w:lineRule="exact"/>
        <w:rPr>
          <w:rFonts w:ascii="Arial" w:cs="Arial" w:eastAsia="Arial" w:hAnsi="Arial"/>
          <w:sz w:val="14"/>
          <w:szCs w:val="14"/>
          <w:color w:val="auto"/>
        </w:rPr>
      </w:pPr>
    </w:p>
    <w:p>
      <w:pPr>
        <w:ind w:left="520" w:right="300" w:hanging="260"/>
        <w:spacing w:after="0" w:line="284"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ind w:left="520" w:hanging="260"/>
        <w:spacing w:after="0" w:line="274"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face risks associated with our indebtedness and potential need for additional capital, including that restructuring or refinancing may not be available on acceptable terms or at all and that our operations may be adversely impacted by the covenants in our current debt agreement or future financing agreements.</w:t>
      </w:r>
    </w:p>
    <w:p>
      <w:pPr>
        <w:spacing w:after="0" w:line="14"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the ability to influence the outcome of important transactions, including a change of control.</w:t>
      </w:r>
    </w:p>
    <w:p>
      <w:pPr>
        <w:spacing w:after="0" w:line="1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share price may be volatile, and investors may be unable to sell their shares at or above the price they purchased them.</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4"/>
          <w:szCs w:val="14"/>
          <w:b w:val="1"/>
          <w:bCs w:val="1"/>
          <w:color w:val="auto"/>
        </w:rPr>
        <w:t>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share-based compensation, business</w:t>
      </w:r>
    </w:p>
    <w:p>
      <w:pPr>
        <w:spacing w:after="0" w:line="3" w:lineRule="exact"/>
        <w:rPr>
          <w:sz w:val="20"/>
          <w:szCs w:val="20"/>
          <w:color w:val="auto"/>
        </w:rPr>
      </w:pPr>
    </w:p>
    <w:p>
      <w:pPr>
        <w:ind w:right="120"/>
        <w:spacing w:after="0" w:line="229" w:lineRule="auto"/>
        <w:rPr>
          <w:sz w:val="20"/>
          <w:szCs w:val="20"/>
          <w:color w:val="auto"/>
        </w:rPr>
      </w:pPr>
      <w:r>
        <w:rPr>
          <w:rFonts w:ascii="Arial" w:cs="Arial" w:eastAsia="Arial" w:hAnsi="Arial"/>
          <w:sz w:val="14"/>
          <w:szCs w:val="14"/>
          <w:color w:val="auto"/>
        </w:rPr>
        <w:t>strategy and initiatives, including rental product depth strategy, promotional and marketing strategy and onboarding initiatives, sustainability initiatives, business plans, impact from our September 2022 restructuring plan and other cost savings initiatives, anticipated cost savings from our 2023 transportation deal with a major national carrier, anticipated future</w:t>
      </w:r>
    </w:p>
    <w:p>
      <w:pPr>
        <w:spacing w:after="0"/>
        <w:rPr>
          <w:sz w:val="20"/>
          <w:szCs w:val="20"/>
          <w:color w:val="auto"/>
        </w:rPr>
      </w:pPr>
      <w:r>
        <w:rPr>
          <w:rFonts w:ascii="Arial" w:cs="Arial" w:eastAsia="Arial" w:hAnsi="Arial"/>
          <w:sz w:val="14"/>
          <w:szCs w:val="14"/>
          <w:color w:val="auto"/>
        </w:rPr>
        <w:t>expenditures, product acquisition expectations, impacts from our five-item base subscription offering, market growth and our objectives for future operations.</w:t>
      </w:r>
    </w:p>
    <w:p>
      <w:pPr>
        <w:spacing w:after="0" w:line="186"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for the quarter ended October 31, 2023.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You should read this Quarterly Report on Form 10-Q and the documents that we reference in this Quarterly Report and have filed as exhibits to this Quarterly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60" w:type="dxa"/>
            <w:vAlign w:val="bottom"/>
            <w:gridSpan w:val="5"/>
          </w:tcPr>
          <w:p>
            <w:pPr>
              <w:ind w:left="740"/>
              <w:spacing w:after="0"/>
              <w:rPr>
                <w:sz w:val="20"/>
                <w:szCs w:val="20"/>
                <w:color w:val="auto"/>
              </w:rPr>
            </w:pPr>
            <w:r>
              <w:rPr>
                <w:rFonts w:ascii="Arial" w:cs="Arial" w:eastAsia="Arial" w:hAnsi="Arial"/>
                <w:sz w:val="14"/>
                <w:szCs w:val="14"/>
                <w:b w:val="1"/>
                <w:bCs w:val="1"/>
                <w:color w:val="auto"/>
              </w:rPr>
              <w:t>Part I - Financial Information</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10200" w:type="dxa"/>
            <w:vAlign w:val="bottom"/>
            <w:gridSpan w:val="23"/>
          </w:tcPr>
          <w:p>
            <w:pPr>
              <w:spacing w:after="0"/>
              <w:rPr>
                <w:sz w:val="20"/>
                <w:szCs w:val="20"/>
                <w:color w:val="auto"/>
              </w:rPr>
            </w:pPr>
            <w:r>
              <w:rPr>
                <w:rFonts w:ascii="Arial" w:cs="Arial" w:eastAsia="Arial" w:hAnsi="Arial"/>
                <w:sz w:val="14"/>
                <w:szCs w:val="14"/>
                <w:b w:val="1"/>
                <w:bCs w:val="1"/>
                <w:color w:val="auto"/>
              </w:rPr>
              <w:t>Item 1. Financial Statements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7140" w:type="dxa"/>
            <w:vAlign w:val="bottom"/>
            <w:gridSpan w:val="18"/>
            <w:vMerge w:val="restart"/>
          </w:tcPr>
          <w:p>
            <w:pPr>
              <w:spacing w:after="0"/>
              <w:rPr>
                <w:sz w:val="20"/>
                <w:szCs w:val="20"/>
                <w:color w:val="auto"/>
              </w:rPr>
            </w:pPr>
            <w:r>
              <w:rPr>
                <w:rFonts w:ascii="Arial" w:cs="Arial" w:eastAsia="Arial" w:hAnsi="Arial"/>
                <w:sz w:val="14"/>
                <w:szCs w:val="14"/>
                <w:color w:val="0000FF"/>
              </w:rPr>
              <w:t>Condensed Consolidated Balance Sheets - Unaudited as of October 31, 2023 and Audited as of January 31, 2023</w:t>
            </w:r>
          </w:p>
        </w:tc>
        <w:tc>
          <w:tcPr>
            <w:tcW w:w="3040" w:type="dxa"/>
            <w:vAlign w:val="bottom"/>
            <w:gridSpan w:val="4"/>
            <w:vMerge w:val="restart"/>
          </w:tcPr>
          <w:p>
            <w:pPr>
              <w:spacing w:after="0"/>
              <w:rPr>
                <w:sz w:val="24"/>
                <w:szCs w:val="24"/>
                <w:color w:val="auto"/>
              </w:rPr>
            </w:pPr>
          </w:p>
        </w:tc>
        <w:tc>
          <w:tcPr>
            <w:tcW w:w="10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40" w:type="dxa"/>
            <w:vAlign w:val="bottom"/>
            <w:tcBorders>
              <w:bottom w:val="single" w:sz="8" w:color="0000FF"/>
            </w:tcBorders>
            <w:gridSpan w:val="18"/>
            <w:vMerge w:val="continue"/>
          </w:tcPr>
          <w:p>
            <w:pPr>
              <w:spacing w:after="0"/>
              <w:rPr>
                <w:sz w:val="12"/>
                <w:szCs w:val="12"/>
                <w:color w:val="auto"/>
              </w:rPr>
            </w:pPr>
          </w:p>
        </w:tc>
        <w:tc>
          <w:tcPr>
            <w:tcW w:w="3040" w:type="dxa"/>
            <w:vAlign w:val="bottom"/>
            <w:gridSpan w:val="4"/>
            <w:vMerge w:val="continue"/>
          </w:tcPr>
          <w:p>
            <w:pPr>
              <w:spacing w:after="0"/>
              <w:rPr>
                <w:sz w:val="12"/>
                <w:szCs w:val="12"/>
                <w:color w:val="auto"/>
              </w:rPr>
            </w:pPr>
          </w:p>
        </w:tc>
        <w:tc>
          <w:tcPr>
            <w:tcW w:w="1080" w:type="dxa"/>
            <w:vAlign w:val="bottom"/>
          </w:tcPr>
          <w:p>
            <w:pPr>
              <w:jc w:val="right"/>
              <w:spacing w:after="0" w:line="13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180" w:type="dxa"/>
            <w:vAlign w:val="bottom"/>
            <w:gridSpan w:val="22"/>
          </w:tcPr>
          <w:p>
            <w:pPr>
              <w:spacing w:after="0"/>
              <w:rPr>
                <w:sz w:val="20"/>
                <w:szCs w:val="20"/>
                <w:color w:val="auto"/>
              </w:rPr>
            </w:pPr>
            <w:r>
              <w:rPr>
                <w:rFonts w:ascii="Arial" w:cs="Arial" w:eastAsia="Arial" w:hAnsi="Arial"/>
                <w:sz w:val="14"/>
                <w:szCs w:val="14"/>
                <w:color w:val="0000FF"/>
              </w:rPr>
              <w:t>Condensed Consolidated Statements of Operations - Unaudited for the three and nine months ended October 31, 2023 and 2022</w:t>
            </w: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960" w:type="dxa"/>
            <w:vAlign w:val="bottom"/>
            <w:tcBorders>
              <w:bottom w:val="single" w:sz="8" w:color="0000FF"/>
            </w:tcBorders>
            <w:gridSpan w:val="21"/>
          </w:tcPr>
          <w:p>
            <w:pPr>
              <w:spacing w:after="0"/>
              <w:rPr>
                <w:sz w:val="20"/>
                <w:szCs w:val="20"/>
                <w:color w:val="auto"/>
              </w:rPr>
            </w:pPr>
            <w:r>
              <w:rPr>
                <w:rFonts w:ascii="Arial" w:cs="Arial" w:eastAsia="Arial" w:hAnsi="Arial"/>
                <w:sz w:val="14"/>
                <w:szCs w:val="14"/>
                <w:color w:val="0000FF"/>
              </w:rPr>
              <w:t>Condensed Consolidated Statements of Changes in Stockholders’ Equity (Deficit) - Unaudited for the three and nine months ended October 31, 2023 and 2022</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00" w:type="dxa"/>
            <w:vAlign w:val="bottom"/>
            <w:tcBorders>
              <w:bottom w:val="single" w:sz="8" w:color="0000FF"/>
            </w:tcBorders>
            <w:gridSpan w:val="19"/>
          </w:tcPr>
          <w:p>
            <w:pPr>
              <w:spacing w:after="0"/>
              <w:rPr>
                <w:sz w:val="20"/>
                <w:szCs w:val="20"/>
                <w:color w:val="auto"/>
              </w:rPr>
            </w:pPr>
            <w:r>
              <w:rPr>
                <w:rFonts w:ascii="Arial" w:cs="Arial" w:eastAsia="Arial" w:hAnsi="Arial"/>
                <w:sz w:val="14"/>
                <w:szCs w:val="14"/>
                <w:color w:val="0000FF"/>
              </w:rPr>
              <w:t>Condensed Consolidated Statements of Cash Flows - Unaudited for the nine months ended October 31, 2023 and 2022</w:t>
            </w:r>
          </w:p>
        </w:tc>
        <w:tc>
          <w:tcPr>
            <w:tcW w:w="2680" w:type="dxa"/>
            <w:vAlign w:val="bottom"/>
            <w:gridSpan w:val="3"/>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80" w:type="dxa"/>
            <w:vAlign w:val="bottom"/>
            <w:gridSpan w:val="22"/>
          </w:tcPr>
          <w:p>
            <w:pPr>
              <w:spacing w:after="0"/>
              <w:rPr>
                <w:sz w:val="20"/>
                <w:szCs w:val="20"/>
                <w:color w:val="auto"/>
              </w:rPr>
            </w:pPr>
            <w:r>
              <w:rPr>
                <w:rFonts w:ascii="Arial" w:cs="Arial" w:eastAsia="Arial" w:hAnsi="Arial"/>
                <w:sz w:val="14"/>
                <w:szCs w:val="14"/>
                <w:b w:val="1"/>
                <w:bCs w:val="1"/>
                <w:color w:val="auto"/>
              </w:rPr>
              <w:t>Notes to Condensed Consolidated Financial Statements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line="153" w:lineRule="exact"/>
              <w:rPr>
                <w:sz w:val="20"/>
                <w:szCs w:val="20"/>
                <w:color w:val="auto"/>
              </w:rPr>
            </w:pPr>
            <w:r>
              <w:rPr>
                <w:rFonts w:ascii="Arial" w:cs="Arial" w:eastAsia="Arial" w:hAnsi="Arial"/>
                <w:sz w:val="14"/>
                <w:szCs w:val="14"/>
                <w:color w:val="0000FF"/>
              </w:rPr>
              <w:t>1.</w:t>
            </w:r>
          </w:p>
        </w:tc>
        <w:tc>
          <w:tcPr>
            <w:tcW w:w="600" w:type="dxa"/>
            <w:vAlign w:val="bottom"/>
            <w:tcBorders>
              <w:bottom w:val="single" w:sz="8" w:color="0000FF"/>
            </w:tcBorders>
            <w:gridSpan w:val="3"/>
          </w:tcPr>
          <w:p>
            <w:pPr>
              <w:ind w:left="20"/>
              <w:spacing w:after="0" w:line="153" w:lineRule="exact"/>
              <w:rPr>
                <w:sz w:val="20"/>
                <w:szCs w:val="20"/>
                <w:color w:val="auto"/>
              </w:rPr>
            </w:pPr>
            <w:r>
              <w:rPr>
                <w:rFonts w:ascii="Arial" w:cs="Arial" w:eastAsia="Arial" w:hAnsi="Arial"/>
                <w:sz w:val="14"/>
                <w:szCs w:val="14"/>
                <w:color w:val="0000FF"/>
                <w:w w:val="98"/>
              </w:rPr>
              <w:t>Business</w:t>
            </w:r>
          </w:p>
        </w:tc>
        <w:tc>
          <w:tcPr>
            <w:tcW w:w="9360" w:type="dxa"/>
            <w:vAlign w:val="bottom"/>
            <w:gridSpan w:val="17"/>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2.</w:t>
            </w:r>
          </w:p>
        </w:tc>
        <w:tc>
          <w:tcPr>
            <w:tcW w:w="9960" w:type="dxa"/>
            <w:vAlign w:val="bottom"/>
            <w:gridSpan w:val="20"/>
          </w:tcPr>
          <w:p>
            <w:pPr>
              <w:ind w:left="20"/>
              <w:spacing w:after="0"/>
              <w:rPr>
                <w:sz w:val="20"/>
                <w:szCs w:val="20"/>
                <w:color w:val="auto"/>
              </w:rPr>
            </w:pPr>
            <w:r>
              <w:rPr>
                <w:rFonts w:ascii="Arial" w:cs="Arial" w:eastAsia="Arial" w:hAnsi="Arial"/>
                <w:sz w:val="14"/>
                <w:szCs w:val="14"/>
                <w:color w:val="0000FF"/>
              </w:rPr>
              <w:t>Summary of Significant Accounting Policies</w:t>
            </w: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4"/>
                <w:szCs w:val="14"/>
                <w:color w:val="0000FF"/>
              </w:rPr>
              <w:t>3.</w:t>
            </w:r>
          </w:p>
        </w:tc>
        <w:tc>
          <w:tcPr>
            <w:tcW w:w="54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4"/>
                <w:szCs w:val="14"/>
                <w:color w:val="0000FF"/>
                <w:w w:val="97"/>
              </w:rPr>
              <w:t>Liquidity</w:t>
            </w:r>
          </w:p>
        </w:tc>
        <w:tc>
          <w:tcPr>
            <w:tcW w:w="2200" w:type="dxa"/>
            <w:vAlign w:val="bottom"/>
            <w:tcBorders>
              <w:top w:val="single" w:sz="8" w:color="0000FF"/>
            </w:tcBorders>
            <w:gridSpan w:val="11"/>
          </w:tcPr>
          <w:p>
            <w:pPr>
              <w:spacing w:after="0"/>
              <w:rPr>
                <w:sz w:val="13"/>
                <w:szCs w:val="13"/>
                <w:color w:val="auto"/>
              </w:rPr>
            </w:pPr>
          </w:p>
        </w:tc>
        <w:tc>
          <w:tcPr>
            <w:tcW w:w="7220" w:type="dxa"/>
            <w:vAlign w:val="bottom"/>
            <w:gridSpan w:val="7"/>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4.</w:t>
            </w:r>
          </w:p>
        </w:tc>
        <w:tc>
          <w:tcPr>
            <w:tcW w:w="2240" w:type="dxa"/>
            <w:vAlign w:val="bottom"/>
            <w:tcBorders>
              <w:bottom w:val="single" w:sz="8" w:color="0000FF"/>
            </w:tcBorders>
            <w:gridSpan w:val="11"/>
          </w:tcPr>
          <w:p>
            <w:pPr>
              <w:ind w:left="20"/>
              <w:spacing w:after="0"/>
              <w:rPr>
                <w:sz w:val="20"/>
                <w:szCs w:val="20"/>
                <w:color w:val="auto"/>
              </w:rPr>
            </w:pPr>
            <w:r>
              <w:rPr>
                <w:rFonts w:ascii="Arial" w:cs="Arial" w:eastAsia="Arial" w:hAnsi="Arial"/>
                <w:sz w:val="14"/>
                <w:szCs w:val="14"/>
                <w:color w:val="0000FF"/>
              </w:rPr>
              <w:t>Restructuring and Related Charges</w:t>
            </w:r>
          </w:p>
        </w:tc>
        <w:tc>
          <w:tcPr>
            <w:tcW w:w="7720" w:type="dxa"/>
            <w:vAlign w:val="bottom"/>
            <w:gridSpan w:val="9"/>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5.</w:t>
            </w:r>
          </w:p>
        </w:tc>
        <w:tc>
          <w:tcPr>
            <w:tcW w:w="1800" w:type="dxa"/>
            <w:vAlign w:val="bottom"/>
            <w:tcBorders>
              <w:bottom w:val="single" w:sz="8" w:color="0000FF"/>
            </w:tcBorders>
            <w:gridSpan w:val="9"/>
          </w:tcPr>
          <w:p>
            <w:pPr>
              <w:ind w:left="20"/>
              <w:spacing w:after="0"/>
              <w:rPr>
                <w:sz w:val="20"/>
                <w:szCs w:val="20"/>
                <w:color w:val="auto"/>
              </w:rPr>
            </w:pPr>
            <w:r>
              <w:rPr>
                <w:rFonts w:ascii="Arial" w:cs="Arial" w:eastAsia="Arial" w:hAnsi="Arial"/>
                <w:sz w:val="14"/>
                <w:szCs w:val="14"/>
                <w:color w:val="0000FF"/>
              </w:rPr>
              <w:t>Leases - Lessee Accounting</w:t>
            </w:r>
          </w:p>
        </w:tc>
        <w:tc>
          <w:tcPr>
            <w:tcW w:w="8160" w:type="dxa"/>
            <w:vAlign w:val="bottom"/>
            <w:gridSpan w:val="11"/>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6.</w:t>
            </w:r>
          </w:p>
        </w:tc>
        <w:tc>
          <w:tcPr>
            <w:tcW w:w="1320" w:type="dxa"/>
            <w:vAlign w:val="bottom"/>
            <w:tcBorders>
              <w:bottom w:val="single" w:sz="8" w:color="0000FF"/>
            </w:tcBorders>
            <w:gridSpan w:val="6"/>
          </w:tcPr>
          <w:p>
            <w:pPr>
              <w:ind w:left="20"/>
              <w:spacing w:after="0"/>
              <w:rPr>
                <w:sz w:val="20"/>
                <w:szCs w:val="20"/>
                <w:color w:val="auto"/>
              </w:rPr>
            </w:pPr>
            <w:r>
              <w:rPr>
                <w:rFonts w:ascii="Arial" w:cs="Arial" w:eastAsia="Arial" w:hAnsi="Arial"/>
                <w:sz w:val="14"/>
                <w:szCs w:val="14"/>
                <w:color w:val="0000FF"/>
              </w:rPr>
              <w:t>Rental Product, Net</w:t>
            </w:r>
          </w:p>
        </w:tc>
        <w:tc>
          <w:tcPr>
            <w:tcW w:w="8640" w:type="dxa"/>
            <w:vAlign w:val="bottom"/>
            <w:gridSpan w:val="14"/>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7.</w:t>
            </w:r>
          </w:p>
        </w:tc>
        <w:tc>
          <w:tcPr>
            <w:tcW w:w="1040" w:type="dxa"/>
            <w:vAlign w:val="bottom"/>
            <w:tcBorders>
              <w:bottom w:val="single" w:sz="8" w:color="0000FF"/>
            </w:tcBorders>
            <w:gridSpan w:val="5"/>
          </w:tcPr>
          <w:p>
            <w:pPr>
              <w:ind w:left="20"/>
              <w:spacing w:after="0"/>
              <w:rPr>
                <w:sz w:val="20"/>
                <w:szCs w:val="20"/>
                <w:color w:val="auto"/>
              </w:rPr>
            </w:pPr>
            <w:r>
              <w:rPr>
                <w:rFonts w:ascii="Arial" w:cs="Arial" w:eastAsia="Arial" w:hAnsi="Arial"/>
                <w:sz w:val="14"/>
                <w:szCs w:val="14"/>
                <w:color w:val="0000FF"/>
                <w:w w:val="98"/>
              </w:rPr>
              <w:t>Long-Term Debt</w:t>
            </w:r>
          </w:p>
        </w:tc>
        <w:tc>
          <w:tcPr>
            <w:tcW w:w="8920" w:type="dxa"/>
            <w:vAlign w:val="bottom"/>
            <w:gridSpan w:val="15"/>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8.</w:t>
            </w:r>
          </w:p>
        </w:tc>
        <w:tc>
          <w:tcPr>
            <w:tcW w:w="900" w:type="dxa"/>
            <w:vAlign w:val="bottom"/>
            <w:tcBorders>
              <w:bottom w:val="single" w:sz="8" w:color="0000FF"/>
            </w:tcBorders>
            <w:gridSpan w:val="4"/>
          </w:tcPr>
          <w:p>
            <w:pPr>
              <w:ind w:left="20"/>
              <w:spacing w:after="0"/>
              <w:rPr>
                <w:sz w:val="20"/>
                <w:szCs w:val="20"/>
                <w:color w:val="auto"/>
              </w:rPr>
            </w:pPr>
            <w:r>
              <w:rPr>
                <w:rFonts w:ascii="Arial" w:cs="Arial" w:eastAsia="Arial" w:hAnsi="Arial"/>
                <w:sz w:val="14"/>
                <w:szCs w:val="14"/>
                <w:color w:val="0000FF"/>
                <w:w w:val="97"/>
              </w:rPr>
              <w:t>Income Taxes</w:t>
            </w:r>
          </w:p>
        </w:tc>
        <w:tc>
          <w:tcPr>
            <w:tcW w:w="9060" w:type="dxa"/>
            <w:vAlign w:val="bottom"/>
            <w:gridSpan w:val="16"/>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9.</w:t>
            </w:r>
          </w:p>
        </w:tc>
        <w:tc>
          <w:tcPr>
            <w:tcW w:w="3000" w:type="dxa"/>
            <w:vAlign w:val="bottom"/>
            <w:tcBorders>
              <w:bottom w:val="single" w:sz="8" w:color="0000FF"/>
            </w:tcBorders>
            <w:gridSpan w:val="14"/>
          </w:tcPr>
          <w:p>
            <w:pPr>
              <w:ind w:left="20"/>
              <w:spacing w:after="0"/>
              <w:rPr>
                <w:sz w:val="20"/>
                <w:szCs w:val="20"/>
                <w:color w:val="auto"/>
              </w:rPr>
            </w:pPr>
            <w:r>
              <w:rPr>
                <w:rFonts w:ascii="Arial" w:cs="Arial" w:eastAsia="Arial" w:hAnsi="Arial"/>
                <w:sz w:val="14"/>
                <w:szCs w:val="14"/>
                <w:color w:val="0000FF"/>
              </w:rPr>
              <w:t>Accrued Expenses and Other Current Liabilities</w:t>
            </w:r>
          </w:p>
        </w:tc>
        <w:tc>
          <w:tcPr>
            <w:tcW w:w="6960" w:type="dxa"/>
            <w:vAlign w:val="bottom"/>
            <w:gridSpan w:val="6"/>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10.</w:t>
            </w:r>
          </w:p>
        </w:tc>
        <w:tc>
          <w:tcPr>
            <w:tcW w:w="9880" w:type="dxa"/>
            <w:vAlign w:val="bottom"/>
            <w:gridSpan w:val="19"/>
          </w:tcPr>
          <w:p>
            <w:pPr>
              <w:ind w:left="20"/>
              <w:spacing w:after="0"/>
              <w:rPr>
                <w:sz w:val="20"/>
                <w:szCs w:val="20"/>
                <w:color w:val="auto"/>
              </w:rPr>
            </w:pPr>
            <w:r>
              <w:rPr>
                <w:rFonts w:ascii="Arial" w:cs="Arial" w:eastAsia="Arial" w:hAnsi="Arial"/>
                <w:sz w:val="14"/>
                <w:szCs w:val="14"/>
                <w:color w:val="0000FF"/>
              </w:rPr>
              <w:t>Fair Value Measurements</w:t>
            </w: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4"/>
                <w:szCs w:val="14"/>
                <w:color w:val="0000FF"/>
                <w:w w:val="99"/>
              </w:rPr>
              <w:t>11. Stockholders’ Equity</w:t>
            </w:r>
          </w:p>
        </w:tc>
        <w:tc>
          <w:tcPr>
            <w:tcW w:w="320" w:type="dxa"/>
            <w:vAlign w:val="bottom"/>
            <w:tcBorders>
              <w:top w:val="single" w:sz="8" w:color="0000FF"/>
            </w:tcBorders>
          </w:tcPr>
          <w:p>
            <w:pPr>
              <w:spacing w:after="0"/>
              <w:rPr>
                <w:sz w:val="13"/>
                <w:szCs w:val="13"/>
                <w:color w:val="auto"/>
              </w:rPr>
            </w:pPr>
          </w:p>
        </w:tc>
        <w:tc>
          <w:tcPr>
            <w:tcW w:w="8260" w:type="dxa"/>
            <w:vAlign w:val="bottom"/>
            <w:gridSpan w:val="12"/>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12.</w:t>
            </w:r>
          </w:p>
        </w:tc>
        <w:tc>
          <w:tcPr>
            <w:tcW w:w="2180" w:type="dxa"/>
            <w:vAlign w:val="bottom"/>
            <w:tcBorders>
              <w:bottom w:val="single" w:sz="8" w:color="0000FF"/>
            </w:tcBorders>
            <w:gridSpan w:val="11"/>
          </w:tcPr>
          <w:p>
            <w:pPr>
              <w:ind w:left="20"/>
              <w:spacing w:after="0"/>
              <w:rPr>
                <w:sz w:val="20"/>
                <w:szCs w:val="20"/>
                <w:color w:val="auto"/>
              </w:rPr>
            </w:pPr>
            <w:r>
              <w:rPr>
                <w:rFonts w:ascii="Arial" w:cs="Arial" w:eastAsia="Arial" w:hAnsi="Arial"/>
                <w:sz w:val="14"/>
                <w:szCs w:val="14"/>
                <w:color w:val="0000FF"/>
              </w:rPr>
              <w:t>Share-based Compensation Plans</w:t>
            </w:r>
          </w:p>
        </w:tc>
        <w:tc>
          <w:tcPr>
            <w:tcW w:w="7700" w:type="dxa"/>
            <w:vAlign w:val="bottom"/>
            <w:gridSpan w:val="8"/>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13.</w:t>
            </w:r>
          </w:p>
        </w:tc>
        <w:tc>
          <w:tcPr>
            <w:tcW w:w="3620" w:type="dxa"/>
            <w:vAlign w:val="bottom"/>
            <w:tcBorders>
              <w:bottom w:val="single" w:sz="8" w:color="0000FF"/>
            </w:tcBorders>
            <w:gridSpan w:val="14"/>
          </w:tcPr>
          <w:p>
            <w:pPr>
              <w:ind w:left="20"/>
              <w:spacing w:after="0"/>
              <w:rPr>
                <w:sz w:val="20"/>
                <w:szCs w:val="20"/>
                <w:color w:val="auto"/>
              </w:rPr>
            </w:pPr>
            <w:r>
              <w:rPr>
                <w:rFonts w:ascii="Arial" w:cs="Arial" w:eastAsia="Arial" w:hAnsi="Arial"/>
                <w:sz w:val="14"/>
                <w:szCs w:val="14"/>
                <w:color w:val="0000FF"/>
              </w:rPr>
              <w:t>Net Loss per Share Attributable to Common Stockholders</w:t>
            </w:r>
          </w:p>
        </w:tc>
        <w:tc>
          <w:tcPr>
            <w:tcW w:w="6260" w:type="dxa"/>
            <w:vAlign w:val="bottom"/>
            <w:gridSpan w:val="5"/>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14.</w:t>
            </w:r>
          </w:p>
        </w:tc>
        <w:tc>
          <w:tcPr>
            <w:tcW w:w="9880" w:type="dxa"/>
            <w:vAlign w:val="bottom"/>
            <w:gridSpan w:val="19"/>
          </w:tcPr>
          <w:p>
            <w:pPr>
              <w:ind w:left="20"/>
              <w:spacing w:after="0"/>
              <w:rPr>
                <w:sz w:val="20"/>
                <w:szCs w:val="20"/>
                <w:color w:val="auto"/>
              </w:rPr>
            </w:pPr>
            <w:r>
              <w:rPr>
                <w:rFonts w:ascii="Arial" w:cs="Arial" w:eastAsia="Arial" w:hAnsi="Arial"/>
                <w:sz w:val="14"/>
                <w:szCs w:val="14"/>
                <w:color w:val="0000FF"/>
              </w:rPr>
              <w:t>Commitments and Contingencies</w:t>
            </w:r>
          </w:p>
        </w:tc>
        <w:tc>
          <w:tcPr>
            <w:tcW w:w="10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rPr>
              <w:t>15.</w:t>
            </w:r>
          </w:p>
        </w:tc>
        <w:tc>
          <w:tcPr>
            <w:tcW w:w="2100" w:type="dxa"/>
            <w:vAlign w:val="bottom"/>
            <w:tcBorders>
              <w:top w:val="single" w:sz="8" w:color="0000FF"/>
            </w:tcBorders>
            <w:gridSpan w:val="9"/>
          </w:tcPr>
          <w:p>
            <w:pPr>
              <w:ind w:left="20"/>
              <w:spacing w:after="0"/>
              <w:rPr>
                <w:sz w:val="20"/>
                <w:szCs w:val="20"/>
                <w:color w:val="auto"/>
              </w:rPr>
            </w:pPr>
            <w:r>
              <w:rPr>
                <w:rFonts w:ascii="Arial" w:cs="Arial" w:eastAsia="Arial" w:hAnsi="Arial"/>
                <w:sz w:val="14"/>
                <w:szCs w:val="14"/>
                <w:color w:val="0000FF"/>
              </w:rPr>
              <w:t>Subsequent Events</w:t>
            </w:r>
          </w:p>
        </w:tc>
        <w:tc>
          <w:tcPr>
            <w:tcW w:w="7780" w:type="dxa"/>
            <w:vAlign w:val="bottom"/>
            <w:gridSpan w:val="10"/>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and per share amounts,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36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October 31,</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55"/>
        </w:trPr>
        <w:tc>
          <w:tcPr>
            <w:tcW w:w="83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2023</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61"/>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10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36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Cash and cash equivalents</w:t>
            </w:r>
          </w:p>
        </w:tc>
        <w:tc>
          <w:tcPr>
            <w:tcW w:w="1060" w:type="dxa"/>
            <w:vAlign w:val="bottom"/>
            <w:shd w:val="clear" w:color="auto" w:fill="CCEEFF"/>
          </w:tcPr>
          <w:p>
            <w:pPr>
              <w:jc w:val="right"/>
              <w:ind w:right="923"/>
              <w:spacing w:after="0"/>
              <w:rPr>
                <w:sz w:val="20"/>
                <w:szCs w:val="20"/>
                <w:color w:val="auto"/>
              </w:rPr>
            </w:pPr>
            <w:r>
              <w:rPr>
                <w:rFonts w:ascii="Arial" w:cs="Arial" w:eastAsia="Arial" w:hAnsi="Arial"/>
                <w:sz w:val="11"/>
                <w:szCs w:val="11"/>
                <w:color w:val="auto"/>
                <w:w w:val="97"/>
              </w:rPr>
              <w:t>$</w:t>
            </w: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105.9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154.5</w:t>
            </w:r>
          </w:p>
        </w:tc>
        <w:tc>
          <w:tcPr>
            <w:tcW w:w="0" w:type="dxa"/>
            <w:vAlign w:val="bottom"/>
          </w:tcPr>
          <w:p>
            <w:pPr>
              <w:spacing w:after="0"/>
              <w:rPr>
                <w:sz w:val="1"/>
                <w:szCs w:val="1"/>
                <w:color w:val="auto"/>
              </w:rPr>
            </w:pPr>
          </w:p>
        </w:tc>
      </w:tr>
      <w:tr>
        <w:trPr>
          <w:trHeight w:val="172"/>
        </w:trPr>
        <w:tc>
          <w:tcPr>
            <w:tcW w:w="8360" w:type="dxa"/>
            <w:vAlign w:val="bottom"/>
          </w:tcPr>
          <w:p>
            <w:pPr>
              <w:ind w:left="280"/>
              <w:spacing w:after="0"/>
              <w:rPr>
                <w:sz w:val="20"/>
                <w:szCs w:val="20"/>
                <w:color w:val="auto"/>
              </w:rPr>
            </w:pPr>
            <w:r>
              <w:rPr>
                <w:rFonts w:ascii="Arial" w:cs="Arial" w:eastAsia="Arial" w:hAnsi="Arial"/>
                <w:sz w:val="11"/>
                <w:szCs w:val="11"/>
                <w:color w:val="auto"/>
              </w:rPr>
              <w:t>Restricted cash, current</w:t>
            </w:r>
          </w:p>
        </w:tc>
        <w:tc>
          <w:tcPr>
            <w:tcW w:w="1060" w:type="dxa"/>
            <w:vAlign w:val="bottom"/>
          </w:tcPr>
          <w:p>
            <w:pPr>
              <w:spacing w:after="0"/>
              <w:rPr>
                <w:sz w:val="14"/>
                <w:szCs w:val="14"/>
                <w:color w:val="auto"/>
              </w:rPr>
            </w:pP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4.8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Prepaid expenses and other current assets</w:t>
            </w:r>
          </w:p>
        </w:tc>
        <w:tc>
          <w:tcPr>
            <w:tcW w:w="10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10.6</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14.5</w:t>
            </w:r>
          </w:p>
        </w:tc>
        <w:tc>
          <w:tcPr>
            <w:tcW w:w="0" w:type="dxa"/>
            <w:vAlign w:val="bottom"/>
          </w:tcPr>
          <w:p>
            <w:pPr>
              <w:spacing w:after="0"/>
              <w:rPr>
                <w:sz w:val="1"/>
                <w:szCs w:val="1"/>
                <w:color w:val="auto"/>
              </w:rPr>
            </w:pPr>
          </w:p>
        </w:tc>
      </w:tr>
      <w:tr>
        <w:trPr>
          <w:trHeight w:val="176"/>
        </w:trPr>
        <w:tc>
          <w:tcPr>
            <w:tcW w:w="8360" w:type="dxa"/>
            <w:vAlign w:val="bottom"/>
          </w:tcPr>
          <w:p>
            <w:pPr>
              <w:ind w:left="520"/>
              <w:spacing w:after="0"/>
              <w:rPr>
                <w:sz w:val="20"/>
                <w:szCs w:val="20"/>
                <w:color w:val="auto"/>
              </w:rPr>
            </w:pPr>
            <w:r>
              <w:rPr>
                <w:rFonts w:ascii="Arial" w:cs="Arial" w:eastAsia="Arial" w:hAnsi="Arial"/>
                <w:sz w:val="11"/>
                <w:szCs w:val="11"/>
                <w:color w:val="auto"/>
              </w:rPr>
              <w:t>Total current assets</w:t>
            </w:r>
          </w:p>
        </w:tc>
        <w:tc>
          <w:tcPr>
            <w:tcW w:w="1060" w:type="dxa"/>
            <w:vAlign w:val="bottom"/>
          </w:tcPr>
          <w:p>
            <w:pPr>
              <w:spacing w:after="0"/>
              <w:rPr>
                <w:sz w:val="15"/>
                <w:szCs w:val="15"/>
                <w:color w:val="auto"/>
              </w:rPr>
            </w:pP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121.3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172.1</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cash</w:t>
            </w: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77"/>
        </w:trPr>
        <w:tc>
          <w:tcPr>
            <w:tcW w:w="8360" w:type="dxa"/>
            <w:vAlign w:val="bottom"/>
          </w:tcPr>
          <w:p>
            <w:pPr>
              <w:ind w:left="20"/>
              <w:spacing w:after="0"/>
              <w:rPr>
                <w:sz w:val="20"/>
                <w:szCs w:val="20"/>
                <w:color w:val="auto"/>
              </w:rPr>
            </w:pPr>
            <w:r>
              <w:rPr>
                <w:rFonts w:ascii="Arial" w:cs="Arial" w:eastAsia="Arial" w:hAnsi="Arial"/>
                <w:sz w:val="11"/>
                <w:szCs w:val="11"/>
                <w:color w:val="auto"/>
              </w:rPr>
              <w:t>Rental product, net</w:t>
            </w:r>
          </w:p>
        </w:tc>
        <w:tc>
          <w:tcPr>
            <w:tcW w:w="1060" w:type="dxa"/>
            <w:vAlign w:val="bottom"/>
          </w:tcPr>
          <w:p>
            <w:pPr>
              <w:spacing w:after="0"/>
              <w:rPr>
                <w:sz w:val="15"/>
                <w:szCs w:val="15"/>
                <w:color w:val="auto"/>
              </w:rPr>
            </w:pP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103.9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78.7</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Fixed assets, net</w:t>
            </w: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44.7</w:t>
            </w:r>
          </w:p>
        </w:tc>
        <w:tc>
          <w:tcPr>
            <w:tcW w:w="0" w:type="dxa"/>
            <w:vAlign w:val="bottom"/>
          </w:tcPr>
          <w:p>
            <w:pPr>
              <w:spacing w:after="0"/>
              <w:rPr>
                <w:sz w:val="1"/>
                <w:szCs w:val="1"/>
                <w:color w:val="auto"/>
              </w:rPr>
            </w:pPr>
          </w:p>
        </w:tc>
      </w:tr>
      <w:tr>
        <w:trPr>
          <w:trHeight w:val="177"/>
        </w:trPr>
        <w:tc>
          <w:tcPr>
            <w:tcW w:w="8360" w:type="dxa"/>
            <w:vAlign w:val="bottom"/>
          </w:tcPr>
          <w:p>
            <w:pPr>
              <w:ind w:left="20"/>
              <w:spacing w:after="0"/>
              <w:rPr>
                <w:sz w:val="20"/>
                <w:szCs w:val="20"/>
                <w:color w:val="auto"/>
              </w:rPr>
            </w:pPr>
            <w:r>
              <w:rPr>
                <w:rFonts w:ascii="Arial" w:cs="Arial" w:eastAsia="Arial" w:hAnsi="Arial"/>
                <w:sz w:val="11"/>
                <w:szCs w:val="11"/>
                <w:color w:val="auto"/>
              </w:rPr>
              <w:t>Intangible assets, net</w:t>
            </w:r>
          </w:p>
        </w:tc>
        <w:tc>
          <w:tcPr>
            <w:tcW w:w="1060" w:type="dxa"/>
            <w:vAlign w:val="bottom"/>
          </w:tcPr>
          <w:p>
            <w:pPr>
              <w:spacing w:after="0"/>
              <w:rPr>
                <w:sz w:val="15"/>
                <w:szCs w:val="15"/>
                <w:color w:val="auto"/>
              </w:rPr>
            </w:pP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3.8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right-of-use assets</w:t>
            </w: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w:t>
            </w:r>
          </w:p>
        </w:tc>
        <w:tc>
          <w:tcPr>
            <w:tcW w:w="0" w:type="dxa"/>
            <w:vAlign w:val="bottom"/>
          </w:tcPr>
          <w:p>
            <w:pPr>
              <w:spacing w:after="0"/>
              <w:rPr>
                <w:sz w:val="1"/>
                <w:szCs w:val="1"/>
                <w:color w:val="auto"/>
              </w:rPr>
            </w:pPr>
          </w:p>
        </w:tc>
      </w:tr>
      <w:tr>
        <w:trPr>
          <w:trHeight w:val="177"/>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assets</w:t>
            </w:r>
          </w:p>
        </w:tc>
        <w:tc>
          <w:tcPr>
            <w:tcW w:w="10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3.8</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99"/>
        </w:trPr>
        <w:tc>
          <w:tcPr>
            <w:tcW w:w="8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Total assets</w:t>
            </w:r>
          </w:p>
        </w:tc>
        <w:tc>
          <w:tcPr>
            <w:tcW w:w="106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310.3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336.2</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Liabilities and Stockholders’ Equity (Deficit)</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360" w:type="dxa"/>
            <w:vAlign w:val="bottom"/>
          </w:tcPr>
          <w:p>
            <w:pPr>
              <w:ind w:left="280"/>
              <w:spacing w:after="0"/>
              <w:rPr>
                <w:sz w:val="20"/>
                <w:szCs w:val="20"/>
                <w:color w:val="auto"/>
              </w:rPr>
            </w:pPr>
            <w:r>
              <w:rPr>
                <w:rFonts w:ascii="Arial" w:cs="Arial" w:eastAsia="Arial" w:hAnsi="Arial"/>
                <w:sz w:val="11"/>
                <w:szCs w:val="11"/>
                <w:color w:val="auto"/>
              </w:rPr>
              <w:t>Accounts payable</w:t>
            </w:r>
          </w:p>
        </w:tc>
        <w:tc>
          <w:tcPr>
            <w:tcW w:w="1060" w:type="dxa"/>
            <w:vAlign w:val="bottom"/>
          </w:tcPr>
          <w:p>
            <w:pPr>
              <w:jc w:val="right"/>
              <w:ind w:right="923"/>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22.4</w:t>
            </w:r>
          </w:p>
        </w:tc>
        <w:tc>
          <w:tcPr>
            <w:tcW w:w="8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12.4</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Accrued expenses and other current liabilities</w:t>
            </w: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w:t>
            </w:r>
          </w:p>
        </w:tc>
        <w:tc>
          <w:tcPr>
            <w:tcW w:w="0" w:type="dxa"/>
            <w:vAlign w:val="bottom"/>
          </w:tcPr>
          <w:p>
            <w:pPr>
              <w:spacing w:after="0"/>
              <w:rPr>
                <w:sz w:val="1"/>
                <w:szCs w:val="1"/>
                <w:color w:val="auto"/>
              </w:rPr>
            </w:pPr>
          </w:p>
        </w:tc>
      </w:tr>
      <w:tr>
        <w:trPr>
          <w:trHeight w:val="172"/>
        </w:trPr>
        <w:tc>
          <w:tcPr>
            <w:tcW w:w="8360" w:type="dxa"/>
            <w:vAlign w:val="bottom"/>
          </w:tcPr>
          <w:p>
            <w:pPr>
              <w:ind w:left="280"/>
              <w:spacing w:after="0"/>
              <w:rPr>
                <w:sz w:val="20"/>
                <w:szCs w:val="20"/>
                <w:color w:val="auto"/>
              </w:rPr>
            </w:pPr>
            <w:r>
              <w:rPr>
                <w:rFonts w:ascii="Arial" w:cs="Arial" w:eastAsia="Arial" w:hAnsi="Arial"/>
                <w:sz w:val="11"/>
                <w:szCs w:val="11"/>
                <w:color w:val="auto"/>
              </w:rPr>
              <w:t>Deferred revenue</w:t>
            </w:r>
          </w:p>
        </w:tc>
        <w:tc>
          <w:tcPr>
            <w:tcW w:w="1060" w:type="dxa"/>
            <w:vAlign w:val="bottom"/>
          </w:tcPr>
          <w:p>
            <w:pPr>
              <w:spacing w:after="0"/>
              <w:rPr>
                <w:sz w:val="14"/>
                <w:szCs w:val="14"/>
                <w:color w:val="auto"/>
              </w:rPr>
            </w:pP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11.8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Customer credit liabilities</w:t>
            </w: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172"/>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Operating lease liabilities</w:t>
            </w:r>
          </w:p>
        </w:tc>
        <w:tc>
          <w:tcPr>
            <w:tcW w:w="10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current liabilities</w:t>
            </w: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65.5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60.0</w:t>
            </w:r>
          </w:p>
        </w:tc>
        <w:tc>
          <w:tcPr>
            <w:tcW w:w="0" w:type="dxa"/>
            <w:vAlign w:val="bottom"/>
          </w:tcPr>
          <w:p>
            <w:pPr>
              <w:spacing w:after="0"/>
              <w:rPr>
                <w:sz w:val="1"/>
                <w:szCs w:val="1"/>
                <w:color w:val="auto"/>
              </w:rPr>
            </w:pPr>
          </w:p>
        </w:tc>
      </w:tr>
      <w:tr>
        <w:trPr>
          <w:trHeight w:val="172"/>
        </w:trPr>
        <w:tc>
          <w:tcPr>
            <w:tcW w:w="8360" w:type="dxa"/>
            <w:vAlign w:val="bottom"/>
          </w:tcPr>
          <w:p>
            <w:pPr>
              <w:ind w:left="20"/>
              <w:spacing w:after="0"/>
              <w:rPr>
                <w:sz w:val="20"/>
                <w:szCs w:val="20"/>
                <w:color w:val="auto"/>
              </w:rPr>
            </w:pPr>
            <w:r>
              <w:rPr>
                <w:rFonts w:ascii="Arial" w:cs="Arial" w:eastAsia="Arial" w:hAnsi="Arial"/>
                <w:sz w:val="11"/>
                <w:szCs w:val="11"/>
                <w:color w:val="auto"/>
              </w:rPr>
              <w:t>Long-term debt, net</w:t>
            </w:r>
          </w:p>
        </w:tc>
        <w:tc>
          <w:tcPr>
            <w:tcW w:w="1060" w:type="dxa"/>
            <w:vAlign w:val="bottom"/>
          </w:tcPr>
          <w:p>
            <w:pPr>
              <w:spacing w:after="0"/>
              <w:rPr>
                <w:sz w:val="14"/>
                <w:szCs w:val="14"/>
                <w:color w:val="auto"/>
              </w:rPr>
            </w:pP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300.2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272.5</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liabilities</w:t>
            </w: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46.5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38.3</w:t>
            </w:r>
          </w:p>
        </w:tc>
        <w:tc>
          <w:tcPr>
            <w:tcW w:w="0" w:type="dxa"/>
            <w:vAlign w:val="bottom"/>
          </w:tcPr>
          <w:p>
            <w:pPr>
              <w:spacing w:after="0"/>
              <w:rPr>
                <w:sz w:val="1"/>
                <w:szCs w:val="1"/>
                <w:color w:val="auto"/>
              </w:rPr>
            </w:pPr>
          </w:p>
        </w:tc>
      </w:tr>
      <w:tr>
        <w:trPr>
          <w:trHeight w:val="172"/>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liabilities</w:t>
            </w:r>
          </w:p>
        </w:tc>
        <w:tc>
          <w:tcPr>
            <w:tcW w:w="10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0.7</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liabilities</w:t>
            </w:r>
          </w:p>
        </w:tc>
        <w:tc>
          <w:tcPr>
            <w:tcW w:w="10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412.9</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371.5</w:t>
            </w:r>
          </w:p>
        </w:tc>
        <w:tc>
          <w:tcPr>
            <w:tcW w:w="0" w:type="dxa"/>
            <w:vAlign w:val="bottom"/>
          </w:tcPr>
          <w:p>
            <w:pPr>
              <w:spacing w:after="0"/>
              <w:rPr>
                <w:sz w:val="1"/>
                <w:szCs w:val="1"/>
                <w:color w:val="auto"/>
              </w:rPr>
            </w:pPr>
          </w:p>
        </w:tc>
      </w:tr>
      <w:tr>
        <w:trPr>
          <w:trHeight w:val="152"/>
        </w:trPr>
        <w:tc>
          <w:tcPr>
            <w:tcW w:w="8360" w:type="dxa"/>
            <w:vAlign w:val="bottom"/>
          </w:tcPr>
          <w:p>
            <w:pPr>
              <w:ind w:left="20"/>
              <w:spacing w:after="0"/>
              <w:rPr>
                <w:sz w:val="20"/>
                <w:szCs w:val="20"/>
                <w:color w:val="auto"/>
              </w:rPr>
            </w:pPr>
            <w:r>
              <w:rPr>
                <w:rFonts w:ascii="Arial" w:cs="Arial" w:eastAsia="Arial" w:hAnsi="Arial"/>
                <w:sz w:val="11"/>
                <w:szCs w:val="11"/>
                <w:color w:val="auto"/>
              </w:rPr>
              <w:t>Commitments and Contingencies (Note 14)</w:t>
            </w: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Stockholders’ equity (deficit)</w:t>
            </w: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8360" w:type="dxa"/>
            <w:vAlign w:val="bottom"/>
          </w:tcPr>
          <w:p>
            <w:pPr>
              <w:ind w:left="280"/>
              <w:spacing w:after="0" w:line="121" w:lineRule="exact"/>
              <w:rPr>
                <w:sz w:val="20"/>
                <w:szCs w:val="20"/>
                <w:color w:val="auto"/>
              </w:rPr>
            </w:pPr>
            <w:r>
              <w:rPr>
                <w:rFonts w:ascii="Arial" w:cs="Arial" w:eastAsia="Arial" w:hAnsi="Arial"/>
                <w:sz w:val="11"/>
                <w:szCs w:val="11"/>
                <w:color w:val="auto"/>
              </w:rPr>
              <w:t>Class A common stock, $0.001 par value; 300,000,000 shares authorized as of October 31, 2023 and January 31, 2023; 66,552,184 and 61,956,536 shares</w:t>
            </w:r>
          </w:p>
        </w:tc>
        <w:tc>
          <w:tcPr>
            <w:tcW w:w="1060" w:type="dxa"/>
            <w:vAlign w:val="bottom"/>
          </w:tcPr>
          <w:p>
            <w:pPr>
              <w:spacing w:after="0"/>
              <w:rPr>
                <w:sz w:val="10"/>
                <w:szCs w:val="10"/>
                <w:color w:val="auto"/>
              </w:rPr>
            </w:pPr>
          </w:p>
        </w:tc>
        <w:tc>
          <w:tcPr>
            <w:tcW w:w="360" w:type="dxa"/>
            <w:vAlign w:val="bottom"/>
          </w:tcPr>
          <w:p>
            <w:pPr>
              <w:jc w:val="right"/>
              <w:ind w:right="3"/>
              <w:spacing w:after="0" w:line="121" w:lineRule="exact"/>
              <w:rPr>
                <w:sz w:val="20"/>
                <w:szCs w:val="20"/>
                <w:color w:val="auto"/>
              </w:rPr>
            </w:pPr>
            <w:r>
              <w:rPr>
                <w:rFonts w:ascii="Arial" w:cs="Arial" w:eastAsia="Arial" w:hAnsi="Arial"/>
                <w:sz w:val="11"/>
                <w:szCs w:val="11"/>
                <w:color w:val="auto"/>
              </w:rPr>
              <w:t>0.1</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jc w:val="right"/>
              <w:spacing w:after="0" w:line="121" w:lineRule="exact"/>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48"/>
        </w:trPr>
        <w:tc>
          <w:tcPr>
            <w:tcW w:w="8360" w:type="dxa"/>
            <w:vAlign w:val="bottom"/>
          </w:tcPr>
          <w:p>
            <w:pPr>
              <w:ind w:left="400"/>
              <w:spacing w:after="0"/>
              <w:rPr>
                <w:sz w:val="20"/>
                <w:szCs w:val="20"/>
                <w:color w:val="auto"/>
              </w:rPr>
            </w:pPr>
            <w:r>
              <w:rPr>
                <w:rFonts w:ascii="Arial" w:cs="Arial" w:eastAsia="Arial" w:hAnsi="Arial"/>
                <w:sz w:val="11"/>
                <w:szCs w:val="11"/>
                <w:color w:val="auto"/>
              </w:rPr>
              <w:t>issued and outstanding as of October 31, 2023 and January 31, 2023, respectively</w:t>
            </w: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61530" cy="168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6827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p>
      <w:pPr>
        <w:spacing w:after="0" w:line="1" w:lineRule="exact"/>
        <w:rPr>
          <w:sz w:val="20"/>
          <w:szCs w:val="20"/>
          <w:color w:val="auto"/>
        </w:rPr>
      </w:pPr>
    </w:p>
    <w:p>
      <w:pPr>
        <w:ind w:left="400" w:right="340" w:hanging="126"/>
        <w:spacing w:after="0" w:line="242" w:lineRule="auto"/>
        <w:rPr>
          <w:sz w:val="20"/>
          <w:szCs w:val="20"/>
          <w:color w:val="auto"/>
        </w:rPr>
      </w:pPr>
      <w:r>
        <w:rPr>
          <w:rFonts w:ascii="Arial" w:cs="Arial" w:eastAsia="Arial" w:hAnsi="Arial"/>
          <w:sz w:val="11"/>
          <w:szCs w:val="11"/>
          <w:color w:val="auto"/>
        </w:rPr>
        <w:t>Class B common stock, $0.001 par value; 50,000,000 shares authorized as of October 31, 2023 and January 31, 2023; 3,091,873 and 3,066,251 shares issued and outstanding as of October 31, 2023 and January 31, 2023, respectively</w:t>
      </w:r>
    </w:p>
    <w:p>
      <w:pPr>
        <w:spacing w:after="0" w:line="10" w:lineRule="exact"/>
        <w:rPr>
          <w:sz w:val="20"/>
          <w:szCs w:val="20"/>
          <w:color w:val="auto"/>
        </w:rPr>
      </w:pPr>
    </w:p>
    <w:p>
      <w:pPr>
        <w:ind w:left="400" w:right="800" w:hanging="126"/>
        <w:spacing w:after="0" w:line="242" w:lineRule="auto"/>
        <w:rPr>
          <w:sz w:val="20"/>
          <w:szCs w:val="20"/>
          <w:color w:val="auto"/>
        </w:rPr>
      </w:pPr>
      <w:r>
        <w:rPr>
          <w:rFonts w:ascii="Arial" w:cs="Arial" w:eastAsia="Arial" w:hAnsi="Arial"/>
          <w:sz w:val="11"/>
          <w:szCs w:val="11"/>
          <w:color w:val="auto"/>
        </w:rPr>
        <w:t>Preferred stock, $0.001 par value; 10,000,000 shares authorized as of October 31, 2023 and January 31, 2023; 0 shares issued and outstanding as of October 31, 2023 and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6153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1"/>
          <w:szCs w:val="11"/>
          <w:color w:val="auto"/>
        </w:rPr>
        <w:t>Additional paid-in capital</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11"/>
          <w:szCs w:val="11"/>
          <w:color w:val="auto"/>
        </w:rPr>
        <w:t>Accumulated deficit</w:t>
      </w:r>
    </w:p>
    <w:p>
      <w:pPr>
        <w:spacing w:after="0" w:line="20" w:lineRule="exact"/>
        <w:rPr>
          <w:sz w:val="20"/>
          <w:szCs w:val="20"/>
          <w:color w:val="auto"/>
        </w:rPr>
      </w:pPr>
      <w:r>
        <w:rPr>
          <w:sz w:val="20"/>
          <w:szCs w:val="20"/>
          <w:color w:val="auto"/>
        </w:rPr>
        <w:br w:type="column"/>
      </w:r>
    </w:p>
    <w:p>
      <w:pPr>
        <w:ind w:left="320"/>
        <w:spacing w:after="0"/>
        <w:tabs>
          <w:tab w:leader="none" w:pos="180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p>
    <w:p>
      <w:pPr>
        <w:spacing w:after="0" w:line="209" w:lineRule="exact"/>
        <w:rPr>
          <w:sz w:val="20"/>
          <w:szCs w:val="20"/>
          <w:color w:val="auto"/>
        </w:rPr>
      </w:pPr>
    </w:p>
    <w:p>
      <w:pPr>
        <w:ind w:left="300"/>
        <w:spacing w:after="0"/>
        <w:tabs>
          <w:tab w:leader="none" w:pos="17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p>
    <w:p>
      <w:pPr>
        <w:spacing w:after="0" w:line="46" w:lineRule="exact"/>
        <w:rPr>
          <w:sz w:val="20"/>
          <w:szCs w:val="20"/>
          <w:color w:val="auto"/>
        </w:rPr>
      </w:pPr>
    </w:p>
    <w:p>
      <w:pPr>
        <w:ind w:left="140"/>
        <w:spacing w:after="0"/>
        <w:tabs>
          <w:tab w:leader="none" w:pos="1620" w:val="left"/>
        </w:tabs>
        <w:rPr>
          <w:sz w:val="20"/>
          <w:szCs w:val="20"/>
          <w:color w:val="auto"/>
        </w:rPr>
      </w:pPr>
      <w:r>
        <w:rPr>
          <w:rFonts w:ascii="Arial" w:cs="Arial" w:eastAsia="Arial" w:hAnsi="Arial"/>
          <w:sz w:val="11"/>
          <w:szCs w:val="11"/>
          <w:color w:val="auto"/>
        </w:rPr>
        <w:t>925.6</w:t>
      </w:r>
      <w:r>
        <w:rPr>
          <w:sz w:val="20"/>
          <w:szCs w:val="20"/>
          <w:color w:val="auto"/>
        </w:rPr>
        <w:tab/>
      </w:r>
      <w:r>
        <w:rPr>
          <w:rFonts w:ascii="Arial" w:cs="Arial" w:eastAsia="Arial" w:hAnsi="Arial"/>
          <w:sz w:val="11"/>
          <w:szCs w:val="11"/>
          <w:color w:val="auto"/>
        </w:rPr>
        <w:t>904.5</w:t>
      </w:r>
    </w:p>
    <w:p>
      <w:pPr>
        <w:spacing w:after="0" w:line="54" w:lineRule="exact"/>
        <w:rPr>
          <w:sz w:val="20"/>
          <w:szCs w:val="20"/>
          <w:color w:val="auto"/>
        </w:rPr>
      </w:pPr>
    </w:p>
    <w:p>
      <w:pPr>
        <w:spacing w:after="0"/>
        <w:tabs>
          <w:tab w:leader="none" w:pos="1580" w:val="left"/>
        </w:tabs>
        <w:rPr>
          <w:sz w:val="20"/>
          <w:szCs w:val="20"/>
          <w:color w:val="auto"/>
        </w:rPr>
      </w:pPr>
      <w:r>
        <w:rPr>
          <w:rFonts w:ascii="Arial" w:cs="Arial" w:eastAsia="Arial" w:hAnsi="Arial"/>
          <w:sz w:val="11"/>
          <w:szCs w:val="11"/>
          <w:color w:val="auto"/>
        </w:rPr>
        <w:t>(1,028.3)</w:t>
      </w:r>
      <w:r>
        <w:rPr>
          <w:sz w:val="20"/>
          <w:szCs w:val="20"/>
          <w:color w:val="auto"/>
        </w:rPr>
        <w:tab/>
      </w:r>
      <w:r>
        <w:rPr>
          <w:rFonts w:ascii="Arial" w:cs="Arial" w:eastAsia="Arial" w:hAnsi="Arial"/>
          <w:sz w:val="11"/>
          <w:szCs w:val="11"/>
          <w:color w:val="auto"/>
        </w:rPr>
        <w:t>(939.9)</w:t>
      </w:r>
    </w:p>
    <w:p>
      <w:pPr>
        <w:spacing w:after="0" w:line="32" w:lineRule="exact"/>
        <w:rPr>
          <w:sz w:val="20"/>
          <w:szCs w:val="20"/>
          <w:color w:val="auto"/>
        </w:rPr>
      </w:pPr>
    </w:p>
    <w:p>
      <w:pPr>
        <w:sectPr>
          <w:pgSz w:w="11900" w:h="16838" w:orient="portrait"/>
          <w:cols w:equalWidth="0" w:num="2">
            <w:col w:w="8580" w:space="720"/>
            <w:col w:w="1980"/>
          </w:cols>
          <w:pgMar w:left="300" w:top="129" w:right="31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8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stockholders’ equity (deficit)</w:t>
            </w:r>
          </w:p>
        </w:tc>
        <w:tc>
          <w:tcPr>
            <w:tcW w:w="5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(102.6)</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(35.3)</w:t>
            </w:r>
          </w:p>
        </w:tc>
      </w:tr>
      <w:tr>
        <w:trPr>
          <w:trHeight w:val="180"/>
        </w:trPr>
        <w:tc>
          <w:tcPr>
            <w:tcW w:w="8360" w:type="dxa"/>
            <w:vAlign w:val="bottom"/>
          </w:tcPr>
          <w:p>
            <w:pPr>
              <w:ind w:left="20"/>
              <w:spacing w:after="0"/>
              <w:rPr>
                <w:sz w:val="20"/>
                <w:szCs w:val="20"/>
                <w:color w:val="auto"/>
              </w:rPr>
            </w:pPr>
            <w:r>
              <w:rPr>
                <w:rFonts w:ascii="Arial" w:cs="Arial" w:eastAsia="Arial" w:hAnsi="Arial"/>
                <w:sz w:val="11"/>
                <w:szCs w:val="11"/>
                <w:color w:val="auto"/>
              </w:rPr>
              <w:t>Total liabilities and stockholders’ equity (deficit)</w:t>
            </w:r>
          </w:p>
        </w:tc>
        <w:tc>
          <w:tcPr>
            <w:tcW w:w="5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310.3</w:t>
            </w:r>
          </w:p>
        </w:tc>
        <w:tc>
          <w:tcPr>
            <w:tcW w:w="80" w:type="dxa"/>
            <w:vAlign w:val="bottom"/>
          </w:tcPr>
          <w:p>
            <w:pPr>
              <w:spacing w:after="0"/>
              <w:rPr>
                <w:sz w:val="15"/>
                <w:szCs w:val="15"/>
                <w:color w:val="auto"/>
              </w:rPr>
            </w:pPr>
          </w:p>
        </w:tc>
        <w:tc>
          <w:tcPr>
            <w:tcW w:w="58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336.2</w:t>
            </w:r>
          </w:p>
        </w:tc>
      </w:tr>
      <w:tr>
        <w:trPr>
          <w:trHeight w:val="20"/>
        </w:trPr>
        <w:tc>
          <w:tcPr>
            <w:tcW w:w="8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and per share amounts,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5"/>
          </w:tcPr>
          <w:p>
            <w:pPr>
              <w:ind w:left="160"/>
              <w:spacing w:after="0"/>
              <w:rPr>
                <w:sz w:val="20"/>
                <w:szCs w:val="20"/>
                <w:color w:val="auto"/>
              </w:rPr>
            </w:pPr>
            <w:r>
              <w:rPr>
                <w:rFonts w:ascii="Arial" w:cs="Arial" w:eastAsia="Arial" w:hAnsi="Arial"/>
                <w:sz w:val="11"/>
                <w:szCs w:val="11"/>
                <w:b w:val="1"/>
                <w:bCs w:val="1"/>
                <w:color w:val="auto"/>
              </w:rPr>
              <w:t>Three Months Ended October 31,</w:t>
            </w:r>
          </w:p>
        </w:tc>
        <w:tc>
          <w:tcPr>
            <w:tcW w:w="260" w:type="dxa"/>
            <w:vAlign w:val="bottom"/>
          </w:tcPr>
          <w:p>
            <w:pPr>
              <w:spacing w:after="0"/>
              <w:rPr>
                <w:sz w:val="14"/>
                <w:szCs w:val="14"/>
                <w:color w:val="auto"/>
              </w:rPr>
            </w:pPr>
          </w:p>
        </w:tc>
        <w:tc>
          <w:tcPr>
            <w:tcW w:w="2300" w:type="dxa"/>
            <w:vAlign w:val="bottom"/>
            <w:gridSpan w:val="4"/>
          </w:tcPr>
          <w:p>
            <w:pPr>
              <w:jc w:val="right"/>
              <w:ind w:right="357"/>
              <w:spacing w:after="0"/>
              <w:rPr>
                <w:sz w:val="20"/>
                <w:szCs w:val="20"/>
                <w:color w:val="auto"/>
              </w:rPr>
            </w:pPr>
            <w:r>
              <w:rPr>
                <w:rFonts w:ascii="Arial" w:cs="Arial" w:eastAsia="Arial" w:hAnsi="Arial"/>
                <w:sz w:val="11"/>
                <w:szCs w:val="11"/>
                <w:b w:val="1"/>
                <w:bCs w:val="1"/>
                <w:color w:val="auto"/>
              </w:rPr>
              <w:t>Nine Months Ended October 31,</w:t>
            </w:r>
          </w:p>
        </w:tc>
        <w:tc>
          <w:tcPr>
            <w:tcW w:w="0" w:type="dxa"/>
            <w:vAlign w:val="bottom"/>
          </w:tcPr>
          <w:p>
            <w:pPr>
              <w:spacing w:after="0"/>
              <w:rPr>
                <w:sz w:val="1"/>
                <w:szCs w:val="1"/>
                <w:color w:val="auto"/>
              </w:rPr>
            </w:pPr>
          </w:p>
        </w:tc>
      </w:tr>
      <w:tr>
        <w:trPr>
          <w:trHeight w:val="166"/>
        </w:trPr>
        <w:tc>
          <w:tcPr>
            <w:tcW w:w="606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60" w:type="dxa"/>
            <w:vAlign w:val="bottom"/>
          </w:tcPr>
          <w:p>
            <w:pPr>
              <w:ind w:left="280"/>
              <w:spacing w:after="0"/>
              <w:rPr>
                <w:sz w:val="20"/>
                <w:szCs w:val="20"/>
                <w:color w:val="auto"/>
              </w:rPr>
            </w:pPr>
            <w:r>
              <w:rPr>
                <w:rFonts w:ascii="Arial" w:cs="Arial" w:eastAsia="Arial" w:hAnsi="Arial"/>
                <w:sz w:val="13"/>
                <w:szCs w:val="13"/>
                <w:color w:val="auto"/>
              </w:rPr>
              <w:t>Subscription and Reserve rental revenue</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64.7</w:t>
            </w:r>
          </w:p>
        </w:tc>
        <w:tc>
          <w:tcPr>
            <w:tcW w:w="80" w:type="dxa"/>
            <w:vAlign w:val="bottom"/>
          </w:tcPr>
          <w:p>
            <w:pPr>
              <w:spacing w:after="0"/>
              <w:rPr>
                <w:sz w:val="16"/>
                <w:szCs w:val="16"/>
                <w:color w:val="auto"/>
              </w:rPr>
            </w:pPr>
          </w:p>
        </w:tc>
        <w:tc>
          <w:tcPr>
            <w:tcW w:w="3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68.8</w:t>
            </w:r>
          </w:p>
        </w:tc>
        <w:tc>
          <w:tcPr>
            <w:tcW w:w="80" w:type="dxa"/>
            <w:vAlign w:val="bottom"/>
          </w:tcPr>
          <w:p>
            <w:pPr>
              <w:spacing w:after="0"/>
              <w:rPr>
                <w:sz w:val="16"/>
                <w:szCs w:val="16"/>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199.5</w:t>
            </w:r>
          </w:p>
        </w:tc>
        <w:tc>
          <w:tcPr>
            <w:tcW w:w="80" w:type="dxa"/>
            <w:vAlign w:val="bottom"/>
          </w:tcPr>
          <w:p>
            <w:pPr>
              <w:spacing w:after="0"/>
              <w:rPr>
                <w:sz w:val="16"/>
                <w:szCs w:val="16"/>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200.2</w:t>
            </w:r>
          </w:p>
        </w:tc>
        <w:tc>
          <w:tcPr>
            <w:tcW w:w="0" w:type="dxa"/>
            <w:vAlign w:val="bottom"/>
          </w:tcPr>
          <w:p>
            <w:pPr>
              <w:spacing w:after="0"/>
              <w:rPr>
                <w:sz w:val="1"/>
                <w:szCs w:val="1"/>
                <w:color w:val="auto"/>
              </w:rPr>
            </w:pPr>
          </w:p>
        </w:tc>
      </w:tr>
      <w:tr>
        <w:trPr>
          <w:trHeight w:val="192"/>
        </w:trPr>
        <w:tc>
          <w:tcPr>
            <w:tcW w:w="6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revenue</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70"/>
        </w:trPr>
        <w:tc>
          <w:tcPr>
            <w:tcW w:w="606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revenue, net</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77.4</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221.0</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and expenses: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060" w:type="dxa"/>
            <w:vAlign w:val="bottom"/>
          </w:tcPr>
          <w:p>
            <w:pPr>
              <w:ind w:left="280"/>
              <w:spacing w:after="0"/>
              <w:rPr>
                <w:sz w:val="20"/>
                <w:szCs w:val="20"/>
                <w:color w:val="auto"/>
              </w:rPr>
            </w:pPr>
            <w:r>
              <w:rPr>
                <w:rFonts w:ascii="Arial" w:cs="Arial" w:eastAsia="Arial" w:hAnsi="Arial"/>
                <w:sz w:val="13"/>
                <w:szCs w:val="13"/>
                <w:color w:val="auto"/>
              </w:rPr>
              <w:t>Fulfillment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65.9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69.5</w:t>
            </w: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Technology</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0" w:type="dxa"/>
            <w:vAlign w:val="bottom"/>
          </w:tcPr>
          <w:p>
            <w:pPr>
              <w:spacing w:after="0"/>
              <w:rPr>
                <w:sz w:val="1"/>
                <w:szCs w:val="1"/>
                <w:color w:val="auto"/>
              </w:rPr>
            </w:pPr>
          </w:p>
        </w:tc>
      </w:tr>
      <w:tr>
        <w:trPr>
          <w:trHeight w:val="184"/>
        </w:trPr>
        <w:tc>
          <w:tcPr>
            <w:tcW w:w="6060" w:type="dxa"/>
            <w:vAlign w:val="bottom"/>
          </w:tcPr>
          <w:p>
            <w:pPr>
              <w:ind w:left="280"/>
              <w:spacing w:after="0"/>
              <w:rPr>
                <w:sz w:val="20"/>
                <w:szCs w:val="20"/>
                <w:color w:val="auto"/>
              </w:rPr>
            </w:pPr>
            <w:r>
              <w:rPr>
                <w:rFonts w:ascii="Arial" w:cs="Arial" w:eastAsia="Arial" w:hAnsi="Arial"/>
                <w:sz w:val="13"/>
                <w:szCs w:val="13"/>
                <w:color w:val="auto"/>
              </w:rPr>
              <w:t>Marketing</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General and administrative</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w:t>
            </w:r>
          </w:p>
        </w:tc>
        <w:tc>
          <w:tcPr>
            <w:tcW w:w="0" w:type="dxa"/>
            <w:vAlign w:val="bottom"/>
          </w:tcPr>
          <w:p>
            <w:pPr>
              <w:spacing w:after="0"/>
              <w:rPr>
                <w:sz w:val="1"/>
                <w:szCs w:val="1"/>
                <w:color w:val="auto"/>
              </w:rPr>
            </w:pPr>
          </w:p>
        </w:tc>
      </w:tr>
      <w:tr>
        <w:trPr>
          <w:trHeight w:val="184"/>
        </w:trPr>
        <w:tc>
          <w:tcPr>
            <w:tcW w:w="6060" w:type="dxa"/>
            <w:vAlign w:val="bottom"/>
          </w:tcPr>
          <w:p>
            <w:pPr>
              <w:ind w:left="280"/>
              <w:spacing w:after="0"/>
              <w:rPr>
                <w:sz w:val="20"/>
                <w:szCs w:val="20"/>
                <w:color w:val="auto"/>
              </w:rPr>
            </w:pPr>
            <w:r>
              <w:rPr>
                <w:rFonts w:ascii="Arial" w:cs="Arial" w:eastAsia="Arial" w:hAnsi="Arial"/>
                <w:sz w:val="13"/>
                <w:szCs w:val="13"/>
                <w:color w:val="auto"/>
              </w:rPr>
              <w:t>Rental product depreciation and revenue share</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66.7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64.8</w:t>
            </w: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depreciation and amortization</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84"/>
        </w:trPr>
        <w:tc>
          <w:tcPr>
            <w:tcW w:w="6060" w:type="dxa"/>
            <w:vAlign w:val="bottom"/>
          </w:tcPr>
          <w:p>
            <w:pPr>
              <w:ind w:left="280"/>
              <w:spacing w:after="0"/>
              <w:rPr>
                <w:sz w:val="20"/>
                <w:szCs w:val="20"/>
                <w:color w:val="auto"/>
              </w:rPr>
            </w:pPr>
            <w:r>
              <w:rPr>
                <w:rFonts w:ascii="Arial" w:cs="Arial" w:eastAsia="Arial" w:hAnsi="Arial"/>
                <w:sz w:val="13"/>
                <w:szCs w:val="13"/>
                <w:color w:val="auto"/>
              </w:rPr>
              <w:t>Restructuring charges</w:t>
            </w:r>
          </w:p>
        </w:tc>
        <w:tc>
          <w:tcPr>
            <w:tcW w:w="2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Loss on asset impairment related to restructuring</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70"/>
        </w:trPr>
        <w:tc>
          <w:tcPr>
            <w:tcW w:w="606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costs and expenses</w:t>
            </w: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94.4</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104.4</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283.1</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306.8</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Operating loss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0" w:type="dxa"/>
            <w:vAlign w:val="bottom"/>
          </w:tcPr>
          <w:p>
            <w:pPr>
              <w:spacing w:after="0"/>
              <w:rPr>
                <w:sz w:val="1"/>
                <w:szCs w:val="1"/>
                <w:color w:val="auto"/>
              </w:rPr>
            </w:pPr>
          </w:p>
        </w:tc>
      </w:tr>
      <w:tr>
        <w:trPr>
          <w:trHeight w:val="184"/>
        </w:trPr>
        <w:tc>
          <w:tcPr>
            <w:tcW w:w="6060" w:type="dxa"/>
            <w:vAlign w:val="bottom"/>
          </w:tcPr>
          <w:p>
            <w:pPr>
              <w:ind w:left="20"/>
              <w:spacing w:after="0"/>
              <w:rPr>
                <w:sz w:val="20"/>
                <w:szCs w:val="20"/>
                <w:color w:val="auto"/>
              </w:rPr>
            </w:pPr>
            <w:r>
              <w:rPr>
                <w:rFonts w:ascii="Arial" w:cs="Arial" w:eastAsia="Arial" w:hAnsi="Arial"/>
                <w:sz w:val="13"/>
                <w:szCs w:val="13"/>
                <w:color w:val="auto"/>
              </w:rPr>
              <w:t>Interest income / (expense), net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(28.2)</w:t>
            </w: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60"/>
              <w:spacing w:after="0"/>
              <w:rPr>
                <w:sz w:val="20"/>
                <w:szCs w:val="20"/>
                <w:color w:val="auto"/>
              </w:rPr>
            </w:pPr>
            <w:r>
              <w:rPr>
                <w:rFonts w:ascii="Arial" w:cs="Arial" w:eastAsia="Arial" w:hAnsi="Arial"/>
                <w:sz w:val="13"/>
                <w:szCs w:val="13"/>
                <w:color w:val="auto"/>
              </w:rPr>
              <w:t>Other income / (expense), net</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0"/>
        </w:trPr>
        <w:tc>
          <w:tcPr>
            <w:tcW w:w="6060" w:type="dxa"/>
            <w:vAlign w:val="bottom"/>
          </w:tcPr>
          <w:p>
            <w:pPr>
              <w:ind w:left="700"/>
              <w:spacing w:after="0"/>
              <w:rPr>
                <w:sz w:val="20"/>
                <w:szCs w:val="20"/>
                <w:color w:val="auto"/>
              </w:rPr>
            </w:pPr>
            <w:r>
              <w:rPr>
                <w:rFonts w:ascii="Arial" w:cs="Arial" w:eastAsia="Arial" w:hAnsi="Arial"/>
                <w:sz w:val="13"/>
                <w:szCs w:val="13"/>
                <w:color w:val="auto"/>
              </w:rPr>
              <w:t>Net loss before income tax benefit / (expense)</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(31.7)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(88.7)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(112.6)</w:t>
            </w:r>
          </w:p>
        </w:tc>
        <w:tc>
          <w:tcPr>
            <w:tcW w:w="0" w:type="dxa"/>
            <w:vAlign w:val="bottom"/>
          </w:tcPr>
          <w:p>
            <w:pPr>
              <w:spacing w:after="0"/>
              <w:rPr>
                <w:sz w:val="1"/>
                <w:szCs w:val="1"/>
                <w:color w:val="auto"/>
              </w:rPr>
            </w:pPr>
          </w:p>
        </w:tc>
      </w:tr>
      <w:tr>
        <w:trPr>
          <w:trHeight w:val="186"/>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 / (expense)</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7"/>
        </w:trPr>
        <w:tc>
          <w:tcPr>
            <w:tcW w:w="6060" w:type="dxa"/>
            <w:vAlign w:val="bottom"/>
          </w:tcPr>
          <w:p>
            <w:pPr>
              <w:ind w:left="780"/>
              <w:spacing w:after="0"/>
              <w:rPr>
                <w:sz w:val="20"/>
                <w:szCs w:val="20"/>
                <w:color w:val="auto"/>
              </w:rPr>
            </w:pPr>
            <w:r>
              <w:rPr>
                <w:rFonts w:ascii="Arial" w:cs="Arial" w:eastAsia="Arial" w:hAnsi="Arial"/>
                <w:sz w:val="13"/>
                <w:szCs w:val="13"/>
                <w:color w:val="auto"/>
              </w:rPr>
              <w:t>Net loss</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(88.4)</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(112.5)</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 per share attributable to common stockholders, basic and diluted</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line="141" w:lineRule="exact"/>
              <w:rPr>
                <w:sz w:val="20"/>
                <w:szCs w:val="20"/>
                <w:color w:val="auto"/>
              </w:rPr>
            </w:pPr>
            <w:r>
              <w:rPr>
                <w:rFonts w:ascii="Arial" w:cs="Arial" w:eastAsia="Arial" w:hAnsi="Arial"/>
                <w:sz w:val="13"/>
                <w:szCs w:val="13"/>
                <w:color w:val="auto"/>
                <w:w w:val="97"/>
              </w:rPr>
              <w:t>Weighted-average shares used in computing net loss per share attributable to common stockholders, basic</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60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69,296,968</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64,521,433</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67,608,792</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64,015,444</w:t>
            </w:r>
          </w:p>
        </w:tc>
        <w:tc>
          <w:tcPr>
            <w:tcW w:w="0" w:type="dxa"/>
            <w:vAlign w:val="bottom"/>
          </w:tcPr>
          <w:p>
            <w:pPr>
              <w:spacing w:after="0"/>
              <w:rPr>
                <w:sz w:val="1"/>
                <w:szCs w:val="1"/>
                <w:color w:val="auto"/>
              </w:rPr>
            </w:pPr>
          </w:p>
        </w:tc>
      </w:tr>
      <w:tr>
        <w:trPr>
          <w:trHeight w:val="168"/>
        </w:trPr>
        <w:tc>
          <w:tcPr>
            <w:tcW w:w="6060" w:type="dxa"/>
            <w:vAlign w:val="bottom"/>
          </w:tcPr>
          <w:p>
            <w:pPr>
              <w:ind w:left="140"/>
              <w:spacing w:after="0"/>
              <w:rPr>
                <w:sz w:val="20"/>
                <w:szCs w:val="20"/>
                <w:color w:val="auto"/>
              </w:rPr>
            </w:pPr>
            <w:r>
              <w:rPr>
                <w:rFonts w:ascii="Arial" w:cs="Arial" w:eastAsia="Arial" w:hAnsi="Arial"/>
                <w:sz w:val="13"/>
                <w:szCs w:val="13"/>
                <w:color w:val="auto"/>
              </w:rPr>
              <w:t>and diluted</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Condensed Consolidated Statements of Changes in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amounts,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5580" w:type="dxa"/>
            <w:vAlign w:val="bottom"/>
          </w:tcPr>
          <w:p>
            <w:pPr>
              <w:spacing w:after="0"/>
              <w:rPr>
                <w:sz w:val="7"/>
                <w:szCs w:val="7"/>
                <w:color w:val="auto"/>
              </w:rPr>
            </w:pPr>
          </w:p>
        </w:tc>
        <w:tc>
          <w:tcPr>
            <w:tcW w:w="1980" w:type="dxa"/>
            <w:vAlign w:val="bottom"/>
            <w:gridSpan w:val="3"/>
          </w:tcPr>
          <w:p>
            <w:pPr>
              <w:jc w:val="right"/>
              <w:ind w:right="492"/>
              <w:spacing w:after="0"/>
              <w:rPr>
                <w:sz w:val="20"/>
                <w:szCs w:val="20"/>
                <w:color w:val="auto"/>
              </w:rPr>
            </w:pPr>
            <w:r>
              <w:rPr>
                <w:rFonts w:ascii="Arial" w:cs="Arial" w:eastAsia="Arial" w:hAnsi="Arial"/>
                <w:sz w:val="8"/>
                <w:szCs w:val="8"/>
                <w:b w:val="1"/>
                <w:bCs w:val="1"/>
                <w:color w:val="auto"/>
              </w:rPr>
              <w:t>Common Stock</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jc w:val="right"/>
              <w:spacing w:after="0"/>
              <w:rPr>
                <w:sz w:val="20"/>
                <w:szCs w:val="20"/>
                <w:color w:val="auto"/>
              </w:rPr>
            </w:pPr>
            <w:r>
              <w:rPr>
                <w:rFonts w:ascii="Arial" w:cs="Arial" w:eastAsia="Arial" w:hAnsi="Arial"/>
                <w:sz w:val="8"/>
                <w:szCs w:val="8"/>
                <w:b w:val="1"/>
                <w:bCs w:val="1"/>
                <w:color w:val="auto"/>
              </w:rPr>
              <w:t>Additional</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jc w:val="center"/>
              <w:ind w:right="112"/>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42"/>
        </w:trPr>
        <w:tc>
          <w:tcPr>
            <w:tcW w:w="55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restart"/>
          </w:tcPr>
          <w:p>
            <w:pPr>
              <w:jc w:val="right"/>
              <w:ind w:right="34"/>
              <w:spacing w:after="0" w:line="85" w:lineRule="exact"/>
              <w:rPr>
                <w:sz w:val="20"/>
                <w:szCs w:val="20"/>
                <w:color w:val="auto"/>
              </w:rPr>
            </w:pPr>
            <w:r>
              <w:rPr>
                <w:rFonts w:ascii="Arial" w:cs="Arial" w:eastAsia="Arial" w:hAnsi="Arial"/>
                <w:sz w:val="8"/>
                <w:szCs w:val="8"/>
                <w:b w:val="1"/>
                <w:bCs w:val="1"/>
                <w:color w:val="auto"/>
              </w:rPr>
              <w:t>Paid-in</w:t>
            </w: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restart"/>
          </w:tcPr>
          <w:p>
            <w:pPr>
              <w:ind w:left="100"/>
              <w:spacing w:after="0" w:line="85" w:lineRule="exact"/>
              <w:rPr>
                <w:sz w:val="20"/>
                <w:szCs w:val="20"/>
                <w:color w:val="auto"/>
              </w:rPr>
            </w:pPr>
            <w:r>
              <w:rPr>
                <w:rFonts w:ascii="Arial" w:cs="Arial" w:eastAsia="Arial" w:hAnsi="Arial"/>
                <w:sz w:val="8"/>
                <w:szCs w:val="8"/>
                <w:b w:val="1"/>
                <w:bCs w:val="1"/>
                <w:color w:val="auto"/>
              </w:rPr>
              <w:t>Accumulated</w:t>
            </w:r>
          </w:p>
        </w:tc>
        <w:tc>
          <w:tcPr>
            <w:tcW w:w="160" w:type="dxa"/>
            <w:vAlign w:val="bottom"/>
          </w:tcPr>
          <w:p>
            <w:pPr>
              <w:spacing w:after="0"/>
              <w:rPr>
                <w:sz w:val="3"/>
                <w:szCs w:val="3"/>
                <w:color w:val="auto"/>
              </w:rPr>
            </w:pPr>
          </w:p>
        </w:tc>
        <w:tc>
          <w:tcPr>
            <w:tcW w:w="980" w:type="dxa"/>
            <w:vAlign w:val="bottom"/>
            <w:vMerge w:val="restart"/>
          </w:tcPr>
          <w:p>
            <w:pPr>
              <w:jc w:val="center"/>
              <w:ind w:right="112"/>
              <w:spacing w:after="0" w:line="85"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23"/>
        </w:trPr>
        <w:tc>
          <w:tcPr>
            <w:tcW w:w="5580" w:type="dxa"/>
            <w:vAlign w:val="bottom"/>
          </w:tcPr>
          <w:p>
            <w:pPr>
              <w:spacing w:after="0" w:line="20" w:lineRule="exact"/>
              <w:rPr>
                <w:sz w:val="1"/>
                <w:szCs w:val="1"/>
                <w:color w:val="auto"/>
              </w:rPr>
            </w:pPr>
          </w:p>
        </w:tc>
        <w:tc>
          <w:tcPr>
            <w:tcW w:w="1180" w:type="dxa"/>
            <w:vAlign w:val="bottom"/>
            <w:gridSpan w:val="2"/>
            <w:vMerge w:val="restart"/>
          </w:tcPr>
          <w:p>
            <w:pPr>
              <w:ind w:left="400"/>
              <w:spacing w:after="0"/>
              <w:rPr>
                <w:sz w:val="20"/>
                <w:szCs w:val="20"/>
                <w:color w:val="auto"/>
              </w:rPr>
            </w:pPr>
            <w:r>
              <w:rPr>
                <w:rFonts w:ascii="Arial" w:cs="Arial" w:eastAsia="Arial" w:hAnsi="Arial"/>
                <w:sz w:val="8"/>
                <w:szCs w:val="8"/>
                <w:b w:val="1"/>
                <w:bCs w:val="1"/>
                <w:color w:val="auto"/>
              </w:rPr>
              <w:t>Shares</w:t>
            </w:r>
          </w:p>
        </w:tc>
        <w:tc>
          <w:tcPr>
            <w:tcW w:w="800" w:type="dxa"/>
            <w:vAlign w:val="bottom"/>
            <w:vMerge w:val="restart"/>
          </w:tcPr>
          <w:p>
            <w:pPr>
              <w:jc w:val="right"/>
              <w:ind w:right="52"/>
              <w:spacing w:after="0"/>
              <w:rPr>
                <w:sz w:val="20"/>
                <w:szCs w:val="20"/>
                <w:color w:val="auto"/>
              </w:rPr>
            </w:pPr>
            <w:r>
              <w:rPr>
                <w:rFonts w:ascii="Arial" w:cs="Arial" w:eastAsia="Arial" w:hAnsi="Arial"/>
                <w:sz w:val="8"/>
                <w:szCs w:val="8"/>
                <w:b w:val="1"/>
                <w:bCs w:val="1"/>
                <w:color w:val="auto"/>
              </w:rPr>
              <w:t>Amount</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5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34"/>
              <w:spacing w:after="0"/>
              <w:rPr>
                <w:sz w:val="20"/>
                <w:szCs w:val="20"/>
                <w:color w:val="auto"/>
              </w:rPr>
            </w:pPr>
            <w:r>
              <w:rPr>
                <w:rFonts w:ascii="Arial" w:cs="Arial" w:eastAsia="Arial" w:hAnsi="Arial"/>
                <w:sz w:val="8"/>
                <w:szCs w:val="8"/>
                <w:b w:val="1"/>
                <w:bCs w:val="1"/>
                <w:color w:val="auto"/>
              </w:rPr>
              <w:t>Capital</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ind w:left="240"/>
              <w:spacing w:after="0"/>
              <w:rPr>
                <w:sz w:val="20"/>
                <w:szCs w:val="20"/>
                <w:color w:val="auto"/>
              </w:rPr>
            </w:pPr>
            <w:r>
              <w:rPr>
                <w:rFonts w:ascii="Arial" w:cs="Arial" w:eastAsia="Arial" w:hAnsi="Arial"/>
                <w:sz w:val="8"/>
                <w:szCs w:val="8"/>
                <w:b w:val="1"/>
                <w:bCs w:val="1"/>
                <w:color w:val="auto"/>
              </w:rPr>
              <w:t>Deficit</w:t>
            </w:r>
          </w:p>
        </w:tc>
        <w:tc>
          <w:tcPr>
            <w:tcW w:w="160" w:type="dxa"/>
            <w:vAlign w:val="bottom"/>
          </w:tcPr>
          <w:p>
            <w:pPr>
              <w:spacing w:after="0"/>
              <w:rPr>
                <w:sz w:val="10"/>
                <w:szCs w:val="10"/>
                <w:color w:val="auto"/>
              </w:rPr>
            </w:pPr>
          </w:p>
        </w:tc>
        <w:tc>
          <w:tcPr>
            <w:tcW w:w="980" w:type="dxa"/>
            <w:vAlign w:val="bottom"/>
          </w:tcPr>
          <w:p>
            <w:pPr>
              <w:jc w:val="center"/>
              <w:ind w:right="112"/>
              <w:spacing w:after="0"/>
              <w:rPr>
                <w:sz w:val="20"/>
                <w:szCs w:val="20"/>
                <w:color w:val="auto"/>
              </w:rPr>
            </w:pPr>
            <w:r>
              <w:rPr>
                <w:rFonts w:ascii="Arial" w:cs="Arial" w:eastAsia="Arial" w:hAnsi="Arial"/>
                <w:sz w:val="8"/>
                <w:szCs w:val="8"/>
                <w:b w:val="1"/>
                <w:bCs w:val="1"/>
                <w:color w:val="auto"/>
              </w:rPr>
              <w:t>Equity (Deficit)</w:t>
            </w:r>
          </w:p>
        </w:tc>
        <w:tc>
          <w:tcPr>
            <w:tcW w:w="0" w:type="dxa"/>
            <w:vAlign w:val="bottom"/>
          </w:tcPr>
          <w:p>
            <w:pPr>
              <w:spacing w:after="0"/>
              <w:rPr>
                <w:sz w:val="1"/>
                <w:szCs w:val="1"/>
                <w:color w:val="auto"/>
              </w:rPr>
            </w:pPr>
          </w:p>
        </w:tc>
      </w:tr>
      <w:tr>
        <w:trPr>
          <w:trHeight w:val="135"/>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July 31, 2023</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68,446,903</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614"/>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920.7</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(996.8)</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(76.0)</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Stock issued under stock incentive plan</w:t>
            </w:r>
          </w:p>
        </w:tc>
        <w:tc>
          <w:tcPr>
            <w:tcW w:w="1080" w:type="dxa"/>
            <w:vAlign w:val="bottom"/>
          </w:tcPr>
          <w:p>
            <w:pPr>
              <w:jc w:val="right"/>
              <w:spacing w:after="0"/>
              <w:rPr>
                <w:sz w:val="20"/>
                <w:szCs w:val="20"/>
                <w:color w:val="auto"/>
              </w:rPr>
            </w:pPr>
            <w:r>
              <w:rPr>
                <w:rFonts w:ascii="Arial" w:cs="Arial" w:eastAsia="Arial" w:hAnsi="Arial"/>
                <w:sz w:val="10"/>
                <w:szCs w:val="10"/>
                <w:color w:val="auto"/>
              </w:rPr>
              <w:t>1,197,154</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5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(31.5)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(31.5)</w:t>
            </w:r>
          </w:p>
        </w:tc>
        <w:tc>
          <w:tcPr>
            <w:tcW w:w="0" w:type="dxa"/>
            <w:vAlign w:val="bottom"/>
          </w:tcPr>
          <w:p>
            <w:pPr>
              <w:spacing w:after="0"/>
              <w:rPr>
                <w:sz w:val="1"/>
                <w:szCs w:val="1"/>
                <w:color w:val="auto"/>
              </w:rPr>
            </w:pPr>
          </w:p>
        </w:tc>
      </w:tr>
      <w:tr>
        <w:trPr>
          <w:trHeight w:val="15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October 31,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69,644,057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925.6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(1,028.3)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(102.6)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558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580" w:type="dxa"/>
            <w:vAlign w:val="bottom"/>
            <w:shd w:val="clear" w:color="auto" w:fill="CCEEFF"/>
          </w:tcPr>
          <w:p>
            <w:pPr>
              <w:ind w:left="20"/>
              <w:spacing w:after="0"/>
              <w:rPr>
                <w:sz w:val="20"/>
                <w:szCs w:val="20"/>
                <w:color w:val="auto"/>
              </w:rPr>
            </w:pPr>
            <w:r>
              <w:rPr>
                <w:rFonts w:ascii="Arial" w:cs="Arial" w:eastAsia="Arial" w:hAnsi="Arial"/>
                <w:sz w:val="10"/>
                <w:szCs w:val="10"/>
                <w:color w:val="auto"/>
              </w:rPr>
              <w:t>Balances as of July 31, 2022</w:t>
            </w: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64,084,818</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14"/>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7"/>
              </w:rPr>
              <w:t>884.6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(877.6)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Stock issued under stock incentive plan</w:t>
            </w:r>
          </w:p>
        </w:tc>
        <w:tc>
          <w:tcPr>
            <w:tcW w:w="1080" w:type="dxa"/>
            <w:vAlign w:val="bottom"/>
          </w:tcPr>
          <w:p>
            <w:pPr>
              <w:jc w:val="right"/>
              <w:spacing w:after="0"/>
              <w:rPr>
                <w:sz w:val="20"/>
                <w:szCs w:val="20"/>
                <w:color w:val="auto"/>
              </w:rPr>
            </w:pPr>
            <w:r>
              <w:rPr>
                <w:rFonts w:ascii="Arial" w:cs="Arial" w:eastAsia="Arial" w:hAnsi="Arial"/>
                <w:sz w:val="10"/>
                <w:szCs w:val="10"/>
                <w:color w:val="auto"/>
              </w:rPr>
              <w:t>618,867</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5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(36.1)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(36.1)</w:t>
            </w:r>
          </w:p>
        </w:tc>
        <w:tc>
          <w:tcPr>
            <w:tcW w:w="0" w:type="dxa"/>
            <w:vAlign w:val="bottom"/>
          </w:tcPr>
          <w:p>
            <w:pPr>
              <w:spacing w:after="0"/>
              <w:rPr>
                <w:sz w:val="1"/>
                <w:szCs w:val="1"/>
                <w:color w:val="auto"/>
              </w:rPr>
            </w:pPr>
          </w:p>
        </w:tc>
      </w:tr>
      <w:tr>
        <w:trPr>
          <w:trHeight w:val="15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October 31,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64,703,685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891.2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(913.7)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(22.4)</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Condensed Consolidated Statements of Changes in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amounts, 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5580" w:type="dxa"/>
            <w:vAlign w:val="bottom"/>
          </w:tcPr>
          <w:p>
            <w:pPr>
              <w:spacing w:after="0"/>
              <w:rPr>
                <w:sz w:val="8"/>
                <w:szCs w:val="8"/>
                <w:color w:val="auto"/>
              </w:rPr>
            </w:pPr>
          </w:p>
        </w:tc>
        <w:tc>
          <w:tcPr>
            <w:tcW w:w="1980" w:type="dxa"/>
            <w:vAlign w:val="bottom"/>
            <w:gridSpan w:val="3"/>
          </w:tcPr>
          <w:p>
            <w:pPr>
              <w:jc w:val="right"/>
              <w:ind w:right="492"/>
              <w:spacing w:after="0"/>
              <w:rPr>
                <w:sz w:val="20"/>
                <w:szCs w:val="20"/>
                <w:color w:val="auto"/>
              </w:rPr>
            </w:pPr>
            <w:r>
              <w:rPr>
                <w:rFonts w:ascii="Arial" w:cs="Arial" w:eastAsia="Arial" w:hAnsi="Arial"/>
                <w:sz w:val="8"/>
                <w:szCs w:val="8"/>
                <w:b w:val="1"/>
                <w:bCs w:val="1"/>
                <w:color w:val="auto"/>
              </w:rPr>
              <w:t>Common Stock</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Arial" w:cs="Arial" w:eastAsia="Arial" w:hAnsi="Arial"/>
                <w:sz w:val="8"/>
                <w:szCs w:val="8"/>
                <w:b w:val="1"/>
                <w:bCs w:val="1"/>
                <w:color w:val="auto"/>
              </w:rPr>
              <w:t>Additional</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jc w:val="center"/>
              <w:ind w:right="114"/>
              <w:spacing w:after="0"/>
              <w:rPr>
                <w:sz w:val="20"/>
                <w:szCs w:val="20"/>
                <w:color w:val="auto"/>
              </w:rPr>
            </w:pPr>
            <w:r>
              <w:rPr>
                <w:rFonts w:ascii="Arial" w:cs="Arial" w:eastAsia="Arial" w:hAnsi="Arial"/>
                <w:sz w:val="8"/>
                <w:szCs w:val="8"/>
                <w:b w:val="1"/>
                <w:bCs w:val="1"/>
                <w:color w:val="auto"/>
                <w:w w:val="93"/>
              </w:rPr>
              <w:t>Total</w:t>
            </w:r>
          </w:p>
        </w:tc>
      </w:tr>
      <w:tr>
        <w:trPr>
          <w:trHeight w:val="42"/>
        </w:trPr>
        <w:tc>
          <w:tcPr>
            <w:tcW w:w="55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jc w:val="right"/>
              <w:ind w:right="37"/>
              <w:spacing w:after="0" w:line="43" w:lineRule="exact"/>
              <w:rPr>
                <w:sz w:val="20"/>
                <w:szCs w:val="20"/>
                <w:color w:val="auto"/>
              </w:rPr>
            </w:pPr>
            <w:r>
              <w:rPr>
                <w:rFonts w:ascii="Arial" w:cs="Arial" w:eastAsia="Arial" w:hAnsi="Arial"/>
                <w:sz w:val="4"/>
                <w:szCs w:val="4"/>
                <w:b w:val="1"/>
                <w:bCs w:val="1"/>
                <w:color w:val="auto"/>
              </w:rPr>
              <w:t>Paid-in</w:t>
            </w: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tcPr>
          <w:p>
            <w:pPr>
              <w:ind w:left="100"/>
              <w:spacing w:after="0" w:line="43" w:lineRule="exact"/>
              <w:rPr>
                <w:sz w:val="20"/>
                <w:szCs w:val="20"/>
                <w:color w:val="auto"/>
              </w:rPr>
            </w:pPr>
            <w:r>
              <w:rPr>
                <w:rFonts w:ascii="Arial" w:cs="Arial" w:eastAsia="Arial" w:hAnsi="Arial"/>
                <w:sz w:val="4"/>
                <w:szCs w:val="4"/>
                <w:b w:val="1"/>
                <w:bCs w:val="1"/>
                <w:color w:val="auto"/>
              </w:rPr>
              <w:t>Accumulated</w:t>
            </w:r>
          </w:p>
        </w:tc>
        <w:tc>
          <w:tcPr>
            <w:tcW w:w="160" w:type="dxa"/>
            <w:vAlign w:val="bottom"/>
          </w:tcPr>
          <w:p>
            <w:pPr>
              <w:spacing w:after="0"/>
              <w:rPr>
                <w:sz w:val="3"/>
                <w:szCs w:val="3"/>
                <w:color w:val="auto"/>
              </w:rPr>
            </w:pPr>
          </w:p>
        </w:tc>
        <w:tc>
          <w:tcPr>
            <w:tcW w:w="980" w:type="dxa"/>
            <w:vAlign w:val="bottom"/>
          </w:tcPr>
          <w:p>
            <w:pPr>
              <w:jc w:val="center"/>
              <w:ind w:right="114"/>
              <w:spacing w:after="0" w:line="43" w:lineRule="exact"/>
              <w:rPr>
                <w:sz w:val="20"/>
                <w:szCs w:val="20"/>
                <w:color w:val="auto"/>
              </w:rPr>
            </w:pPr>
            <w:r>
              <w:rPr>
                <w:rFonts w:ascii="Arial" w:cs="Arial" w:eastAsia="Arial" w:hAnsi="Arial"/>
                <w:sz w:val="4"/>
                <w:szCs w:val="4"/>
                <w:b w:val="1"/>
                <w:bCs w:val="1"/>
                <w:color w:val="auto"/>
              </w:rPr>
              <w:t>Stockholders’</w:t>
            </w:r>
          </w:p>
        </w:tc>
      </w:tr>
      <w:tr>
        <w:trPr>
          <w:trHeight w:val="133"/>
        </w:trPr>
        <w:tc>
          <w:tcPr>
            <w:tcW w:w="5580" w:type="dxa"/>
            <w:vAlign w:val="bottom"/>
          </w:tcPr>
          <w:p>
            <w:pPr>
              <w:spacing w:after="0"/>
              <w:rPr>
                <w:sz w:val="11"/>
                <w:szCs w:val="11"/>
                <w:color w:val="auto"/>
              </w:rPr>
            </w:pPr>
          </w:p>
        </w:tc>
        <w:tc>
          <w:tcPr>
            <w:tcW w:w="1180" w:type="dxa"/>
            <w:vAlign w:val="bottom"/>
            <w:gridSpan w:val="2"/>
          </w:tcPr>
          <w:p>
            <w:pPr>
              <w:ind w:left="400"/>
              <w:spacing w:after="0"/>
              <w:rPr>
                <w:sz w:val="20"/>
                <w:szCs w:val="20"/>
                <w:color w:val="auto"/>
              </w:rPr>
            </w:pPr>
            <w:r>
              <w:rPr>
                <w:rFonts w:ascii="Arial" w:cs="Arial" w:eastAsia="Arial" w:hAnsi="Arial"/>
                <w:sz w:val="8"/>
                <w:szCs w:val="8"/>
                <w:b w:val="1"/>
                <w:bCs w:val="1"/>
                <w:color w:val="auto"/>
              </w:rPr>
              <w:t>Shares</w:t>
            </w:r>
          </w:p>
        </w:tc>
        <w:tc>
          <w:tcPr>
            <w:tcW w:w="800" w:type="dxa"/>
            <w:vAlign w:val="bottom"/>
          </w:tcPr>
          <w:p>
            <w:pPr>
              <w:jc w:val="right"/>
              <w:ind w:right="52"/>
              <w:spacing w:after="0"/>
              <w:rPr>
                <w:sz w:val="20"/>
                <w:szCs w:val="20"/>
                <w:color w:val="auto"/>
              </w:rPr>
            </w:pPr>
            <w:r>
              <w:rPr>
                <w:rFonts w:ascii="Arial" w:cs="Arial" w:eastAsia="Arial" w:hAnsi="Arial"/>
                <w:sz w:val="8"/>
                <w:szCs w:val="8"/>
                <w:b w:val="1"/>
                <w:bCs w:val="1"/>
                <w:color w:val="auto"/>
              </w:rPr>
              <w:t>Amount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37"/>
              <w:spacing w:after="0"/>
              <w:rPr>
                <w:sz w:val="20"/>
                <w:szCs w:val="20"/>
                <w:color w:val="auto"/>
              </w:rPr>
            </w:pPr>
            <w:r>
              <w:rPr>
                <w:rFonts w:ascii="Arial" w:cs="Arial" w:eastAsia="Arial" w:hAnsi="Arial"/>
                <w:sz w:val="8"/>
                <w:szCs w:val="8"/>
                <w:b w:val="1"/>
                <w:bCs w:val="1"/>
                <w:color w:val="auto"/>
              </w:rPr>
              <w:t>Capital</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ind w:left="240"/>
              <w:spacing w:after="0"/>
              <w:rPr>
                <w:sz w:val="20"/>
                <w:szCs w:val="20"/>
                <w:color w:val="auto"/>
              </w:rPr>
            </w:pPr>
            <w:r>
              <w:rPr>
                <w:rFonts w:ascii="Arial" w:cs="Arial" w:eastAsia="Arial" w:hAnsi="Arial"/>
                <w:sz w:val="8"/>
                <w:szCs w:val="8"/>
                <w:b w:val="1"/>
                <w:bCs w:val="1"/>
                <w:color w:val="auto"/>
              </w:rPr>
              <w:t>Deficit</w:t>
            </w:r>
          </w:p>
        </w:tc>
        <w:tc>
          <w:tcPr>
            <w:tcW w:w="160" w:type="dxa"/>
            <w:vAlign w:val="bottom"/>
          </w:tcPr>
          <w:p>
            <w:pPr>
              <w:spacing w:after="0"/>
              <w:rPr>
                <w:sz w:val="11"/>
                <w:szCs w:val="11"/>
                <w:color w:val="auto"/>
              </w:rPr>
            </w:pPr>
          </w:p>
        </w:tc>
        <w:tc>
          <w:tcPr>
            <w:tcW w:w="980" w:type="dxa"/>
            <w:vAlign w:val="bottom"/>
          </w:tcPr>
          <w:p>
            <w:pPr>
              <w:jc w:val="center"/>
              <w:ind w:right="114"/>
              <w:spacing w:after="0"/>
              <w:rPr>
                <w:sz w:val="20"/>
                <w:szCs w:val="20"/>
                <w:color w:val="auto"/>
              </w:rPr>
            </w:pPr>
            <w:r>
              <w:rPr>
                <w:rFonts w:ascii="Arial" w:cs="Arial" w:eastAsia="Arial" w:hAnsi="Arial"/>
                <w:sz w:val="8"/>
                <w:szCs w:val="8"/>
                <w:b w:val="1"/>
                <w:bCs w:val="1"/>
                <w:color w:val="auto"/>
              </w:rPr>
              <w:t>Equity (Deficit)</w:t>
            </w:r>
          </w:p>
        </w:tc>
      </w:tr>
      <w:tr>
        <w:trPr>
          <w:trHeight w:val="135"/>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January 31, 2023</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65,022,787</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617"/>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904.5</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(939.9)</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(35.3)</w:t>
            </w: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Stock issued under stock incentive plan</w:t>
            </w:r>
          </w:p>
        </w:tc>
        <w:tc>
          <w:tcPr>
            <w:tcW w:w="1080" w:type="dxa"/>
            <w:vAlign w:val="bottom"/>
          </w:tcPr>
          <w:p>
            <w:pPr>
              <w:jc w:val="right"/>
              <w:spacing w:after="0"/>
              <w:rPr>
                <w:sz w:val="20"/>
                <w:szCs w:val="20"/>
                <w:color w:val="auto"/>
              </w:rPr>
            </w:pPr>
            <w:r>
              <w:rPr>
                <w:rFonts w:ascii="Arial" w:cs="Arial" w:eastAsia="Arial" w:hAnsi="Arial"/>
                <w:sz w:val="10"/>
                <w:szCs w:val="10"/>
                <w:color w:val="auto"/>
              </w:rPr>
              <w:t>4,621,270</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2"/>
        </w:trPr>
        <w:tc>
          <w:tcPr>
            <w:tcW w:w="5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21.1</w:t>
            </w: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(88.4)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(88.4)</w:t>
            </w:r>
          </w:p>
        </w:tc>
      </w:tr>
      <w:tr>
        <w:trPr>
          <w:trHeight w:val="15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October 31,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69,644,057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925.6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(1,028.3)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(102.6)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355"/>
        </w:trPr>
        <w:tc>
          <w:tcPr>
            <w:tcW w:w="558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29"/>
        </w:trPr>
        <w:tc>
          <w:tcPr>
            <w:tcW w:w="5580" w:type="dxa"/>
            <w:vAlign w:val="bottom"/>
            <w:shd w:val="clear" w:color="auto" w:fill="CCEEFF"/>
          </w:tcPr>
          <w:p>
            <w:pPr>
              <w:ind w:left="20"/>
              <w:spacing w:after="0"/>
              <w:rPr>
                <w:sz w:val="20"/>
                <w:szCs w:val="20"/>
                <w:color w:val="auto"/>
              </w:rPr>
            </w:pPr>
            <w:r>
              <w:rPr>
                <w:rFonts w:ascii="Arial" w:cs="Arial" w:eastAsia="Arial" w:hAnsi="Arial"/>
                <w:sz w:val="10"/>
                <w:szCs w:val="10"/>
                <w:color w:val="auto"/>
              </w:rPr>
              <w:t>Balances as of January 31, 2022</w:t>
            </w: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63,036,797</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17"/>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7"/>
              </w:rPr>
              <w:t>872.2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(801.2)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71.1</w:t>
            </w: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Stock issued under stock incentive plan</w:t>
            </w:r>
          </w:p>
        </w:tc>
        <w:tc>
          <w:tcPr>
            <w:tcW w:w="1080" w:type="dxa"/>
            <w:vAlign w:val="bottom"/>
          </w:tcPr>
          <w:p>
            <w:pPr>
              <w:jc w:val="right"/>
              <w:spacing w:after="0"/>
              <w:rPr>
                <w:sz w:val="20"/>
                <w:szCs w:val="20"/>
                <w:color w:val="auto"/>
              </w:rPr>
            </w:pPr>
            <w:r>
              <w:rPr>
                <w:rFonts w:ascii="Arial" w:cs="Arial" w:eastAsia="Arial" w:hAnsi="Arial"/>
                <w:sz w:val="10"/>
                <w:szCs w:val="10"/>
                <w:color w:val="auto"/>
              </w:rPr>
              <w:t>1,666,888</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2"/>
        </w:trPr>
        <w:tc>
          <w:tcPr>
            <w:tcW w:w="5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19.0</w:t>
            </w: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(112.5)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(112.5)</w:t>
            </w:r>
          </w:p>
        </w:tc>
      </w:tr>
      <w:tr>
        <w:trPr>
          <w:trHeight w:val="15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October 31,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64,703,685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891.2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(913.7)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unaudited)</w:t>
      </w:r>
    </w:p>
    <w:p>
      <w:pPr>
        <w:spacing w:after="0" w:line="202" w:lineRule="exact"/>
        <w:rPr>
          <w:sz w:val="20"/>
          <w:szCs w:val="20"/>
          <w:color w:val="auto"/>
        </w:rPr>
      </w:pPr>
    </w:p>
    <w:p>
      <w:pPr>
        <w:jc w:val="center"/>
        <w:ind w:left="8320"/>
        <w:spacing w:after="0"/>
        <w:rPr>
          <w:sz w:val="20"/>
          <w:szCs w:val="20"/>
          <w:color w:val="auto"/>
        </w:rPr>
      </w:pPr>
      <w:r>
        <w:rPr>
          <w:rFonts w:ascii="Arial" w:cs="Arial" w:eastAsia="Arial" w:hAnsi="Arial"/>
          <w:sz w:val="13"/>
          <w:szCs w:val="13"/>
          <w:b w:val="1"/>
          <w:bCs w:val="1"/>
          <w:color w:val="auto"/>
        </w:rPr>
        <w:t>Nine Months Ended</w:t>
      </w:r>
    </w:p>
    <w:p>
      <w:pPr>
        <w:jc w:val="center"/>
        <w:ind w:left="8320"/>
        <w:spacing w:after="0"/>
        <w:rPr>
          <w:sz w:val="20"/>
          <w:szCs w:val="20"/>
          <w:color w:val="auto"/>
        </w:rPr>
      </w:pPr>
      <w:r>
        <w:rPr>
          <w:rFonts w:ascii="Arial" w:cs="Arial" w:eastAsia="Arial" w:hAnsi="Arial"/>
          <w:sz w:val="13"/>
          <w:szCs w:val="13"/>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5080</wp:posOffset>
            </wp:positionV>
            <wp:extent cx="187325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73250" cy="698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2023</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75"/>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(88.4)</w:t>
            </w:r>
          </w:p>
        </w:tc>
        <w:tc>
          <w:tcPr>
            <w:tcW w:w="100" w:type="dxa"/>
            <w:vAlign w:val="bottom"/>
          </w:tcPr>
          <w:p>
            <w:pPr>
              <w:spacing w:after="0"/>
              <w:rPr>
                <w:sz w:val="16"/>
                <w:szCs w:val="16"/>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(112.5)</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Rental product depreciation and write-offs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35.9</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Write-off of rental product sold</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Other depreciation and amortization</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12.6</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(Gain) / loss from write-off of fixed assets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Loss on asset impairment related to restructuring</w:t>
            </w:r>
          </w:p>
        </w:tc>
        <w:tc>
          <w:tcPr>
            <w:tcW w:w="9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Proceeds from rental product sold</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(Gain) / loss from liquidation of rental product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Accrual of paid-in-kind interest</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Amortization of debt discount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Share-based compensation expense</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Changes in operating assets and liabilities:</w:t>
            </w: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83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Prepaid expenses and other current assets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84"/>
        </w:trPr>
        <w:tc>
          <w:tcPr>
            <w:tcW w:w="8340" w:type="dxa"/>
            <w:vAlign w:val="bottom"/>
          </w:tcPr>
          <w:p>
            <w:pPr>
              <w:ind w:left="520"/>
              <w:spacing w:after="0"/>
              <w:rPr>
                <w:sz w:val="20"/>
                <w:szCs w:val="20"/>
                <w:color w:val="auto"/>
              </w:rPr>
            </w:pPr>
            <w:r>
              <w:rPr>
                <w:rFonts w:ascii="Arial" w:cs="Arial" w:eastAsia="Arial" w:hAnsi="Arial"/>
                <w:sz w:val="13"/>
                <w:szCs w:val="13"/>
                <w:color w:val="auto"/>
              </w:rPr>
              <w:t>Operating lease right-of-use assets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98"/>
        </w:trPr>
        <w:tc>
          <w:tcPr>
            <w:tcW w:w="83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Other assets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r>
      <w:tr>
        <w:trPr>
          <w:trHeight w:val="184"/>
        </w:trPr>
        <w:tc>
          <w:tcPr>
            <w:tcW w:w="8340" w:type="dxa"/>
            <w:vAlign w:val="bottom"/>
          </w:tcPr>
          <w:p>
            <w:pPr>
              <w:ind w:left="520"/>
              <w:spacing w:after="0"/>
              <w:rPr>
                <w:sz w:val="20"/>
                <w:szCs w:val="20"/>
                <w:color w:val="auto"/>
              </w:rPr>
            </w:pPr>
            <w:r>
              <w:rPr>
                <w:rFonts w:ascii="Arial" w:cs="Arial" w:eastAsia="Arial" w:hAnsi="Arial"/>
                <w:sz w:val="13"/>
                <w:szCs w:val="13"/>
                <w:color w:val="auto"/>
              </w:rPr>
              <w:t>Accounts payable, accrued expenses and other current liabilities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0.2</w:t>
            </w:r>
          </w:p>
        </w:tc>
      </w:tr>
      <w:tr>
        <w:trPr>
          <w:trHeight w:val="198"/>
        </w:trPr>
        <w:tc>
          <w:tcPr>
            <w:tcW w:w="83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Deferred revenue and customer credit liabilities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84"/>
        </w:trPr>
        <w:tc>
          <w:tcPr>
            <w:tcW w:w="8340" w:type="dxa"/>
            <w:vAlign w:val="bottom"/>
          </w:tcPr>
          <w:p>
            <w:pPr>
              <w:ind w:left="520"/>
              <w:spacing w:after="0"/>
              <w:rPr>
                <w:sz w:val="20"/>
                <w:szCs w:val="20"/>
                <w:color w:val="auto"/>
              </w:rPr>
            </w:pPr>
            <w:r>
              <w:rPr>
                <w:rFonts w:ascii="Arial" w:cs="Arial" w:eastAsia="Arial" w:hAnsi="Arial"/>
                <w:sz w:val="13"/>
                <w:szCs w:val="13"/>
                <w:color w:val="auto"/>
              </w:rPr>
              <w:t>Operating lease liabilities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(8.1)</w:t>
            </w:r>
          </w:p>
        </w:tc>
      </w:tr>
      <w:tr>
        <w:trPr>
          <w:trHeight w:val="198"/>
        </w:trPr>
        <w:tc>
          <w:tcPr>
            <w:tcW w:w="83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Other liabilities</w:t>
            </w:r>
          </w:p>
        </w:tc>
        <w:tc>
          <w:tcPr>
            <w:tcW w:w="9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w:t>
            </w:r>
          </w:p>
        </w:tc>
      </w:tr>
      <w:tr>
        <w:trPr>
          <w:trHeight w:val="170"/>
        </w:trPr>
        <w:tc>
          <w:tcPr>
            <w:tcW w:w="8340" w:type="dxa"/>
            <w:vAlign w:val="bottom"/>
            <w:tcBorders>
              <w:bottom w:val="single" w:sz="8" w:color="CCEEFF"/>
            </w:tcBorders>
          </w:tcPr>
          <w:p>
            <w:pPr>
              <w:ind w:left="780"/>
              <w:spacing w:after="0"/>
              <w:rPr>
                <w:sz w:val="20"/>
                <w:szCs w:val="20"/>
                <w:color w:val="auto"/>
              </w:rPr>
            </w:pPr>
            <w:r>
              <w:rPr>
                <w:rFonts w:ascii="Arial" w:cs="Arial" w:eastAsia="Arial" w:hAnsi="Arial"/>
                <w:sz w:val="13"/>
                <w:szCs w:val="13"/>
                <w:color w:val="auto"/>
              </w:rPr>
              <w:t>Net cash (used in) provided by operating activities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(39.4)</w:t>
            </w: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Purchases of rental product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(43.6)</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liquidation of rental product</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Proceeds from sale of rental product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13.7</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fixed and intangible assets</w:t>
            </w:r>
          </w:p>
        </w:tc>
        <w:tc>
          <w:tcPr>
            <w:tcW w:w="9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w:t>
            </w:r>
          </w:p>
        </w:tc>
      </w:tr>
      <w:tr>
        <w:trPr>
          <w:trHeight w:val="170"/>
        </w:trPr>
        <w:tc>
          <w:tcPr>
            <w:tcW w:w="8340" w:type="dxa"/>
            <w:vAlign w:val="bottom"/>
            <w:tcBorders>
              <w:bottom w:val="single" w:sz="8" w:color="CCEEFF"/>
            </w:tcBorders>
          </w:tcPr>
          <w:p>
            <w:pPr>
              <w:ind w:left="780"/>
              <w:spacing w:after="0"/>
              <w:rPr>
                <w:sz w:val="20"/>
                <w:szCs w:val="20"/>
                <w:color w:val="auto"/>
              </w:rPr>
            </w:pPr>
            <w:r>
              <w:rPr>
                <w:rFonts w:ascii="Arial" w:cs="Arial" w:eastAsia="Arial" w:hAnsi="Arial"/>
                <w:sz w:val="13"/>
                <w:szCs w:val="13"/>
                <w:color w:val="auto"/>
              </w:rPr>
              <w:t>Net cash (used in) provided by investing activities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w:t>
            </w:r>
          </w:p>
        </w:tc>
      </w:tr>
      <w:tr>
        <w:trPr>
          <w:trHeight w:val="151"/>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9"/>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financing payments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r>
      <w:tr>
        <w:trPr>
          <w:trHeight w:val="162"/>
        </w:trPr>
        <w:tc>
          <w:tcPr>
            <w:tcW w:w="8340" w:type="dxa"/>
            <w:vAlign w:val="bottom"/>
            <w:shd w:val="clear" w:color="auto" w:fill="CCEEFF"/>
          </w:tcPr>
          <w:p>
            <w:pPr>
              <w:ind w:left="780"/>
              <w:spacing w:after="0"/>
              <w:rPr>
                <w:sz w:val="20"/>
                <w:szCs w:val="20"/>
                <w:color w:val="auto"/>
              </w:rPr>
            </w:pPr>
            <w:r>
              <w:rPr>
                <w:rFonts w:ascii="Arial" w:cs="Arial" w:eastAsia="Arial" w:hAnsi="Arial"/>
                <w:sz w:val="13"/>
                <w:szCs w:val="13"/>
                <w:color w:val="auto"/>
              </w:rPr>
              <w:t>Net cash (used in) provided by financing activities</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59"/>
        </w:trPr>
        <w:tc>
          <w:tcPr>
            <w:tcW w:w="8340" w:type="dxa"/>
            <w:vAlign w:val="bottom"/>
          </w:tcPr>
          <w:p>
            <w:pPr>
              <w:ind w:left="20"/>
              <w:spacing w:after="0"/>
              <w:rPr>
                <w:sz w:val="20"/>
                <w:szCs w:val="20"/>
                <w:color w:val="auto"/>
              </w:rPr>
            </w:pPr>
            <w:r>
              <w:rPr>
                <w:rFonts w:ascii="Arial" w:cs="Arial" w:eastAsia="Arial" w:hAnsi="Arial"/>
                <w:sz w:val="13"/>
                <w:szCs w:val="13"/>
                <w:color w:val="auto"/>
              </w:rPr>
              <w:t>Net (decrease) increase in cash and cash equivalents and restricted cash</w:t>
            </w: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(47.7)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(73.7)</w:t>
            </w:r>
          </w:p>
        </w:tc>
      </w:tr>
      <w:tr>
        <w:trPr>
          <w:trHeight w:val="170"/>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and restricted cash at beginning of period</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259.6</w:t>
            </w:r>
          </w:p>
        </w:tc>
      </w:tr>
      <w:tr>
        <w:trPr>
          <w:trHeight w:val="162"/>
        </w:trPr>
        <w:tc>
          <w:tcPr>
            <w:tcW w:w="8340" w:type="dxa"/>
            <w:vAlign w:val="bottom"/>
          </w:tcPr>
          <w:p>
            <w:pPr>
              <w:ind w:left="20"/>
              <w:spacing w:after="0"/>
              <w:rPr>
                <w:sz w:val="20"/>
                <w:szCs w:val="20"/>
                <w:color w:val="auto"/>
              </w:rPr>
            </w:pPr>
            <w:r>
              <w:rPr>
                <w:rFonts w:ascii="Arial" w:cs="Arial" w:eastAsia="Arial" w:hAnsi="Arial"/>
                <w:sz w:val="13"/>
                <w:szCs w:val="13"/>
                <w:color w:val="auto"/>
              </w:rPr>
              <w:t>Cash and cash equivalents and restricted cash at end of period</w:t>
            </w:r>
          </w:p>
        </w:tc>
        <w:tc>
          <w:tcPr>
            <w:tcW w:w="960" w:type="dxa"/>
            <w:vAlign w:val="bottom"/>
            <w:tcBorders>
              <w:bottom w:val="single" w:sz="8" w:color="auto"/>
            </w:tcBorders>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185.9</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unaudited)</w:t>
      </w:r>
    </w:p>
    <w:p>
      <w:pPr>
        <w:spacing w:after="0" w:line="223" w:lineRule="exact"/>
        <w:rPr>
          <w:sz w:val="20"/>
          <w:szCs w:val="20"/>
          <w:color w:val="auto"/>
        </w:rPr>
      </w:pPr>
    </w:p>
    <w:p>
      <w:pPr>
        <w:jc w:val="center"/>
        <w:ind w:left="8320"/>
        <w:spacing w:after="0"/>
        <w:rPr>
          <w:sz w:val="20"/>
          <w:szCs w:val="20"/>
          <w:color w:val="auto"/>
        </w:rPr>
      </w:pPr>
      <w:r>
        <w:rPr>
          <w:rFonts w:ascii="Arial" w:cs="Arial" w:eastAsia="Arial" w:hAnsi="Arial"/>
          <w:sz w:val="13"/>
          <w:szCs w:val="13"/>
          <w:b w:val="1"/>
          <w:bCs w:val="1"/>
          <w:color w:val="auto"/>
        </w:rPr>
        <w:t>Nine Months Ended</w:t>
      </w:r>
    </w:p>
    <w:p>
      <w:pPr>
        <w:spacing w:after="0" w:line="11" w:lineRule="exact"/>
        <w:rPr>
          <w:sz w:val="20"/>
          <w:szCs w:val="20"/>
          <w:color w:val="auto"/>
        </w:rPr>
      </w:pPr>
    </w:p>
    <w:p>
      <w:pPr>
        <w:jc w:val="center"/>
        <w:ind w:left="8320"/>
        <w:spacing w:after="0"/>
        <w:rPr>
          <w:sz w:val="20"/>
          <w:szCs w:val="20"/>
          <w:color w:val="auto"/>
        </w:rPr>
      </w:pPr>
      <w:r>
        <w:rPr>
          <w:rFonts w:ascii="Arial" w:cs="Arial" w:eastAsia="Arial" w:hAnsi="Arial"/>
          <w:sz w:val="13"/>
          <w:szCs w:val="13"/>
          <w:b w:val="1"/>
          <w:bCs w:val="1"/>
          <w:color w:val="auto"/>
        </w:rPr>
        <w:t>October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4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2023</w:t>
            </w: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71"/>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Reconciliation of Cash and Cash Equivalents and Restricted Cash to the Condensed Consolidated Balance Sheets: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960" w:type="dxa"/>
            <w:vAlign w:val="bottom"/>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105.9</w:t>
            </w:r>
          </w:p>
        </w:tc>
        <w:tc>
          <w:tcPr>
            <w:tcW w:w="100" w:type="dxa"/>
            <w:vAlign w:val="bottom"/>
          </w:tcPr>
          <w:p>
            <w:pPr>
              <w:spacing w:after="0"/>
              <w:rPr>
                <w:sz w:val="16"/>
                <w:szCs w:val="16"/>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176.0</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current</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84"/>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noncurrent</w:t>
            </w: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w:t>
            </w:r>
          </w:p>
        </w:tc>
      </w:tr>
      <w:tr>
        <w:trPr>
          <w:trHeight w:val="19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cash and cash equivalents and restricted cash</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1"/>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Cash Flow Information:</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Cash payments (receipts) for:</w:t>
            </w: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Fixed operating lease payments, net</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r>
      <w:tr>
        <w:trPr>
          <w:trHeight w:val="184"/>
        </w:trPr>
        <w:tc>
          <w:tcPr>
            <w:tcW w:w="8340" w:type="dxa"/>
            <w:vAlign w:val="bottom"/>
          </w:tcPr>
          <w:p>
            <w:pPr>
              <w:ind w:left="360"/>
              <w:spacing w:after="0"/>
              <w:rPr>
                <w:sz w:val="20"/>
                <w:szCs w:val="20"/>
                <w:color w:val="auto"/>
              </w:rPr>
            </w:pPr>
            <w:r>
              <w:rPr>
                <w:rFonts w:ascii="Arial" w:cs="Arial" w:eastAsia="Arial" w:hAnsi="Arial"/>
                <w:sz w:val="13"/>
                <w:szCs w:val="13"/>
                <w:color w:val="auto"/>
              </w:rPr>
              <w:t>Fixed assets and intangibles received in the prior period</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0.8</w:t>
            </w:r>
          </w:p>
        </w:tc>
      </w:tr>
      <w:tr>
        <w:trPr>
          <w:trHeight w:val="198"/>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Rental product received in the prior period</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r>
      <w:tr>
        <w:trPr>
          <w:trHeight w:val="169"/>
        </w:trPr>
        <w:tc>
          <w:tcPr>
            <w:tcW w:w="8340" w:type="dxa"/>
            <w:vAlign w:val="bottom"/>
          </w:tcPr>
          <w:p>
            <w:pPr>
              <w:ind w:left="180"/>
              <w:spacing w:after="0"/>
              <w:rPr>
                <w:sz w:val="20"/>
                <w:szCs w:val="20"/>
                <w:color w:val="auto"/>
              </w:rPr>
            </w:pPr>
            <w:r>
              <w:rPr>
                <w:rFonts w:ascii="Arial" w:cs="Arial" w:eastAsia="Arial" w:hAnsi="Arial"/>
                <w:sz w:val="13"/>
                <w:szCs w:val="13"/>
                <w:color w:val="auto"/>
              </w:rPr>
              <w:t>Non-cash financing and investing activities:</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2"/>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Financing lease right-of-use asset amortization</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r>
      <w:tr>
        <w:trPr>
          <w:trHeight w:val="184"/>
        </w:trPr>
        <w:tc>
          <w:tcPr>
            <w:tcW w:w="8340" w:type="dxa"/>
            <w:vAlign w:val="bottom"/>
          </w:tcPr>
          <w:p>
            <w:pPr>
              <w:ind w:left="360"/>
              <w:spacing w:after="0"/>
              <w:rPr>
                <w:sz w:val="20"/>
                <w:szCs w:val="20"/>
                <w:color w:val="auto"/>
              </w:rPr>
            </w:pPr>
            <w:r>
              <w:rPr>
                <w:rFonts w:ascii="Arial" w:cs="Arial" w:eastAsia="Arial" w:hAnsi="Arial"/>
                <w:sz w:val="13"/>
                <w:szCs w:val="13"/>
                <w:color w:val="auto"/>
              </w:rPr>
              <w:t>ROU assets obtained in exchange for lease liabilities</w:t>
            </w:r>
          </w:p>
        </w:tc>
        <w:tc>
          <w:tcPr>
            <w:tcW w:w="9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98"/>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Adjustments to ROU assets or lease liabilities due to modification or other reassessment events to operating and finance leases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84"/>
        </w:trPr>
        <w:tc>
          <w:tcPr>
            <w:tcW w:w="8340" w:type="dxa"/>
            <w:vAlign w:val="bottom"/>
          </w:tcPr>
          <w:p>
            <w:pPr>
              <w:ind w:left="360"/>
              <w:spacing w:after="0"/>
              <w:rPr>
                <w:sz w:val="20"/>
                <w:szCs w:val="20"/>
                <w:color w:val="auto"/>
              </w:rPr>
            </w:pPr>
            <w:r>
              <w:rPr>
                <w:rFonts w:ascii="Arial" w:cs="Arial" w:eastAsia="Arial" w:hAnsi="Arial"/>
                <w:sz w:val="13"/>
                <w:szCs w:val="13"/>
                <w:color w:val="auto"/>
              </w:rPr>
              <w:t>Purchases of fixed assets and intangibles not yet settled</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0.8</w:t>
            </w:r>
          </w:p>
        </w:tc>
      </w:tr>
      <w:tr>
        <w:trPr>
          <w:trHeight w:val="198"/>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Purchases of rental product not yet settled</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r>
      <w:tr>
        <w:trPr>
          <w:trHeight w:val="169"/>
        </w:trPr>
        <w:tc>
          <w:tcPr>
            <w:tcW w:w="8340" w:type="dxa"/>
            <w:vAlign w:val="bottom"/>
          </w:tcPr>
          <w:p>
            <w:pPr>
              <w:ind w:left="180"/>
              <w:spacing w:after="0"/>
              <w:rPr>
                <w:sz w:val="20"/>
                <w:szCs w:val="20"/>
                <w:color w:val="auto"/>
              </w:rPr>
            </w:pPr>
            <w:r>
              <w:rPr>
                <w:rFonts w:ascii="Arial" w:cs="Arial" w:eastAsia="Arial" w:hAnsi="Arial"/>
                <w:sz w:val="13"/>
                <w:szCs w:val="13"/>
                <w:color w:val="auto"/>
              </w:rPr>
              <w:t>Reconciliation of loss on asset impairment:</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2"/>
        </w:trPr>
        <w:tc>
          <w:tcPr>
            <w:tcW w:w="83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Accrued expense related to the loss on asset impairment</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04" w:lineRule="exact"/>
        <w:rPr>
          <w:sz w:val="20"/>
          <w:szCs w:val="20"/>
          <w:color w:val="auto"/>
        </w:rPr>
      </w:pPr>
    </w:p>
    <w:p>
      <w:pPr>
        <w:ind w:left="380" w:hanging="375"/>
        <w:spacing w:after="0"/>
        <w:tabs>
          <w:tab w:leader="none" w:pos="38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Business</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w:t>
      </w:r>
    </w:p>
    <w:p>
      <w:pPr>
        <w:spacing w:after="0" w:line="93" w:lineRule="exact"/>
        <w:rPr>
          <w:rFonts w:ascii="Arial" w:cs="Arial" w:eastAsia="Arial" w:hAnsi="Arial"/>
          <w:sz w:val="14"/>
          <w:szCs w:val="14"/>
          <w:b w:val="1"/>
          <w:bCs w:val="1"/>
          <w:color w:val="auto"/>
        </w:rPr>
      </w:pPr>
    </w:p>
    <w:p>
      <w:pPr>
        <w:ind w:left="380" w:right="8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Rent the Runway, Inc.’s (the “Company”) mission is to power women to feel their best every day. Launched in November 2009, the Company has built the world’s first and largest shared designer closet with thousands of styles by hundreds of brand partners. The Company gives customers access to its “unlimited closet” through its subscription offering (“Subscription”) or the ability to rent a-la-carte through its reserve offering (“Reserve”). The Company’s corporate headquarters is located in Brooklyn, New York and the operational facilities are located in Secaucus, New Jersey, and Arlington, Texas. Its wholly-owned subsidiary, Rent the Runway Limited, is located in Galway, Ireland, and is focused on software development and support activities.</w:t>
      </w:r>
    </w:p>
    <w:p>
      <w:pPr>
        <w:spacing w:after="0" w:line="139" w:lineRule="exact"/>
        <w:rPr>
          <w:rFonts w:ascii="Arial" w:cs="Arial" w:eastAsia="Arial" w:hAnsi="Arial"/>
          <w:sz w:val="14"/>
          <w:szCs w:val="14"/>
          <w:b w:val="1"/>
          <w:bCs w:val="1"/>
          <w:color w:val="auto"/>
        </w:rPr>
      </w:pPr>
    </w:p>
    <w:p>
      <w:pPr>
        <w:ind w:left="380" w:right="8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205" w:lineRule="exact"/>
        <w:rPr>
          <w:rFonts w:ascii="Arial" w:cs="Arial" w:eastAsia="Arial" w:hAnsi="Arial"/>
          <w:sz w:val="14"/>
          <w:szCs w:val="14"/>
          <w:b w:val="1"/>
          <w:bCs w:val="1"/>
          <w:color w:val="auto"/>
        </w:rPr>
      </w:pPr>
    </w:p>
    <w:p>
      <w:pPr>
        <w:ind w:left="380" w:right="7940" w:hanging="375"/>
        <w:spacing w:after="0" w:line="379" w:lineRule="auto"/>
        <w:tabs>
          <w:tab w:leader="none" w:pos="371"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Basis of Presentation</w:t>
      </w:r>
    </w:p>
    <w:p>
      <w:pPr>
        <w:ind w:left="380" w:right="42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accompanying unaudited condensed consolidated financial statements include the accounts of the Company and its subsidiary. All intercompany accounts and transactions have been eliminated in consolidation. The Company’s condensed consolidated financial statements were prepared in accordance with generally accepted accounting principles in the United States (“U.S. GAAP”).</w:t>
      </w:r>
    </w:p>
    <w:p>
      <w:pPr>
        <w:spacing w:after="0" w:line="48" w:lineRule="exact"/>
        <w:rPr>
          <w:rFonts w:ascii="Arial" w:cs="Arial" w:eastAsia="Arial" w:hAnsi="Arial"/>
          <w:sz w:val="14"/>
          <w:szCs w:val="14"/>
          <w:b w:val="1"/>
          <w:bCs w:val="1"/>
          <w:color w:val="auto"/>
        </w:rPr>
      </w:pPr>
    </w:p>
    <w:p>
      <w:pPr>
        <w:ind w:left="380" w:right="22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unaudited interim condensed consolidated financial statements and related disclosures have been prepared by management on a basis consistent with the annual consolidated financial statements and, in the opinion of management, include all adjustments necessary for a fair statement of the results for the interim periods presented.</w:t>
      </w:r>
    </w:p>
    <w:p>
      <w:pPr>
        <w:spacing w:after="0" w:line="35" w:lineRule="exact"/>
        <w:rPr>
          <w:rFonts w:ascii="Arial" w:cs="Arial" w:eastAsia="Arial" w:hAnsi="Arial"/>
          <w:sz w:val="14"/>
          <w:szCs w:val="14"/>
          <w:b w:val="1"/>
          <w:bCs w:val="1"/>
          <w:color w:val="auto"/>
        </w:rPr>
      </w:pPr>
    </w:p>
    <w:p>
      <w:pPr>
        <w:ind w:left="380" w:right="2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The results for the three and nine months ended October 31, 2023 are not necessarily indicative of the operating results expected for the year ending January 31, 2024 or any future period. The condensed consolidated balance sheet as of January 31, 2023 is derived from the audited consolidated financial statements. Certain information and notes normally included in financial statements prepared in accordance with U.S. GAAP have been condensed or omitted under the Securities and Exchange Commission’s (the “SEC”) rules and regulations. Accordingly, the unaudited condensed consolidated financial statements and notes included herein should be read in conjunction with the Company’s audited consolidated financial statements and notes for the year ended January 31, 2023, which can be found in the Company’s Annual Report on Form 10-K filed with the SEC on April 13, 2023.</w:t>
      </w:r>
    </w:p>
    <w:p>
      <w:pPr>
        <w:spacing w:after="0" w:line="226"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Fiscal Year</w:t>
      </w:r>
    </w:p>
    <w:p>
      <w:pPr>
        <w:spacing w:after="0" w:line="93" w:lineRule="exact"/>
        <w:rPr>
          <w:rFonts w:ascii="Arial" w:cs="Arial" w:eastAsia="Arial" w:hAnsi="Arial"/>
          <w:sz w:val="14"/>
          <w:szCs w:val="14"/>
          <w:b w:val="1"/>
          <w:bCs w:val="1"/>
          <w:color w:val="auto"/>
        </w:rPr>
      </w:pPr>
    </w:p>
    <w:p>
      <w:pPr>
        <w:ind w:left="380" w:right="44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Company operates on a fiscal calendar ending January 31. All references to fiscal year 2022 reflect the results of the 12-month period ended January 31, 2023. All references to fiscal year 2023 reflect the results of the 12-month period ending January 31, 2024.</w:t>
      </w:r>
    </w:p>
    <w:p>
      <w:pPr>
        <w:spacing w:after="0" w:line="205"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Segment Information</w:t>
      </w:r>
    </w:p>
    <w:p>
      <w:pPr>
        <w:spacing w:after="0" w:line="93" w:lineRule="exact"/>
        <w:rPr>
          <w:rFonts w:ascii="Arial" w:cs="Arial" w:eastAsia="Arial" w:hAnsi="Arial"/>
          <w:sz w:val="14"/>
          <w:szCs w:val="14"/>
          <w:b w:val="1"/>
          <w:bCs w:val="1"/>
          <w:color w:val="auto"/>
        </w:rPr>
      </w:pPr>
    </w:p>
    <w:p>
      <w:pPr>
        <w:ind w:left="38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All revenue is attributed to customers based in the United States and substantially all the Company’s long-lived assets are located in the United States.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Use of Estimates</w:t>
      </w:r>
    </w:p>
    <w:p>
      <w:pPr>
        <w:spacing w:after="0" w:line="94" w:lineRule="exact"/>
        <w:rPr>
          <w:sz w:val="20"/>
          <w:szCs w:val="20"/>
          <w:color w:val="auto"/>
        </w:rPr>
      </w:pPr>
    </w:p>
    <w:p>
      <w:pPr>
        <w:ind w:left="380" w:right="40"/>
        <w:spacing w:after="0" w:line="262"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to determine lease liabilities, valuation of share-based compensation and warrants, and recoverability of long-lived assets.</w:t>
      </w:r>
    </w:p>
    <w:p>
      <w:pPr>
        <w:spacing w:after="0" w:line="140" w:lineRule="exact"/>
        <w:rPr>
          <w:sz w:val="20"/>
          <w:szCs w:val="20"/>
          <w:color w:val="auto"/>
        </w:rPr>
      </w:pPr>
    </w:p>
    <w:p>
      <w:pPr>
        <w:ind w:left="380" w:right="320"/>
        <w:spacing w:after="0" w:line="271" w:lineRule="auto"/>
        <w:rPr>
          <w:sz w:val="20"/>
          <w:szCs w:val="20"/>
          <w:color w:val="auto"/>
        </w:rPr>
      </w:pPr>
      <w:r>
        <w:rPr>
          <w:rFonts w:ascii="Arial" w:cs="Arial" w:eastAsia="Arial" w:hAnsi="Arial"/>
          <w:sz w:val="14"/>
          <w:szCs w:val="14"/>
          <w:color w:val="auto"/>
        </w:rPr>
        <w:t>As of October 31, 2023, the effects of the macroeconomic environment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Concentrations of Credit Risks</w:t>
      </w:r>
    </w:p>
    <w:p>
      <w:pPr>
        <w:spacing w:after="0" w:line="94" w:lineRule="exact"/>
        <w:rPr>
          <w:sz w:val="20"/>
          <w:szCs w:val="20"/>
          <w:color w:val="auto"/>
        </w:rPr>
      </w:pPr>
    </w:p>
    <w:p>
      <w:pPr>
        <w:ind w:left="380" w:right="480"/>
        <w:spacing w:after="0" w:line="290"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 single customer accounted for more than 5% of the Company’s revenue during the three or nine months ended October 31, 2023 and 2022.</w:t>
      </w:r>
    </w:p>
    <w:p>
      <w:pPr>
        <w:spacing w:after="0" w:line="2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Fair Value Measurements and Financial Instruments</w:t>
      </w:r>
    </w:p>
    <w:p>
      <w:pPr>
        <w:spacing w:after="0" w:line="94" w:lineRule="exact"/>
        <w:rPr>
          <w:sz w:val="20"/>
          <w:szCs w:val="20"/>
          <w:color w:val="auto"/>
        </w:rPr>
      </w:pPr>
    </w:p>
    <w:p>
      <w:pPr>
        <w:ind w:left="380"/>
        <w:spacing w:after="0" w:line="271" w:lineRule="auto"/>
        <w:rPr>
          <w:sz w:val="20"/>
          <w:szCs w:val="20"/>
          <w:color w:val="auto"/>
        </w:rPr>
      </w:pPr>
      <w:r>
        <w:rPr>
          <w:rFonts w:ascii="Arial" w:cs="Arial" w:eastAsia="Arial" w:hAnsi="Arial"/>
          <w:sz w:val="14"/>
          <w:szCs w:val="14"/>
          <w:color w:val="auto"/>
        </w:rPr>
        <w:t>Fair value accounting is applied for all financial assets and liabilities and non-financial assets and liabilities that are recognized or disclosed at fair value in the condensed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134" w:lineRule="exact"/>
        <w:rPr>
          <w:sz w:val="20"/>
          <w:szCs w:val="20"/>
          <w:color w:val="auto"/>
        </w:rPr>
      </w:pPr>
    </w:p>
    <w:p>
      <w:pPr>
        <w:ind w:left="380" w:right="220"/>
        <w:spacing w:after="0" w:line="271" w:lineRule="auto"/>
        <w:rPr>
          <w:sz w:val="20"/>
          <w:szCs w:val="20"/>
          <w:color w:val="auto"/>
        </w:rPr>
      </w:pPr>
      <w:r>
        <w:rPr>
          <w:rFonts w:ascii="Arial" w:cs="Arial" w:eastAsia="Arial" w:hAnsi="Arial"/>
          <w:sz w:val="14"/>
          <w:szCs w:val="14"/>
          <w:color w:val="auto"/>
        </w:rPr>
        <w:t>Assets and liabilities recorded at fair value in the condensed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34"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1:</w:t>
        <w:tab/>
        <w:t>Observable inputs, such as quoted prices in active markets for identical assets and liabilities.</w:t>
      </w:r>
    </w:p>
    <w:p>
      <w:pPr>
        <w:spacing w:after="0" w:line="17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2:</w:t>
        <w:tab/>
        <w:t>Inputs other than the quoted prices in active markets that are observable either directly or indirectly.</w:t>
      </w:r>
    </w:p>
    <w:p>
      <w:pPr>
        <w:spacing w:after="0" w:line="17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3:</w:t>
        <w:tab/>
        <w:t>Unobservable inputs, in which there is little or no market data which require the Company to develop its own assumptions.</w:t>
      </w:r>
    </w:p>
    <w:p>
      <w:pPr>
        <w:spacing w:after="0" w:line="179" w:lineRule="exact"/>
        <w:rPr>
          <w:sz w:val="20"/>
          <w:szCs w:val="20"/>
          <w:color w:val="auto"/>
        </w:rPr>
      </w:pPr>
    </w:p>
    <w:p>
      <w:pPr>
        <w:ind w:left="380" w:right="80"/>
        <w:spacing w:after="0" w:line="265" w:lineRule="auto"/>
        <w:rPr>
          <w:sz w:val="20"/>
          <w:szCs w:val="20"/>
          <w:color w:val="auto"/>
        </w:rPr>
      </w:pPr>
      <w:r>
        <w:rPr>
          <w:rFonts w:ascii="Arial" w:cs="Arial" w:eastAsia="Arial" w:hAnsi="Arial"/>
          <w:sz w:val="14"/>
          <w:szCs w:val="14"/>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 The categorization of financial instruments within the valuation hierarchy is based upon the lowest level of input that is significant to the fair value measurement.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84"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Prepaid Expenses and Other Current Assets</w:t>
      </w:r>
    </w:p>
    <w:p>
      <w:pPr>
        <w:spacing w:after="0" w:line="94" w:lineRule="exact"/>
        <w:rPr>
          <w:sz w:val="20"/>
          <w:szCs w:val="20"/>
          <w:color w:val="auto"/>
        </w:rPr>
      </w:pPr>
    </w:p>
    <w:p>
      <w:pPr>
        <w:ind w:left="380" w:right="220"/>
        <w:spacing w:after="0" w:line="290" w:lineRule="auto"/>
        <w:rPr>
          <w:sz w:val="20"/>
          <w:szCs w:val="20"/>
          <w:color w:val="auto"/>
        </w:rPr>
      </w:pPr>
      <w:r>
        <w:rPr>
          <w:rFonts w:ascii="Arial" w:cs="Arial" w:eastAsia="Arial" w:hAnsi="Arial"/>
          <w:sz w:val="14"/>
          <w:szCs w:val="14"/>
          <w:color w:val="auto"/>
        </w:rPr>
        <w:t>Prepaid expenses and other current assets consist primarily of accounts receivable, net, interest receivable, prepaid insurance, prepaid technology expenses and prepaid taxes.</w:t>
      </w:r>
    </w:p>
    <w:p>
      <w:pPr>
        <w:spacing w:after="0" w:line="141" w:lineRule="exact"/>
        <w:rPr>
          <w:sz w:val="20"/>
          <w:szCs w:val="20"/>
          <w:color w:val="auto"/>
        </w:rPr>
      </w:pPr>
    </w:p>
    <w:p>
      <w:pPr>
        <w:ind w:left="380" w:right="60"/>
        <w:spacing w:after="0" w:line="262" w:lineRule="auto"/>
        <w:rPr>
          <w:sz w:val="20"/>
          <w:szCs w:val="20"/>
          <w:color w:val="auto"/>
        </w:rPr>
      </w:pPr>
      <w:r>
        <w:rPr>
          <w:rFonts w:ascii="Arial" w:cs="Arial" w:eastAsia="Arial" w:hAnsi="Arial"/>
          <w:sz w:val="14"/>
          <w:szCs w:val="14"/>
          <w:color w:val="auto"/>
        </w:rPr>
        <w:t>Accounts receivable, net consists primarily of amounts due from third party liquidation and Exclusive Design wholesale partners that do not bear interest. The Company records an allowance for doubtful accounts taking into consideration historical losses adjusted for current market conditions, the financial condition of the customer, the amount of receivables in dispute, and the current receivables aging and payment patterns. Accounts receivable, net was immaterial and $4.0 million as of October 31, 2023 and January 31, 2023, respectively. The allowance for doubtful accounts was immaterial as of January 31, 2023. As of January 31, 2023, one third party partner represented the majority of the Company’s accounts receivable balance.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Rental Product, Net</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considers rental product to be a long-term productive asset and, as such, classifies it as a noncurrent asset on the condensed consolidated balance sheets.</w:t>
      </w:r>
    </w:p>
    <w:p>
      <w:pPr>
        <w:spacing w:after="0" w:line="179" w:lineRule="exact"/>
        <w:rPr>
          <w:sz w:val="20"/>
          <w:szCs w:val="20"/>
          <w:color w:val="auto"/>
        </w:rPr>
      </w:pPr>
    </w:p>
    <w:p>
      <w:pPr>
        <w:jc w:val="both"/>
        <w:ind w:left="380" w:right="20"/>
        <w:spacing w:after="0" w:line="271" w:lineRule="auto"/>
        <w:rPr>
          <w:sz w:val="20"/>
          <w:szCs w:val="20"/>
          <w:color w:val="auto"/>
        </w:rPr>
      </w:pPr>
      <w:r>
        <w:rPr>
          <w:rFonts w:ascii="Arial" w:cs="Arial" w:eastAsia="Arial" w:hAnsi="Arial"/>
          <w:sz w:val="14"/>
          <w:szCs w:val="14"/>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p>
    <w:p>
      <w:pPr>
        <w:spacing w:after="0" w:line="174" w:lineRule="exact"/>
        <w:rPr>
          <w:sz w:val="20"/>
          <w:szCs w:val="20"/>
          <w:color w:val="auto"/>
        </w:rPr>
      </w:pPr>
    </w:p>
    <w:tbl>
      <w:tblPr>
        <w:tblLayout w:type="fixed"/>
        <w:tblInd w:w="400" w:type="dxa"/>
        <w:tblCellMar>
          <w:top w:w="0" w:type="dxa"/>
          <w:left w:w="0" w:type="dxa"/>
          <w:bottom w:w="0" w:type="dxa"/>
          <w:right w:w="0" w:type="dxa"/>
        </w:tblCellMar>
      </w:tblPr>
      <w:tr>
        <w:trPr>
          <w:trHeight w:val="154"/>
        </w:trPr>
        <w:tc>
          <w:tcPr>
            <w:tcW w:w="7120" w:type="dxa"/>
            <w:vAlign w:val="bottom"/>
          </w:tcPr>
          <w:p>
            <w:pPr>
              <w:spacing w:after="0"/>
              <w:rPr>
                <w:sz w:val="13"/>
                <w:szCs w:val="13"/>
                <w:color w:val="auto"/>
              </w:rPr>
            </w:pPr>
          </w:p>
        </w:tc>
        <w:tc>
          <w:tcPr>
            <w:tcW w:w="1500" w:type="dxa"/>
            <w:vAlign w:val="bottom"/>
            <w:gridSpan w:val="2"/>
          </w:tcPr>
          <w:p>
            <w:pPr>
              <w:ind w:left="420"/>
              <w:spacing w:after="0"/>
              <w:rPr>
                <w:sz w:val="20"/>
                <w:szCs w:val="20"/>
                <w:color w:val="auto"/>
              </w:rPr>
            </w:pPr>
            <w:r>
              <w:rPr>
                <w:rFonts w:ascii="Arial" w:cs="Arial" w:eastAsia="Arial" w:hAnsi="Arial"/>
                <w:sz w:val="11"/>
                <w:szCs w:val="11"/>
                <w:b w:val="1"/>
                <w:bCs w:val="1"/>
                <w:color w:val="auto"/>
              </w:rPr>
              <w:t>Useful Life</w:t>
            </w:r>
          </w:p>
        </w:tc>
        <w:tc>
          <w:tcPr>
            <w:tcW w:w="1560" w:type="dxa"/>
            <w:vAlign w:val="bottom"/>
          </w:tcPr>
          <w:p>
            <w:pPr>
              <w:jc w:val="right"/>
              <w:ind w:right="334"/>
              <w:spacing w:after="0"/>
              <w:rPr>
                <w:sz w:val="20"/>
                <w:szCs w:val="20"/>
                <w:color w:val="auto"/>
              </w:rPr>
            </w:pPr>
            <w:r>
              <w:rPr>
                <w:rFonts w:ascii="Arial" w:cs="Arial" w:eastAsia="Arial" w:hAnsi="Arial"/>
                <w:sz w:val="11"/>
                <w:szCs w:val="11"/>
                <w:b w:val="1"/>
                <w:bCs w:val="1"/>
                <w:color w:val="auto"/>
              </w:rPr>
              <w:t>Salvage Value</w:t>
            </w:r>
          </w:p>
        </w:tc>
      </w:tr>
      <w:tr>
        <w:trPr>
          <w:trHeight w:val="167"/>
        </w:trPr>
        <w:tc>
          <w:tcPr>
            <w:tcW w:w="7120" w:type="dxa"/>
            <w:vAlign w:val="bottom"/>
          </w:tcPr>
          <w:p>
            <w:pPr>
              <w:spacing w:after="0"/>
              <w:rPr>
                <w:sz w:val="20"/>
                <w:szCs w:val="20"/>
                <w:color w:val="auto"/>
              </w:rPr>
            </w:pPr>
            <w:r>
              <w:rPr>
                <w:rFonts w:ascii="Arial" w:cs="Arial" w:eastAsia="Arial" w:hAnsi="Arial"/>
                <w:sz w:val="14"/>
                <w:szCs w:val="14"/>
                <w:color w:val="auto"/>
              </w:rPr>
              <w:t>Apparel</w:t>
            </w:r>
          </w:p>
        </w:tc>
        <w:tc>
          <w:tcPr>
            <w:tcW w:w="1420" w:type="dxa"/>
            <w:vAlign w:val="bottom"/>
            <w:tcBorders>
              <w:top w:val="single" w:sz="8" w:color="auto"/>
            </w:tcBorders>
          </w:tcPr>
          <w:p>
            <w:pPr>
              <w:ind w:left="940"/>
              <w:spacing w:after="0"/>
              <w:rPr>
                <w:sz w:val="20"/>
                <w:szCs w:val="20"/>
                <w:color w:val="auto"/>
              </w:rPr>
            </w:pPr>
            <w:r>
              <w:rPr>
                <w:rFonts w:ascii="Arial" w:cs="Arial" w:eastAsia="Arial" w:hAnsi="Arial"/>
                <w:sz w:val="14"/>
                <w:szCs w:val="14"/>
                <w:color w:val="auto"/>
              </w:rPr>
              <w:t>3 years</w:t>
            </w:r>
          </w:p>
        </w:tc>
        <w:tc>
          <w:tcPr>
            <w:tcW w:w="80" w:type="dxa"/>
            <w:vAlign w:val="bottom"/>
          </w:tcPr>
          <w:p>
            <w:pPr>
              <w:spacing w:after="0"/>
              <w:rPr>
                <w:sz w:val="14"/>
                <w:szCs w:val="14"/>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20 %</w:t>
            </w:r>
          </w:p>
        </w:tc>
      </w:tr>
      <w:tr>
        <w:trPr>
          <w:trHeight w:val="186"/>
        </w:trPr>
        <w:tc>
          <w:tcPr>
            <w:tcW w:w="7120" w:type="dxa"/>
            <w:vAlign w:val="bottom"/>
          </w:tcPr>
          <w:p>
            <w:pPr>
              <w:spacing w:after="0"/>
              <w:rPr>
                <w:sz w:val="20"/>
                <w:szCs w:val="20"/>
                <w:color w:val="auto"/>
              </w:rPr>
            </w:pPr>
            <w:r>
              <w:rPr>
                <w:rFonts w:ascii="Arial" w:cs="Arial" w:eastAsia="Arial" w:hAnsi="Arial"/>
                <w:sz w:val="14"/>
                <w:szCs w:val="14"/>
                <w:color w:val="auto"/>
              </w:rPr>
              <w:t>Accessories</w:t>
            </w:r>
          </w:p>
        </w:tc>
        <w:tc>
          <w:tcPr>
            <w:tcW w:w="1500" w:type="dxa"/>
            <w:vAlign w:val="bottom"/>
            <w:gridSpan w:val="2"/>
          </w:tcPr>
          <w:p>
            <w:pPr>
              <w:ind w:left="940"/>
              <w:spacing w:after="0"/>
              <w:rPr>
                <w:sz w:val="20"/>
                <w:szCs w:val="20"/>
                <w:color w:val="auto"/>
              </w:rPr>
            </w:pPr>
            <w:r>
              <w:rPr>
                <w:rFonts w:ascii="Arial" w:cs="Arial" w:eastAsia="Arial" w:hAnsi="Arial"/>
                <w:sz w:val="14"/>
                <w:szCs w:val="14"/>
                <w:color w:val="auto"/>
              </w:rPr>
              <w:t>2 years</w:t>
            </w:r>
          </w:p>
        </w:tc>
        <w:tc>
          <w:tcPr>
            <w:tcW w:w="1560" w:type="dxa"/>
            <w:vAlign w:val="bottom"/>
          </w:tcPr>
          <w:p>
            <w:pPr>
              <w:jc w:val="right"/>
              <w:spacing w:after="0"/>
              <w:rPr>
                <w:sz w:val="20"/>
                <w:szCs w:val="20"/>
                <w:color w:val="auto"/>
              </w:rPr>
            </w:pPr>
            <w:r>
              <w:rPr>
                <w:rFonts w:ascii="Arial" w:cs="Arial" w:eastAsia="Arial" w:hAnsi="Arial"/>
                <w:sz w:val="14"/>
                <w:szCs w:val="14"/>
                <w:color w:val="auto"/>
              </w:rPr>
              <w:t>30 %</w:t>
            </w:r>
          </w:p>
        </w:tc>
      </w:tr>
    </w:tbl>
    <w:p>
      <w:pPr>
        <w:spacing w:after="0" w:line="22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accordance with its policy, the Company reviews the estimated useful lives and salvage values of rental product on an ongoing basis.</w:t>
      </w:r>
    </w:p>
    <w:p>
      <w:pPr>
        <w:spacing w:after="0" w:line="179" w:lineRule="exact"/>
        <w:rPr>
          <w:sz w:val="20"/>
          <w:szCs w:val="20"/>
          <w:color w:val="auto"/>
        </w:rPr>
      </w:pPr>
    </w:p>
    <w:p>
      <w:pPr>
        <w:ind w:left="380" w:right="120"/>
        <w:spacing w:after="0" w:line="265" w:lineRule="auto"/>
        <w:rPr>
          <w:sz w:val="20"/>
          <w:szCs w:val="20"/>
          <w:color w:val="auto"/>
        </w:rPr>
      </w:pPr>
      <w:r>
        <w:rPr>
          <w:rFonts w:ascii="Arial" w:cs="Arial" w:eastAsia="Arial" w:hAnsi="Arial"/>
          <w:sz w:val="14"/>
          <w:szCs w:val="14"/>
          <w:color w:val="auto"/>
        </w:rPr>
        <w:t>The Company offers its customers an opportunity to purchase items prior to the end of their useful life. In such instances, the Company considers the disposal of rental product to be a sale and, as such, records the proceeds as other revenue and the net book value of the items at the time of sale as rental product depreciation in the condensed consolidated statements of operations within rental product depreciation and revenue share. Write-offs for losses on lost, damaged, and unreturned apparel and accessories are also recorded within rental product depreciation and revenue share.</w:t>
      </w:r>
    </w:p>
    <w:p>
      <w:pPr>
        <w:spacing w:after="0" w:line="138"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Once it is no longer considered rentable, rental product in a sellable condition is classified as held for sale and written down to salvage value. The value of rental product held for sale as of October 31, 2023 and January 31, 2023 was $3.4 million and $3.0 million, respectively. The accelerated depreciation related to rental product held for sale was $1.5 million and $2.6 million for the three months ended October 31, 2023 and 2022, respectively, and $ 3.5 million and $6.1 million, for the nine months ended October 31, 2023 and 2022, respectively. The accelerated depreciation is presented on the condensed consolidated statements of operations within rental product depreciation and revenue share.</w:t>
      </w:r>
    </w:p>
    <w:p>
      <w:pPr>
        <w:spacing w:after="0" w:line="161" w:lineRule="exact"/>
        <w:rPr>
          <w:sz w:val="20"/>
          <w:szCs w:val="20"/>
          <w:color w:val="auto"/>
        </w:rPr>
      </w:pPr>
    </w:p>
    <w:p>
      <w:pPr>
        <w:ind w:left="380" w:right="340"/>
        <w:spacing w:after="0" w:line="271" w:lineRule="auto"/>
        <w:rPr>
          <w:sz w:val="20"/>
          <w:szCs w:val="20"/>
          <w:color w:val="auto"/>
        </w:rPr>
      </w:pPr>
      <w:r>
        <w:rPr>
          <w:rFonts w:ascii="Arial" w:cs="Arial" w:eastAsia="Arial" w:hAnsi="Arial"/>
          <w:sz w:val="14"/>
          <w:szCs w:val="14"/>
          <w:color w:val="auto"/>
        </w:rPr>
        <w:t>When rental product is liquidated, the Company records the gain or loss calculated as proceeds, net of the remaining salvage value and costs to sell, within general and administrative expenses on the condensed consolidated statement of operations. The gain or loss from the liquidation of rental product is included as an adjustment to reconcile net loss to net cash used by operating activities in the condensed consolidated statements of cash flows.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63" w:lineRule="exact"/>
        <w:rPr>
          <w:sz w:val="20"/>
          <w:szCs w:val="20"/>
          <w:color w:val="auto"/>
        </w:rPr>
      </w:pPr>
    </w:p>
    <w:p>
      <w:pPr>
        <w:ind w:left="380"/>
        <w:spacing w:after="0" w:line="265" w:lineRule="auto"/>
        <w:rPr>
          <w:sz w:val="20"/>
          <w:szCs w:val="20"/>
          <w:color w:val="auto"/>
        </w:rPr>
      </w:pPr>
      <w:r>
        <w:rPr>
          <w:rFonts w:ascii="Arial" w:cs="Arial" w:eastAsia="Arial" w:hAnsi="Arial"/>
          <w:sz w:val="14"/>
          <w:szCs w:val="14"/>
          <w:color w:val="auto"/>
        </w:rPr>
        <w:t>The purchases of rental product, as well as the proceeds from the sale and liquidation of rental product, are classified as cash flows from investing activities on the condensed consolidated statements of cash flows because the predominant activity of the rental product purchased is to generate rental revenue and such classification is consistent with the classification of long-term asset activity. Proceeds from the sale of rental product were $16.2 million and $13.7 million for the nine months ended October 31, 2023 and 2022, respectively. Proceeds from the liquidation of rental product were $3.7 million and $7.9 million for the nine months ended October 31, 2023 and 2022, respectively.</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Revenue Recognition</w:t>
      </w:r>
    </w:p>
    <w:p>
      <w:pPr>
        <w:spacing w:after="0" w:line="94" w:lineRule="exact"/>
        <w:rPr>
          <w:sz w:val="20"/>
          <w:szCs w:val="20"/>
          <w:color w:val="auto"/>
        </w:rPr>
      </w:pPr>
    </w:p>
    <w:p>
      <w:pPr>
        <w:ind w:left="380" w:right="40"/>
        <w:spacing w:after="0" w:line="263" w:lineRule="auto"/>
        <w:rPr>
          <w:sz w:val="20"/>
          <w:szCs w:val="20"/>
          <w:color w:val="auto"/>
        </w:rPr>
      </w:pPr>
      <w:r>
        <w:rPr>
          <w:rFonts w:ascii="Arial" w:cs="Arial" w:eastAsia="Arial" w:hAnsi="Arial"/>
          <w:sz w:val="14"/>
          <w:szCs w:val="14"/>
          <w:color w:val="auto"/>
        </w:rPr>
        <w:t>Subscription and a-la-carte rental fees (“Subscription and Reserve rental revenue”) are recognized in accordance with Accounting Standard Update (“ASU”) 2016-02</w:t>
      </w:r>
      <w:r>
        <w:rPr>
          <w:rFonts w:ascii="Arial" w:cs="Arial" w:eastAsia="Arial" w:hAnsi="Arial"/>
          <w:sz w:val="14"/>
          <w:szCs w:val="14"/>
          <w:i w:val="1"/>
          <w:iCs w:val="1"/>
          <w:color w:val="auto"/>
        </w:rPr>
        <w:t>, Leases,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Topic 842 </w:t>
      </w:r>
      <w:r>
        <w:rPr>
          <w:rFonts w:ascii="Arial" w:cs="Arial" w:eastAsia="Arial" w:hAnsi="Arial"/>
          <w:sz w:val="14"/>
          <w:szCs w:val="14"/>
          <w:color w:val="auto"/>
        </w:rPr>
        <w:t>(“ASC 842”). Other revenue, primarily related to the sale of rental product, is recognized under ASU 2014-09,</w:t>
      </w:r>
      <w:r>
        <w:rPr>
          <w:rFonts w:ascii="Arial" w:cs="Arial" w:eastAsia="Arial" w:hAnsi="Arial"/>
          <w:sz w:val="14"/>
          <w:szCs w:val="14"/>
          <w:i w:val="1"/>
          <w:iCs w:val="1"/>
          <w:color w:val="auto"/>
        </w:rPr>
        <w:t xml:space="preserve"> Revenue from Contracts with Customers, Topic</w:t>
      </w:r>
    </w:p>
    <w:p>
      <w:pPr>
        <w:spacing w:after="0" w:line="1" w:lineRule="exact"/>
        <w:rPr>
          <w:sz w:val="20"/>
          <w:szCs w:val="20"/>
          <w:color w:val="auto"/>
        </w:rPr>
      </w:pPr>
    </w:p>
    <w:p>
      <w:pPr>
        <w:ind w:left="380"/>
        <w:spacing w:after="0" w:line="269" w:lineRule="auto"/>
        <w:rPr>
          <w:sz w:val="20"/>
          <w:szCs w:val="20"/>
          <w:color w:val="auto"/>
        </w:rPr>
      </w:pPr>
      <w:r>
        <w:rPr>
          <w:rFonts w:ascii="Arial" w:cs="Arial" w:eastAsia="Arial" w:hAnsi="Arial"/>
          <w:sz w:val="14"/>
          <w:szCs w:val="14"/>
          <w:i w:val="1"/>
          <w:iCs w:val="1"/>
          <w:color w:val="auto"/>
        </w:rPr>
        <w:t xml:space="preserve">606 </w:t>
      </w:r>
      <w:r>
        <w:rPr>
          <w:rFonts w:ascii="Arial" w:cs="Arial" w:eastAsia="Arial" w:hAnsi="Arial"/>
          <w:sz w:val="14"/>
          <w:szCs w:val="14"/>
          <w:color w:val="auto"/>
        </w:rPr>
        <w:t>(“ASC 606”) at the date of delivery of the product to the customer. Other revenue represented 11% and 11% of total revenue for the three months ended October 31, 2023</w:t>
      </w:r>
      <w:r>
        <w:rPr>
          <w:rFonts w:ascii="Arial" w:cs="Arial" w:eastAsia="Arial" w:hAnsi="Arial"/>
          <w:sz w:val="14"/>
          <w:szCs w:val="14"/>
          <w:i w:val="1"/>
          <w:iCs w:val="1"/>
          <w:color w:val="auto"/>
        </w:rPr>
        <w:t xml:space="preserve"> </w:t>
      </w:r>
      <w:r>
        <w:rPr>
          <w:rFonts w:ascii="Arial" w:cs="Arial" w:eastAsia="Arial" w:hAnsi="Arial"/>
          <w:sz w:val="14"/>
          <w:szCs w:val="14"/>
          <w:color w:val="auto"/>
        </w:rPr>
        <w:t>and 2022, respectively, and 10% and 9% of total revenue for the nine months ended October 31, 2023 and 2022, respectively.</w:t>
      </w:r>
    </w:p>
    <w:p>
      <w:pPr>
        <w:spacing w:after="0" w:line="134" w:lineRule="exact"/>
        <w:rPr>
          <w:sz w:val="20"/>
          <w:szCs w:val="20"/>
          <w:color w:val="auto"/>
        </w:rPr>
      </w:pPr>
    </w:p>
    <w:p>
      <w:pPr>
        <w:ind w:left="380" w:right="240"/>
        <w:spacing w:after="0" w:line="271" w:lineRule="auto"/>
        <w:rPr>
          <w:sz w:val="20"/>
          <w:szCs w:val="20"/>
          <w:color w:val="auto"/>
        </w:rPr>
      </w:pPr>
      <w:r>
        <w:rPr>
          <w:rFonts w:ascii="Arial" w:cs="Arial" w:eastAsia="Arial" w:hAnsi="Arial"/>
          <w:sz w:val="14"/>
          <w:szCs w:val="14"/>
          <w:color w:val="auto"/>
        </w:rPr>
        <w:t>Revenue is presented net of promotional discounts, customer credits and refunds.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155" w:lineRule="exact"/>
        <w:rPr>
          <w:sz w:val="20"/>
          <w:szCs w:val="20"/>
          <w:color w:val="auto"/>
        </w:rPr>
      </w:pPr>
    </w:p>
    <w:p>
      <w:pPr>
        <w:ind w:left="380" w:right="60"/>
        <w:spacing w:after="0" w:line="259" w:lineRule="auto"/>
        <w:rPr>
          <w:sz w:val="20"/>
          <w:szCs w:val="20"/>
          <w:color w:val="auto"/>
        </w:rPr>
      </w:pPr>
      <w:r>
        <w:rPr>
          <w:rFonts w:ascii="Arial" w:cs="Arial" w:eastAsia="Arial" w:hAnsi="Arial"/>
          <w:sz w:val="14"/>
          <w:szCs w:val="14"/>
          <w:color w:val="auto"/>
        </w:rPr>
        <w:t>The Company recognizes a liability at the time a customer credit or a gift card is issued, and revenue is recognized upon redemption of the credit or gift card. The Company’s customer credit liability is presented on the condensed consolidated balance sheets. During the three months ended October 31, 2023 and 2022, $0.5 million and $0.7 million of credits included in the customer credit liability as of July 31, 2023 and 2022, respectively, were redeemed. During the nine months ended October 31, 2023 and 2022, $1.3 million and $1.7 million of credits included in the customer credit liability as of January 31, 2023 and 2022, respectively, were redeemed. Customer credits and gift cards do not have expiration dates. Over time, a portion of these instruments is not redeemed. The Company recognizes breakage income related to these instruments based on the redemption pattern method. The Company continues to maintain the full liability for the unredeemed portion of the credits and gift cards when the Company has any legal obligation to remit such credits to government authorities in relevant jurisdictions.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Subscription and Reserve Rental Revenue</w:t>
      </w:r>
    </w:p>
    <w:p>
      <w:pPr>
        <w:spacing w:after="0" w:line="92" w:lineRule="exact"/>
        <w:rPr>
          <w:sz w:val="20"/>
          <w:szCs w:val="20"/>
          <w:color w:val="auto"/>
        </w:rPr>
      </w:pPr>
    </w:p>
    <w:p>
      <w:pPr>
        <w:ind w:left="380" w:right="160"/>
        <w:spacing w:after="0" w:line="271" w:lineRule="auto"/>
        <w:rPr>
          <w:sz w:val="20"/>
          <w:szCs w:val="20"/>
          <w:color w:val="auto"/>
        </w:rPr>
      </w:pPr>
      <w:r>
        <w:rPr>
          <w:rFonts w:ascii="Arial" w:cs="Arial" w:eastAsia="Arial" w:hAnsi="Arial"/>
          <w:sz w:val="14"/>
          <w:szCs w:val="14"/>
          <w:color w:val="auto"/>
        </w:rPr>
        <w:t>Subscription fees are recognized ratably over the subscription period, commencing on the date the subscriber enrolls in the rental program. The fees are collected upon enrollment. The subscription automatically renews on a monthly basis until cancelled or paused by the customer. Subscribers can pause or cancel their subscriptions at any time.</w:t>
      </w:r>
    </w:p>
    <w:p>
      <w:pPr>
        <w:spacing w:after="0" w:line="134" w:lineRule="exact"/>
        <w:rPr>
          <w:sz w:val="20"/>
          <w:szCs w:val="20"/>
          <w:color w:val="auto"/>
        </w:rPr>
      </w:pPr>
    </w:p>
    <w:p>
      <w:pPr>
        <w:ind w:left="380" w:right="60"/>
        <w:spacing w:after="0" w:line="265" w:lineRule="auto"/>
        <w:rPr>
          <w:sz w:val="20"/>
          <w:szCs w:val="20"/>
          <w:color w:val="auto"/>
        </w:rPr>
      </w:pPr>
      <w:r>
        <w:rPr>
          <w:rFonts w:ascii="Arial" w:cs="Arial" w:eastAsia="Arial" w:hAnsi="Arial"/>
          <w:sz w:val="14"/>
          <w:szCs w:val="14"/>
          <w:color w:val="auto"/>
        </w:rPr>
        <w:t>The Company recognizes fees for a-la-carte rentals ratably over the rental period, which starts with the date of delivery of rental product to the customer. A-la-carte rental orders can be placed up to four months prior to the rental start date (reduced to two months prior to the rental start date in October 2023) and the customer’s payment form is charged upon order confirmation. The Company defers recognizing the fees and any related promotions for a-la-carte rentals until the date of delivery, and then recognizes those fees ratably over the four- or eight-day rental period.</w:t>
      </w:r>
    </w:p>
    <w:p>
      <w:pPr>
        <w:spacing w:after="0" w:line="138" w:lineRule="exact"/>
        <w:rPr>
          <w:sz w:val="20"/>
          <w:szCs w:val="20"/>
          <w:color w:val="auto"/>
        </w:rPr>
      </w:pPr>
    </w:p>
    <w:p>
      <w:pPr>
        <w:ind w:left="380" w:right="300"/>
        <w:spacing w:after="0" w:line="290" w:lineRule="auto"/>
        <w:rPr>
          <w:sz w:val="20"/>
          <w:szCs w:val="20"/>
          <w:color w:val="auto"/>
        </w:rPr>
      </w:pPr>
      <w:r>
        <w:rPr>
          <w:rFonts w:ascii="Arial" w:cs="Arial" w:eastAsia="Arial" w:hAnsi="Arial"/>
          <w:sz w:val="14"/>
          <w:szCs w:val="14"/>
          <w:color w:val="auto"/>
        </w:rPr>
        <w:t>The Company accrues for credits and refunds issued subsequent to the balance sheet date that relate to rentals prior to the balance sheet date. These amounts were not material as of October 31, 2023 and January 31, 2023.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Other Revenue</w:t>
      </w:r>
    </w:p>
    <w:p>
      <w:pPr>
        <w:spacing w:after="0" w:line="92" w:lineRule="exact"/>
        <w:rPr>
          <w:sz w:val="20"/>
          <w:szCs w:val="20"/>
          <w:color w:val="auto"/>
        </w:rPr>
      </w:pPr>
    </w:p>
    <w:p>
      <w:pPr>
        <w:ind w:left="380"/>
        <w:spacing w:after="0" w:line="265" w:lineRule="auto"/>
        <w:rPr>
          <w:sz w:val="20"/>
          <w:szCs w:val="20"/>
          <w:color w:val="auto"/>
        </w:rPr>
      </w:pPr>
      <w:r>
        <w:rPr>
          <w:rFonts w:ascii="Arial" w:cs="Arial" w:eastAsia="Arial" w:hAnsi="Arial"/>
          <w:sz w:val="14"/>
          <w:szCs w:val="14"/>
          <w:color w:val="auto"/>
        </w:rPr>
        <w:t>Other revenue consists primarily of revenue from the sale of rental product. The Company recognizes revenue from the sale of rental product in accordance with ASC 606. Sale of rental product occurs when a customer purchases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assets or liabilities with respect to other revenue as of October 31, 2023 and January 31, 2023.</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From time to time, Other revenue may include revenue generated from pilots and other growth initiatives which may cause quarterly fluctuations in the Other revenue line.</w:t>
      </w:r>
    </w:p>
    <w:p>
      <w:pPr>
        <w:spacing w:after="0" w:line="2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Share-Based Compensation</w:t>
      </w:r>
    </w:p>
    <w:p>
      <w:pPr>
        <w:spacing w:after="0" w:line="94" w:lineRule="exact"/>
        <w:rPr>
          <w:sz w:val="20"/>
          <w:szCs w:val="20"/>
          <w:color w:val="auto"/>
        </w:rPr>
      </w:pPr>
    </w:p>
    <w:p>
      <w:pPr>
        <w:ind w:left="380"/>
        <w:spacing w:after="0" w:line="260" w:lineRule="auto"/>
        <w:rPr>
          <w:sz w:val="20"/>
          <w:szCs w:val="20"/>
          <w:color w:val="auto"/>
        </w:rPr>
      </w:pPr>
      <w:r>
        <w:rPr>
          <w:rFonts w:ascii="Arial" w:cs="Arial" w:eastAsia="Arial" w:hAnsi="Arial"/>
          <w:sz w:val="14"/>
          <w:szCs w:val="14"/>
          <w:color w:val="auto"/>
        </w:rPr>
        <w:t>The Company recognizes all employee share-based compensation as an expense in the condensed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is based on the closing price of the common stock on the date of grant as reported on the Nasdaq Stock Market. Upon grant of awards, the Company also estimates an amount of forfeitures that will occur prior to vesting.</w:t>
      </w:r>
    </w:p>
    <w:p>
      <w:pPr>
        <w:spacing w:after="0" w:line="142" w:lineRule="exact"/>
        <w:rPr>
          <w:sz w:val="20"/>
          <w:szCs w:val="20"/>
          <w:color w:val="auto"/>
        </w:rPr>
      </w:pPr>
    </w:p>
    <w:p>
      <w:pPr>
        <w:ind w:left="380" w:right="100"/>
        <w:spacing w:after="0" w:line="259" w:lineRule="auto"/>
        <w:rPr>
          <w:sz w:val="20"/>
          <w:szCs w:val="20"/>
          <w:color w:val="auto"/>
        </w:rPr>
      </w:pPr>
      <w:r>
        <w:rPr>
          <w:rFonts w:ascii="Arial" w:cs="Arial" w:eastAsia="Arial" w:hAnsi="Arial"/>
          <w:sz w:val="14"/>
          <w:szCs w:val="14"/>
          <w:color w:val="auto"/>
        </w:rPr>
        <w:t>The Company has granted two types of restricted stock units (“RSUs”). Prior to the effectiveness of the Company’s initial public offering (“IPO”), the Company granted RSUs which vest only upon satisfaction of both time-based service and liquidity-based conditions. The Company records share-based compensation expense for such RSUs on an accelerated attribution method over the requisite service period and only once the liquidity-based condition is satisfied. The liquidity-based vesting condition was satisfied upon the effectiveness of the Company’s IPO. Share-based compensation related to any remaining time-based service for these RSUs after the liquidity-based event is recorded over the remaining requisite service period. Post IPO, the Company has granted RSUs which vest upon satisfaction of a single time-based service condition. The Company records share-based compensation expense for these RSUs on a straight-line basis over the requisite service period. See Note 12 - Share-based Compensation Plans for a description of the accounting for share-based awards.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Interim Impairment Evaluation</w:t>
      </w:r>
    </w:p>
    <w:p>
      <w:pPr>
        <w:spacing w:after="0" w:line="200" w:lineRule="exact"/>
        <w:rPr>
          <w:sz w:val="20"/>
          <w:szCs w:val="20"/>
          <w:color w:val="auto"/>
        </w:rPr>
      </w:pPr>
    </w:p>
    <w:p>
      <w:pPr>
        <w:ind w:left="380" w:right="100"/>
        <w:spacing w:after="0" w:line="259" w:lineRule="auto"/>
        <w:rPr>
          <w:sz w:val="20"/>
          <w:szCs w:val="20"/>
          <w:color w:val="auto"/>
        </w:rPr>
      </w:pPr>
      <w:r>
        <w:rPr>
          <w:rFonts w:ascii="Arial" w:cs="Arial" w:eastAsia="Arial" w:hAnsi="Arial"/>
          <w:sz w:val="14"/>
          <w:szCs w:val="14"/>
          <w:color w:val="auto"/>
        </w:rPr>
        <w:t>During the three months ended October 31, 2023, the Company evaluated whether events or circumstances had changed such that it would indicate it is more likely than not that the carrying value of its long-lived assets may not be recoverable (triggering event). Given the Company’s stock price decline during the third quarter, the Company concluded a triggering event had occurred and performed an impairment analysis of its long-lived assets group (which constitutes the Company’s sole reporting unit) as of October 31, 2023. The Company performed a quantitative assessment using the undiscounted future cash flows expected to be generated by the use and eventual disposition of the Company’s long-lived assets group. The assessment included consideration of key factors including projected enterprise cash flows, market capitalization and the fair value of the Temasek debt. Based on the quantitative assessment, undiscounted cash flows expected to be generated by the use and eventual disposition of the Company’s long-lived assets exceeded their carrying values and therefore no impairment was recognized for the three months ended October 31, 2023.</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Recently Issued and Adopted Accounting Pronouncements</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Recently Adopted Accounting Pronouncements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Financial Instruments – Credit Losses</w:t>
      </w:r>
    </w:p>
    <w:p>
      <w:pPr>
        <w:spacing w:after="0" w:line="92" w:lineRule="exact"/>
        <w:rPr>
          <w:sz w:val="20"/>
          <w:szCs w:val="20"/>
          <w:color w:val="auto"/>
        </w:rPr>
      </w:pPr>
    </w:p>
    <w:p>
      <w:pPr>
        <w:ind w:left="380"/>
        <w:spacing w:after="0" w:line="259" w:lineRule="auto"/>
        <w:rPr>
          <w:sz w:val="20"/>
          <w:szCs w:val="20"/>
          <w:color w:val="auto"/>
        </w:rPr>
      </w:pPr>
      <w:r>
        <w:rPr>
          <w:rFonts w:ascii="Arial" w:cs="Arial" w:eastAsia="Arial" w:hAnsi="Arial"/>
          <w:sz w:val="14"/>
          <w:szCs w:val="14"/>
          <w:color w:val="auto"/>
        </w:rPr>
        <w:t xml:space="preserve">In June 2016, the FASB issued ASU 2016-13, </w:t>
      </w:r>
      <w:r>
        <w:rPr>
          <w:rFonts w:ascii="Arial" w:cs="Arial" w:eastAsia="Arial" w:hAnsi="Arial"/>
          <w:sz w:val="14"/>
          <w:szCs w:val="14"/>
          <w:i w:val="1"/>
          <w:iCs w:val="1"/>
          <w:color w:val="auto"/>
        </w:rPr>
        <w:t>Financial Instruments – Credit Losses (Topic 326): Measurement of Credit Losses on Financial Instruments</w:t>
      </w:r>
      <w:r>
        <w:rPr>
          <w:rFonts w:ascii="Arial" w:cs="Arial" w:eastAsia="Arial" w:hAnsi="Arial"/>
          <w:sz w:val="14"/>
          <w:szCs w:val="14"/>
          <w:color w:val="auto"/>
        </w:rPr>
        <w:t>, which requires an entity to utilize 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This standard is effective for annual reporting periods beginning after December 15, 2022, and interim periods within those years, and early adoption is permitted. The Company adopted this standard on February 1, 2023, and the adoption of this standard did not have a material impact on the condensed consolidated financial statements.</w:t>
      </w:r>
    </w:p>
    <w:p>
      <w:pPr>
        <w:spacing w:after="0" w:line="233"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Recently Issued Accounting Pronouncements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Debt - Debt with Conversion and Other Options and Derivatives and Hedging</w:t>
      </w:r>
    </w:p>
    <w:p>
      <w:pPr>
        <w:spacing w:after="0" w:line="92" w:lineRule="exact"/>
        <w:rPr>
          <w:sz w:val="20"/>
          <w:szCs w:val="20"/>
          <w:color w:val="auto"/>
        </w:rPr>
      </w:pPr>
    </w:p>
    <w:p>
      <w:pPr>
        <w:ind w:left="380" w:right="60"/>
        <w:spacing w:after="0" w:line="262" w:lineRule="auto"/>
        <w:rPr>
          <w:sz w:val="20"/>
          <w:szCs w:val="20"/>
          <w:color w:val="auto"/>
        </w:rPr>
      </w:pPr>
      <w:r>
        <w:rPr>
          <w:rFonts w:ascii="Arial" w:cs="Arial" w:eastAsia="Arial" w:hAnsi="Arial"/>
          <w:sz w:val="14"/>
          <w:szCs w:val="14"/>
          <w:color w:val="auto"/>
        </w:rPr>
        <w:t xml:space="preserve">In August 2020, the FASB issued ASU 2020-06, </w:t>
      </w:r>
      <w:r>
        <w:rPr>
          <w:rFonts w:ascii="Arial" w:cs="Arial" w:eastAsia="Arial" w:hAnsi="Arial"/>
          <w:sz w:val="14"/>
          <w:szCs w:val="14"/>
          <w:i w:val="1"/>
          <w:iCs w:val="1"/>
          <w:color w:val="auto"/>
        </w:rPr>
        <w:t>Debt-Debt with Conversion and Other Options (Subtopic 470-20) and Derivatives and Hedging-Contracts in Entity’s Own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Equity (Subtopic 815-40): Accounting for Convertible Instruments and Contracts in an Entity’s Own Equity. </w:t>
      </w:r>
      <w:r>
        <w:rPr>
          <w:rFonts w:ascii="Arial" w:cs="Arial" w:eastAsia="Arial" w:hAnsi="Arial"/>
          <w:sz w:val="14"/>
          <w:szCs w:val="14"/>
          <w:color w:val="auto"/>
        </w:rPr>
        <w:t>The new guidance reduces complexity and improves comparability</w:t>
      </w:r>
      <w:r>
        <w:rPr>
          <w:rFonts w:ascii="Arial" w:cs="Arial" w:eastAsia="Arial" w:hAnsi="Arial"/>
          <w:sz w:val="14"/>
          <w:szCs w:val="14"/>
          <w:i w:val="1"/>
          <w:iCs w:val="1"/>
          <w:color w:val="auto"/>
        </w:rPr>
        <w:t xml:space="preserve"> </w:t>
      </w:r>
      <w:r>
        <w:rPr>
          <w:rFonts w:ascii="Arial" w:cs="Arial" w:eastAsia="Arial" w:hAnsi="Arial"/>
          <w:sz w:val="14"/>
          <w:szCs w:val="14"/>
          <w:color w:val="auto"/>
        </w:rPr>
        <w:t>of financial reporting associated with accounting for convertible instruments and contracts in an entity’s own equity. This standard is effective for annual reporting periods beginning after December 15, 2023, and interim periods within those years, and early adoption is permitted. The adoption of this standard is not expected to have a material impact on the condensed consolidated financial statements.</w:t>
      </w:r>
    </w:p>
    <w:p>
      <w:pPr>
        <w:spacing w:after="0" w:line="225" w:lineRule="exact"/>
        <w:rPr>
          <w:sz w:val="20"/>
          <w:szCs w:val="20"/>
          <w:color w:val="auto"/>
        </w:rPr>
      </w:pPr>
    </w:p>
    <w:p>
      <w:pPr>
        <w:ind w:left="380" w:hanging="375"/>
        <w:spacing w:after="0"/>
        <w:tabs>
          <w:tab w:leader="none" w:pos="38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Liquidity</w:t>
      </w:r>
    </w:p>
    <w:p>
      <w:pPr>
        <w:spacing w:after="0" w:line="93" w:lineRule="exact"/>
        <w:rPr>
          <w:rFonts w:ascii="Arial" w:cs="Arial" w:eastAsia="Arial" w:hAnsi="Arial"/>
          <w:sz w:val="14"/>
          <w:szCs w:val="14"/>
          <w:b w:val="1"/>
          <w:bCs w:val="1"/>
          <w:color w:val="auto"/>
        </w:rPr>
      </w:pPr>
    </w:p>
    <w:p>
      <w:pPr>
        <w:ind w:left="38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The Company has incurred a net loss from operations since inception and has historically relied upon debt and equity financing to fund its operations. While the Company experienced year-over-year revenue growth in fiscal year 2022 and in the nine months ended October 31, 2023, revenue decreased year-over-year in the three months ended October 31, 2023. To the extent the Company is impacted by macroeconomic trends, or other factors, including, but not limited to, demand for our business, the Company plans to reduce fixed and variable costs accordingly and has established plans to preserve existing cash liquidity, which includes additional reductions to labor, operating expenses, and/or capital expenditures. The Company anticipates adjusting rental product spend and other investments to align with the overall growth of the business.</w:t>
      </w:r>
    </w:p>
    <w:p>
      <w:pPr>
        <w:spacing w:after="0" w:line="139" w:lineRule="exact"/>
        <w:rPr>
          <w:rFonts w:ascii="Arial" w:cs="Arial" w:eastAsia="Arial" w:hAnsi="Arial"/>
          <w:sz w:val="14"/>
          <w:szCs w:val="14"/>
          <w:b w:val="1"/>
          <w:bCs w:val="1"/>
          <w:color w:val="auto"/>
        </w:rPr>
      </w:pPr>
    </w:p>
    <w:p>
      <w:pPr>
        <w:ind w:left="380" w:right="42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In September 2022, the Company announced a restructuring plan that generated annual operating expense savings of approximately $27 million (relative to the second quarter of fiscal year 2022 run rate) in the last four quarters.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78" w:lineRule="exact"/>
        <w:rPr>
          <w:sz w:val="20"/>
          <w:szCs w:val="20"/>
          <w:color w:val="auto"/>
        </w:rPr>
      </w:pPr>
    </w:p>
    <w:p>
      <w:pPr>
        <w:ind w:left="380" w:right="20"/>
        <w:spacing w:after="0" w:line="260" w:lineRule="auto"/>
        <w:rPr>
          <w:sz w:val="20"/>
          <w:szCs w:val="20"/>
          <w:color w:val="auto"/>
        </w:rPr>
      </w:pPr>
      <w:r>
        <w:rPr>
          <w:rFonts w:ascii="Arial" w:cs="Arial" w:eastAsia="Arial" w:hAnsi="Arial"/>
          <w:sz w:val="14"/>
          <w:szCs w:val="14"/>
          <w:color w:val="auto"/>
        </w:rPr>
        <w:t>On December 1, 2023, the Company entered into a Tenth Amendment to Credit Agreement (the “Credit Facility Amendment”) to the 2022 Amended Temasek Facility (as amended by the 2023 Amendment, the “2023 Amended Temasek Facility”). The Credit Facility Amendment, among other things, (i) eliminates all interest (both payment-in-kind and cash interest) for a period of six full fiscal quarters beginning with the fourth quarter of fiscal year 2023; (ii) reduces the minimum liquidity maintenance covenant under the 2023 Amended Temasek Facility from $50 million to $30 million; and (iii) provides that the Company may not exceed mutually agreed upon quarterly and annual spend levels for inventory capital expenditures, fixed operating expenditures and marketing expenditures during fiscal year 2024 and to-be-agreed levels for fiscal years 2025 and 2026, subject to Double Helix Pte Ltd.’s consent (as administrative agent for Temasek Holdings) and certain exceptions.</w:t>
      </w:r>
    </w:p>
    <w:p>
      <w:pPr>
        <w:spacing w:after="0" w:line="152" w:lineRule="exact"/>
        <w:rPr>
          <w:sz w:val="20"/>
          <w:szCs w:val="20"/>
          <w:color w:val="auto"/>
        </w:rPr>
      </w:pPr>
    </w:p>
    <w:p>
      <w:pPr>
        <w:ind w:left="380"/>
        <w:spacing w:after="0" w:line="246" w:lineRule="auto"/>
        <w:rPr>
          <w:sz w:val="20"/>
          <w:szCs w:val="20"/>
          <w:color w:val="auto"/>
        </w:rPr>
      </w:pPr>
      <w:r>
        <w:rPr>
          <w:rFonts w:ascii="Arial" w:cs="Arial" w:eastAsia="Arial" w:hAnsi="Arial"/>
          <w:sz w:val="14"/>
          <w:szCs w:val="14"/>
          <w:color w:val="auto"/>
        </w:rPr>
        <w:t>As of October 31, 2023 and January 31, 2023, the Company held cash and cash equivalents of $105.9 million and $154.5 million, respectively, and long-term debt of $300.2 million and $272.5 million, respectively, with a maturity date of October 2026. In the event that the Company fails to comply with the covenants specified in the 2023 Amended Temasek Facility, the lender has the right to declare all borrowings outstanding, together with accrued and unpaid interest and fees, to be immediately due and payable. The Company believes that it will have sufficient liquidity from cash on-hand and future operations to sustain its business operations, satisfy the $30 million minimum liquidity maintenance covenant and comply with the maximum expenditure covenants for at least the next twelve months from the date these financial statements are issued.</w:t>
      </w:r>
    </w:p>
    <w:p>
      <w:pPr>
        <w:spacing w:after="0" w:line="236" w:lineRule="exact"/>
        <w:rPr>
          <w:sz w:val="20"/>
          <w:szCs w:val="20"/>
          <w:color w:val="auto"/>
        </w:rPr>
      </w:pPr>
    </w:p>
    <w:p>
      <w:pPr>
        <w:ind w:left="380" w:hanging="375"/>
        <w:spacing w:after="0"/>
        <w:tabs>
          <w:tab w:leader="none" w:pos="38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Restructuring and Related Charges</w:t>
      </w:r>
    </w:p>
    <w:p>
      <w:pPr>
        <w:spacing w:after="0" w:line="93" w:lineRule="exact"/>
        <w:rPr>
          <w:rFonts w:ascii="Arial" w:cs="Arial" w:eastAsia="Arial" w:hAnsi="Arial"/>
          <w:sz w:val="14"/>
          <w:szCs w:val="14"/>
          <w:b w:val="1"/>
          <w:bCs w:val="1"/>
          <w:color w:val="auto"/>
        </w:rPr>
      </w:pPr>
    </w:p>
    <w:p>
      <w:pPr>
        <w:jc w:val="both"/>
        <w:ind w:left="380" w:right="24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On September 12, 2022, the Company announced a restructuring plan to reduce costs, streamline its organizational structure and drive operational efficiencies. The plan primarily includes total workforce reductions of approximately 24% of corporate employees (primarily a reduction in force, with some open role closures/reduced backfills), reorganizing certain functions and reallocating resources to continue to focus on customer experience and growth initiatives.</w:t>
      </w:r>
    </w:p>
    <w:p>
      <w:pPr>
        <w:spacing w:after="0" w:line="154" w:lineRule="exact"/>
        <w:rPr>
          <w:rFonts w:ascii="Arial" w:cs="Arial" w:eastAsia="Arial" w:hAnsi="Arial"/>
          <w:sz w:val="14"/>
          <w:szCs w:val="14"/>
          <w:b w:val="1"/>
          <w:bCs w:val="1"/>
          <w:color w:val="auto"/>
        </w:rPr>
      </w:pPr>
    </w:p>
    <w:p>
      <w:pPr>
        <w:ind w:left="380" w:right="54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Restructuring charges of $2.0 million for severance and related costs were recognized during the three and nine months ended October 31, 2022 and are reflected in Restructuring charges on the Company’s Unaudited Condensed Consolidated Statements of Operations.</w:t>
      </w:r>
    </w:p>
    <w:p>
      <w:pPr>
        <w:spacing w:after="0" w:line="141" w:lineRule="exact"/>
        <w:rPr>
          <w:rFonts w:ascii="Arial" w:cs="Arial" w:eastAsia="Arial" w:hAnsi="Arial"/>
          <w:sz w:val="14"/>
          <w:szCs w:val="14"/>
          <w:b w:val="1"/>
          <w:bCs w:val="1"/>
          <w:color w:val="auto"/>
        </w:rPr>
      </w:pPr>
    </w:p>
    <w:p>
      <w:pPr>
        <w:ind w:left="380" w:right="2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The Company recorded an asset impairment charge of $3.8 million, of which $3.4 million related to the write-off of fixed assets and $0.4 million related to accrued expenses, during the three and nine months ended October 31, 2022, related to discontinuing a warehouse operations project in connection with the September 2022 restructuring plan. The charge is reflected in Loss on asset impairment related to restructuring on the Company’s Unaudited Condensed Consolidated Statements of Operations. The Company may incur additional restructuring charges in the future.</w:t>
      </w:r>
    </w:p>
    <w:p>
      <w:pPr>
        <w:spacing w:after="0" w:line="222" w:lineRule="exact"/>
        <w:rPr>
          <w:rFonts w:ascii="Arial" w:cs="Arial" w:eastAsia="Arial" w:hAnsi="Arial"/>
          <w:sz w:val="14"/>
          <w:szCs w:val="14"/>
          <w:b w:val="1"/>
          <w:bCs w:val="1"/>
          <w:color w:val="auto"/>
        </w:rPr>
      </w:pPr>
    </w:p>
    <w:p>
      <w:pPr>
        <w:ind w:left="380" w:hanging="375"/>
        <w:spacing w:after="0"/>
        <w:tabs>
          <w:tab w:leader="none" w:pos="38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Leases - Lessee Accounting</w:t>
      </w:r>
    </w:p>
    <w:p>
      <w:pPr>
        <w:spacing w:after="0" w:line="199" w:lineRule="exact"/>
        <w:rPr>
          <w:rFonts w:ascii="Arial" w:cs="Arial" w:eastAsia="Arial" w:hAnsi="Arial"/>
          <w:sz w:val="14"/>
          <w:szCs w:val="14"/>
          <w:b w:val="1"/>
          <w:bCs w:val="1"/>
          <w:color w:val="auto"/>
        </w:rPr>
      </w:pPr>
    </w:p>
    <w:p>
      <w:pPr>
        <w:ind w:left="38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During the three months ended October 31, 2023, the Company issued a letter of intent to exercise the renewal option on the operating lease for its fulfillment center at 100 Metro Way in Secaucus, NJ, the terms of which extended the lease for an additional five years to August 31, 2029. The Company treated the extension of the lease as a lease modification as of the effective date of the letter of intent which resulted in an adjustment of $10.2 million and $10.2 million to the related lease liabilities and right-of-use assets, respectively. The Company has subsequently continued to negotiate the terms of the renewal option with the landlord. The Company did not exercise its renewal option with respect to its lease for 55 Metro Way in Secaucus, NJ, which is anticipated to expire in accordance with its terms on August 31, 2024.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3" w:lineRule="exact"/>
        <w:rPr>
          <w:sz w:val="20"/>
          <w:szCs w:val="20"/>
          <w:color w:val="auto"/>
        </w:rPr>
      </w:pPr>
    </w:p>
    <w:p>
      <w:pPr>
        <w:ind w:left="380"/>
        <w:spacing w:after="0" w:line="260" w:lineRule="auto"/>
        <w:rPr>
          <w:sz w:val="20"/>
          <w:szCs w:val="20"/>
          <w:color w:val="auto"/>
        </w:rPr>
      </w:pPr>
      <w:r>
        <w:rPr>
          <w:rFonts w:ascii="Arial" w:cs="Arial" w:eastAsia="Arial" w:hAnsi="Arial"/>
          <w:sz w:val="14"/>
          <w:szCs w:val="14"/>
          <w:color w:val="auto"/>
        </w:rPr>
        <w:t>During the nine months ended October 31, 2022, the Company amended the operating lease for its corporate headquarters in Brooklyn, NY, the terms of which terminated one floor of the leased space. The partial lease termination of the corporate headquarters leased space resulted in a reduction of $10.6 million in the Company’s future minimum fixed lease obligations as of the lease modification date. The Company treated the partial lease termination amendment as a lease modification as of the effective date which resulted in an adjustment of $3.7 million and $1.4 million to the related lease liabilities and right-of-use assets, respectively. The Company recorded a gain on the partial termination of $1.8 million and a loss on surrender of the related fixed assets, primarily leasehold improvements, of $1.9 million, both of which are recorded on the condensed consolidated statements of operations within general and administrative expenses in the nine months ended October 31, 2022.</w:t>
      </w:r>
    </w:p>
    <w:p>
      <w:pPr>
        <w:spacing w:after="0" w:line="142" w:lineRule="exact"/>
        <w:rPr>
          <w:sz w:val="20"/>
          <w:szCs w:val="20"/>
          <w:color w:val="auto"/>
        </w:rPr>
      </w:pPr>
    </w:p>
    <w:p>
      <w:pPr>
        <w:ind w:left="380" w:right="100"/>
        <w:spacing w:after="0" w:line="290" w:lineRule="auto"/>
        <w:rPr>
          <w:sz w:val="20"/>
          <w:szCs w:val="20"/>
          <w:color w:val="auto"/>
        </w:rPr>
      </w:pPr>
      <w:r>
        <w:rPr>
          <w:rFonts w:ascii="Arial" w:cs="Arial" w:eastAsia="Arial" w:hAnsi="Arial"/>
          <w:sz w:val="14"/>
          <w:szCs w:val="14"/>
          <w:color w:val="auto"/>
        </w:rPr>
        <w:t>The following table summarizes the Company’s minimum fixed lease obligations under existing agreements as a lessee, excluding variable payments and short-term lease payments, as of October 31, 2023:</w:t>
      </w:r>
    </w:p>
    <w:p>
      <w:pPr>
        <w:spacing w:after="0" w:line="182"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6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Operating</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Financing</w:t>
            </w:r>
          </w:p>
        </w:tc>
      </w:tr>
      <w:tr>
        <w:trPr>
          <w:trHeight w:val="161"/>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year:</w:t>
            </w:r>
          </w:p>
        </w:tc>
        <w:tc>
          <w:tcPr>
            <w:tcW w:w="10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80"/>
        </w:trPr>
        <w:tc>
          <w:tcPr>
            <w:tcW w:w="7620" w:type="dxa"/>
            <w:vAlign w:val="bottom"/>
          </w:tcPr>
          <w:p>
            <w:pPr>
              <w:ind w:left="200"/>
              <w:spacing w:after="0"/>
              <w:rPr>
                <w:sz w:val="20"/>
                <w:szCs w:val="20"/>
                <w:color w:val="auto"/>
              </w:rPr>
            </w:pPr>
            <w:r>
              <w:rPr>
                <w:rFonts w:ascii="Arial" w:cs="Arial" w:eastAsia="Arial" w:hAnsi="Arial"/>
                <w:sz w:val="14"/>
                <w:szCs w:val="14"/>
                <w:color w:val="auto"/>
              </w:rPr>
              <w:t>2023</w:t>
            </w:r>
          </w:p>
        </w:tc>
        <w:tc>
          <w:tcPr>
            <w:tcW w:w="1060" w:type="dxa"/>
            <w:vAlign w:val="bottom"/>
          </w:tcPr>
          <w:p>
            <w:pPr>
              <w:jc w:val="right"/>
              <w:ind w:right="894"/>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center"/>
              <w:ind w:left="811"/>
              <w:spacing w:after="0"/>
              <w:rPr>
                <w:sz w:val="20"/>
                <w:szCs w:val="20"/>
                <w:color w:val="auto"/>
              </w:rPr>
            </w:pPr>
            <w:r>
              <w:rPr>
                <w:rFonts w:ascii="Arial" w:cs="Arial" w:eastAsia="Arial" w:hAnsi="Arial"/>
                <w:sz w:val="14"/>
                <w:szCs w:val="14"/>
                <w:color w:val="auto"/>
              </w:rPr>
              <w:t>0.2</w:t>
            </w:r>
          </w:p>
        </w:tc>
      </w:tr>
      <w:tr>
        <w:trPr>
          <w:trHeight w:val="180"/>
        </w:trPr>
        <w:tc>
          <w:tcPr>
            <w:tcW w:w="7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2024</w:t>
            </w: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811"/>
              <w:spacing w:after="0"/>
              <w:rPr>
                <w:sz w:val="20"/>
                <w:szCs w:val="20"/>
                <w:color w:val="auto"/>
              </w:rPr>
            </w:pPr>
            <w:r>
              <w:rPr>
                <w:rFonts w:ascii="Arial" w:cs="Arial" w:eastAsia="Arial" w:hAnsi="Arial"/>
                <w:sz w:val="14"/>
                <w:szCs w:val="14"/>
                <w:color w:val="auto"/>
              </w:rPr>
              <w:t>0.6</w:t>
            </w:r>
          </w:p>
        </w:tc>
      </w:tr>
      <w:tr>
        <w:trPr>
          <w:trHeight w:val="180"/>
        </w:trPr>
        <w:tc>
          <w:tcPr>
            <w:tcW w:w="7620" w:type="dxa"/>
            <w:vAlign w:val="bottom"/>
          </w:tcPr>
          <w:p>
            <w:pPr>
              <w:ind w:left="200"/>
              <w:spacing w:after="0"/>
              <w:rPr>
                <w:sz w:val="20"/>
                <w:szCs w:val="20"/>
                <w:color w:val="auto"/>
              </w:rPr>
            </w:pPr>
            <w:r>
              <w:rPr>
                <w:rFonts w:ascii="Arial" w:cs="Arial" w:eastAsia="Arial" w:hAnsi="Arial"/>
                <w:sz w:val="14"/>
                <w:szCs w:val="14"/>
                <w:color w:val="auto"/>
              </w:rPr>
              <w:t>2025</w:t>
            </w:r>
          </w:p>
        </w:tc>
        <w:tc>
          <w:tcPr>
            <w:tcW w:w="106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11.3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left="811"/>
              <w:spacing w:after="0"/>
              <w:rPr>
                <w:sz w:val="20"/>
                <w:szCs w:val="20"/>
                <w:color w:val="auto"/>
              </w:rPr>
            </w:pPr>
            <w:r>
              <w:rPr>
                <w:rFonts w:ascii="Arial" w:cs="Arial" w:eastAsia="Arial" w:hAnsi="Arial"/>
                <w:sz w:val="14"/>
                <w:szCs w:val="14"/>
                <w:color w:val="auto"/>
              </w:rPr>
              <w:t>0.3</w:t>
            </w:r>
          </w:p>
        </w:tc>
      </w:tr>
      <w:tr>
        <w:trPr>
          <w:trHeight w:val="180"/>
        </w:trPr>
        <w:tc>
          <w:tcPr>
            <w:tcW w:w="7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2026</w:t>
            </w: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811"/>
              <w:spacing w:after="0"/>
              <w:rPr>
                <w:sz w:val="20"/>
                <w:szCs w:val="20"/>
                <w:color w:val="auto"/>
              </w:rPr>
            </w:pPr>
            <w:r>
              <w:rPr>
                <w:rFonts w:ascii="Arial" w:cs="Arial" w:eastAsia="Arial" w:hAnsi="Arial"/>
                <w:sz w:val="14"/>
                <w:szCs w:val="14"/>
                <w:color w:val="auto"/>
              </w:rPr>
              <w:t>0.1</w:t>
            </w:r>
          </w:p>
        </w:tc>
      </w:tr>
      <w:tr>
        <w:trPr>
          <w:trHeight w:val="180"/>
        </w:trPr>
        <w:tc>
          <w:tcPr>
            <w:tcW w:w="7620" w:type="dxa"/>
            <w:vAlign w:val="bottom"/>
          </w:tcPr>
          <w:p>
            <w:pPr>
              <w:ind w:left="200"/>
              <w:spacing w:after="0"/>
              <w:rPr>
                <w:sz w:val="20"/>
                <w:szCs w:val="20"/>
                <w:color w:val="auto"/>
              </w:rPr>
            </w:pPr>
            <w:r>
              <w:rPr>
                <w:rFonts w:ascii="Arial" w:cs="Arial" w:eastAsia="Arial" w:hAnsi="Arial"/>
                <w:sz w:val="14"/>
                <w:szCs w:val="14"/>
                <w:color w:val="auto"/>
              </w:rPr>
              <w:t>2027</w:t>
            </w:r>
          </w:p>
        </w:tc>
        <w:tc>
          <w:tcPr>
            <w:tcW w:w="106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11.3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left="811"/>
              <w:spacing w:after="0"/>
              <w:rPr>
                <w:sz w:val="20"/>
                <w:szCs w:val="20"/>
                <w:color w:val="auto"/>
              </w:rPr>
            </w:pPr>
            <w:r>
              <w:rPr>
                <w:rFonts w:ascii="Arial" w:cs="Arial" w:eastAsia="Arial" w:hAnsi="Arial"/>
                <w:sz w:val="14"/>
                <w:szCs w:val="14"/>
                <w:color w:val="auto"/>
              </w:rPr>
              <w:t>0.1</w:t>
            </w:r>
          </w:p>
        </w:tc>
      </w:tr>
      <w:tr>
        <w:trPr>
          <w:trHeight w:val="180"/>
        </w:trPr>
        <w:tc>
          <w:tcPr>
            <w:tcW w:w="7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Thereafter</w:t>
            </w:r>
          </w:p>
        </w:tc>
        <w:tc>
          <w:tcPr>
            <w:tcW w:w="10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40.3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center"/>
              <w:ind w:left="811"/>
              <w:spacing w:after="0"/>
              <w:rPr>
                <w:sz w:val="20"/>
                <w:szCs w:val="20"/>
                <w:color w:val="auto"/>
              </w:rPr>
            </w:pPr>
            <w:r>
              <w:rPr>
                <w:rFonts w:ascii="Arial" w:cs="Arial" w:eastAsia="Arial" w:hAnsi="Arial"/>
                <w:sz w:val="14"/>
                <w:szCs w:val="14"/>
                <w:color w:val="auto"/>
              </w:rPr>
              <w:t>0.4</w:t>
            </w:r>
          </w:p>
        </w:tc>
      </w:tr>
      <w:tr>
        <w:trPr>
          <w:trHeight w:val="171"/>
        </w:trPr>
        <w:tc>
          <w:tcPr>
            <w:tcW w:w="7620" w:type="dxa"/>
            <w:vAlign w:val="bottom"/>
          </w:tcPr>
          <w:p>
            <w:pPr>
              <w:ind w:left="280"/>
              <w:spacing w:after="0"/>
              <w:rPr>
                <w:sz w:val="20"/>
                <w:szCs w:val="20"/>
                <w:color w:val="auto"/>
              </w:rPr>
            </w:pPr>
            <w:r>
              <w:rPr>
                <w:rFonts w:ascii="Arial" w:cs="Arial" w:eastAsia="Arial" w:hAnsi="Arial"/>
                <w:sz w:val="14"/>
                <w:szCs w:val="14"/>
                <w:color w:val="auto"/>
              </w:rPr>
              <w:t>Total minimum lease payments</w:t>
            </w:r>
          </w:p>
        </w:tc>
        <w:tc>
          <w:tcPr>
            <w:tcW w:w="1060" w:type="dxa"/>
            <w:vAlign w:val="bottom"/>
          </w:tcPr>
          <w:p>
            <w:pPr>
              <w:spacing w:after="0"/>
              <w:rPr>
                <w:sz w:val="14"/>
                <w:szCs w:val="14"/>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87.8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left="811"/>
              <w:spacing w:after="0"/>
              <w:rPr>
                <w:sz w:val="20"/>
                <w:szCs w:val="20"/>
                <w:color w:val="auto"/>
              </w:rPr>
            </w:pPr>
            <w:r>
              <w:rPr>
                <w:rFonts w:ascii="Arial" w:cs="Arial" w:eastAsia="Arial" w:hAnsi="Arial"/>
                <w:sz w:val="14"/>
                <w:szCs w:val="14"/>
                <w:color w:val="auto"/>
              </w:rPr>
              <w:t>1.7</w:t>
            </w:r>
          </w:p>
        </w:tc>
      </w:tr>
      <w:tr>
        <w:trPr>
          <w:trHeight w:val="180"/>
        </w:trPr>
        <w:tc>
          <w:tcPr>
            <w:tcW w:w="7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Imputed interest</w:t>
            </w:r>
          </w:p>
        </w:tc>
        <w:tc>
          <w:tcPr>
            <w:tcW w:w="10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center"/>
              <w:ind w:left="791"/>
              <w:spacing w:after="0"/>
              <w:rPr>
                <w:sz w:val="20"/>
                <w:szCs w:val="20"/>
                <w:color w:val="auto"/>
              </w:rPr>
            </w:pPr>
            <w:r>
              <w:rPr>
                <w:rFonts w:ascii="Arial" w:cs="Arial" w:eastAsia="Arial" w:hAnsi="Arial"/>
                <w:sz w:val="14"/>
                <w:szCs w:val="14"/>
                <w:color w:val="auto"/>
              </w:rPr>
              <w:t>(0.5)</w:t>
            </w:r>
          </w:p>
        </w:tc>
      </w:tr>
      <w:tr>
        <w:trPr>
          <w:trHeight w:val="171"/>
        </w:trPr>
        <w:tc>
          <w:tcPr>
            <w:tcW w:w="7620" w:type="dxa"/>
            <w:vAlign w:val="bottom"/>
          </w:tcPr>
          <w:p>
            <w:pPr>
              <w:ind w:left="300"/>
              <w:spacing w:after="0"/>
              <w:rPr>
                <w:sz w:val="20"/>
                <w:szCs w:val="20"/>
                <w:color w:val="auto"/>
              </w:rPr>
            </w:pPr>
            <w:r>
              <w:rPr>
                <w:rFonts w:ascii="Arial" w:cs="Arial" w:eastAsia="Arial" w:hAnsi="Arial"/>
                <w:sz w:val="14"/>
                <w:szCs w:val="14"/>
                <w:color w:val="auto"/>
              </w:rPr>
              <w:t>Lease liabilities as of October 31, 2023</w:t>
            </w:r>
          </w:p>
        </w:tc>
        <w:tc>
          <w:tcPr>
            <w:tcW w:w="106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49.6</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center"/>
              <w:ind w:left="811"/>
              <w:spacing w:after="0"/>
              <w:rPr>
                <w:sz w:val="20"/>
                <w:szCs w:val="20"/>
                <w:color w:val="auto"/>
              </w:rPr>
            </w:pPr>
            <w:r>
              <w:rPr>
                <w:rFonts w:ascii="Arial" w:cs="Arial" w:eastAsia="Arial" w:hAnsi="Arial"/>
                <w:sz w:val="14"/>
                <w:szCs w:val="14"/>
                <w:color w:val="auto"/>
              </w:rPr>
              <w:t>1.2</w:t>
            </w:r>
          </w:p>
        </w:tc>
      </w:tr>
      <w:tr>
        <w:trPr>
          <w:trHeight w:val="20"/>
        </w:trPr>
        <w:tc>
          <w:tcPr>
            <w:tcW w:w="7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80" w:hanging="375"/>
        <w:spacing w:after="0"/>
        <w:tabs>
          <w:tab w:leader="none" w:pos="38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Rental Product, Net</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Rental product, net consisted of the following:</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Arial" w:cs="Arial" w:eastAsia="Arial" w:hAnsi="Arial"/>
                <w:sz w:val="11"/>
                <w:szCs w:val="11"/>
                <w:b w:val="1"/>
                <w:bCs w:val="1"/>
                <w:color w:val="auto"/>
              </w:rPr>
              <w:t>October 31,</w:t>
            </w:r>
          </w:p>
        </w:tc>
        <w:tc>
          <w:tcPr>
            <w:tcW w:w="260" w:type="dxa"/>
            <w:vAlign w:val="bottom"/>
          </w:tcPr>
          <w:p>
            <w:pPr>
              <w:spacing w:after="0"/>
              <w:rPr>
                <w:sz w:val="13"/>
                <w:szCs w:val="13"/>
                <w:color w:val="auto"/>
              </w:rPr>
            </w:pPr>
          </w:p>
        </w:tc>
        <w:tc>
          <w:tcPr>
            <w:tcW w:w="1180" w:type="dxa"/>
            <w:vAlign w:val="bottom"/>
          </w:tcPr>
          <w:p>
            <w:pPr>
              <w:jc w:val="right"/>
              <w:ind w:right="333"/>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3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2023</w:t>
            </w:r>
          </w:p>
        </w:tc>
      </w:tr>
      <w:tr>
        <w:trPr>
          <w:trHeight w:val="150"/>
        </w:trPr>
        <w:tc>
          <w:tcPr>
            <w:tcW w:w="7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12"/>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Apparel</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w:t>
            </w:r>
          </w:p>
        </w:tc>
      </w:tr>
      <w:tr>
        <w:trPr>
          <w:trHeight w:val="21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Accessories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r>
      <w:tr>
        <w:trPr>
          <w:trHeight w:val="171"/>
        </w:trPr>
        <w:tc>
          <w:tcPr>
            <w:tcW w:w="7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w:t>
            </w:r>
          </w:p>
        </w:tc>
      </w:tr>
      <w:tr>
        <w:trPr>
          <w:trHeight w:val="21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w:t>
            </w:r>
          </w:p>
        </w:tc>
      </w:tr>
      <w:tr>
        <w:trPr>
          <w:trHeight w:val="196"/>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Rental product, net</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380" w:right="100"/>
        <w:spacing w:after="0" w:line="290" w:lineRule="auto"/>
        <w:rPr>
          <w:sz w:val="20"/>
          <w:szCs w:val="20"/>
          <w:color w:val="auto"/>
        </w:rPr>
      </w:pPr>
      <w:r>
        <w:rPr>
          <w:rFonts w:ascii="Arial" w:cs="Arial" w:eastAsia="Arial" w:hAnsi="Arial"/>
          <w:sz w:val="14"/>
          <w:szCs w:val="14"/>
          <w:color w:val="auto"/>
        </w:rPr>
        <w:t>Depreciation and write-offs related to rental product, including write-offs of rental products sold, was $15.5 million and $13.9 million for the three months ended October 31, 2023 and 2022, respectively, and $40.4 million and $41.0 million for the nine months ended October 31, 2023 and 2022, respectively.</w:t>
      </w: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right="9800" w:hanging="375"/>
        <w:spacing w:after="0" w:line="379" w:lineRule="auto"/>
        <w:tabs>
          <w:tab w:leader="none" w:pos="371"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Long-Term Debt Summary</w:t>
      </w: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summarizes the Company’s long-term debt outstanding as of October 31, 2023 and January 31, 2023:</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Arial" w:cs="Arial" w:eastAsia="Arial" w:hAnsi="Arial"/>
                <w:sz w:val="11"/>
                <w:szCs w:val="11"/>
                <w:b w:val="1"/>
                <w:bCs w:val="1"/>
                <w:color w:val="auto"/>
              </w:rPr>
              <w:t>October 31,</w:t>
            </w:r>
          </w:p>
        </w:tc>
        <w:tc>
          <w:tcPr>
            <w:tcW w:w="260" w:type="dxa"/>
            <w:vAlign w:val="bottom"/>
          </w:tcPr>
          <w:p>
            <w:pPr>
              <w:spacing w:after="0"/>
              <w:rPr>
                <w:sz w:val="13"/>
                <w:szCs w:val="13"/>
                <w:color w:val="auto"/>
              </w:rPr>
            </w:pPr>
          </w:p>
        </w:tc>
        <w:tc>
          <w:tcPr>
            <w:tcW w:w="1180" w:type="dxa"/>
            <w:vAlign w:val="bottom"/>
          </w:tcPr>
          <w:p>
            <w:pPr>
              <w:jc w:val="right"/>
              <w:ind w:right="333"/>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3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2023</w:t>
            </w:r>
          </w:p>
        </w:tc>
      </w:tr>
      <w:tr>
        <w:trPr>
          <w:trHeight w:val="362"/>
        </w:trPr>
        <w:tc>
          <w:tcPr>
            <w:tcW w:w="7380" w:type="dxa"/>
            <w:vAlign w:val="bottom"/>
          </w:tcPr>
          <w:p>
            <w:pPr>
              <w:ind w:left="20"/>
              <w:spacing w:after="0"/>
              <w:rPr>
                <w:sz w:val="20"/>
                <w:szCs w:val="20"/>
                <w:color w:val="auto"/>
              </w:rPr>
            </w:pPr>
            <w:r>
              <w:rPr>
                <w:rFonts w:ascii="Arial" w:cs="Arial" w:eastAsia="Arial" w:hAnsi="Arial"/>
                <w:sz w:val="14"/>
                <w:szCs w:val="14"/>
                <w:color w:val="auto"/>
              </w:rPr>
              <w:t>Temasek Facility principal outstanding</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271.6</w:t>
            </w:r>
          </w:p>
        </w:tc>
        <w:tc>
          <w:tcPr>
            <w:tcW w:w="80" w:type="dxa"/>
            <w:vAlign w:val="bottom"/>
          </w:tcPr>
          <w:p>
            <w:pPr>
              <w:spacing w:after="0"/>
              <w:rPr>
                <w:sz w:val="24"/>
                <w:szCs w:val="2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271.6</w:t>
            </w:r>
          </w:p>
        </w:tc>
      </w:tr>
      <w:tr>
        <w:trPr>
          <w:trHeight w:val="212"/>
        </w:trPr>
        <w:tc>
          <w:tcPr>
            <w:tcW w:w="7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 payment-in-kind interest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212"/>
        </w:trPr>
        <w:tc>
          <w:tcPr>
            <w:tcW w:w="73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Less: unamortized debt discount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r>
      <w:tr>
        <w:trPr>
          <w:trHeight w:val="192"/>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Temasek Facility, net</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272.5</w:t>
            </w:r>
          </w:p>
        </w:tc>
      </w:tr>
      <w:tr>
        <w:trPr>
          <w:trHeight w:val="212"/>
        </w:trPr>
        <w:tc>
          <w:tcPr>
            <w:tcW w:w="7380" w:type="dxa"/>
            <w:vAlign w:val="bottom"/>
          </w:tcPr>
          <w:p>
            <w:pPr>
              <w:ind w:left="280"/>
              <w:spacing w:after="0"/>
              <w:rPr>
                <w:sz w:val="20"/>
                <w:szCs w:val="20"/>
                <w:color w:val="auto"/>
              </w:rPr>
            </w:pPr>
            <w:r>
              <w:rPr>
                <w:rFonts w:ascii="Arial" w:cs="Arial" w:eastAsia="Arial" w:hAnsi="Arial"/>
                <w:sz w:val="14"/>
                <w:szCs w:val="14"/>
                <w:color w:val="auto"/>
              </w:rPr>
              <w:t>Less: current portion of long-term debt</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 noncurrent long-term debt</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272.5</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Temasek Facility</w:t>
      </w:r>
    </w:p>
    <w:p>
      <w:pPr>
        <w:spacing w:after="0" w:line="94" w:lineRule="exact"/>
        <w:rPr>
          <w:sz w:val="20"/>
          <w:szCs w:val="20"/>
          <w:color w:val="auto"/>
        </w:rPr>
      </w:pPr>
    </w:p>
    <w:p>
      <w:pPr>
        <w:ind w:left="380" w:right="220"/>
        <w:spacing w:after="0" w:line="271" w:lineRule="auto"/>
        <w:rPr>
          <w:sz w:val="20"/>
          <w:szCs w:val="20"/>
          <w:color w:val="auto"/>
        </w:rPr>
      </w:pPr>
      <w:r>
        <w:rPr>
          <w:rFonts w:ascii="Arial" w:cs="Arial" w:eastAsia="Arial" w:hAnsi="Arial"/>
          <w:sz w:val="14"/>
          <w:szCs w:val="14"/>
          <w:color w:val="auto"/>
        </w:rPr>
        <w:t>In July 2018, the Company entered into a subordinated, junior lien term loan agreement with Double Helix Pte Ltd. as administrative agent for Temasek Holdings (the “Temasek Facility”). The Company drew $100.0 million under the Temasek Facility at closing with the ability to draw an additional $100.0 million in multiple drawings at any time prior to July 23, 2020 (the “Initial Temasek Commitments”) based on meeting certain performance and financial tests at each draw.</w:t>
      </w:r>
    </w:p>
    <w:p>
      <w:pPr>
        <w:spacing w:after="0" w:line="134" w:lineRule="exact"/>
        <w:rPr>
          <w:sz w:val="20"/>
          <w:szCs w:val="20"/>
          <w:color w:val="auto"/>
        </w:rPr>
      </w:pPr>
    </w:p>
    <w:p>
      <w:pPr>
        <w:ind w:left="380" w:right="380"/>
        <w:spacing w:after="0" w:line="271" w:lineRule="auto"/>
        <w:rPr>
          <w:sz w:val="20"/>
          <w:szCs w:val="20"/>
          <w:color w:val="auto"/>
        </w:rPr>
      </w:pPr>
      <w:r>
        <w:rPr>
          <w:rFonts w:ascii="Arial" w:cs="Arial" w:eastAsia="Arial" w:hAnsi="Arial"/>
          <w:sz w:val="14"/>
          <w:szCs w:val="14"/>
          <w:color w:val="auto"/>
        </w:rPr>
        <w:t>In November 2019, the Company drew an additional $50.0 million of the Initial Temasek Commitments and amended the Temasek Facility to include an additional $30.0 million of committed availability (the “Subsequent Temasek Commitments”). In March 2020, the Company drew the remaining $50.0 million of the Initial Temasek Commitments and the $30.0 million of the Subsequent Temasek Commitments.</w:t>
      </w:r>
    </w:p>
    <w:p>
      <w:pPr>
        <w:spacing w:after="0" w:line="134" w:lineRule="exact"/>
        <w:rPr>
          <w:sz w:val="20"/>
          <w:szCs w:val="20"/>
          <w:color w:val="auto"/>
        </w:rPr>
      </w:pPr>
    </w:p>
    <w:p>
      <w:pPr>
        <w:jc w:val="both"/>
        <w:ind w:left="380" w:right="40"/>
        <w:spacing w:after="0" w:line="271" w:lineRule="auto"/>
        <w:rPr>
          <w:sz w:val="20"/>
          <w:szCs w:val="20"/>
          <w:color w:val="auto"/>
        </w:rPr>
      </w:pPr>
      <w:r>
        <w:rPr>
          <w:rFonts w:ascii="Arial" w:cs="Arial" w:eastAsia="Arial" w:hAnsi="Arial"/>
          <w:sz w:val="14"/>
          <w:szCs w:val="14"/>
          <w:color w:val="auto"/>
        </w:rPr>
        <w:t>The Initial Temasek Commitments had an interest rate of 15% per annum that accrued as noncash interest. The Subsequent Temasek Commitments had a cash interest rate of 13% per annum, payable quarterly. The Temasek Facility required mandatory prepayment upon certain defined triggering events as well as optional prepayments, but such mandatory prepayments were not required to be made while the Company’s senior secured term loan with Ares Corporate Opportunities Fund V, L.P. was outstanding.</w:t>
      </w:r>
    </w:p>
    <w:p>
      <w:pPr>
        <w:spacing w:after="0" w:line="155" w:lineRule="exact"/>
        <w:rPr>
          <w:sz w:val="20"/>
          <w:szCs w:val="20"/>
          <w:color w:val="auto"/>
        </w:rPr>
      </w:pPr>
    </w:p>
    <w:p>
      <w:pPr>
        <w:ind w:left="380"/>
        <w:spacing w:after="0" w:line="259" w:lineRule="auto"/>
        <w:rPr>
          <w:sz w:val="20"/>
          <w:szCs w:val="20"/>
          <w:color w:val="auto"/>
        </w:rPr>
      </w:pPr>
      <w:r>
        <w:rPr>
          <w:rFonts w:ascii="Arial" w:cs="Arial" w:eastAsia="Arial" w:hAnsi="Arial"/>
          <w:sz w:val="14"/>
          <w:szCs w:val="14"/>
          <w:color w:val="auto"/>
        </w:rPr>
        <w:t>In October 2021, the Company used proceeds from the IPO to pay down the Subsequent Temasek Commitments of $30.0 million outstanding principal and interest in full. Concurrently, the Company entered into an amendment to the Temasek Facility (the “2021 Temasek Facility Amendment”). The Temasek Facility as amended by the 2021 Temasek Facility Amendment is referred to as the “2021 Amended Temasek Facility”. This transaction was accounted for as a debt modification. The terms of the 2021 Temasek Facility Amendment provide for, among other things, (i) an extension of the maturity to October 2024, (ii) an outstanding principal under the 2021 Amended Temasek Facility of $271.6 million (with no additional debt proceeds having been funded and after giving effect to the repayment described below), and (iii) an amended interest rate of 12% with up to 5% payable in kind. On the effective date of the 2021 Temasek Facility Amendment, the Company paid down an additional $30.0 million of the outstanding principal of the 2021 Amended Temasek Facility, for a total of $60.0 million principal paydown on the Temasek Facility and 2021 Amended Temasek Facility.</w:t>
      </w:r>
    </w:p>
    <w:p>
      <w:pPr>
        <w:spacing w:after="0" w:line="142" w:lineRule="exact"/>
        <w:rPr>
          <w:sz w:val="20"/>
          <w:szCs w:val="20"/>
          <w:color w:val="auto"/>
        </w:rPr>
      </w:pPr>
    </w:p>
    <w:p>
      <w:pPr>
        <w:ind w:left="380" w:right="100"/>
        <w:spacing w:after="0" w:line="290" w:lineRule="auto"/>
        <w:rPr>
          <w:sz w:val="20"/>
          <w:szCs w:val="20"/>
          <w:color w:val="auto"/>
        </w:rPr>
      </w:pPr>
      <w:r>
        <w:rPr>
          <w:rFonts w:ascii="Arial" w:cs="Arial" w:eastAsia="Arial" w:hAnsi="Arial"/>
          <w:sz w:val="14"/>
          <w:szCs w:val="14"/>
          <w:color w:val="auto"/>
        </w:rPr>
        <w:t>The effective interest rate for the Temasek Facility for the period from the date of issuance through the date of the 2021 Temasek Facility Amendment was 15.95%. The debt discount associated with the Initial Temasek Commitments was fully accreted when the Company entered into the 2021 Temasek Facility Amendment.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74" w:lineRule="exact"/>
        <w:rPr>
          <w:sz w:val="20"/>
          <w:szCs w:val="20"/>
          <w:color w:val="auto"/>
        </w:rPr>
      </w:pPr>
    </w:p>
    <w:p>
      <w:pPr>
        <w:ind w:left="380" w:right="20"/>
        <w:spacing w:after="0" w:line="249" w:lineRule="auto"/>
        <w:rPr>
          <w:sz w:val="20"/>
          <w:szCs w:val="20"/>
          <w:color w:val="auto"/>
        </w:rPr>
      </w:pPr>
      <w:r>
        <w:rPr>
          <w:rFonts w:ascii="Arial" w:cs="Arial" w:eastAsia="Arial" w:hAnsi="Arial"/>
          <w:sz w:val="14"/>
          <w:szCs w:val="14"/>
          <w:color w:val="auto"/>
        </w:rPr>
        <w:t>In October 2021, in connection with the 2021 Amended Temasek Facility, the Company recorded a debt discount of $15.3 million, of which $ 0.2 million related to lender fees, $5.3 million related to the allocation of proceeds to warrants issued in relation to the 2021 Amended Temasek Facility, $1.0 million related to the extension of the term of warrants issued in relation to the Temasek Facility, and $8.8 million related to fees incurred to amend the 2021 Amended Temasek Facility. These amounts are being accreted to the principal amount of the 2021 Amended Temasek Facility through the recognition of noncash interest expense.</w:t>
      </w:r>
    </w:p>
    <w:p>
      <w:pPr>
        <w:spacing w:after="0" w:line="159" w:lineRule="exact"/>
        <w:rPr>
          <w:sz w:val="20"/>
          <w:szCs w:val="20"/>
          <w:color w:val="auto"/>
        </w:rPr>
      </w:pPr>
    </w:p>
    <w:p>
      <w:pPr>
        <w:ind w:left="380" w:right="200"/>
        <w:spacing w:after="0" w:line="247" w:lineRule="auto"/>
        <w:rPr>
          <w:sz w:val="20"/>
          <w:szCs w:val="20"/>
          <w:color w:val="auto"/>
        </w:rPr>
      </w:pPr>
      <w:r>
        <w:rPr>
          <w:rFonts w:ascii="Arial" w:cs="Arial" w:eastAsia="Arial" w:hAnsi="Arial"/>
          <w:sz w:val="14"/>
          <w:szCs w:val="14"/>
          <w:color w:val="auto"/>
        </w:rPr>
        <w:t>In January 2023, the Company entered into an amendment to the 2021 Amended Temasek Facility (“2022 Temasek Facility Amendment”). The 2021 Amended Temasek Facility as further amended by the 2022 Temasek Facility Amendment is referred to as the “2022 Amended Temasek Facility”. This transaction was accounted for as a debt</w:t>
      </w:r>
    </w:p>
    <w:p>
      <w:pPr>
        <w:spacing w:after="0" w:line="1" w:lineRule="exact"/>
        <w:rPr>
          <w:sz w:val="20"/>
          <w:szCs w:val="20"/>
          <w:color w:val="auto"/>
        </w:rPr>
      </w:pPr>
    </w:p>
    <w:p>
      <w:pPr>
        <w:ind w:left="380" w:right="160"/>
        <w:spacing w:after="0" w:line="229" w:lineRule="auto"/>
        <w:rPr>
          <w:sz w:val="20"/>
          <w:szCs w:val="20"/>
          <w:color w:val="auto"/>
        </w:rPr>
      </w:pPr>
      <w:r>
        <w:rPr>
          <w:rFonts w:ascii="Arial" w:cs="Arial" w:eastAsia="Arial" w:hAnsi="Arial"/>
          <w:sz w:val="14"/>
          <w:szCs w:val="14"/>
          <w:color w:val="auto"/>
        </w:rPr>
        <w:t>modification. The terms of the amendment provide for, (i) an extension of the maturity to October 2026, (ii) a reduction of the cash portion of the interest rate to 2% per year through July 2024, increasing to 5% thereafter for the duration of the 2022 Amended Temasek Facility, and (iii) a 1% increase in the total interest rate in February 2024 from</w:t>
      </w:r>
    </w:p>
    <w:p>
      <w:pPr>
        <w:ind w:left="380"/>
        <w:spacing w:after="0" w:line="242" w:lineRule="auto"/>
        <w:rPr>
          <w:sz w:val="20"/>
          <w:szCs w:val="20"/>
          <w:color w:val="auto"/>
        </w:rPr>
      </w:pPr>
      <w:r>
        <w:rPr>
          <w:rFonts w:ascii="Arial" w:cs="Arial" w:eastAsia="Arial" w:hAnsi="Arial"/>
          <w:sz w:val="14"/>
          <w:szCs w:val="14"/>
          <w:color w:val="auto"/>
        </w:rPr>
        <w:t>12% to 13% and annual rate increases of 1% thereafter for the duration of the 2022 Amended Temasek Facility. In connection with the 2022 Temasek Facility Amendment, the Company granted a warrant to purchase up to 2 million shares of the Company’s Class A common stock at an exercise price of $5.00 per share. The warrant will expire on January 31, 2030. The effective interest rate for the 2021 Amended Temasek Facility for the period from the date of issuance through the date of the 2022 Amended Temasek Facility was 14.29%. The effective interest rate for the 2022 Amended Temasek Facility as of January 31, 2023 was 15.15%.</w:t>
      </w:r>
    </w:p>
    <w:p>
      <w:pPr>
        <w:spacing w:after="0" w:line="175" w:lineRule="exact"/>
        <w:rPr>
          <w:sz w:val="20"/>
          <w:szCs w:val="20"/>
          <w:color w:val="auto"/>
        </w:rPr>
      </w:pPr>
    </w:p>
    <w:p>
      <w:pPr>
        <w:ind w:left="380" w:right="360"/>
        <w:spacing w:after="0" w:line="290" w:lineRule="auto"/>
        <w:rPr>
          <w:sz w:val="20"/>
          <w:szCs w:val="20"/>
          <w:color w:val="auto"/>
        </w:rPr>
      </w:pPr>
      <w:r>
        <w:rPr>
          <w:rFonts w:ascii="Arial" w:cs="Arial" w:eastAsia="Arial" w:hAnsi="Arial"/>
          <w:sz w:val="14"/>
          <w:szCs w:val="14"/>
          <w:color w:val="auto"/>
        </w:rPr>
        <w:t>In January 2023, in connection with the 2022 Amended Temasek Facility, the Company recorded a debt discount of $6.9 million related to the allocation of proceeds to warrants issued. These amounts are being accreted to the principal amount of the 2022 Amended Temasek Facility through the recognition of noncash interest expense.</w:t>
      </w:r>
    </w:p>
    <w:p>
      <w:pPr>
        <w:spacing w:after="0" w:line="131" w:lineRule="exact"/>
        <w:rPr>
          <w:sz w:val="20"/>
          <w:szCs w:val="20"/>
          <w:color w:val="auto"/>
        </w:rPr>
      </w:pPr>
    </w:p>
    <w:p>
      <w:pPr>
        <w:ind w:left="380" w:right="80"/>
        <w:spacing w:after="0" w:line="244" w:lineRule="auto"/>
        <w:rPr>
          <w:sz w:val="20"/>
          <w:szCs w:val="20"/>
          <w:color w:val="auto"/>
        </w:rPr>
      </w:pPr>
      <w:r>
        <w:rPr>
          <w:rFonts w:ascii="Arial" w:cs="Arial" w:eastAsia="Arial" w:hAnsi="Arial"/>
          <w:sz w:val="14"/>
          <w:szCs w:val="14"/>
          <w:color w:val="auto"/>
        </w:rPr>
        <w:t>The 2022 Amended Temasek Facility did not change the covenants under the 2021 Amended Temasek Facility, which require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Additionally, the 2022 Amended Temasek Facility included a minimum liquidity maintenance covenant of $50 million. The 2022 Amended Temasek Facility also contains various events of default, including failure to comply with the minimum liquidity maintenance covenant, the occurrence of which could result in the acceleration of obligations for the Company. Refer to Note 15 - Subsequent Events for details of the Credit Facility Amendment in December 2023.</w:t>
      </w:r>
    </w:p>
    <w:p>
      <w:pPr>
        <w:spacing w:after="0" w:line="153" w:lineRule="exact"/>
        <w:rPr>
          <w:sz w:val="20"/>
          <w:szCs w:val="20"/>
          <w:color w:val="auto"/>
        </w:rPr>
      </w:pPr>
    </w:p>
    <w:p>
      <w:pPr>
        <w:jc w:val="both"/>
        <w:ind w:left="380" w:right="60"/>
        <w:spacing w:after="0" w:line="271" w:lineRule="auto"/>
        <w:rPr>
          <w:sz w:val="20"/>
          <w:szCs w:val="20"/>
          <w:color w:val="auto"/>
        </w:rPr>
      </w:pPr>
      <w:r>
        <w:rPr>
          <w:rFonts w:ascii="Arial" w:cs="Arial" w:eastAsia="Arial" w:hAnsi="Arial"/>
          <w:sz w:val="14"/>
          <w:szCs w:val="14"/>
          <w:color w:val="auto"/>
        </w:rPr>
        <w:t>The Company determined that all of the embedded features of the Temasek Facility, 2021 Amended Temasek Facility, and 2022 Amended Temasek Facility were clearly and closely related to the debt host and did not require bifurcation as a derivative liability, or the fair value of the feature was immaterial to the Company’s condensed consolidated financial statements.</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Covenants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was in compliance with all applicable financial and nonfinancial covenants as of October 31,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hanging="375"/>
        <w:spacing w:after="0"/>
        <w:tabs>
          <w:tab w:leader="none" w:pos="38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99" w:lineRule="exact"/>
        <w:rPr>
          <w:rFonts w:ascii="Arial" w:cs="Arial" w:eastAsia="Arial" w:hAnsi="Arial"/>
          <w:sz w:val="14"/>
          <w:szCs w:val="14"/>
          <w:b w:val="1"/>
          <w:bCs w:val="1"/>
          <w:color w:val="auto"/>
        </w:rPr>
      </w:pPr>
    </w:p>
    <w:p>
      <w:pPr>
        <w:ind w:left="380" w:right="10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The Company’s provision or benefit from income taxes in interim periods is determined using an estimate of the annual effective tax rate, adjusted for discrete items, if any, that are taken into account in the relevant period. Each quarter the Company updates its estimate of the annual effective tax rate, and if its estimated tax rate changes, the Company makes a cumulative adjustment. The estimate of the annual effective income tax rate for the full year is applied to the respective interim period, taking into account year-to-date amounts and projected results for the full year.</w:t>
      </w:r>
    </w:p>
    <w:p>
      <w:pPr>
        <w:spacing w:after="0" w:line="158"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Company continues to maintain a full valuation allowance on all United States net deferred tax assets for all periods presented.</w:t>
      </w:r>
    </w:p>
    <w:p>
      <w:pPr>
        <w:spacing w:after="0" w:line="199" w:lineRule="exact"/>
        <w:rPr>
          <w:rFonts w:ascii="Arial" w:cs="Arial" w:eastAsia="Arial" w:hAnsi="Arial"/>
          <w:sz w:val="14"/>
          <w:szCs w:val="14"/>
          <w:b w:val="1"/>
          <w:bCs w:val="1"/>
          <w:color w:val="auto"/>
        </w:rPr>
      </w:pPr>
    </w:p>
    <w:p>
      <w:pPr>
        <w:ind w:left="380"/>
        <w:spacing w:after="0" w:line="268" w:lineRule="auto"/>
        <w:rPr>
          <w:rFonts w:ascii="Arial" w:cs="Arial" w:eastAsia="Arial" w:hAnsi="Arial"/>
          <w:sz w:val="14"/>
          <w:szCs w:val="14"/>
          <w:b w:val="1"/>
          <w:bCs w:val="1"/>
          <w:color w:val="auto"/>
        </w:rPr>
      </w:pPr>
      <w:r>
        <w:rPr>
          <w:rFonts w:ascii="Arial" w:cs="Arial" w:eastAsia="Arial" w:hAnsi="Arial"/>
          <w:sz w:val="14"/>
          <w:szCs w:val="14"/>
          <w:color w:val="auto"/>
        </w:rPr>
        <w:t>The amount of unrecognized tax benefits as of October 31, 2023 and January 31, 2023 was $1.0 million and $0.9 million, respectively. The Company recognizes interest and penalties related to unrecognized tax benefits in income tax expense. The total amount of unrecognized benefits relating to the Company’s tax position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 at this time</w:t>
      </w:r>
      <w:r>
        <w:rPr>
          <w:rFonts w:ascii="Arial" w:cs="Arial" w:eastAsia="Arial" w:hAnsi="Arial"/>
          <w:sz w:val="16"/>
          <w:szCs w:val="16"/>
          <w:color w:val="auto"/>
        </w:rPr>
        <w:t>.</w:t>
      </w:r>
    </w:p>
    <w:p>
      <w:pPr>
        <w:spacing w:after="0" w:line="210" w:lineRule="exact"/>
        <w:rPr>
          <w:rFonts w:ascii="Arial" w:cs="Arial" w:eastAsia="Arial" w:hAnsi="Arial"/>
          <w:sz w:val="14"/>
          <w:szCs w:val="14"/>
          <w:b w:val="1"/>
          <w:bCs w:val="1"/>
          <w:color w:val="auto"/>
        </w:rPr>
      </w:pPr>
    </w:p>
    <w:p>
      <w:pPr>
        <w:ind w:left="380" w:hanging="375"/>
        <w:spacing w:after="0"/>
        <w:tabs>
          <w:tab w:leader="none" w:pos="38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Accrued Expenses and Other Current Liabilities</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Accrued expenses and other current liabilities consisted of the following:</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340" w:type="dxa"/>
            <w:vAlign w:val="bottom"/>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October 31,</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3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56"/>
              <w:spacing w:after="0"/>
              <w:rPr>
                <w:sz w:val="20"/>
                <w:szCs w:val="20"/>
                <w:color w:val="auto"/>
              </w:rPr>
            </w:pPr>
            <w:r>
              <w:rPr>
                <w:rFonts w:ascii="Arial" w:cs="Arial" w:eastAsia="Arial" w:hAnsi="Arial"/>
                <w:sz w:val="11"/>
                <w:szCs w:val="11"/>
                <w:b w:val="1"/>
                <w:bCs w:val="1"/>
                <w:color w:val="auto"/>
              </w:rPr>
              <w:t>2023</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2023</w:t>
            </w:r>
          </w:p>
        </w:tc>
      </w:tr>
      <w:tr>
        <w:trPr>
          <w:trHeight w:val="203"/>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operating and general expenses</w:t>
            </w:r>
          </w:p>
        </w:tc>
        <w:tc>
          <w:tcPr>
            <w:tcW w:w="1080" w:type="dxa"/>
            <w:vAlign w:val="bottom"/>
            <w:shd w:val="clear" w:color="auto" w:fill="CCEEFF"/>
          </w:tcPr>
          <w:p>
            <w:pPr>
              <w:jc w:val="right"/>
              <w:ind w:right="916"/>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212"/>
        </w:trPr>
        <w:tc>
          <w:tcPr>
            <w:tcW w:w="7340" w:type="dxa"/>
            <w:vAlign w:val="bottom"/>
          </w:tcPr>
          <w:p>
            <w:pPr>
              <w:ind w:left="20"/>
              <w:spacing w:after="0"/>
              <w:rPr>
                <w:sz w:val="20"/>
                <w:szCs w:val="20"/>
                <w:color w:val="auto"/>
              </w:rPr>
            </w:pPr>
            <w:r>
              <w:rPr>
                <w:rFonts w:ascii="Arial" w:cs="Arial" w:eastAsia="Arial" w:hAnsi="Arial"/>
                <w:sz w:val="14"/>
                <w:szCs w:val="14"/>
                <w:color w:val="auto"/>
              </w:rPr>
              <w:t>Revenue share payable</w:t>
            </w:r>
          </w:p>
        </w:tc>
        <w:tc>
          <w:tcPr>
            <w:tcW w:w="1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12"/>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payroll related expenses</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12"/>
        </w:trPr>
        <w:tc>
          <w:tcPr>
            <w:tcW w:w="7340" w:type="dxa"/>
            <w:vAlign w:val="bottom"/>
          </w:tcPr>
          <w:p>
            <w:pPr>
              <w:ind w:left="20"/>
              <w:spacing w:after="0"/>
              <w:rPr>
                <w:sz w:val="20"/>
                <w:szCs w:val="20"/>
                <w:color w:val="auto"/>
              </w:rPr>
            </w:pPr>
            <w:r>
              <w:rPr>
                <w:rFonts w:ascii="Arial" w:cs="Arial" w:eastAsia="Arial" w:hAnsi="Arial"/>
                <w:sz w:val="14"/>
                <w:szCs w:val="14"/>
                <w:color w:val="auto"/>
              </w:rPr>
              <w:t>Sales and other taxes</w:t>
            </w:r>
          </w:p>
        </w:tc>
        <w:tc>
          <w:tcPr>
            <w:tcW w:w="1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12"/>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interest</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12"/>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Gift card liability</w:t>
            </w: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r>
      <w:tr>
        <w:trPr>
          <w:trHeight w:val="228"/>
        </w:trPr>
        <w:tc>
          <w:tcPr>
            <w:tcW w:w="7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expenses and other current liabilities</w:t>
            </w:r>
          </w:p>
        </w:tc>
        <w:tc>
          <w:tcPr>
            <w:tcW w:w="108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80" w:hanging="375"/>
        <w:spacing w:after="0"/>
        <w:tabs>
          <w:tab w:leader="none" w:pos="38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178" w:lineRule="exact"/>
        <w:rPr>
          <w:rFonts w:ascii="Arial" w:cs="Arial" w:eastAsia="Arial" w:hAnsi="Arial"/>
          <w:sz w:val="14"/>
          <w:szCs w:val="14"/>
          <w:b w:val="1"/>
          <w:bCs w:val="1"/>
          <w:color w:val="auto"/>
        </w:rPr>
      </w:pPr>
    </w:p>
    <w:p>
      <w:pPr>
        <w:jc w:val="both"/>
        <w:ind w:left="380" w:right="12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As of October 31, 2023 and January 31, 2023, the carrying amounts of the Company’s cash and cash equivalents, current and noncurrent restricted cash, prepaid expenses and other current assets, accounts payable and accrued expenses and other current liabilities approximated their estimated fair value due to their relatively short maturities.</w:t>
      </w:r>
    </w:p>
    <w:p>
      <w:pPr>
        <w:spacing w:after="0" w:line="226" w:lineRule="exact"/>
        <w:rPr>
          <w:rFonts w:ascii="Arial" w:cs="Arial" w:eastAsia="Arial" w:hAnsi="Arial"/>
          <w:sz w:val="14"/>
          <w:szCs w:val="14"/>
          <w:b w:val="1"/>
          <w:bCs w:val="1"/>
          <w:color w:val="auto"/>
        </w:rPr>
      </w:pPr>
    </w:p>
    <w:p>
      <w:pPr>
        <w:ind w:left="380" w:right="18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Company’s long-term debt is reported at carrying value on the Company’s condensed consolidated balance sheet. Refer to Note 7 — Long-Term Debt. The Company estimates the fair value of its long-term debt based on recently reported market transactions for similar financial instruments by companies with similar credit ratings and, as such, are classified as Level 2 within the fair value hierarchy. As of October 31, 2023, the estimated fair value of the Company’s long-term debt was $293.7 million.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right="9340" w:hanging="375"/>
        <w:spacing w:after="0" w:line="379" w:lineRule="auto"/>
        <w:tabs>
          <w:tab w:leader="none" w:pos="367"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Stockholders’ Equity </w:t>
      </w:r>
      <w:r>
        <w:rPr>
          <w:rFonts w:ascii="Arial" w:cs="Arial" w:eastAsia="Arial" w:hAnsi="Arial"/>
          <w:sz w:val="14"/>
          <w:szCs w:val="14"/>
          <w:b w:val="1"/>
          <w:bCs w:val="1"/>
          <w:i w:val="1"/>
          <w:iCs w:val="1"/>
          <w:color w:val="auto"/>
        </w:rPr>
        <w:t>Common Stock</w:t>
      </w:r>
    </w:p>
    <w:p>
      <w:pPr>
        <w:ind w:left="38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Holders of Class A common stock are entitled to one vote per share and holders of Class B common stock are entitled to twenty votes per share, as well as dividends if and when declared by the Board of Directors and, upon liquidation, dissolution, winding up or other liquidation event of the Company, all assets available for distribution to common stockholders. There are no redemption provisions with respect to common stock.</w:t>
      </w:r>
    </w:p>
    <w:p>
      <w:pPr>
        <w:spacing w:after="0" w:line="241"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Preferred Stock</w:t>
      </w:r>
    </w:p>
    <w:p>
      <w:pPr>
        <w:spacing w:after="0" w:line="91" w:lineRule="exact"/>
        <w:rPr>
          <w:rFonts w:ascii="Arial" w:cs="Arial" w:eastAsia="Arial" w:hAnsi="Arial"/>
          <w:sz w:val="14"/>
          <w:szCs w:val="14"/>
          <w:b w:val="1"/>
          <w:bCs w:val="1"/>
          <w:color w:val="auto"/>
        </w:rPr>
      </w:pPr>
    </w:p>
    <w:p>
      <w:pPr>
        <w:ind w:left="38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Upon the IPO, the Company authorized 10,000,000 shares of preferred stock, with a par value of $0.001 per share. No shares were issued or outstanding as of October 31, 2023.</w:t>
      </w:r>
    </w:p>
    <w:p>
      <w:pPr>
        <w:spacing w:after="0" w:line="228"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Warrants</w:t>
      </w:r>
    </w:p>
    <w:p>
      <w:pPr>
        <w:spacing w:after="0" w:line="91"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As of October 31, 2023 and January 31, 2023, the Company had the following outstanding warrants: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28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1"/>
                <w:szCs w:val="11"/>
                <w:b w:val="1"/>
                <w:bCs w:val="1"/>
                <w:color w:val="auto"/>
              </w:rPr>
              <w:t>October 31, 2023</w:t>
            </w: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49"/>
        </w:trPr>
        <w:tc>
          <w:tcPr>
            <w:tcW w:w="2860" w:type="dxa"/>
            <w:vAlign w:val="bottom"/>
          </w:tcPr>
          <w:p>
            <w:pPr>
              <w:spacing w:after="0"/>
              <w:rPr>
                <w:sz w:val="12"/>
                <w:szCs w:val="12"/>
                <w:color w:val="auto"/>
              </w:rPr>
            </w:pPr>
          </w:p>
        </w:tc>
        <w:tc>
          <w:tcPr>
            <w:tcW w:w="920" w:type="dxa"/>
            <w:vAlign w:val="bottom"/>
          </w:tcPr>
          <w:p>
            <w:pPr>
              <w:jc w:val="center"/>
              <w:ind w:left="423"/>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ind w:right="351"/>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2"/>
                <w:szCs w:val="12"/>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Class of</w:t>
            </w:r>
          </w:p>
        </w:tc>
        <w:tc>
          <w:tcPr>
            <w:tcW w:w="13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Exercise</w:t>
            </w:r>
          </w:p>
        </w:tc>
        <w:tc>
          <w:tcPr>
            <w:tcW w:w="260" w:type="dxa"/>
            <w:vAlign w:val="bottom"/>
          </w:tcPr>
          <w:p>
            <w:pPr>
              <w:spacing w:after="0"/>
              <w:rPr>
                <w:sz w:val="12"/>
                <w:szCs w:val="12"/>
                <w:color w:val="auto"/>
              </w:rPr>
            </w:pPr>
          </w:p>
        </w:tc>
        <w:tc>
          <w:tcPr>
            <w:tcW w:w="1180" w:type="dxa"/>
            <w:vAlign w:val="bottom"/>
          </w:tcPr>
          <w:p>
            <w:pPr>
              <w:jc w:val="right"/>
              <w:ind w:right="371"/>
              <w:spacing w:after="0"/>
              <w:rPr>
                <w:sz w:val="20"/>
                <w:szCs w:val="20"/>
                <w:color w:val="auto"/>
              </w:rPr>
            </w:pPr>
            <w:r>
              <w:rPr>
                <w:rFonts w:ascii="Arial" w:cs="Arial" w:eastAsia="Arial" w:hAnsi="Arial"/>
                <w:sz w:val="11"/>
                <w:szCs w:val="11"/>
                <w:b w:val="1"/>
                <w:bCs w:val="1"/>
                <w:color w:val="auto"/>
              </w:rPr>
              <w:t>Fair Value</w:t>
            </w:r>
          </w:p>
        </w:tc>
      </w:tr>
      <w:tr>
        <w:trPr>
          <w:trHeight w:val="165"/>
        </w:trPr>
        <w:tc>
          <w:tcPr>
            <w:tcW w:w="2860" w:type="dxa"/>
            <w:vAlign w:val="bottom"/>
          </w:tcPr>
          <w:p>
            <w:pPr>
              <w:ind w:left="840"/>
              <w:spacing w:after="0"/>
              <w:rPr>
                <w:sz w:val="20"/>
                <w:szCs w:val="20"/>
                <w:color w:val="auto"/>
              </w:rPr>
            </w:pPr>
            <w:r>
              <w:rPr>
                <w:rFonts w:ascii="Arial" w:cs="Arial" w:eastAsia="Arial" w:hAnsi="Arial"/>
                <w:sz w:val="11"/>
                <w:szCs w:val="11"/>
                <w:b w:val="1"/>
                <w:bCs w:val="1"/>
                <w:color w:val="auto"/>
              </w:rPr>
              <w:t>Outstanding Warrants</w:t>
            </w:r>
          </w:p>
        </w:tc>
        <w:tc>
          <w:tcPr>
            <w:tcW w:w="920" w:type="dxa"/>
            <w:vAlign w:val="bottom"/>
          </w:tcPr>
          <w:p>
            <w:pPr>
              <w:jc w:val="center"/>
              <w:ind w:left="423"/>
              <w:spacing w:after="0"/>
              <w:rPr>
                <w:sz w:val="20"/>
                <w:szCs w:val="20"/>
                <w:color w:val="auto"/>
              </w:rPr>
            </w:pPr>
            <w:r>
              <w:rPr>
                <w:rFonts w:ascii="Arial" w:cs="Arial" w:eastAsia="Arial" w:hAnsi="Arial"/>
                <w:sz w:val="11"/>
                <w:szCs w:val="11"/>
                <w:b w:val="1"/>
                <w:bCs w:val="1"/>
                <w:color w:val="auto"/>
              </w:rPr>
              <w:t>Issued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ind w:right="451"/>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4"/>
                <w:szCs w:val="14"/>
                <w:color w:val="auto"/>
              </w:rPr>
            </w:pPr>
          </w:p>
        </w:tc>
        <w:tc>
          <w:tcPr>
            <w:tcW w:w="166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rPr>
              <w:t>Shares</w:t>
            </w:r>
          </w:p>
        </w:tc>
        <w:tc>
          <w:tcPr>
            <w:tcW w:w="13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Price (Per Warrant)</w:t>
            </w:r>
          </w:p>
        </w:tc>
        <w:tc>
          <w:tcPr>
            <w:tcW w:w="260" w:type="dxa"/>
            <w:vAlign w:val="bottom"/>
          </w:tcPr>
          <w:p>
            <w:pPr>
              <w:spacing w:after="0"/>
              <w:rPr>
                <w:sz w:val="14"/>
                <w:szCs w:val="14"/>
                <w:color w:val="auto"/>
              </w:rPr>
            </w:pPr>
          </w:p>
        </w:tc>
        <w:tc>
          <w:tcPr>
            <w:tcW w:w="1180" w:type="dxa"/>
            <w:vAlign w:val="bottom"/>
          </w:tcPr>
          <w:p>
            <w:pPr>
              <w:jc w:val="right"/>
              <w:ind w:right="331"/>
              <w:spacing w:after="0"/>
              <w:rPr>
                <w:sz w:val="20"/>
                <w:szCs w:val="20"/>
                <w:color w:val="auto"/>
              </w:rPr>
            </w:pPr>
            <w:r>
              <w:rPr>
                <w:rFonts w:ascii="Arial" w:cs="Arial" w:eastAsia="Arial" w:hAnsi="Arial"/>
                <w:sz w:val="11"/>
                <w:szCs w:val="11"/>
                <w:b w:val="1"/>
                <w:bCs w:val="1"/>
                <w:color w:val="auto"/>
              </w:rPr>
              <w:t>at Issuance</w:t>
            </w:r>
          </w:p>
        </w:tc>
      </w:tr>
      <w:tr>
        <w:trPr>
          <w:trHeight w:val="19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classified:</w:t>
            </w:r>
          </w:p>
        </w:tc>
        <w:tc>
          <w:tcPr>
            <w:tcW w:w="9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r>
      <w:tr>
        <w:trPr>
          <w:trHeight w:val="21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Nov-16</w:t>
            </w:r>
          </w:p>
        </w:tc>
        <w:tc>
          <w:tcPr>
            <w:tcW w:w="1420" w:type="dxa"/>
            <w:vAlign w:val="bottom"/>
          </w:tcPr>
          <w:p>
            <w:pPr>
              <w:jc w:val="right"/>
              <w:spacing w:after="0"/>
              <w:rPr>
                <w:sz w:val="20"/>
                <w:szCs w:val="20"/>
                <w:color w:val="auto"/>
              </w:rPr>
            </w:pPr>
            <w:r>
              <w:rPr>
                <w:rFonts w:ascii="Arial" w:cs="Arial" w:eastAsia="Arial" w:hAnsi="Arial"/>
                <w:sz w:val="14"/>
                <w:szCs w:val="14"/>
                <w:color w:val="auto"/>
              </w:rPr>
              <w:t>82,891</w:t>
            </w:r>
          </w:p>
        </w:tc>
        <w:tc>
          <w:tcPr>
            <w:tcW w:w="100" w:type="dxa"/>
            <w:vAlign w:val="bottom"/>
          </w:tcPr>
          <w:p>
            <w:pPr>
              <w:spacing w:after="0"/>
              <w:rPr>
                <w:sz w:val="18"/>
                <w:szCs w:val="18"/>
                <w:color w:val="auto"/>
              </w:rPr>
            </w:pPr>
          </w:p>
        </w:tc>
        <w:tc>
          <w:tcPr>
            <w:tcW w:w="1660" w:type="dxa"/>
            <w:vAlign w:val="bottom"/>
            <w:gridSpan w:val="3"/>
          </w:tcPr>
          <w:p>
            <w:pPr>
              <w:ind w:left="840"/>
              <w:spacing w:after="0"/>
              <w:rPr>
                <w:sz w:val="20"/>
                <w:szCs w:val="20"/>
                <w:color w:val="auto"/>
              </w:rPr>
            </w:pPr>
            <w:r>
              <w:rPr>
                <w:rFonts w:ascii="Arial" w:cs="Arial" w:eastAsia="Arial" w:hAnsi="Arial"/>
                <w:sz w:val="14"/>
                <w:szCs w:val="14"/>
                <w:color w:val="auto"/>
              </w:rPr>
              <w:t>Common  $</w:t>
            </w:r>
          </w:p>
        </w:tc>
        <w:tc>
          <w:tcPr>
            <w:tcW w:w="128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8"/>
                <w:szCs w:val="18"/>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Jun-17</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18,236</w:t>
            </w: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Sep-17</w:t>
            </w:r>
          </w:p>
        </w:tc>
        <w:tc>
          <w:tcPr>
            <w:tcW w:w="1420" w:type="dxa"/>
            <w:vAlign w:val="bottom"/>
          </w:tcPr>
          <w:p>
            <w:pPr>
              <w:jc w:val="right"/>
              <w:spacing w:after="0"/>
              <w:rPr>
                <w:sz w:val="20"/>
                <w:szCs w:val="20"/>
                <w:color w:val="auto"/>
              </w:rPr>
            </w:pPr>
            <w:r>
              <w:rPr>
                <w:rFonts w:ascii="Arial" w:cs="Arial" w:eastAsia="Arial" w:hAnsi="Arial"/>
                <w:sz w:val="14"/>
                <w:szCs w:val="14"/>
                <w:color w:val="auto"/>
              </w:rPr>
              <w:t>14,920</w:t>
            </w:r>
          </w:p>
        </w:tc>
        <w:tc>
          <w:tcPr>
            <w:tcW w:w="100" w:type="dxa"/>
            <w:vAlign w:val="bottom"/>
          </w:tcPr>
          <w:p>
            <w:pPr>
              <w:spacing w:after="0"/>
              <w:rPr>
                <w:sz w:val="18"/>
                <w:szCs w:val="18"/>
                <w:color w:val="auto"/>
              </w:rPr>
            </w:pPr>
          </w:p>
        </w:tc>
        <w:tc>
          <w:tcPr>
            <w:tcW w:w="166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28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Jan-18</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16,578</w:t>
            </w: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Apr-18</w:t>
            </w:r>
          </w:p>
        </w:tc>
        <w:tc>
          <w:tcPr>
            <w:tcW w:w="1420" w:type="dxa"/>
            <w:vAlign w:val="bottom"/>
          </w:tcPr>
          <w:p>
            <w:pPr>
              <w:jc w:val="right"/>
              <w:spacing w:after="0"/>
              <w:rPr>
                <w:sz w:val="20"/>
                <w:szCs w:val="20"/>
                <w:color w:val="auto"/>
              </w:rPr>
            </w:pPr>
            <w:r>
              <w:rPr>
                <w:rFonts w:ascii="Arial" w:cs="Arial" w:eastAsia="Arial" w:hAnsi="Arial"/>
                <w:sz w:val="14"/>
                <w:szCs w:val="14"/>
                <w:color w:val="auto"/>
              </w:rPr>
              <w:t>16,578</w:t>
            </w:r>
          </w:p>
        </w:tc>
        <w:tc>
          <w:tcPr>
            <w:tcW w:w="100" w:type="dxa"/>
            <w:vAlign w:val="bottom"/>
          </w:tcPr>
          <w:p>
            <w:pPr>
              <w:spacing w:after="0"/>
              <w:rPr>
                <w:sz w:val="18"/>
                <w:szCs w:val="18"/>
                <w:color w:val="auto"/>
              </w:rPr>
            </w:pPr>
          </w:p>
        </w:tc>
        <w:tc>
          <w:tcPr>
            <w:tcW w:w="166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28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Nov-15</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35,215</w:t>
            </w: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1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Jun-16</w:t>
            </w:r>
          </w:p>
        </w:tc>
        <w:tc>
          <w:tcPr>
            <w:tcW w:w="1420" w:type="dxa"/>
            <w:vAlign w:val="bottom"/>
          </w:tcPr>
          <w:p>
            <w:pPr>
              <w:jc w:val="right"/>
              <w:spacing w:after="0"/>
              <w:rPr>
                <w:sz w:val="20"/>
                <w:szCs w:val="20"/>
                <w:color w:val="auto"/>
              </w:rPr>
            </w:pPr>
            <w:r>
              <w:rPr>
                <w:rFonts w:ascii="Arial" w:cs="Arial" w:eastAsia="Arial" w:hAnsi="Arial"/>
                <w:sz w:val="14"/>
                <w:szCs w:val="14"/>
                <w:color w:val="auto"/>
              </w:rPr>
              <w:t>28,172</w:t>
            </w:r>
          </w:p>
        </w:tc>
        <w:tc>
          <w:tcPr>
            <w:tcW w:w="100" w:type="dxa"/>
            <w:vAlign w:val="bottom"/>
          </w:tcPr>
          <w:p>
            <w:pPr>
              <w:spacing w:after="0"/>
              <w:rPr>
                <w:sz w:val="18"/>
                <w:szCs w:val="18"/>
                <w:color w:val="auto"/>
              </w:rPr>
            </w:pPr>
          </w:p>
        </w:tc>
        <w:tc>
          <w:tcPr>
            <w:tcW w:w="166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280" w:type="dxa"/>
            <w:vAlign w:val="bottom"/>
          </w:tcPr>
          <w:p>
            <w:pPr>
              <w:jc w:val="right"/>
              <w:spacing w:after="0"/>
              <w:rPr>
                <w:sz w:val="20"/>
                <w:szCs w:val="20"/>
                <w:color w:val="auto"/>
              </w:rPr>
            </w:pPr>
            <w:r>
              <w:rPr>
                <w:rFonts w:ascii="Arial" w:cs="Arial" w:eastAsia="Arial" w:hAnsi="Arial"/>
                <w:sz w:val="14"/>
                <w:szCs w:val="14"/>
                <w:color w:val="auto"/>
              </w:rPr>
              <w:t>17.04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Sep-16</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24,650</w:t>
            </w: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2"/>
        </w:trPr>
        <w:tc>
          <w:tcPr>
            <w:tcW w:w="2860" w:type="dxa"/>
            <w:vAlign w:val="bottom"/>
          </w:tcPr>
          <w:p>
            <w:pPr>
              <w:ind w:left="20"/>
              <w:spacing w:after="0"/>
              <w:rPr>
                <w:sz w:val="20"/>
                <w:szCs w:val="20"/>
                <w:color w:val="auto"/>
              </w:rPr>
            </w:pPr>
            <w:r>
              <w:rPr>
                <w:rFonts w:ascii="Arial" w:cs="Arial" w:eastAsia="Arial" w:hAnsi="Arial"/>
                <w:sz w:val="14"/>
                <w:szCs w:val="14"/>
                <w:color w:val="auto"/>
              </w:rPr>
              <w:t>Double Helix (Temasek)</w:t>
            </w:r>
          </w:p>
        </w:tc>
        <w:tc>
          <w:tcPr>
            <w:tcW w:w="9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Oct-21</w:t>
            </w:r>
          </w:p>
        </w:tc>
        <w:tc>
          <w:tcPr>
            <w:tcW w:w="1420" w:type="dxa"/>
            <w:vAlign w:val="bottom"/>
          </w:tcPr>
          <w:p>
            <w:pPr>
              <w:jc w:val="right"/>
              <w:spacing w:after="0"/>
              <w:rPr>
                <w:sz w:val="20"/>
                <w:szCs w:val="20"/>
                <w:color w:val="auto"/>
              </w:rPr>
            </w:pPr>
            <w:r>
              <w:rPr>
                <w:rFonts w:ascii="Arial" w:cs="Arial" w:eastAsia="Arial" w:hAnsi="Arial"/>
                <w:sz w:val="14"/>
                <w:szCs w:val="14"/>
                <w:color w:val="auto"/>
              </w:rPr>
              <w:t>394,343</w:t>
            </w:r>
          </w:p>
        </w:tc>
        <w:tc>
          <w:tcPr>
            <w:tcW w:w="100" w:type="dxa"/>
            <w:vAlign w:val="bottom"/>
          </w:tcPr>
          <w:p>
            <w:pPr>
              <w:spacing w:after="0"/>
              <w:rPr>
                <w:sz w:val="17"/>
                <w:szCs w:val="17"/>
                <w:color w:val="auto"/>
              </w:rPr>
            </w:pPr>
          </w:p>
        </w:tc>
        <w:tc>
          <w:tcPr>
            <w:tcW w:w="166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280" w:type="dxa"/>
            <w:vAlign w:val="bottom"/>
          </w:tcPr>
          <w:p>
            <w:pPr>
              <w:jc w:val="right"/>
              <w:spacing w:after="0"/>
              <w:rPr>
                <w:sz w:val="20"/>
                <w:szCs w:val="20"/>
                <w:color w:val="auto"/>
              </w:rPr>
            </w:pPr>
            <w:r>
              <w:rPr>
                <w:rFonts w:ascii="Arial" w:cs="Arial" w:eastAsia="Arial" w:hAnsi="Arial"/>
                <w:sz w:val="14"/>
                <w:szCs w:val="14"/>
                <w:color w:val="auto"/>
              </w:rPr>
              <w:t>21.00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2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Double Helix (Temasek)</w:t>
            </w: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193"/>
        </w:trPr>
        <w:tc>
          <w:tcPr>
            <w:tcW w:w="2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2,631,583</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21"/>
        </w:trPr>
        <w:tc>
          <w:tcPr>
            <w:tcW w:w="2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right="80"/>
        <w:spacing w:after="0" w:line="290" w:lineRule="auto"/>
        <w:rPr>
          <w:sz w:val="20"/>
          <w:szCs w:val="20"/>
          <w:color w:val="auto"/>
        </w:rPr>
      </w:pPr>
      <w:r>
        <w:rPr>
          <w:rFonts w:ascii="Arial" w:cs="Arial" w:eastAsia="Arial" w:hAnsi="Arial"/>
          <w:sz w:val="14"/>
          <w:szCs w:val="14"/>
          <w:color w:val="auto"/>
        </w:rPr>
        <w:t>The warrant for 730,000 shares of common stock issued to Double Helix (Temasek) in July 2018 with an exercise price of $27.40 per share expired unexercised during the nine months ended October 31, 2022. See Note 7 - Long-Term Debt for details of the warrants issued to Temasek in January 2023.</w:t>
      </w: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23"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14"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28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1"/>
                <w:szCs w:val="11"/>
                <w:b w:val="1"/>
                <w:bCs w:val="1"/>
                <w:color w:val="auto"/>
              </w:rPr>
              <w:t>January 31, 2023</w:t>
            </w: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49"/>
        </w:trPr>
        <w:tc>
          <w:tcPr>
            <w:tcW w:w="2860" w:type="dxa"/>
            <w:vAlign w:val="bottom"/>
          </w:tcPr>
          <w:p>
            <w:pPr>
              <w:spacing w:after="0"/>
              <w:rPr>
                <w:sz w:val="12"/>
                <w:szCs w:val="12"/>
                <w:color w:val="auto"/>
              </w:rPr>
            </w:pPr>
          </w:p>
        </w:tc>
        <w:tc>
          <w:tcPr>
            <w:tcW w:w="920" w:type="dxa"/>
            <w:vAlign w:val="bottom"/>
          </w:tcPr>
          <w:p>
            <w:pPr>
              <w:jc w:val="center"/>
              <w:ind w:left="423"/>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ind w:right="351"/>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2"/>
                <w:szCs w:val="12"/>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Class of</w:t>
            </w:r>
          </w:p>
        </w:tc>
        <w:tc>
          <w:tcPr>
            <w:tcW w:w="13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Exercise</w:t>
            </w:r>
          </w:p>
        </w:tc>
        <w:tc>
          <w:tcPr>
            <w:tcW w:w="260" w:type="dxa"/>
            <w:vAlign w:val="bottom"/>
          </w:tcPr>
          <w:p>
            <w:pPr>
              <w:spacing w:after="0"/>
              <w:rPr>
                <w:sz w:val="12"/>
                <w:szCs w:val="12"/>
                <w:color w:val="auto"/>
              </w:rPr>
            </w:pPr>
          </w:p>
        </w:tc>
        <w:tc>
          <w:tcPr>
            <w:tcW w:w="1180" w:type="dxa"/>
            <w:vAlign w:val="bottom"/>
          </w:tcPr>
          <w:p>
            <w:pPr>
              <w:jc w:val="right"/>
              <w:ind w:right="371"/>
              <w:spacing w:after="0"/>
              <w:rPr>
                <w:sz w:val="20"/>
                <w:szCs w:val="20"/>
                <w:color w:val="auto"/>
              </w:rPr>
            </w:pPr>
            <w:r>
              <w:rPr>
                <w:rFonts w:ascii="Arial" w:cs="Arial" w:eastAsia="Arial" w:hAnsi="Arial"/>
                <w:sz w:val="11"/>
                <w:szCs w:val="11"/>
                <w:b w:val="1"/>
                <w:bCs w:val="1"/>
                <w:color w:val="auto"/>
              </w:rPr>
              <w:t>Fair Value</w:t>
            </w:r>
          </w:p>
        </w:tc>
      </w:tr>
      <w:tr>
        <w:trPr>
          <w:trHeight w:val="160"/>
        </w:trPr>
        <w:tc>
          <w:tcPr>
            <w:tcW w:w="2860" w:type="dxa"/>
            <w:vAlign w:val="bottom"/>
          </w:tcPr>
          <w:p>
            <w:pPr>
              <w:ind w:left="840"/>
              <w:spacing w:after="0"/>
              <w:rPr>
                <w:sz w:val="20"/>
                <w:szCs w:val="20"/>
                <w:color w:val="auto"/>
              </w:rPr>
            </w:pPr>
            <w:r>
              <w:rPr>
                <w:rFonts w:ascii="Arial" w:cs="Arial" w:eastAsia="Arial" w:hAnsi="Arial"/>
                <w:sz w:val="11"/>
                <w:szCs w:val="11"/>
                <w:b w:val="1"/>
                <w:bCs w:val="1"/>
                <w:color w:val="auto"/>
              </w:rPr>
              <w:t>Outstanding Warrants</w:t>
            </w:r>
          </w:p>
        </w:tc>
        <w:tc>
          <w:tcPr>
            <w:tcW w:w="920" w:type="dxa"/>
            <w:vAlign w:val="bottom"/>
          </w:tcPr>
          <w:p>
            <w:pPr>
              <w:jc w:val="center"/>
              <w:ind w:left="423"/>
              <w:spacing w:after="0"/>
              <w:rPr>
                <w:sz w:val="20"/>
                <w:szCs w:val="20"/>
                <w:color w:val="auto"/>
              </w:rPr>
            </w:pPr>
            <w:r>
              <w:rPr>
                <w:rFonts w:ascii="Arial" w:cs="Arial" w:eastAsia="Arial" w:hAnsi="Arial"/>
                <w:sz w:val="11"/>
                <w:szCs w:val="11"/>
                <w:b w:val="1"/>
                <w:bCs w:val="1"/>
                <w:color w:val="auto"/>
              </w:rPr>
              <w:t>Issued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ind w:right="451"/>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166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rPr>
              <w:t>Shares</w:t>
            </w:r>
          </w:p>
        </w:tc>
        <w:tc>
          <w:tcPr>
            <w:tcW w:w="13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Price (Per Warrant)</w:t>
            </w:r>
          </w:p>
        </w:tc>
        <w:tc>
          <w:tcPr>
            <w:tcW w:w="260" w:type="dxa"/>
            <w:vAlign w:val="bottom"/>
          </w:tcPr>
          <w:p>
            <w:pPr>
              <w:spacing w:after="0"/>
              <w:rPr>
                <w:sz w:val="13"/>
                <w:szCs w:val="13"/>
                <w:color w:val="auto"/>
              </w:rPr>
            </w:pPr>
          </w:p>
        </w:tc>
        <w:tc>
          <w:tcPr>
            <w:tcW w:w="1180" w:type="dxa"/>
            <w:vAlign w:val="bottom"/>
          </w:tcPr>
          <w:p>
            <w:pPr>
              <w:jc w:val="right"/>
              <w:ind w:right="331"/>
              <w:spacing w:after="0"/>
              <w:rPr>
                <w:sz w:val="20"/>
                <w:szCs w:val="20"/>
                <w:color w:val="auto"/>
              </w:rPr>
            </w:pPr>
            <w:r>
              <w:rPr>
                <w:rFonts w:ascii="Arial" w:cs="Arial" w:eastAsia="Arial" w:hAnsi="Arial"/>
                <w:sz w:val="11"/>
                <w:szCs w:val="11"/>
                <w:b w:val="1"/>
                <w:bCs w:val="1"/>
                <w:color w:val="auto"/>
              </w:rPr>
              <w:t>at Issuance</w:t>
            </w:r>
          </w:p>
        </w:tc>
      </w:tr>
      <w:tr>
        <w:trPr>
          <w:trHeight w:val="198"/>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classified:</w:t>
            </w:r>
          </w:p>
        </w:tc>
        <w:tc>
          <w:tcPr>
            <w:tcW w:w="9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0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Nov-16</w:t>
            </w:r>
          </w:p>
        </w:tc>
        <w:tc>
          <w:tcPr>
            <w:tcW w:w="1420" w:type="dxa"/>
            <w:vAlign w:val="bottom"/>
          </w:tcPr>
          <w:p>
            <w:pPr>
              <w:jc w:val="right"/>
              <w:spacing w:after="0"/>
              <w:rPr>
                <w:sz w:val="20"/>
                <w:szCs w:val="20"/>
                <w:color w:val="auto"/>
              </w:rPr>
            </w:pPr>
            <w:r>
              <w:rPr>
                <w:rFonts w:ascii="Arial" w:cs="Arial" w:eastAsia="Arial" w:hAnsi="Arial"/>
                <w:sz w:val="14"/>
                <w:szCs w:val="14"/>
                <w:color w:val="auto"/>
              </w:rPr>
              <w:t>82,891</w:t>
            </w:r>
          </w:p>
        </w:tc>
        <w:tc>
          <w:tcPr>
            <w:tcW w:w="100" w:type="dxa"/>
            <w:vAlign w:val="bottom"/>
          </w:tcPr>
          <w:p>
            <w:pPr>
              <w:spacing w:after="0"/>
              <w:rPr>
                <w:sz w:val="17"/>
                <w:szCs w:val="17"/>
                <w:color w:val="auto"/>
              </w:rPr>
            </w:pPr>
          </w:p>
        </w:tc>
        <w:tc>
          <w:tcPr>
            <w:tcW w:w="1660" w:type="dxa"/>
            <w:vAlign w:val="bottom"/>
            <w:gridSpan w:val="3"/>
          </w:tcPr>
          <w:p>
            <w:pPr>
              <w:ind w:left="840"/>
              <w:spacing w:after="0"/>
              <w:rPr>
                <w:sz w:val="20"/>
                <w:szCs w:val="20"/>
                <w:color w:val="auto"/>
              </w:rPr>
            </w:pPr>
            <w:r>
              <w:rPr>
                <w:rFonts w:ascii="Arial" w:cs="Arial" w:eastAsia="Arial" w:hAnsi="Arial"/>
                <w:sz w:val="14"/>
                <w:szCs w:val="14"/>
                <w:color w:val="auto"/>
              </w:rPr>
              <w:t>Common  $</w:t>
            </w:r>
          </w:p>
        </w:tc>
        <w:tc>
          <w:tcPr>
            <w:tcW w:w="128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7"/>
                <w:szCs w:val="17"/>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2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Jun-17</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18,236</w:t>
            </w: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Sep-17</w:t>
            </w:r>
          </w:p>
        </w:tc>
        <w:tc>
          <w:tcPr>
            <w:tcW w:w="1420" w:type="dxa"/>
            <w:vAlign w:val="bottom"/>
          </w:tcPr>
          <w:p>
            <w:pPr>
              <w:jc w:val="right"/>
              <w:spacing w:after="0"/>
              <w:rPr>
                <w:sz w:val="20"/>
                <w:szCs w:val="20"/>
                <w:color w:val="auto"/>
              </w:rPr>
            </w:pPr>
            <w:r>
              <w:rPr>
                <w:rFonts w:ascii="Arial" w:cs="Arial" w:eastAsia="Arial" w:hAnsi="Arial"/>
                <w:sz w:val="14"/>
                <w:szCs w:val="14"/>
                <w:color w:val="auto"/>
              </w:rPr>
              <w:t>14,920</w:t>
            </w:r>
          </w:p>
        </w:tc>
        <w:tc>
          <w:tcPr>
            <w:tcW w:w="100" w:type="dxa"/>
            <w:vAlign w:val="bottom"/>
          </w:tcPr>
          <w:p>
            <w:pPr>
              <w:spacing w:after="0"/>
              <w:rPr>
                <w:sz w:val="17"/>
                <w:szCs w:val="17"/>
                <w:color w:val="auto"/>
              </w:rPr>
            </w:pPr>
          </w:p>
        </w:tc>
        <w:tc>
          <w:tcPr>
            <w:tcW w:w="166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28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2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Jan-18</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16,578</w:t>
            </w: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Apr-18</w:t>
            </w:r>
          </w:p>
        </w:tc>
        <w:tc>
          <w:tcPr>
            <w:tcW w:w="1420" w:type="dxa"/>
            <w:vAlign w:val="bottom"/>
          </w:tcPr>
          <w:p>
            <w:pPr>
              <w:jc w:val="right"/>
              <w:spacing w:after="0"/>
              <w:rPr>
                <w:sz w:val="20"/>
                <w:szCs w:val="20"/>
                <w:color w:val="auto"/>
              </w:rPr>
            </w:pPr>
            <w:r>
              <w:rPr>
                <w:rFonts w:ascii="Arial" w:cs="Arial" w:eastAsia="Arial" w:hAnsi="Arial"/>
                <w:sz w:val="14"/>
                <w:szCs w:val="14"/>
                <w:color w:val="auto"/>
              </w:rPr>
              <w:t>16,578</w:t>
            </w:r>
          </w:p>
        </w:tc>
        <w:tc>
          <w:tcPr>
            <w:tcW w:w="100" w:type="dxa"/>
            <w:vAlign w:val="bottom"/>
          </w:tcPr>
          <w:p>
            <w:pPr>
              <w:spacing w:after="0"/>
              <w:rPr>
                <w:sz w:val="17"/>
                <w:szCs w:val="17"/>
                <w:color w:val="auto"/>
              </w:rPr>
            </w:pPr>
          </w:p>
        </w:tc>
        <w:tc>
          <w:tcPr>
            <w:tcW w:w="166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28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2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Nov-15</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35,215</w:t>
            </w: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0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Jun-16</w:t>
            </w:r>
          </w:p>
        </w:tc>
        <w:tc>
          <w:tcPr>
            <w:tcW w:w="1420" w:type="dxa"/>
            <w:vAlign w:val="bottom"/>
          </w:tcPr>
          <w:p>
            <w:pPr>
              <w:jc w:val="right"/>
              <w:spacing w:after="0"/>
              <w:rPr>
                <w:sz w:val="20"/>
                <w:szCs w:val="20"/>
                <w:color w:val="auto"/>
              </w:rPr>
            </w:pPr>
            <w:r>
              <w:rPr>
                <w:rFonts w:ascii="Arial" w:cs="Arial" w:eastAsia="Arial" w:hAnsi="Arial"/>
                <w:sz w:val="14"/>
                <w:szCs w:val="14"/>
                <w:color w:val="auto"/>
              </w:rPr>
              <w:t>28,172</w:t>
            </w:r>
          </w:p>
        </w:tc>
        <w:tc>
          <w:tcPr>
            <w:tcW w:w="100" w:type="dxa"/>
            <w:vAlign w:val="bottom"/>
          </w:tcPr>
          <w:p>
            <w:pPr>
              <w:spacing w:after="0"/>
              <w:rPr>
                <w:sz w:val="17"/>
                <w:szCs w:val="17"/>
                <w:color w:val="auto"/>
              </w:rPr>
            </w:pPr>
          </w:p>
        </w:tc>
        <w:tc>
          <w:tcPr>
            <w:tcW w:w="166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280" w:type="dxa"/>
            <w:vAlign w:val="bottom"/>
          </w:tcPr>
          <w:p>
            <w:pPr>
              <w:jc w:val="right"/>
              <w:spacing w:after="0"/>
              <w:rPr>
                <w:sz w:val="20"/>
                <w:szCs w:val="20"/>
                <w:color w:val="auto"/>
              </w:rPr>
            </w:pPr>
            <w:r>
              <w:rPr>
                <w:rFonts w:ascii="Arial" w:cs="Arial" w:eastAsia="Arial" w:hAnsi="Arial"/>
                <w:sz w:val="14"/>
                <w:szCs w:val="14"/>
                <w:color w:val="auto"/>
              </w:rPr>
              <w:t>17.04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2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Sep-16</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24,650</w:t>
            </w: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2"/>
        </w:trPr>
        <w:tc>
          <w:tcPr>
            <w:tcW w:w="2860" w:type="dxa"/>
            <w:vAlign w:val="bottom"/>
          </w:tcPr>
          <w:p>
            <w:pPr>
              <w:ind w:left="20"/>
              <w:spacing w:after="0"/>
              <w:rPr>
                <w:sz w:val="20"/>
                <w:szCs w:val="20"/>
                <w:color w:val="auto"/>
              </w:rPr>
            </w:pPr>
            <w:r>
              <w:rPr>
                <w:rFonts w:ascii="Arial" w:cs="Arial" w:eastAsia="Arial" w:hAnsi="Arial"/>
                <w:sz w:val="14"/>
                <w:szCs w:val="14"/>
                <w:color w:val="auto"/>
              </w:rPr>
              <w:t>Double Helix (Temasek)</w:t>
            </w:r>
          </w:p>
        </w:tc>
        <w:tc>
          <w:tcPr>
            <w:tcW w:w="9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Oct-21</w:t>
            </w:r>
          </w:p>
        </w:tc>
        <w:tc>
          <w:tcPr>
            <w:tcW w:w="1420" w:type="dxa"/>
            <w:vAlign w:val="bottom"/>
          </w:tcPr>
          <w:p>
            <w:pPr>
              <w:jc w:val="right"/>
              <w:spacing w:after="0"/>
              <w:rPr>
                <w:sz w:val="20"/>
                <w:szCs w:val="20"/>
                <w:color w:val="auto"/>
              </w:rPr>
            </w:pPr>
            <w:r>
              <w:rPr>
                <w:rFonts w:ascii="Arial" w:cs="Arial" w:eastAsia="Arial" w:hAnsi="Arial"/>
                <w:sz w:val="14"/>
                <w:szCs w:val="14"/>
                <w:color w:val="auto"/>
              </w:rPr>
              <w:t>394,343</w:t>
            </w:r>
          </w:p>
        </w:tc>
        <w:tc>
          <w:tcPr>
            <w:tcW w:w="100" w:type="dxa"/>
            <w:vAlign w:val="bottom"/>
          </w:tcPr>
          <w:p>
            <w:pPr>
              <w:spacing w:after="0"/>
              <w:rPr>
                <w:sz w:val="17"/>
                <w:szCs w:val="17"/>
                <w:color w:val="auto"/>
              </w:rPr>
            </w:pPr>
          </w:p>
        </w:tc>
        <w:tc>
          <w:tcPr>
            <w:tcW w:w="166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280" w:type="dxa"/>
            <w:vAlign w:val="bottom"/>
          </w:tcPr>
          <w:p>
            <w:pPr>
              <w:jc w:val="right"/>
              <w:spacing w:after="0"/>
              <w:rPr>
                <w:sz w:val="20"/>
                <w:szCs w:val="20"/>
                <w:color w:val="auto"/>
              </w:rPr>
            </w:pPr>
            <w:r>
              <w:rPr>
                <w:rFonts w:ascii="Arial" w:cs="Arial" w:eastAsia="Arial" w:hAnsi="Arial"/>
                <w:sz w:val="14"/>
                <w:szCs w:val="14"/>
                <w:color w:val="auto"/>
              </w:rPr>
              <w:t>21.00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Double Helix (Temasek)</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203"/>
        </w:trPr>
        <w:tc>
          <w:tcPr>
            <w:tcW w:w="2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2,631,583</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21"/>
        </w:trPr>
        <w:tc>
          <w:tcPr>
            <w:tcW w:w="2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right="240"/>
        <w:spacing w:after="0" w:line="290" w:lineRule="auto"/>
        <w:rPr>
          <w:sz w:val="20"/>
          <w:szCs w:val="20"/>
          <w:color w:val="auto"/>
        </w:rPr>
      </w:pPr>
      <w:r>
        <w:rPr>
          <w:rFonts w:ascii="Arial" w:cs="Arial" w:eastAsia="Arial" w:hAnsi="Arial"/>
          <w:sz w:val="14"/>
          <w:szCs w:val="14"/>
          <w:color w:val="auto"/>
        </w:rPr>
        <w:t>As of October 31, 2023 and January 31, 2023, all outstanding warrants were equity-classified and recorded as additional paid-in capital. Equity-classified contracts are not subsequently remeasured unless reclassification is required from equity to liability classification.</w:t>
      </w:r>
    </w:p>
    <w:p>
      <w:pPr>
        <w:spacing w:after="0" w:line="141" w:lineRule="exact"/>
        <w:rPr>
          <w:sz w:val="20"/>
          <w:szCs w:val="20"/>
          <w:color w:val="auto"/>
        </w:rPr>
      </w:pPr>
    </w:p>
    <w:p>
      <w:pPr>
        <w:ind w:left="380"/>
        <w:spacing w:after="0" w:line="271" w:lineRule="auto"/>
        <w:rPr>
          <w:sz w:val="20"/>
          <w:szCs w:val="20"/>
          <w:color w:val="auto"/>
        </w:rPr>
      </w:pPr>
      <w:r>
        <w:rPr>
          <w:rFonts w:ascii="Arial" w:cs="Arial" w:eastAsia="Arial" w:hAnsi="Arial"/>
          <w:sz w:val="14"/>
          <w:szCs w:val="14"/>
          <w:color w:val="auto"/>
        </w:rPr>
        <w:t>The fair value was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the U.S. Treasury yield curves.</w:t>
      </w:r>
    </w:p>
    <w:p>
      <w:pPr>
        <w:spacing w:after="0" w:line="219" w:lineRule="exact"/>
        <w:rPr>
          <w:sz w:val="20"/>
          <w:szCs w:val="20"/>
          <w:color w:val="auto"/>
        </w:rPr>
      </w:pPr>
    </w:p>
    <w:p>
      <w:pPr>
        <w:ind w:left="380" w:hanging="375"/>
        <w:spacing w:after="0"/>
        <w:tabs>
          <w:tab w:leader="none" w:pos="38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Share-based Compensation Plans</w:t>
      </w:r>
    </w:p>
    <w:p>
      <w:pPr>
        <w:spacing w:after="0" w:line="201"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i w:val="1"/>
          <w:iCs w:val="1"/>
          <w:u w:val="single" w:color="auto"/>
          <w:color w:val="auto"/>
        </w:rPr>
        <w:t>2009 Stock Incentive Plan and 2019 Stock Incentive Plan</w:t>
      </w:r>
    </w:p>
    <w:p>
      <w:pPr>
        <w:spacing w:after="0" w:line="197" w:lineRule="exact"/>
        <w:rPr>
          <w:rFonts w:ascii="Arial" w:cs="Arial" w:eastAsia="Arial" w:hAnsi="Arial"/>
          <w:sz w:val="14"/>
          <w:szCs w:val="14"/>
          <w:b w:val="1"/>
          <w:bCs w:val="1"/>
          <w:color w:val="auto"/>
        </w:rPr>
      </w:pPr>
    </w:p>
    <w:p>
      <w:pPr>
        <w:ind w:left="380" w:right="20"/>
        <w:spacing w:after="0" w:line="259" w:lineRule="auto"/>
        <w:rPr>
          <w:rFonts w:ascii="Arial" w:cs="Arial" w:eastAsia="Arial" w:hAnsi="Arial"/>
          <w:sz w:val="14"/>
          <w:szCs w:val="14"/>
          <w:b w:val="1"/>
          <w:bCs w:val="1"/>
          <w:color w:val="auto"/>
        </w:rPr>
      </w:pPr>
      <w:r>
        <w:rPr>
          <w:rFonts w:ascii="Arial" w:cs="Arial" w:eastAsia="Arial" w:hAnsi="Arial"/>
          <w:sz w:val="14"/>
          <w:szCs w:val="14"/>
          <w:color w:val="auto"/>
        </w:rPr>
        <w:t>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Options are generally granted for a 10-year term, and generally vest and become fully exercisable over four years of service. RSU awards have both service-based and liquidity-based vesting conditions. The liquidity-based vesting condition was satisfied in connection with the effectiveness of the Company’s IPO. The service-based requirement of RSUs was typically satisfied over four years. While no shares are available for future issuance under the 2009 Plan or the 2019 Plan, they continue to govern outstanding equity awards granted thereunder. Outstanding awards granted under the 2009 Plan and 2019 Plan are exercisable for or settled in shares of Class A common stock, or, if approved by the board of directors, shares of Class B common stock.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Amended and Restated 2021 Incentive Award Plan</w:t>
      </w:r>
    </w:p>
    <w:p>
      <w:pPr>
        <w:spacing w:after="0" w:line="198" w:lineRule="exact"/>
        <w:rPr>
          <w:sz w:val="20"/>
          <w:szCs w:val="20"/>
          <w:color w:val="auto"/>
        </w:rPr>
      </w:pPr>
    </w:p>
    <w:p>
      <w:pPr>
        <w:ind w:left="380"/>
        <w:spacing w:after="0" w:line="260" w:lineRule="auto"/>
        <w:rPr>
          <w:sz w:val="20"/>
          <w:szCs w:val="20"/>
          <w:color w:val="auto"/>
        </w:rPr>
      </w:pPr>
      <w:r>
        <w:rPr>
          <w:rFonts w:ascii="Arial" w:cs="Arial" w:eastAsia="Arial" w:hAnsi="Arial"/>
          <w:sz w:val="14"/>
          <w:szCs w:val="14"/>
          <w:color w:val="auto"/>
        </w:rPr>
        <w:t>The Company's Amended and Restated 2021 Incentive Award Plan (the "2021 Plan") was adopted by its board of directors and approved by stockholders in October 2021 and became effective upon the effective date of the IPO. The 2021 Plan replaced the 2019 Plan, and no further grants will be made under the 2019 Plan. The terms of equity awards granted under the 2021 Plan in the year ended January 31, 2022 were generally consistent with those granted under the 2019 Plan, as described above. RSUs granted under the 2021 Plan in the year ended January 31, 2022 generally vest over four years and do not have liquidity-based vesting conditions. RSUs granted under the 2021 Plan during the year ended January 31, 2023 and nine months ended October 31, 2023 have a shorter vesting period of one to two years. As of October 31, 2023, there were 6,151,568 shares of Class A common stock available for issuance under the 2021 Plan. There will not be any further equity grants of Class B common stock.</w:t>
      </w:r>
    </w:p>
    <w:p>
      <w:pPr>
        <w:spacing w:after="0" w:line="163"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The grant date fair value of each option award is estimated on the date of grant using the Black-Scholes option pricing model. The option pricing model considers several variables and assumptions in estimating the fair value of share-based awards. Because the Company’s shares are only recently publicly traded and there is a lack of historical company-specific data available, expected term is estimated under the simplified method using the vesting and contractual terms, and expected volatility is estimated based on the average historical volatility of similar entities with publicly traded shares. The risk-free rate for the expected term of the option is based on the U.S. Treasury yield curve at the date of grant. There were no stock options granted during the year ended January 31, 2023 or the nine months ended October 31, 2023.</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5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Stock Options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 option activity during the period indicated is as follows: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4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Weighted</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8"/>
        </w:trPr>
        <w:tc>
          <w:tcPr>
            <w:tcW w:w="4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Average</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27"/>
        </w:trPr>
        <w:tc>
          <w:tcPr>
            <w:tcW w:w="4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left="343"/>
              <w:spacing w:after="0"/>
              <w:rPr>
                <w:sz w:val="20"/>
                <w:szCs w:val="20"/>
                <w:color w:val="auto"/>
              </w:rPr>
            </w:pPr>
            <w:r>
              <w:rPr>
                <w:rFonts w:ascii="Arial" w:cs="Arial" w:eastAsia="Arial" w:hAnsi="Arial"/>
                <w:sz w:val="11"/>
                <w:szCs w:val="11"/>
                <w:b w:val="1"/>
                <w:bCs w:val="1"/>
                <w:color w:val="auto"/>
              </w:rPr>
              <w:t>Weighted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Remaining</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8"/>
        </w:trPr>
        <w:tc>
          <w:tcPr>
            <w:tcW w:w="4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left="343"/>
              <w:spacing w:after="0"/>
              <w:rPr>
                <w:sz w:val="20"/>
                <w:szCs w:val="20"/>
                <w:color w:val="auto"/>
              </w:rPr>
            </w:pPr>
            <w:r>
              <w:rPr>
                <w:rFonts w:ascii="Arial" w:cs="Arial" w:eastAsia="Arial" w:hAnsi="Arial"/>
                <w:sz w:val="11"/>
                <w:szCs w:val="11"/>
                <w:b w:val="1"/>
                <w:bCs w:val="1"/>
                <w:color w:val="auto"/>
              </w:rPr>
              <w:t>Average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Contract</w:t>
            </w:r>
          </w:p>
        </w:tc>
        <w:tc>
          <w:tcPr>
            <w:tcW w:w="280" w:type="dxa"/>
            <w:vAlign w:val="bottom"/>
          </w:tcPr>
          <w:p>
            <w:pPr>
              <w:spacing w:after="0"/>
              <w:rPr>
                <w:sz w:val="11"/>
                <w:szCs w:val="11"/>
                <w:color w:val="auto"/>
              </w:rPr>
            </w:pPr>
          </w:p>
        </w:tc>
        <w:tc>
          <w:tcPr>
            <w:tcW w:w="1160" w:type="dxa"/>
            <w:vAlign w:val="bottom"/>
          </w:tcPr>
          <w:p>
            <w:pPr>
              <w:jc w:val="center"/>
              <w:ind w:right="216"/>
              <w:spacing w:after="0"/>
              <w:rPr>
                <w:sz w:val="20"/>
                <w:szCs w:val="20"/>
                <w:color w:val="auto"/>
              </w:rPr>
            </w:pPr>
            <w:r>
              <w:rPr>
                <w:rFonts w:ascii="Arial" w:cs="Arial" w:eastAsia="Arial" w:hAnsi="Arial"/>
                <w:sz w:val="11"/>
                <w:szCs w:val="11"/>
                <w:b w:val="1"/>
                <w:bCs w:val="1"/>
                <w:color w:val="auto"/>
              </w:rPr>
              <w:t>Aggregate</w:t>
            </w:r>
          </w:p>
        </w:tc>
      </w:tr>
      <w:tr>
        <w:trPr>
          <w:trHeight w:val="138"/>
        </w:trPr>
        <w:tc>
          <w:tcPr>
            <w:tcW w:w="4340" w:type="dxa"/>
            <w:vAlign w:val="bottom"/>
          </w:tcPr>
          <w:p>
            <w:pPr>
              <w:spacing w:after="0"/>
              <w:rPr>
                <w:sz w:val="11"/>
                <w:szCs w:val="11"/>
                <w:color w:val="auto"/>
              </w:rPr>
            </w:pPr>
          </w:p>
        </w:tc>
        <w:tc>
          <w:tcPr>
            <w:tcW w:w="1420" w:type="dxa"/>
            <w:vAlign w:val="bottom"/>
          </w:tcPr>
          <w:p>
            <w:pPr>
              <w:jc w:val="right"/>
              <w:ind w:right="353"/>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1"/>
                <w:szCs w:val="11"/>
                <w:color w:val="auto"/>
              </w:rPr>
            </w:pPr>
          </w:p>
        </w:tc>
        <w:tc>
          <w:tcPr>
            <w:tcW w:w="1020" w:type="dxa"/>
            <w:vAlign w:val="bottom"/>
          </w:tcPr>
          <w:p>
            <w:pPr>
              <w:jc w:val="center"/>
              <w:ind w:left="343"/>
              <w:spacing w:after="0"/>
              <w:rPr>
                <w:sz w:val="20"/>
                <w:szCs w:val="20"/>
                <w:color w:val="auto"/>
              </w:rPr>
            </w:pPr>
            <w:r>
              <w:rPr>
                <w:rFonts w:ascii="Arial" w:cs="Arial" w:eastAsia="Arial" w:hAnsi="Arial"/>
                <w:sz w:val="11"/>
                <w:szCs w:val="11"/>
                <w:b w:val="1"/>
                <w:bCs w:val="1"/>
                <w:color w:val="auto"/>
              </w:rPr>
              <w:t>Exercise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Term</w:t>
            </w:r>
          </w:p>
        </w:tc>
        <w:tc>
          <w:tcPr>
            <w:tcW w:w="280" w:type="dxa"/>
            <w:vAlign w:val="bottom"/>
          </w:tcPr>
          <w:p>
            <w:pPr>
              <w:spacing w:after="0"/>
              <w:rPr>
                <w:sz w:val="11"/>
                <w:szCs w:val="11"/>
                <w:color w:val="auto"/>
              </w:rPr>
            </w:pPr>
          </w:p>
        </w:tc>
        <w:tc>
          <w:tcPr>
            <w:tcW w:w="1160" w:type="dxa"/>
            <w:vAlign w:val="bottom"/>
          </w:tcPr>
          <w:p>
            <w:pPr>
              <w:jc w:val="center"/>
              <w:ind w:right="216"/>
              <w:spacing w:after="0"/>
              <w:rPr>
                <w:sz w:val="20"/>
                <w:szCs w:val="20"/>
                <w:color w:val="auto"/>
              </w:rPr>
            </w:pPr>
            <w:r>
              <w:rPr>
                <w:rFonts w:ascii="Arial" w:cs="Arial" w:eastAsia="Arial" w:hAnsi="Arial"/>
                <w:sz w:val="11"/>
                <w:szCs w:val="11"/>
                <w:b w:val="1"/>
                <w:bCs w:val="1"/>
                <w:color w:val="auto"/>
              </w:rPr>
              <w:t>Intrinsic</w:t>
            </w:r>
          </w:p>
        </w:tc>
      </w:tr>
      <w:tr>
        <w:trPr>
          <w:trHeight w:val="165"/>
        </w:trPr>
        <w:tc>
          <w:tcPr>
            <w:tcW w:w="434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453"/>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ind w:left="343"/>
              <w:spacing w:after="0"/>
              <w:rPr>
                <w:sz w:val="20"/>
                <w:szCs w:val="20"/>
                <w:color w:val="auto"/>
              </w:rPr>
            </w:pPr>
            <w:r>
              <w:rPr>
                <w:rFonts w:ascii="Arial" w:cs="Arial" w:eastAsia="Arial" w:hAnsi="Arial"/>
                <w:sz w:val="11"/>
                <w:szCs w:val="11"/>
                <w:b w:val="1"/>
                <w:bCs w:val="1"/>
                <w:color w:val="auto"/>
                <w:w w:val="96"/>
              </w:rPr>
              <w:t>Price</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 years)</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rPr>
              <w:t>Value</w:t>
            </w:r>
          </w:p>
        </w:tc>
      </w:tr>
      <w:tr>
        <w:trPr>
          <w:trHeight w:val="203"/>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as of January 31, 2023</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8,060,647</w:t>
            </w:r>
          </w:p>
        </w:tc>
        <w:tc>
          <w:tcPr>
            <w:tcW w:w="1120" w:type="dxa"/>
            <w:vAlign w:val="bottom"/>
            <w:gridSpan w:val="2"/>
            <w:shd w:val="clear" w:color="auto" w:fill="CCEEFF"/>
          </w:tcPr>
          <w:p>
            <w:pPr>
              <w:jc w:val="right"/>
              <w:ind w:right="883"/>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12"/>
        </w:trPr>
        <w:tc>
          <w:tcPr>
            <w:tcW w:w="434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2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4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2"/>
        </w:trPr>
        <w:tc>
          <w:tcPr>
            <w:tcW w:w="43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Forfeited</w:t>
            </w: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(7,164,992)</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r>
      <w:tr>
        <w:trPr>
          <w:trHeight w:val="22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October 31, 2023</w:t>
            </w:r>
          </w:p>
        </w:tc>
        <w:tc>
          <w:tcPr>
            <w:tcW w:w="14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895,655</w:t>
            </w:r>
          </w:p>
        </w:tc>
        <w:tc>
          <w:tcPr>
            <w:tcW w:w="1120" w:type="dxa"/>
            <w:vAlign w:val="bottom"/>
            <w:tcBorders>
              <w:bottom w:val="single" w:sz="8" w:color="CCEEFF"/>
            </w:tcBorders>
            <w:gridSpan w:val="2"/>
            <w:shd w:val="clear" w:color="auto" w:fill="CCEEFF"/>
          </w:tcPr>
          <w:p>
            <w:pPr>
              <w:jc w:val="right"/>
              <w:ind w:right="883"/>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176"/>
        </w:trPr>
        <w:tc>
          <w:tcPr>
            <w:tcW w:w="4340" w:type="dxa"/>
            <w:vAlign w:val="bottom"/>
          </w:tcPr>
          <w:p>
            <w:pPr>
              <w:ind w:left="20"/>
              <w:spacing w:after="0"/>
              <w:rPr>
                <w:sz w:val="20"/>
                <w:szCs w:val="20"/>
                <w:color w:val="auto"/>
              </w:rPr>
            </w:pPr>
            <w:r>
              <w:rPr>
                <w:rFonts w:ascii="Arial" w:cs="Arial" w:eastAsia="Arial" w:hAnsi="Arial"/>
                <w:sz w:val="14"/>
                <w:szCs w:val="14"/>
                <w:color w:val="auto"/>
              </w:rPr>
              <w:t>Exercisable as of October 31, 2023</w:t>
            </w:r>
          </w:p>
        </w:tc>
        <w:tc>
          <w:tcPr>
            <w:tcW w:w="1420" w:type="dxa"/>
            <w:vAlign w:val="bottom"/>
          </w:tcPr>
          <w:p>
            <w:pPr>
              <w:jc w:val="right"/>
              <w:ind w:right="33"/>
              <w:spacing w:after="0"/>
              <w:rPr>
                <w:sz w:val="20"/>
                <w:szCs w:val="20"/>
                <w:color w:val="auto"/>
              </w:rPr>
            </w:pPr>
            <w:r>
              <w:rPr>
                <w:rFonts w:ascii="Arial" w:cs="Arial" w:eastAsia="Arial" w:hAnsi="Arial"/>
                <w:sz w:val="14"/>
                <w:szCs w:val="14"/>
                <w:color w:val="auto"/>
              </w:rPr>
              <w:t>795,875</w:t>
            </w:r>
          </w:p>
        </w:tc>
        <w:tc>
          <w:tcPr>
            <w:tcW w:w="1120" w:type="dxa"/>
            <w:vAlign w:val="bottom"/>
            <w:gridSpan w:val="2"/>
          </w:tcPr>
          <w:p>
            <w:pPr>
              <w:jc w:val="right"/>
              <w:ind w:right="883"/>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4.98</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17" w:lineRule="exact"/>
        <w:rPr>
          <w:sz w:val="20"/>
          <w:szCs w:val="20"/>
          <w:color w:val="auto"/>
        </w:rPr>
      </w:pPr>
    </w:p>
    <w:p>
      <w:pPr>
        <w:jc w:val="both"/>
        <w:ind w:left="380" w:right="20"/>
        <w:spacing w:after="0" w:line="274" w:lineRule="auto"/>
        <w:rPr>
          <w:sz w:val="20"/>
          <w:szCs w:val="20"/>
          <w:color w:val="auto"/>
        </w:rPr>
      </w:pPr>
      <w:r>
        <w:rPr>
          <w:rFonts w:ascii="Arial" w:cs="Arial" w:eastAsia="Arial" w:hAnsi="Arial"/>
          <w:sz w:val="14"/>
          <w:szCs w:val="14"/>
          <w:color w:val="auto"/>
        </w:rPr>
        <w:t>As of October 31, 2023, there was $0.5 million of unrecognized compensation cost related to stock options granted that is expected to be recognized over a weighted average period of 1.6 years.</w:t>
      </w:r>
    </w:p>
    <w:p>
      <w:pPr>
        <w:spacing w:after="0" w:line="142" w:lineRule="exact"/>
        <w:rPr>
          <w:sz w:val="20"/>
          <w:szCs w:val="20"/>
          <w:color w:val="auto"/>
        </w:rPr>
      </w:pPr>
    </w:p>
    <w:p>
      <w:pPr>
        <w:ind w:left="380" w:right="60"/>
        <w:spacing w:after="0" w:line="239" w:lineRule="auto"/>
        <w:rPr>
          <w:sz w:val="20"/>
          <w:szCs w:val="20"/>
          <w:color w:val="auto"/>
        </w:rPr>
      </w:pPr>
      <w:r>
        <w:rPr>
          <w:rFonts w:ascii="Arial" w:cs="Arial" w:eastAsia="Arial" w:hAnsi="Arial"/>
          <w:sz w:val="14"/>
          <w:szCs w:val="14"/>
          <w:color w:val="auto"/>
        </w:rPr>
        <w:t>During the nine months ended October 31, 2023, the Company completed an option exchange designed to incentivize and retain employees, directors and other service providers by providing the ability to exchange outstanding stock options for RSUs representing the right to receive Class A common stock. Stock options relating to 6,627,411</w:t>
      </w:r>
    </w:p>
    <w:p>
      <w:pPr>
        <w:spacing w:after="0" w:line="1" w:lineRule="exact"/>
        <w:rPr>
          <w:sz w:val="20"/>
          <w:szCs w:val="20"/>
          <w:color w:val="auto"/>
        </w:rPr>
      </w:pPr>
    </w:p>
    <w:p>
      <w:pPr>
        <w:jc w:val="both"/>
        <w:ind w:left="380"/>
        <w:spacing w:after="0" w:line="245" w:lineRule="auto"/>
        <w:rPr>
          <w:sz w:val="20"/>
          <w:szCs w:val="20"/>
          <w:color w:val="auto"/>
        </w:rPr>
      </w:pPr>
      <w:r>
        <w:rPr>
          <w:rFonts w:ascii="Arial" w:cs="Arial" w:eastAsia="Arial" w:hAnsi="Arial"/>
          <w:sz w:val="14"/>
          <w:szCs w:val="14"/>
          <w:color w:val="auto"/>
        </w:rPr>
        <w:t>shares of Class A and Class B common stock were forfeited in exchange for 2,650,930 RSUs which generally vest over two years. The Company will recognize $0.8 million of incremental stock compensation expense from the RSUs granted as a result of the option exchange which will be recognized over the two years vesting period. The Company currently uses authorized and unissued shares to satisfy the exercise of stock option awards.</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RSUs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RSUs activity during the period indicated is as follows: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7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76"/>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38"/>
        </w:trPr>
        <w:tc>
          <w:tcPr>
            <w:tcW w:w="7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96"/>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38"/>
        </w:trPr>
        <w:tc>
          <w:tcPr>
            <w:tcW w:w="740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76"/>
              <w:spacing w:after="0"/>
              <w:rPr>
                <w:sz w:val="20"/>
                <w:szCs w:val="20"/>
                <w:color w:val="auto"/>
              </w:rPr>
            </w:pPr>
            <w:r>
              <w:rPr>
                <w:rFonts w:ascii="Arial" w:cs="Arial" w:eastAsia="Arial" w:hAnsi="Arial"/>
                <w:sz w:val="11"/>
                <w:szCs w:val="11"/>
                <w:b w:val="1"/>
                <w:bCs w:val="1"/>
                <w:color w:val="auto"/>
              </w:rPr>
              <w:t>Grant-Date</w:t>
            </w:r>
          </w:p>
        </w:tc>
        <w:tc>
          <w:tcPr>
            <w:tcW w:w="0" w:type="dxa"/>
            <w:vAlign w:val="bottom"/>
          </w:tcPr>
          <w:p>
            <w:pPr>
              <w:spacing w:after="0"/>
              <w:rPr>
                <w:sz w:val="1"/>
                <w:szCs w:val="1"/>
                <w:color w:val="auto"/>
              </w:rPr>
            </w:pPr>
          </w:p>
        </w:tc>
      </w:tr>
      <w:tr>
        <w:trPr>
          <w:trHeight w:val="127"/>
        </w:trPr>
        <w:tc>
          <w:tcPr>
            <w:tcW w:w="74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76"/>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60"/>
        </w:trPr>
        <w:tc>
          <w:tcPr>
            <w:tcW w:w="74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rPr>
              <w:t>per Share</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and outstanding as of January 31, 2023</w:t>
            </w:r>
          </w:p>
        </w:tc>
        <w:tc>
          <w:tcPr>
            <w:tcW w:w="1420" w:type="dxa"/>
            <w:vAlign w:val="bottom"/>
            <w:shd w:val="clear" w:color="auto" w:fill="CCEEFF"/>
          </w:tcPr>
          <w:p>
            <w:pPr>
              <w:jc w:val="center"/>
              <w:ind w:left="613"/>
              <w:spacing w:after="0"/>
              <w:rPr>
                <w:sz w:val="20"/>
                <w:szCs w:val="20"/>
                <w:color w:val="auto"/>
              </w:rPr>
            </w:pPr>
            <w:r>
              <w:rPr>
                <w:rFonts w:ascii="Arial" w:cs="Arial" w:eastAsia="Arial" w:hAnsi="Arial"/>
                <w:sz w:val="14"/>
                <w:szCs w:val="14"/>
                <w:color w:val="auto"/>
                <w:w w:val="99"/>
              </w:rPr>
              <w:t>5,976,121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02"/>
        </w:trPr>
        <w:tc>
          <w:tcPr>
            <w:tcW w:w="740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20" w:type="dxa"/>
            <w:vAlign w:val="bottom"/>
          </w:tcPr>
          <w:p>
            <w:pPr>
              <w:jc w:val="center"/>
              <w:ind w:left="613"/>
              <w:spacing w:after="0"/>
              <w:rPr>
                <w:sz w:val="20"/>
                <w:szCs w:val="20"/>
                <w:color w:val="auto"/>
              </w:rPr>
            </w:pPr>
            <w:r>
              <w:rPr>
                <w:rFonts w:ascii="Arial" w:cs="Arial" w:eastAsia="Arial" w:hAnsi="Arial"/>
                <w:sz w:val="14"/>
                <w:szCs w:val="14"/>
                <w:color w:val="auto"/>
                <w:w w:val="99"/>
              </w:rPr>
              <w:t>9,488,904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222"/>
        </w:trPr>
        <w:tc>
          <w:tcPr>
            <w:tcW w:w="7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Vested/Released</w:t>
            </w:r>
          </w:p>
        </w:tc>
        <w:tc>
          <w:tcPr>
            <w:tcW w:w="1420" w:type="dxa"/>
            <w:vAlign w:val="bottom"/>
            <w:shd w:val="clear" w:color="auto" w:fill="CCEEFF"/>
          </w:tcPr>
          <w:p>
            <w:pPr>
              <w:jc w:val="center"/>
              <w:ind w:left="593"/>
              <w:spacing w:after="0"/>
              <w:rPr>
                <w:sz w:val="20"/>
                <w:szCs w:val="20"/>
                <w:color w:val="auto"/>
              </w:rPr>
            </w:pPr>
            <w:r>
              <w:rPr>
                <w:rFonts w:ascii="Arial" w:cs="Arial" w:eastAsia="Arial" w:hAnsi="Arial"/>
                <w:sz w:val="14"/>
                <w:szCs w:val="14"/>
                <w:color w:val="auto"/>
              </w:rPr>
              <w:t>(4,621,270)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0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Forfeited</w:t>
            </w:r>
          </w:p>
        </w:tc>
        <w:tc>
          <w:tcPr>
            <w:tcW w:w="1420" w:type="dxa"/>
            <w:vAlign w:val="bottom"/>
            <w:tcBorders>
              <w:bottom w:val="single" w:sz="8" w:color="auto"/>
            </w:tcBorders>
          </w:tcPr>
          <w:p>
            <w:pPr>
              <w:jc w:val="center"/>
              <w:ind w:left="593"/>
              <w:spacing w:after="0"/>
              <w:rPr>
                <w:sz w:val="20"/>
                <w:szCs w:val="20"/>
                <w:color w:val="auto"/>
              </w:rPr>
            </w:pPr>
            <w:r>
              <w:rPr>
                <w:rFonts w:ascii="Arial" w:cs="Arial" w:eastAsia="Arial" w:hAnsi="Arial"/>
                <w:sz w:val="14"/>
                <w:szCs w:val="14"/>
                <w:color w:val="auto"/>
              </w:rPr>
              <w:t>(1,250,528)</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and outstanding as of October 31, 2023</w:t>
            </w:r>
          </w:p>
        </w:tc>
        <w:tc>
          <w:tcPr>
            <w:tcW w:w="1420" w:type="dxa"/>
            <w:vAlign w:val="bottom"/>
            <w:tcBorders>
              <w:bottom w:val="single" w:sz="8" w:color="auto"/>
            </w:tcBorders>
            <w:shd w:val="clear" w:color="auto" w:fill="CCEEFF"/>
          </w:tcPr>
          <w:p>
            <w:pPr>
              <w:jc w:val="center"/>
              <w:ind w:left="613"/>
              <w:spacing w:after="0"/>
              <w:rPr>
                <w:sz w:val="20"/>
                <w:szCs w:val="20"/>
                <w:color w:val="auto"/>
              </w:rPr>
            </w:pPr>
            <w:r>
              <w:rPr>
                <w:rFonts w:ascii="Arial" w:cs="Arial" w:eastAsia="Arial" w:hAnsi="Arial"/>
                <w:sz w:val="14"/>
                <w:szCs w:val="14"/>
                <w:color w:val="auto"/>
                <w:w w:val="99"/>
              </w:rPr>
              <w:t>9,593,227</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right="400"/>
        <w:spacing w:after="0" w:line="290" w:lineRule="auto"/>
        <w:rPr>
          <w:sz w:val="20"/>
          <w:szCs w:val="20"/>
          <w:color w:val="auto"/>
        </w:rPr>
      </w:pPr>
      <w:r>
        <w:rPr>
          <w:rFonts w:ascii="Arial" w:cs="Arial" w:eastAsia="Arial" w:hAnsi="Arial"/>
          <w:sz w:val="14"/>
          <w:szCs w:val="14"/>
          <w:color w:val="auto"/>
        </w:rPr>
        <w:t>As of October 31, 2023, there was $16.8 million of unrecognized compensation cost related to RSUs granted that is expected to be recognized over a weighted average period of 1.6 years. Of the total unrecognized compensation cost, $2.9 million related to RSUs granted as a result of the option exchange.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5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Share-Based Compensation Summary</w:t>
      </w:r>
    </w:p>
    <w:p>
      <w:pPr>
        <w:spacing w:after="0" w:line="123" w:lineRule="exact"/>
        <w:rPr>
          <w:sz w:val="20"/>
          <w:szCs w:val="20"/>
          <w:color w:val="auto"/>
        </w:rPr>
      </w:pPr>
    </w:p>
    <w:p>
      <w:pPr>
        <w:ind w:left="380" w:right="600"/>
        <w:spacing w:after="0" w:line="290" w:lineRule="auto"/>
        <w:rPr>
          <w:sz w:val="20"/>
          <w:szCs w:val="20"/>
          <w:color w:val="auto"/>
        </w:rPr>
      </w:pPr>
      <w:r>
        <w:rPr>
          <w:rFonts w:ascii="Arial" w:cs="Arial" w:eastAsia="Arial" w:hAnsi="Arial"/>
          <w:sz w:val="14"/>
          <w:szCs w:val="14"/>
          <w:color w:val="auto"/>
        </w:rPr>
        <w:t>The classification of share-based compensation for the three and nine months ended October 31, 2023 and 2022, respectively, presented within each line item of the condensed consolidated statements of operations is as follows:</w:t>
      </w:r>
    </w:p>
    <w:p>
      <w:pPr>
        <w:spacing w:after="0" w:line="171"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4440" w:type="dxa"/>
            <w:vAlign w:val="bottom"/>
            <w:tcBorders>
              <w:bottom w:val="single" w:sz="8" w:color="CCEEFF"/>
            </w:tcBorders>
          </w:tcPr>
          <w:p>
            <w:pPr>
              <w:spacing w:after="0"/>
              <w:rPr>
                <w:sz w:val="13"/>
                <w:szCs w:val="13"/>
                <w:color w:val="auto"/>
              </w:rPr>
            </w:pPr>
          </w:p>
        </w:tc>
        <w:tc>
          <w:tcPr>
            <w:tcW w:w="250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1"/>
                <w:szCs w:val="11"/>
                <w:b w:val="1"/>
                <w:bCs w:val="1"/>
                <w:color w:val="auto"/>
              </w:rPr>
              <w:t>Three Months Ended October 31,</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38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1"/>
                <w:szCs w:val="11"/>
                <w:b w:val="1"/>
                <w:bCs w:val="1"/>
                <w:color w:val="auto"/>
              </w:rPr>
              <w:t>Nine Months Ended October 31,</w:t>
            </w:r>
          </w:p>
        </w:tc>
        <w:tc>
          <w:tcPr>
            <w:tcW w:w="460" w:type="dxa"/>
            <w:vAlign w:val="bottom"/>
            <w:tcBorders>
              <w:bottom w:val="single" w:sz="8" w:color="auto"/>
            </w:tcBorders>
          </w:tcPr>
          <w:p>
            <w:pPr>
              <w:spacing w:after="0"/>
              <w:rPr>
                <w:sz w:val="13"/>
                <w:szCs w:val="13"/>
                <w:color w:val="auto"/>
              </w:rPr>
            </w:pPr>
          </w:p>
        </w:tc>
      </w:tr>
      <w:tr>
        <w:trPr>
          <w:trHeight w:val="155"/>
        </w:trPr>
        <w:tc>
          <w:tcPr>
            <w:tcW w:w="444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1"/>
                <w:szCs w:val="11"/>
                <w:b w:val="1"/>
                <w:bCs w:val="1"/>
                <w:color w:val="auto"/>
              </w:rPr>
              <w:t>2023</w:t>
            </w:r>
          </w:p>
        </w:tc>
        <w:tc>
          <w:tcPr>
            <w:tcW w:w="4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1"/>
                <w:szCs w:val="11"/>
                <w:b w:val="1"/>
                <w:bCs w:val="1"/>
                <w:color w:val="auto"/>
              </w:rPr>
              <w:t>2022</w:t>
            </w:r>
          </w:p>
        </w:tc>
        <w:tc>
          <w:tcPr>
            <w:tcW w:w="4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shd w:val="clear" w:color="auto" w:fill="CCEEFF"/>
          </w:tcPr>
          <w:p>
            <w:pPr>
              <w:spacing w:after="0"/>
              <w:rPr>
                <w:sz w:val="13"/>
                <w:szCs w:val="13"/>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1000" w:type="dxa"/>
            <w:vAlign w:val="bottom"/>
          </w:tcPr>
          <w:p>
            <w:pPr>
              <w:jc w:val="right"/>
              <w:ind w:right="856"/>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7"/>
                <w:szCs w:val="17"/>
                <w:color w:val="auto"/>
              </w:rPr>
            </w:pPr>
          </w:p>
        </w:tc>
        <w:tc>
          <w:tcPr>
            <w:tcW w:w="1000" w:type="dxa"/>
            <w:vAlign w:val="bottom"/>
          </w:tcPr>
          <w:p>
            <w:pPr>
              <w:jc w:val="right"/>
              <w:ind w:right="834"/>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920" w:type="dxa"/>
            <w:vAlign w:val="bottom"/>
          </w:tcPr>
          <w:p>
            <w:pPr>
              <w:jc w:val="right"/>
              <w:ind w:right="776"/>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7"/>
                <w:szCs w:val="17"/>
                <w:color w:val="auto"/>
              </w:rPr>
            </w:pPr>
          </w:p>
        </w:tc>
        <w:tc>
          <w:tcPr>
            <w:tcW w:w="920" w:type="dxa"/>
            <w:vAlign w:val="bottom"/>
          </w:tcPr>
          <w:p>
            <w:pPr>
              <w:jc w:val="right"/>
              <w:ind w:right="754"/>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12"/>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w:t>
            </w:r>
          </w:p>
        </w:tc>
        <w:tc>
          <w:tcPr>
            <w:tcW w:w="10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12"/>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r>
      <w:tr>
        <w:trPr>
          <w:trHeight w:val="228"/>
        </w:trPr>
        <w:tc>
          <w:tcPr>
            <w:tcW w:w="4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share-based compensation</w:t>
            </w: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6.6</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80" w:right="60"/>
        <w:spacing w:after="0" w:line="255" w:lineRule="auto"/>
        <w:rPr>
          <w:sz w:val="20"/>
          <w:szCs w:val="20"/>
          <w:color w:val="auto"/>
        </w:rPr>
      </w:pPr>
      <w:r>
        <w:rPr>
          <w:rFonts w:ascii="Arial" w:cs="Arial" w:eastAsia="Arial" w:hAnsi="Arial"/>
          <w:sz w:val="14"/>
          <w:szCs w:val="14"/>
          <w:color w:val="auto"/>
        </w:rPr>
        <w:t>The Company recognized $2.4 million of incremental share-based compensation expense in General and administrative expenses during the nine months ended October 31, 2023 due to equity award modifications related to the transition of the Chief Financial Officer role. There was no expense recognized during the three months ended October 31, 2023.</w:t>
      </w:r>
    </w:p>
    <w:p>
      <w:pPr>
        <w:spacing w:after="0" w:line="155" w:lineRule="exact"/>
        <w:rPr>
          <w:sz w:val="20"/>
          <w:szCs w:val="20"/>
          <w:color w:val="auto"/>
        </w:rPr>
      </w:pPr>
    </w:p>
    <w:p>
      <w:pPr>
        <w:ind w:left="380" w:right="520"/>
        <w:spacing w:after="0" w:line="274" w:lineRule="auto"/>
        <w:rPr>
          <w:sz w:val="20"/>
          <w:szCs w:val="20"/>
          <w:color w:val="auto"/>
        </w:rPr>
      </w:pPr>
      <w:r>
        <w:rPr>
          <w:rFonts w:ascii="Arial" w:cs="Arial" w:eastAsia="Arial" w:hAnsi="Arial"/>
          <w:sz w:val="14"/>
          <w:szCs w:val="14"/>
          <w:color w:val="auto"/>
        </w:rPr>
        <w:t>The Company recognized $0.4 million and $0.5 million of incremental share-based compensation expense during the three and nine months ended October 31, 2023, respectively, as a result of the option exchange discussed above.</w:t>
      </w:r>
    </w:p>
    <w:p>
      <w:pPr>
        <w:spacing w:after="0" w:line="205" w:lineRule="exact"/>
        <w:rPr>
          <w:sz w:val="20"/>
          <w:szCs w:val="20"/>
          <w:color w:val="auto"/>
        </w:rPr>
      </w:pPr>
    </w:p>
    <w:p>
      <w:pPr>
        <w:ind w:left="380" w:hanging="375"/>
        <w:spacing w:after="0"/>
        <w:tabs>
          <w:tab w:leader="none" w:pos="38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Net Loss per Share Attributable to Common Stockholders</w:t>
      </w:r>
    </w:p>
    <w:p>
      <w:pPr>
        <w:spacing w:after="0" w:line="93" w:lineRule="exact"/>
        <w:rPr>
          <w:rFonts w:ascii="Arial" w:cs="Arial" w:eastAsia="Arial" w:hAnsi="Arial"/>
          <w:sz w:val="14"/>
          <w:szCs w:val="14"/>
          <w:b w:val="1"/>
          <w:bCs w:val="1"/>
          <w:color w:val="auto"/>
        </w:rPr>
      </w:pPr>
    </w:p>
    <w:p>
      <w:pPr>
        <w:ind w:left="380" w:right="12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Company computes net loss per share attributable to common stockholders under the two-class method required for multiple classes of common stock and participating securities. The rights of the Class A common stock and Class B common stock are substantially identical, other than voting rights. Accordingly, the net loss per share attributable to common stockholders will be the same for Class A and Class B common stock on an individual or combined basis.</w:t>
      </w:r>
    </w:p>
    <w:p>
      <w:pPr>
        <w:spacing w:after="0" w:line="13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sets forth the computation of basic and diluted net loss per share attributable to common stockholders: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8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5"/>
          </w:tcPr>
          <w:p>
            <w:pPr>
              <w:ind w:left="120"/>
              <w:spacing w:after="0"/>
              <w:rPr>
                <w:sz w:val="20"/>
                <w:szCs w:val="20"/>
                <w:color w:val="auto"/>
              </w:rPr>
            </w:pPr>
            <w:r>
              <w:rPr>
                <w:rFonts w:ascii="Arial" w:cs="Arial" w:eastAsia="Arial" w:hAnsi="Arial"/>
                <w:sz w:val="11"/>
                <w:szCs w:val="11"/>
                <w:b w:val="1"/>
                <w:bCs w:val="1"/>
                <w:color w:val="auto"/>
              </w:rPr>
              <w:t>Three Months Ended October 31,</w:t>
            </w:r>
          </w:p>
        </w:tc>
        <w:tc>
          <w:tcPr>
            <w:tcW w:w="240" w:type="dxa"/>
            <w:vAlign w:val="bottom"/>
          </w:tcPr>
          <w:p>
            <w:pPr>
              <w:spacing w:after="0"/>
              <w:rPr>
                <w:sz w:val="13"/>
                <w:szCs w:val="13"/>
                <w:color w:val="auto"/>
              </w:rPr>
            </w:pPr>
          </w:p>
        </w:tc>
        <w:tc>
          <w:tcPr>
            <w:tcW w:w="2840" w:type="dxa"/>
            <w:vAlign w:val="bottom"/>
            <w:gridSpan w:val="5"/>
          </w:tcPr>
          <w:p>
            <w:pPr>
              <w:ind w:left="140"/>
              <w:spacing w:after="0"/>
              <w:rPr>
                <w:sz w:val="20"/>
                <w:szCs w:val="20"/>
                <w:color w:val="auto"/>
              </w:rPr>
            </w:pPr>
            <w:r>
              <w:rPr>
                <w:rFonts w:ascii="Arial" w:cs="Arial" w:eastAsia="Arial" w:hAnsi="Arial"/>
                <w:sz w:val="11"/>
                <w:szCs w:val="11"/>
                <w:b w:val="1"/>
                <w:bCs w:val="1"/>
                <w:color w:val="auto"/>
              </w:rPr>
              <w:t>Nine Months Ended October 31,</w:t>
            </w:r>
          </w:p>
        </w:tc>
      </w:tr>
      <w:tr>
        <w:trPr>
          <w:trHeight w:val="155"/>
        </w:trPr>
        <w:tc>
          <w:tcPr>
            <w:tcW w:w="380" w:type="dxa"/>
            <w:vAlign w:val="bottom"/>
          </w:tcPr>
          <w:p>
            <w:pPr>
              <w:spacing w:after="0"/>
              <w:rPr>
                <w:sz w:val="13"/>
                <w:szCs w:val="13"/>
                <w:color w:val="auto"/>
              </w:rPr>
            </w:pPr>
          </w:p>
        </w:tc>
        <w:tc>
          <w:tcPr>
            <w:tcW w:w="514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2022</w:t>
            </w:r>
          </w:p>
        </w:tc>
        <w:tc>
          <w:tcPr>
            <w:tcW w:w="600" w:type="dxa"/>
            <w:vAlign w:val="bottom"/>
          </w:tcPr>
          <w:p>
            <w:pPr>
              <w:spacing w:after="0"/>
              <w:rPr>
                <w:sz w:val="13"/>
                <w:szCs w:val="13"/>
                <w:color w:val="auto"/>
              </w:rPr>
            </w:pPr>
          </w:p>
        </w:tc>
      </w:tr>
      <w:tr>
        <w:trPr>
          <w:trHeight w:val="192"/>
        </w:trPr>
        <w:tc>
          <w:tcPr>
            <w:tcW w:w="380" w:type="dxa"/>
            <w:vAlign w:val="bottom"/>
          </w:tcPr>
          <w:p>
            <w:pPr>
              <w:spacing w:after="0"/>
              <w:rPr>
                <w:sz w:val="16"/>
                <w:szCs w:val="16"/>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0" w:type="dxa"/>
            <w:vAlign w:val="bottom"/>
          </w:tcPr>
          <w:p>
            <w:pPr>
              <w:spacing w:after="0"/>
              <w:rPr>
                <w:sz w:val="16"/>
                <w:szCs w:val="16"/>
                <w:color w:val="auto"/>
              </w:rPr>
            </w:pPr>
          </w:p>
        </w:tc>
      </w:tr>
      <w:tr>
        <w:trPr>
          <w:trHeight w:val="212"/>
        </w:trPr>
        <w:tc>
          <w:tcPr>
            <w:tcW w:w="38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4"/>
                <w:szCs w:val="14"/>
                <w:color w:val="auto"/>
              </w:rPr>
              <w:t>Net loss attributable to common stockholders</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(112.5)</w:t>
            </w:r>
          </w:p>
        </w:tc>
        <w:tc>
          <w:tcPr>
            <w:tcW w:w="60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3"/>
        </w:trPr>
        <w:tc>
          <w:tcPr>
            <w:tcW w:w="380" w:type="dxa"/>
            <w:vAlign w:val="bottom"/>
          </w:tcPr>
          <w:p>
            <w:pPr>
              <w:spacing w:after="0"/>
              <w:rPr>
                <w:sz w:val="15"/>
                <w:szCs w:val="15"/>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380" w:type="dxa"/>
            <w:vAlign w:val="bottom"/>
          </w:tcPr>
          <w:p>
            <w:pPr>
              <w:spacing w:after="0"/>
              <w:rPr>
                <w:sz w:val="15"/>
                <w:szCs w:val="15"/>
                <w:color w:val="auto"/>
              </w:rPr>
            </w:pPr>
          </w:p>
        </w:tc>
        <w:tc>
          <w:tcPr>
            <w:tcW w:w="5140" w:type="dxa"/>
            <w:vAlign w:val="bottom"/>
          </w:tcPr>
          <w:p>
            <w:pPr>
              <w:ind w:left="360"/>
              <w:spacing w:after="0"/>
              <w:rPr>
                <w:sz w:val="20"/>
                <w:szCs w:val="20"/>
                <w:color w:val="auto"/>
              </w:rPr>
            </w:pPr>
            <w:r>
              <w:rPr>
                <w:rFonts w:ascii="Arial" w:cs="Arial" w:eastAsia="Arial" w:hAnsi="Arial"/>
                <w:sz w:val="14"/>
                <w:szCs w:val="14"/>
                <w:color w:val="auto"/>
              </w:rPr>
              <w:t>Weighted-average shares used in computing net loss per share attributable</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6"/>
        </w:trPr>
        <w:tc>
          <w:tcPr>
            <w:tcW w:w="380" w:type="dxa"/>
            <w:vAlign w:val="bottom"/>
          </w:tcPr>
          <w:p>
            <w:pPr>
              <w:spacing w:after="0"/>
              <w:rPr>
                <w:sz w:val="17"/>
                <w:szCs w:val="17"/>
                <w:color w:val="auto"/>
              </w:rPr>
            </w:pPr>
          </w:p>
        </w:tc>
        <w:tc>
          <w:tcPr>
            <w:tcW w:w="514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to common stockholders, basic and diluted</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69,296,968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64,521,433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67,608,792</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64,015,444</w:t>
            </w:r>
          </w:p>
        </w:tc>
        <w:tc>
          <w:tcPr>
            <w:tcW w:w="600" w:type="dxa"/>
            <w:vAlign w:val="bottom"/>
          </w:tcPr>
          <w:p>
            <w:pPr>
              <w:spacing w:after="0"/>
              <w:rPr>
                <w:sz w:val="17"/>
                <w:szCs w:val="17"/>
                <w:color w:val="auto"/>
              </w:rPr>
            </w:pPr>
          </w:p>
        </w:tc>
      </w:tr>
      <w:tr>
        <w:trPr>
          <w:trHeight w:val="237"/>
        </w:trPr>
        <w:tc>
          <w:tcPr>
            <w:tcW w:w="38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600" w:type="dxa"/>
            <w:vAlign w:val="bottom"/>
          </w:tcPr>
          <w:p>
            <w:pPr>
              <w:spacing w:after="0"/>
              <w:rPr>
                <w:sz w:val="20"/>
                <w:szCs w:val="20"/>
                <w:color w:val="auto"/>
              </w:rPr>
            </w:pPr>
          </w:p>
        </w:tc>
      </w:tr>
      <w:tr>
        <w:trPr>
          <w:trHeight w:val="20"/>
        </w:trPr>
        <w:tc>
          <w:tcPr>
            <w:tcW w:w="38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675"/>
        </w:trPr>
        <w:tc>
          <w:tcPr>
            <w:tcW w:w="3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00" w:type="dxa"/>
            <w:vAlign w:val="bottom"/>
          </w:tcPr>
          <w:p>
            <w:pPr>
              <w:jc w:val="right"/>
              <w:ind w:right="29"/>
              <w:spacing w:after="0"/>
              <w:rPr>
                <w:sz w:val="20"/>
                <w:szCs w:val="20"/>
                <w:color w:val="auto"/>
              </w:rPr>
            </w:pPr>
            <w:r>
              <w:rPr>
                <w:rFonts w:ascii="Arial" w:cs="Arial" w:eastAsia="Arial" w:hAnsi="Arial"/>
                <w:sz w:val="14"/>
                <w:szCs w:val="14"/>
                <w:color w:val="auto"/>
              </w:rPr>
              <w:t>26</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85"/>
        </w:trPr>
        <w:tc>
          <w:tcPr>
            <w:tcW w:w="380" w:type="dxa"/>
            <w:vAlign w:val="bottom"/>
            <w:tcBorders>
              <w:bottom w:val="single" w:sz="8" w:color="9A9A9A"/>
            </w:tcBorders>
          </w:tcPr>
          <w:p>
            <w:pPr>
              <w:spacing w:after="0"/>
              <w:rPr>
                <w:sz w:val="7"/>
                <w:szCs w:val="7"/>
                <w:color w:val="auto"/>
              </w:rPr>
            </w:pPr>
          </w:p>
        </w:tc>
        <w:tc>
          <w:tcPr>
            <w:tcW w:w="5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63" w:lineRule="exact"/>
        <w:rPr>
          <w:sz w:val="20"/>
          <w:szCs w:val="20"/>
          <w:color w:val="auto"/>
        </w:rPr>
      </w:pPr>
    </w:p>
    <w:p>
      <w:pPr>
        <w:ind w:left="380" w:right="360"/>
        <w:spacing w:after="0" w:line="290" w:lineRule="auto"/>
        <w:rPr>
          <w:sz w:val="20"/>
          <w:szCs w:val="20"/>
          <w:color w:val="auto"/>
        </w:rPr>
      </w:pPr>
      <w:r>
        <w:rPr>
          <w:rFonts w:ascii="Arial" w:cs="Arial" w:eastAsia="Arial" w:hAnsi="Arial"/>
          <w:sz w:val="14"/>
          <w:szCs w:val="14"/>
          <w:color w:val="auto"/>
        </w:rPr>
        <w:t>The following potentially dilutive outstanding securities based on amounts outstanding at each period end were excluded from the computation of diluted loss per share attributable to common stockholders because including them would have been anti-dilutive:</w:t>
      </w:r>
    </w:p>
    <w:p>
      <w:pPr>
        <w:spacing w:after="0" w:line="171"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6940" w:type="dxa"/>
            <w:vAlign w:val="bottom"/>
          </w:tcPr>
          <w:p>
            <w:pPr>
              <w:spacing w:after="0"/>
              <w:rPr>
                <w:sz w:val="13"/>
                <w:szCs w:val="13"/>
                <w:color w:val="auto"/>
              </w:rPr>
            </w:pPr>
          </w:p>
        </w:tc>
        <w:tc>
          <w:tcPr>
            <w:tcW w:w="336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1"/>
                <w:szCs w:val="11"/>
                <w:b w:val="1"/>
                <w:bCs w:val="1"/>
                <w:color w:val="auto"/>
              </w:rPr>
              <w:t>Nine Months Ended October 31,</w:t>
            </w:r>
          </w:p>
        </w:tc>
      </w:tr>
      <w:tr>
        <w:trPr>
          <w:trHeight w:val="171"/>
        </w:trPr>
        <w:tc>
          <w:tcPr>
            <w:tcW w:w="694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634"/>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2022</w:t>
            </w:r>
          </w:p>
        </w:tc>
      </w:tr>
      <w:tr>
        <w:trPr>
          <w:trHeight w:val="208"/>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895,655</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8,560,354</w:t>
            </w:r>
          </w:p>
        </w:tc>
      </w:tr>
      <w:tr>
        <w:trPr>
          <w:trHeight w:val="202"/>
        </w:trPr>
        <w:tc>
          <w:tcPr>
            <w:tcW w:w="694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40" w:type="dxa"/>
            <w:vAlign w:val="bottom"/>
          </w:tcPr>
          <w:p>
            <w:pPr>
              <w:jc w:val="right"/>
              <w:spacing w:after="0"/>
              <w:rPr>
                <w:sz w:val="20"/>
                <w:szCs w:val="20"/>
                <w:color w:val="auto"/>
              </w:rPr>
            </w:pPr>
            <w:r>
              <w:rPr>
                <w:rFonts w:ascii="Arial" w:cs="Arial" w:eastAsia="Arial" w:hAnsi="Arial"/>
                <w:sz w:val="14"/>
                <w:szCs w:val="14"/>
                <w:color w:val="auto"/>
              </w:rPr>
              <w:t>2,631,583</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631,583</w:t>
            </w:r>
          </w:p>
        </w:tc>
      </w:tr>
      <w:tr>
        <w:trPr>
          <w:trHeight w:val="222"/>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RSUs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9,593,227</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5,823,313</w:t>
            </w:r>
          </w:p>
        </w:tc>
      </w:tr>
      <w:tr>
        <w:trPr>
          <w:trHeight w:val="203"/>
        </w:trPr>
        <w:tc>
          <w:tcPr>
            <w:tcW w:w="6940" w:type="dxa"/>
            <w:vAlign w:val="bottom"/>
          </w:tcPr>
          <w:p>
            <w:pPr>
              <w:ind w:left="360"/>
              <w:spacing w:after="0"/>
              <w:rPr>
                <w:sz w:val="20"/>
                <w:szCs w:val="20"/>
                <w:color w:val="auto"/>
              </w:rPr>
            </w:pPr>
            <w:r>
              <w:rPr>
                <w:rFonts w:ascii="Arial" w:cs="Arial" w:eastAsia="Arial" w:hAnsi="Arial"/>
                <w:sz w:val="14"/>
                <w:szCs w:val="14"/>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13,120,465</w:t>
            </w:r>
          </w:p>
        </w:tc>
        <w:tc>
          <w:tcPr>
            <w:tcW w:w="8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15,015,250</w:t>
            </w:r>
          </w:p>
        </w:tc>
      </w:tr>
      <w:tr>
        <w:trPr>
          <w:trHeight w:val="20"/>
        </w:trPr>
        <w:tc>
          <w:tcPr>
            <w:tcW w:w="69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80" w:hanging="375"/>
        <w:spacing w:after="0"/>
        <w:tabs>
          <w:tab w:leader="none" w:pos="38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93" w:lineRule="exact"/>
        <w:rPr>
          <w:rFonts w:ascii="Arial" w:cs="Arial" w:eastAsia="Arial" w:hAnsi="Arial"/>
          <w:sz w:val="14"/>
          <w:szCs w:val="14"/>
          <w:b w:val="1"/>
          <w:bCs w:val="1"/>
          <w:color w:val="auto"/>
        </w:rPr>
      </w:pPr>
    </w:p>
    <w:p>
      <w:pPr>
        <w:ind w:left="380" w:right="22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Company had restricted cash balances for cash collateralized standby letters of credit as of October 31, 2023 and January 31, 2023 of $10.0 million and $9.1 million, respectively, primarily to satisfy security deposit requirements on its leases.</w:t>
      </w:r>
    </w:p>
    <w:p>
      <w:pPr>
        <w:spacing w:after="0" w:line="14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Legal Proceedings</w:t>
      </w:r>
    </w:p>
    <w:p>
      <w:pPr>
        <w:spacing w:after="0" w:line="91" w:lineRule="exact"/>
        <w:rPr>
          <w:rFonts w:ascii="Arial" w:cs="Arial" w:eastAsia="Arial" w:hAnsi="Arial"/>
          <w:sz w:val="14"/>
          <w:szCs w:val="14"/>
          <w:b w:val="1"/>
          <w:bCs w:val="1"/>
          <w:color w:val="auto"/>
        </w:rPr>
      </w:pPr>
    </w:p>
    <w:p>
      <w:pPr>
        <w:ind w:left="380" w:right="14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 are resolved. Accruals for loss contingencies are recorded when a loss is probable, and the amount of such loss can be reasonably estimated.</w:t>
      </w:r>
    </w:p>
    <w:p>
      <w:pPr>
        <w:spacing w:after="0" w:line="158" w:lineRule="exact"/>
        <w:rPr>
          <w:rFonts w:ascii="Arial" w:cs="Arial" w:eastAsia="Arial" w:hAnsi="Arial"/>
          <w:sz w:val="14"/>
          <w:szCs w:val="14"/>
          <w:b w:val="1"/>
          <w:bCs w:val="1"/>
          <w:color w:val="auto"/>
        </w:rPr>
      </w:pPr>
    </w:p>
    <w:p>
      <w:pPr>
        <w:ind w:left="380"/>
        <w:spacing w:after="0" w:line="256" w:lineRule="auto"/>
        <w:rPr>
          <w:rFonts w:ascii="Arial" w:cs="Arial" w:eastAsia="Arial" w:hAnsi="Arial"/>
          <w:sz w:val="14"/>
          <w:szCs w:val="14"/>
          <w:b w:val="1"/>
          <w:bCs w:val="1"/>
          <w:color w:val="auto"/>
        </w:rPr>
      </w:pPr>
      <w:r>
        <w:rPr>
          <w:rFonts w:ascii="Arial" w:cs="Arial" w:eastAsia="Arial" w:hAnsi="Arial"/>
          <w:sz w:val="14"/>
          <w:szCs w:val="14"/>
          <w:color w:val="auto"/>
        </w:rPr>
        <w:t xml:space="preserve">On November 14, 2022, a purported stockholder of the Company filed a putative class action lawsuit in the Eastern District of New York against the Company, certain of its officers and directors, and the underwriters of its IPO, entitled Rajat Sharma v. Rent the Runway, Inc., et al. 22-cv-6935. The complaint alleges that the defendants violated Sections 11 and 15 of the Securities Act of 1933, as amended (the “Securities Act”), by making allegedly materially misleading statements, and by omitting material facts necessary to make the statements made therein not misleading concerning, </w:t>
      </w:r>
      <w:r>
        <w:rPr>
          <w:rFonts w:ascii="Arial" w:cs="Arial" w:eastAsia="Arial" w:hAnsi="Arial"/>
          <w:sz w:val="14"/>
          <w:szCs w:val="14"/>
          <w:i w:val="1"/>
          <w:iCs w:val="1"/>
          <w:color w:val="auto"/>
        </w:rPr>
        <w:t>inter alia</w:t>
      </w:r>
      <w:r>
        <w:rPr>
          <w:rFonts w:ascii="Arial" w:cs="Arial" w:eastAsia="Arial" w:hAnsi="Arial"/>
          <w:sz w:val="14"/>
          <w:szCs w:val="14"/>
          <w:color w:val="auto"/>
        </w:rPr>
        <w:t>, the Company’s growth at the time of the IPO. The lawsuit seeks, among other things, compensatory damages, an award of attorneys’ fees and costs and such other relief as deemed just and proper by the court. On June 8, 2023, the court appointed Delaware Public Employees’ Retirement System and Denver Employees Retirement Plan as lead plaintiffs. On August 21, 2023, lead plaintiffs filed an amended complaint against the Company, certain of its officers and directors, and the underwriters of its IPO. The amended complaint alleges that defendants violated Sections 11, 12(a)(2) and 15 of the Securities Act by allegedly making certain false and misleading statements, and by omitting material facts necessary to make the statements made therein not misleading, concerning, among other things, the Company’s growth prospects and fulfillment costs at the time of the IPO. The lawsuit seeks an award of damages, attorney’s fees and costs, and such other relief as the court deems just and proper. The Company intends to vigorously defend itself against these claims. The Company believes it has meritorious defenses to the claims asserted in the amended complaint and any liability for such claims is not currently probable and the potential loss or range of loss is not reasonably estimable.</w:t>
      </w: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3"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hanging="375"/>
        <w:spacing w:after="0"/>
        <w:tabs>
          <w:tab w:leader="none" w:pos="38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93" w:lineRule="exact"/>
        <w:rPr>
          <w:rFonts w:ascii="Arial" w:cs="Arial" w:eastAsia="Arial" w:hAnsi="Arial"/>
          <w:sz w:val="14"/>
          <w:szCs w:val="14"/>
          <w:b w:val="1"/>
          <w:bCs w:val="1"/>
          <w:color w:val="auto"/>
        </w:rPr>
      </w:pPr>
    </w:p>
    <w:p>
      <w:pPr>
        <w:ind w:left="38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On December 1, 2023, the Company entered into the Credit Agreement Amendment. The Credit Facility Amendment, among other things, (i) eliminates all interest (both payment-in-kind and cash interest) for a period of six full fiscal quarters beginning with the fourth quarter of fiscal year 2023; (ii) reduces the minimum liquidity maintenance covenant under the 2023 Amended Temasek Facility from $50 million to $30 million; and (iii) provides that the Company may not exceed mutually agreed upon quarterly and annual spend levels for inventory capital expenditures, fixed operating expenditures and marketing expenditures during fiscal year 2024 and to-be-agreed levels for fiscal years 2025 and 2026, subject to Double Helix Pte Ltd.’s consent (as administrative agent for Temasek Holdings) and certain exceptions.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23" w:lineRule="exact"/>
        <w:rPr>
          <w:sz w:val="20"/>
          <w:szCs w:val="20"/>
          <w:color w:val="auto"/>
        </w:rPr>
      </w:pPr>
    </w:p>
    <w:p>
      <w:pPr>
        <w:jc w:val="both"/>
        <w:ind w:right="80"/>
        <w:spacing w:after="0" w:line="247" w:lineRule="auto"/>
        <w:rPr>
          <w:sz w:val="20"/>
          <w:szCs w:val="20"/>
          <w:color w:val="auto"/>
        </w:rPr>
      </w:pPr>
      <w:r>
        <w:rPr>
          <w:rFonts w:ascii="Arial" w:cs="Arial" w:eastAsia="Arial" w:hAnsi="Arial"/>
          <w:sz w:val="14"/>
          <w:szCs w:val="14"/>
          <w:i w:val="1"/>
          <w:iCs w:val="1"/>
          <w:color w:val="auto"/>
        </w:rPr>
        <w:t>The following discussion of our financial condition and results of operations should be read in conjunction with our unaudited condensed consolidated financial statements and the related notes included elsewhere in this Quarterly Report on Form 10-Q and the audited financial statements and notes thereto as of and for the year ended January 31, 2023 and the related Management’s Discussion and Analysis of Financial Condition and Results of Operations in our Annual Report on Form 10-K for the fiscal year ended January 31, 2023 (the “2022 Annual Report on Form 10-K”).</w:t>
      </w:r>
    </w:p>
    <w:p>
      <w:pPr>
        <w:spacing w:after="0" w:line="163" w:lineRule="exact"/>
        <w:rPr>
          <w:sz w:val="20"/>
          <w:szCs w:val="20"/>
          <w:color w:val="auto"/>
        </w:rPr>
      </w:pPr>
    </w:p>
    <w:p>
      <w:pPr>
        <w:ind w:right="120"/>
        <w:spacing w:after="0" w:line="270" w:lineRule="auto"/>
        <w:rPr>
          <w:sz w:val="20"/>
          <w:szCs w:val="20"/>
          <w:color w:val="auto"/>
        </w:rPr>
      </w:pPr>
      <w:r>
        <w:rPr>
          <w:rFonts w:ascii="Arial" w:cs="Arial" w:eastAsia="Arial" w:hAnsi="Arial"/>
          <w:sz w:val="14"/>
          <w:szCs w:val="14"/>
          <w:i w:val="1"/>
          <w:iCs w:val="1"/>
          <w:color w:val="auto"/>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Quarterly Report on Form 10-Q, particularly in Part II, Item 1A, “Risk Factors”.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4"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We give customers ongoing access to our “unlimited closet” — with thousands of styles by hundreds of designer brands — through our Subscription offering or the ability to rent a-la-carte through our Reserve offering. We also give our subscribers and customers the ability to buy our products through our Resale offering, which offers customers pre-loved styles from our closet at a discount to retail price, up to 90% off of designer retail value. These offerings allow us to engage and serve our subscribers and customers across diverse use cases from everyday life to special occasions. We have served approximately 3 million lifetime customers across all of our offerings and we had 175,901 ending total subscribers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(active and paused) as of October 31, 2023. The majority of our revenue is highly recurring and is generated by our subscribers. For the nine months ended October 31, 2023 and 2022, respectively, 88% and 84% of our total revenue (including Reserve and Resale revenue) was generated by subscribers while they were active or paused.</w:t>
      </w:r>
    </w:p>
    <w:p>
      <w:pPr>
        <w:spacing w:after="0" w:line="325"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variety, breadth and quantity of products we carry is important to our business, and we strategically manage the capital efficient acquisition of a high volume of items every year. We have successfully disproved the myth that fashion apparel items and accessories only last one season as we are able to rent or “turn” our products multiple times over many years. We price our items at a fraction of their retail or comparable value, creating an attractive price and value proposition for our subscribers and customers.</w:t>
      </w:r>
    </w:p>
    <w:p>
      <w:pPr>
        <w:spacing w:after="0" w:line="134"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We source virtually all of our products, which includes apparel and accessories, directly from, or in partnership with,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4747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39" w:lineRule="exact"/>
        <w:rPr>
          <w:sz w:val="20"/>
          <w:szCs w:val="20"/>
          <w:color w:val="auto"/>
        </w:rPr>
      </w:pPr>
    </w:p>
    <w:p>
      <w:pPr>
        <w:ind w:right="80" w:firstLine="5"/>
        <w:spacing w:after="0" w:line="187" w:lineRule="auto"/>
        <w:tabs>
          <w:tab w:leader="none" w:pos="108" w:val="left"/>
        </w:tabs>
        <w:numPr>
          <w:ilvl w:val="0"/>
          <w:numId w:val="17"/>
        </w:numPr>
        <w:rPr>
          <w:rFonts w:ascii="Arial" w:cs="Arial" w:eastAsia="Arial" w:hAnsi="Arial"/>
          <w:sz w:val="22"/>
          <w:szCs w:val="22"/>
          <w:color w:val="auto"/>
          <w:vertAlign w:val="superscript"/>
        </w:rPr>
      </w:pPr>
      <w:r>
        <w:rPr>
          <w:rFonts w:ascii="Arial" w:cs="Arial" w:eastAsia="Arial" w:hAnsi="Arial"/>
          <w:sz w:val="11"/>
          <w:szCs w:val="11"/>
          <w:color w:val="auto"/>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5 Item Plan. </w:t>
      </w:r>
      <w:r>
        <w:rPr>
          <w:rFonts w:ascii="Arial" w:cs="Arial" w:eastAsia="Arial" w:hAnsi="Arial"/>
          <w:sz w:val="14"/>
          <w:szCs w:val="14"/>
          <w:color w:val="auto"/>
        </w:rPr>
        <w:t>Beginning in March 2023, we permanently added an extra item to every shipment of our rental subscription programs to deliver greater value to subscribers.</w:t>
      </w:r>
    </w:p>
    <w:p>
      <w:pPr>
        <w:spacing w:after="0" w:line="189" w:lineRule="exact"/>
        <w:rPr>
          <w:sz w:val="20"/>
          <w:szCs w:val="20"/>
          <w:color w:val="auto"/>
        </w:rPr>
      </w:pPr>
    </w:p>
    <w:p>
      <w:pPr>
        <w:ind w:right="180"/>
        <w:spacing w:after="0" w:line="249" w:lineRule="auto"/>
        <w:rPr>
          <w:sz w:val="20"/>
          <w:szCs w:val="20"/>
          <w:color w:val="auto"/>
        </w:rPr>
      </w:pPr>
      <w:r>
        <w:rPr>
          <w:rFonts w:ascii="Arial" w:cs="Arial" w:eastAsia="Arial" w:hAnsi="Arial"/>
          <w:sz w:val="14"/>
          <w:szCs w:val="14"/>
          <w:b w:val="1"/>
          <w:bCs w:val="1"/>
          <w:i w:val="1"/>
          <w:iCs w:val="1"/>
          <w:color w:val="auto"/>
        </w:rPr>
        <w:t xml:space="preserve">Debt Restructuring. </w:t>
      </w:r>
      <w:r>
        <w:rPr>
          <w:rFonts w:ascii="Arial" w:cs="Arial" w:eastAsia="Arial" w:hAnsi="Arial"/>
          <w:sz w:val="14"/>
          <w:szCs w:val="14"/>
          <w:color w:val="auto"/>
        </w:rPr>
        <w:t>On January 31, 2023, we completed an amendment to our Temasek Facility (“2022 Amended Temasek Facility”). The 2022 Amended Temasek Facility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extended the maturity date of our credit facility from October 2024 to October 2026, reduced cash interest payments by over $20 million in the next two fiscal years while the total interest rate remains unchanged during this period, with subsequent increases thereafter. In connection with the 2022 Amended Temasek Facility, we also granted warrants to Temasek to purchase two million shares of Class A Common Stock at an exercise price of $5.00 per share and made other clarifications and updates. See Note 7, “Long-Term</w:t>
      </w:r>
    </w:p>
    <w:p>
      <w:pPr>
        <w:spacing w:after="0"/>
        <w:rPr>
          <w:sz w:val="20"/>
          <w:szCs w:val="20"/>
          <w:color w:val="auto"/>
        </w:rPr>
      </w:pPr>
      <w:r>
        <w:rPr>
          <w:rFonts w:ascii="Arial" w:cs="Arial" w:eastAsia="Arial" w:hAnsi="Arial"/>
          <w:sz w:val="14"/>
          <w:szCs w:val="14"/>
          <w:color w:val="auto"/>
        </w:rPr>
        <w:t>Debt” in the Notes to the Condensed Consolidated Financial Statements for more details.</w:t>
      </w:r>
    </w:p>
    <w:p>
      <w:pPr>
        <w:spacing w:after="0" w:line="189" w:lineRule="exact"/>
        <w:rPr>
          <w:sz w:val="20"/>
          <w:szCs w:val="20"/>
          <w:color w:val="auto"/>
        </w:rPr>
      </w:pPr>
    </w:p>
    <w:p>
      <w:pPr>
        <w:ind w:right="120"/>
        <w:spacing w:after="0" w:line="239" w:lineRule="auto"/>
        <w:rPr>
          <w:sz w:val="20"/>
          <w:szCs w:val="20"/>
          <w:color w:val="auto"/>
        </w:rPr>
      </w:pPr>
      <w:r>
        <w:rPr>
          <w:rFonts w:ascii="Arial" w:cs="Arial" w:eastAsia="Arial" w:hAnsi="Arial"/>
          <w:sz w:val="14"/>
          <w:szCs w:val="14"/>
          <w:color w:val="auto"/>
        </w:rPr>
        <w:t>On December 1, 2023, we entered into an amendment to our 2022 Amended Temasek Agreement (as amended by the 2023 Amendment, the “2023 Amended Temasek Agreement”). The 2023 Amended Temasek Agreement, among other things, (i) eliminates all interest (both payment-in-kind and cash interest) for a period of six full fiscal quarters</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beginning with the fourth quarter of fiscal year 2023; (ii) reduces the minimum liquidity maintenance covenant under the 2023 Amended Temasek Agreement from $50 million to $30 million; and (iii) provides that we may not exceed mutually agreed upon quarterly and annual spend levels for inventory capital expenditures, fixed operating expenditures and marketing expenditures during fiscal year 2024 and to-be-agreed levels for fiscal years 2025 and 2026, subject to Double Helix Pte Ltd.’s consent (as administrative agent for Temasek Holdings) and certain exceptions. The maximum expenditure amounts are consistent with our current profitability goals and anticipated spend for fiscal year 2024 and reflect lower amounts relative to fiscal year 2023 for inventory capital expenditures and fixed operating expenditures and roughly flat amounts for marketing expenditures.</w:t>
      </w:r>
    </w:p>
    <w:p>
      <w:pPr>
        <w:spacing w:after="0" w:line="164" w:lineRule="exact"/>
        <w:rPr>
          <w:sz w:val="20"/>
          <w:szCs w:val="20"/>
          <w:color w:val="auto"/>
        </w:rPr>
      </w:pPr>
    </w:p>
    <w:p>
      <w:pPr>
        <w:ind w:right="600"/>
        <w:spacing w:after="0" w:line="255" w:lineRule="auto"/>
        <w:rPr>
          <w:sz w:val="20"/>
          <w:szCs w:val="20"/>
          <w:color w:val="auto"/>
        </w:rPr>
      </w:pPr>
      <w:r>
        <w:rPr>
          <w:rFonts w:ascii="Arial" w:cs="Arial" w:eastAsia="Arial" w:hAnsi="Arial"/>
          <w:sz w:val="14"/>
          <w:szCs w:val="14"/>
          <w:b w:val="1"/>
          <w:bCs w:val="1"/>
          <w:i w:val="1"/>
          <w:iCs w:val="1"/>
          <w:color w:val="auto"/>
        </w:rPr>
        <w:t>Corporate Restructuring Plan</w:t>
      </w:r>
      <w:r>
        <w:rPr>
          <w:rFonts w:ascii="Arial" w:cs="Arial" w:eastAsia="Arial" w:hAnsi="Arial"/>
          <w:sz w:val="14"/>
          <w:szCs w:val="14"/>
          <w:color w:val="auto"/>
        </w:rPr>
        <w:t>. On September 12, 2022, we announced a restructuring plan to reduce costs, streamline our organizational structure and drive operational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efficiencies. The plan primarily included total workforce reductions of approximately 24% of corporate employees (primarily a reduction in force, with some open role closures/reduced backfills), reorganizing certain functions and reallocating resources to continue to focus on customer experience and growth initiatives.</w:t>
      </w:r>
    </w:p>
    <w:p>
      <w:pPr>
        <w:spacing w:after="0" w:line="155"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Restructuring charges of $ 2.0 million for severance and related costs were recognized during the three and nine months ended October 31, 2022 and are reflected in Restructuring charges on our Unaudited Condensed Consolidated Statements of Operations. We recorded an asset impairment charge of $3.8 million during the three and nine months ended October 31, 2022 related to discontinuing a warehouse operations project in connection with the September 2022 restructuring plan, of which $3.4 million related to the write-off of</w:t>
      </w:r>
    </w:p>
    <w:p>
      <w:pPr>
        <w:ind w:right="120"/>
        <w:spacing w:after="0" w:line="229" w:lineRule="auto"/>
        <w:rPr>
          <w:sz w:val="20"/>
          <w:szCs w:val="20"/>
          <w:color w:val="auto"/>
        </w:rPr>
      </w:pPr>
      <w:r>
        <w:rPr>
          <w:rFonts w:ascii="Arial" w:cs="Arial" w:eastAsia="Arial" w:hAnsi="Arial"/>
          <w:sz w:val="14"/>
          <w:szCs w:val="14"/>
          <w:color w:val="auto"/>
        </w:rPr>
        <w:t>fixed assets and $0.4 million related to accrued expenses. The charge is reflected in Loss on asset impairment related to restructuring on our Unaudited Condensed Consolidated Statements of Operations. There were no restructuring charges or asset impairment charges recognized during the nine months ended October 31, 2023. We may incur additional</w:t>
      </w:r>
    </w:p>
    <w:p>
      <w:pPr>
        <w:spacing w:after="0"/>
        <w:rPr>
          <w:sz w:val="20"/>
          <w:szCs w:val="20"/>
          <w:color w:val="auto"/>
        </w:rPr>
      </w:pPr>
      <w:r>
        <w:rPr>
          <w:rFonts w:ascii="Arial" w:cs="Arial" w:eastAsia="Arial" w:hAnsi="Arial"/>
          <w:sz w:val="14"/>
          <w:szCs w:val="14"/>
          <w:color w:val="auto"/>
        </w:rPr>
        <w:t>restructuring charges in the future.</w:t>
      </w:r>
    </w:p>
    <w:p>
      <w:pPr>
        <w:spacing w:after="0" w:line="186"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The September 2022 restructuring plan has generated total annual operating expense savings of approximately $27 million (relative to the second quarter of fiscal year 2022 run rate) in the last four quarters. Approximately $16 million of the total annualized savings reflect the portion related to personnel expenses, which was substantially completed by the end of the fourth quarter of fiscal year 2022, and approximately $11 million of total annualized savings reflect the portion related to technology and general and administrative expenses.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See Note 4, “Restructuring and Related Charges” in the Notes to the Condensed Consolidated Financial Statements for more details on these charges.</w:t>
      </w:r>
    </w:p>
    <w:p>
      <w:pPr>
        <w:spacing w:after="0" w:line="200"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b w:val="1"/>
          <w:bCs w:val="1"/>
          <w:i w:val="1"/>
          <w:iCs w:val="1"/>
          <w:color w:val="auto"/>
        </w:rPr>
        <w:t>Option Exchange</w:t>
      </w:r>
      <w:r>
        <w:rPr>
          <w:rFonts w:ascii="Arial" w:cs="Arial" w:eastAsia="Arial" w:hAnsi="Arial"/>
          <w:sz w:val="14"/>
          <w:szCs w:val="14"/>
          <w:color w:val="auto"/>
        </w:rPr>
        <w:t>. In April 2023, we announced a proposed option exchange designed to incentivize and retain employees, directors and other service providers by providing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ability to exchange outstanding stock options for RSUs. This option exchange was approved by shareholders on June 7, 2023 and was completed during the second quarter of fiscal year 2023. The option exchange resulted in minimal incremental share-based compensation expense over the life of the replacement RSUs, in addition to certain administrative expenses in fiscal year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Additional Key Fiscal Third Quarter and Recent Business Highlights:</w:t>
      </w:r>
    </w:p>
    <w:p>
      <w:pPr>
        <w:spacing w:after="0" w:line="92" w:lineRule="exact"/>
        <w:rPr>
          <w:sz w:val="20"/>
          <w:szCs w:val="20"/>
          <w:color w:val="auto"/>
        </w:rPr>
      </w:pPr>
    </w:p>
    <w:p>
      <w:pPr>
        <w:ind w:left="380" w:hanging="248"/>
        <w:spacing w:after="0" w:line="260" w:lineRule="auto"/>
        <w:tabs>
          <w:tab w:leader="none" w:pos="376" w:val="left"/>
        </w:tabs>
        <w:numPr>
          <w:ilvl w:val="0"/>
          <w:numId w:val="18"/>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 xml:space="preserve">Made Significant Progress on Customer Inventory Experience: </w:t>
      </w:r>
      <w:r>
        <w:rPr>
          <w:rFonts w:ascii="Arial" w:cs="Arial" w:eastAsia="Arial" w:hAnsi="Arial"/>
          <w:sz w:val="14"/>
          <w:szCs w:val="14"/>
          <w:color w:val="auto"/>
        </w:rPr>
        <w:t>Over-delivered against plans to increase inventory availability for our customers, driven by the depth</w:t>
      </w:r>
      <w:r>
        <w:rPr>
          <w:rFonts w:ascii="Arial" w:cs="Arial" w:eastAsia="Arial" w:hAnsi="Arial"/>
          <w:sz w:val="14"/>
          <w:szCs w:val="14"/>
          <w:b w:val="1"/>
          <w:bCs w:val="1"/>
          <w:color w:val="auto"/>
        </w:rPr>
        <w:t xml:space="preserve"> </w:t>
      </w:r>
      <w:r>
        <w:rPr>
          <w:rFonts w:ascii="Arial" w:cs="Arial" w:eastAsia="Arial" w:hAnsi="Arial"/>
          <w:sz w:val="14"/>
          <w:szCs w:val="14"/>
          <w:color w:val="auto"/>
        </w:rPr>
        <w:t>strategy we announced in prior quarter. Third quarter in-stock rate was 1400bps higher than the first half of fiscal year 2023 and 1200bps higher than the third quarter of fiscal year 2022, which has contributed to the highest NPS scores we have seen since pre-COVID. Retention has grown month-over-month since August.</w:t>
      </w:r>
    </w:p>
    <w:p>
      <w:pPr>
        <w:ind w:left="380" w:right="100" w:hanging="248"/>
        <w:spacing w:after="0" w:line="253" w:lineRule="auto"/>
        <w:tabs>
          <w:tab w:leader="none" w:pos="376" w:val="left"/>
        </w:tabs>
        <w:numPr>
          <w:ilvl w:val="0"/>
          <w:numId w:val="18"/>
        </w:numPr>
        <w:rPr>
          <w:rFonts w:ascii="Arial" w:cs="Arial" w:eastAsia="Arial" w:hAnsi="Arial"/>
          <w:sz w:val="14"/>
          <w:szCs w:val="14"/>
          <w:color w:val="auto"/>
        </w:rPr>
      </w:pPr>
      <w:r>
        <w:rPr>
          <w:rFonts w:ascii="Arial" w:cs="Arial" w:eastAsia="Arial" w:hAnsi="Arial"/>
          <w:sz w:val="14"/>
          <w:szCs w:val="14"/>
          <w:b w:val="1"/>
          <w:bCs w:val="1"/>
          <w:color w:val="auto"/>
        </w:rPr>
        <w:t>Launched Luxury Evening Wear</w:t>
      </w:r>
      <w:r>
        <w:rPr>
          <w:rFonts w:ascii="Arial" w:cs="Arial" w:eastAsia="Arial" w:hAnsi="Arial"/>
          <w:sz w:val="14"/>
          <w:szCs w:val="14"/>
          <w:color w:val="auto"/>
        </w:rPr>
        <w:t>: As one of many steps intended to reinvigorate our special-event rental business, today we unveiled “The Vault,” a new category of luxury</w:t>
      </w:r>
      <w:r>
        <w:rPr>
          <w:rFonts w:ascii="Arial" w:cs="Arial" w:eastAsia="Arial" w:hAnsi="Arial"/>
          <w:sz w:val="14"/>
          <w:szCs w:val="14"/>
          <w:b w:val="1"/>
          <w:bCs w:val="1"/>
          <w:color w:val="auto"/>
        </w:rPr>
        <w:t xml:space="preserve"> </w:t>
      </w:r>
      <w:r>
        <w:rPr>
          <w:rFonts w:ascii="Arial" w:cs="Arial" w:eastAsia="Arial" w:hAnsi="Arial"/>
          <w:sz w:val="14"/>
          <w:szCs w:val="14"/>
          <w:color w:val="auto"/>
        </w:rPr>
        <w:t>evening wear styles from 20+ of the top designer brands in fashion, featuring new-to-site designers including Etro, Oscar de la Renta, Brandon Maxwell, Anna October, Giambattista Valli, Rachel Gilbert, Paris Georgia, Mara Hoffman, Zac Posen and Roland Mouret, exclusively for 4- or 8-day rentals.</w:t>
      </w:r>
    </w:p>
    <w:p>
      <w:pPr>
        <w:ind w:left="380" w:right="80" w:hanging="248"/>
        <w:spacing w:after="0" w:line="253" w:lineRule="auto"/>
        <w:tabs>
          <w:tab w:leader="none" w:pos="376" w:val="left"/>
        </w:tabs>
        <w:numPr>
          <w:ilvl w:val="0"/>
          <w:numId w:val="18"/>
        </w:numPr>
        <w:rPr>
          <w:rFonts w:ascii="Arial" w:cs="Arial" w:eastAsia="Arial" w:hAnsi="Arial"/>
          <w:sz w:val="14"/>
          <w:szCs w:val="14"/>
          <w:color w:val="auto"/>
        </w:rPr>
      </w:pPr>
      <w:r>
        <w:rPr>
          <w:rFonts w:ascii="Arial" w:cs="Arial" w:eastAsia="Arial" w:hAnsi="Arial"/>
          <w:sz w:val="14"/>
          <w:szCs w:val="14"/>
          <w:b w:val="1"/>
          <w:bCs w:val="1"/>
          <w:color w:val="auto"/>
        </w:rPr>
        <w:t xml:space="preserve">Further Improved Operating Efficiencies: </w:t>
      </w:r>
      <w:r>
        <w:rPr>
          <w:rFonts w:ascii="Arial" w:cs="Arial" w:eastAsia="Arial" w:hAnsi="Arial"/>
          <w:sz w:val="14"/>
          <w:szCs w:val="14"/>
          <w:color w:val="auto"/>
        </w:rPr>
        <w:t>Further internationalized our technology team by relocating roles from NYC to Galway, Ireland, which is expected to result in</w:t>
      </w:r>
      <w:r>
        <w:rPr>
          <w:rFonts w:ascii="Arial" w:cs="Arial" w:eastAsia="Arial" w:hAnsi="Arial"/>
          <w:sz w:val="14"/>
          <w:szCs w:val="14"/>
          <w:b w:val="1"/>
          <w:bCs w:val="1"/>
          <w:color w:val="auto"/>
        </w:rPr>
        <w:t xml:space="preserve"> </w:t>
      </w:r>
      <w:r>
        <w:rPr>
          <w:rFonts w:ascii="Arial" w:cs="Arial" w:eastAsia="Arial" w:hAnsi="Arial"/>
          <w:sz w:val="14"/>
          <w:szCs w:val="14"/>
          <w:color w:val="auto"/>
        </w:rPr>
        <w:t>lower technology costs for the remainder of fiscal year 2023 and for fiscal year 2024. RTR is leveraging our existing strong presence and technical leadership at our Galway, Ireland EU software development hub, which was established in 2019.</w:t>
      </w:r>
    </w:p>
    <w:p>
      <w:pPr>
        <w:ind w:left="380" w:right="120" w:hanging="248"/>
        <w:spacing w:after="0" w:line="253" w:lineRule="auto"/>
        <w:tabs>
          <w:tab w:leader="none" w:pos="376" w:val="left"/>
        </w:tabs>
        <w:numPr>
          <w:ilvl w:val="0"/>
          <w:numId w:val="18"/>
        </w:numPr>
        <w:rPr>
          <w:rFonts w:ascii="Arial" w:cs="Arial" w:eastAsia="Arial" w:hAnsi="Arial"/>
          <w:sz w:val="14"/>
          <w:szCs w:val="14"/>
          <w:color w:val="auto"/>
        </w:rPr>
      </w:pPr>
      <w:r>
        <w:rPr>
          <w:rFonts w:ascii="Arial" w:cs="Arial" w:eastAsia="Arial" w:hAnsi="Arial"/>
          <w:sz w:val="14"/>
          <w:szCs w:val="14"/>
          <w:b w:val="1"/>
          <w:bCs w:val="1"/>
          <w:color w:val="auto"/>
        </w:rPr>
        <w:t xml:space="preserve">Grew Resale Business: </w:t>
      </w:r>
      <w:r>
        <w:rPr>
          <w:rFonts w:ascii="Arial" w:cs="Arial" w:eastAsia="Arial" w:hAnsi="Arial"/>
          <w:sz w:val="14"/>
          <w:szCs w:val="14"/>
          <w:color w:val="auto"/>
        </w:rPr>
        <w:t>Purchase rate, which we believe represents a significant sales and loyalty lever for customers, was up 50% in the third quarter in units sold versus</w:t>
      </w:r>
      <w:r>
        <w:rPr>
          <w:rFonts w:ascii="Arial" w:cs="Arial" w:eastAsia="Arial" w:hAnsi="Arial"/>
          <w:sz w:val="14"/>
          <w:szCs w:val="14"/>
          <w:b w:val="1"/>
          <w:bCs w:val="1"/>
          <w:color w:val="auto"/>
        </w:rPr>
        <w:t xml:space="preserve"> </w:t>
      </w:r>
      <w:r>
        <w:rPr>
          <w:rFonts w:ascii="Arial" w:cs="Arial" w:eastAsia="Arial" w:hAnsi="Arial"/>
          <w:sz w:val="14"/>
          <w:szCs w:val="14"/>
          <w:color w:val="auto"/>
        </w:rPr>
        <w:t>prior year. Subscribers are increasingly using Rent the Runway as a “try before you buy” sales channel, where she can understand how the product fits into her life by first wearing it through her subscription.</w:t>
      </w:r>
    </w:p>
    <w:p>
      <w:pPr>
        <w:jc w:val="both"/>
        <w:ind w:left="380" w:right="220" w:hanging="248"/>
        <w:spacing w:after="0" w:line="261" w:lineRule="auto"/>
        <w:tabs>
          <w:tab w:leader="none" w:pos="376" w:val="left"/>
        </w:tabs>
        <w:numPr>
          <w:ilvl w:val="0"/>
          <w:numId w:val="18"/>
        </w:numPr>
        <w:rPr>
          <w:rFonts w:ascii="Arial" w:cs="Arial" w:eastAsia="Arial" w:hAnsi="Arial"/>
          <w:sz w:val="14"/>
          <w:szCs w:val="14"/>
          <w:color w:val="auto"/>
        </w:rPr>
      </w:pPr>
      <w:r>
        <w:rPr>
          <w:rFonts w:ascii="Arial" w:cs="Arial" w:eastAsia="Arial" w:hAnsi="Arial"/>
          <w:sz w:val="14"/>
          <w:szCs w:val="14"/>
          <w:b w:val="1"/>
          <w:bCs w:val="1"/>
          <w:color w:val="auto"/>
        </w:rPr>
        <w:t>Drove Record Adoption of RTR Concierge Service</w:t>
      </w:r>
      <w:r>
        <w:rPr>
          <w:rFonts w:ascii="Arial" w:cs="Arial" w:eastAsia="Arial" w:hAnsi="Arial"/>
          <w:sz w:val="14"/>
          <w:szCs w:val="14"/>
          <w:color w:val="auto"/>
        </w:rPr>
        <w:t>: Our SMS-based luxury styling and support service, RTR Concierge, has reached an all-time high adoption rate with</w:t>
      </w:r>
      <w:r>
        <w:rPr>
          <w:rFonts w:ascii="Arial" w:cs="Arial" w:eastAsia="Arial" w:hAnsi="Arial"/>
          <w:sz w:val="14"/>
          <w:szCs w:val="14"/>
          <w:b w:val="1"/>
          <w:bCs w:val="1"/>
          <w:color w:val="auto"/>
        </w:rPr>
        <w:t xml:space="preserve"> </w:t>
      </w:r>
      <w:r>
        <w:rPr>
          <w:rFonts w:ascii="Arial" w:cs="Arial" w:eastAsia="Arial" w:hAnsi="Arial"/>
          <w:sz w:val="14"/>
          <w:szCs w:val="14"/>
          <w:color w:val="auto"/>
        </w:rPr>
        <w:t>over 30% of new subscribers opting in as of the end of the third quarter. We have seen sustained retention improvements for people that use concierge across all terms of membership.</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Key Operating and Financial Results. </w:t>
      </w:r>
      <w:r>
        <w:rPr>
          <w:rFonts w:ascii="Arial" w:cs="Arial" w:eastAsia="Arial" w:hAnsi="Arial"/>
          <w:sz w:val="14"/>
          <w:szCs w:val="14"/>
          <w:color w:val="auto"/>
        </w:rPr>
        <w:t>We have achieved the following operating and financial results for the three months ended October 31, 2023 and 2022, respectively:</w:t>
      </w:r>
    </w:p>
    <w:p>
      <w:pPr>
        <w:spacing w:after="0" w:line="200" w:lineRule="exact"/>
        <w:rPr>
          <w:sz w:val="20"/>
          <w:szCs w:val="20"/>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Revenue was $72.5 million and $77.4 million, respectively, representing a change of (6.3)% year-over-year;</w:t>
      </w:r>
    </w:p>
    <w:p>
      <w:pPr>
        <w:spacing w:after="0" w:line="91"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131,725 and 134,240 ending Active Subscribers</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(excluding paused subscribers), respectively, representing a change of (2)% year-over-year;</w:t>
      </w:r>
    </w:p>
    <w:p>
      <w:pPr>
        <w:spacing w:after="0" w:line="47"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134,646 and 129,186 Average Active Subscribers</w:t>
      </w:r>
      <w:r>
        <w:rPr>
          <w:rFonts w:ascii="Arial" w:cs="Arial" w:eastAsia="Arial" w:hAnsi="Arial"/>
          <w:sz w:val="18"/>
          <w:szCs w:val="18"/>
          <w:color w:val="auto"/>
          <w:vertAlign w:val="superscript"/>
        </w:rPr>
        <w:t>3</w:t>
      </w:r>
      <w:r>
        <w:rPr>
          <w:rFonts w:ascii="Arial" w:cs="Arial" w:eastAsia="Arial" w:hAnsi="Arial"/>
          <w:sz w:val="14"/>
          <w:szCs w:val="14"/>
          <w:color w:val="auto"/>
        </w:rPr>
        <w:t>, respectively, representing 4% growth year-over-year;</w:t>
      </w:r>
    </w:p>
    <w:p>
      <w:pPr>
        <w:spacing w:after="0" w:line="49"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175,901 and 176,167 ending Total Subscribers (including paused subscribers), respectively, roughly flat year-over-year;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Gross Profit was $25.2 million and $31.8 million, respectively, representing a gross margin of 34.8% and 41.1%, respectively;</w:t>
      </w:r>
    </w:p>
    <w:p>
      <w:pPr>
        <w:spacing w:after="0" w:line="93" w:lineRule="exact"/>
        <w:rPr>
          <w:rFonts w:ascii="Arial" w:cs="Arial" w:eastAsia="Arial" w:hAnsi="Arial"/>
          <w:sz w:val="14"/>
          <w:szCs w:val="14"/>
          <w:color w:val="auto"/>
        </w:rPr>
      </w:pPr>
    </w:p>
    <w:p>
      <w:pPr>
        <w:ind w:left="580" w:right="320" w:hanging="193"/>
        <w:spacing w:after="0" w:line="290" w:lineRule="auto"/>
        <w:tabs>
          <w:tab w:leader="none" w:pos="5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Loss was $(31.5) million and $(36.1) million, respectively. Net Loss as a percentage of revenue was (43.4)% and (46.6)%, respectively. In the three months ended October 31, 2022, Net Loss included $5.8 million of restructuring and related charges; and</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Adjusted EBITDA was $3.5 million and $6.6 million, respectively, representing an Adjusted EBITDA margin of 4.8% and 8.5%,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have achieved the following operating and financial results for the nine months ended October 31, 2023 and 2022, respectively:</w:t>
      </w:r>
    </w:p>
    <w:p>
      <w:pPr>
        <w:spacing w:after="0" w:line="200" w:lineRule="exact"/>
        <w:rPr>
          <w:sz w:val="20"/>
          <w:szCs w:val="20"/>
          <w:color w:val="auto"/>
        </w:rPr>
      </w:pPr>
    </w:p>
    <w:p>
      <w:pPr>
        <w:ind w:left="580" w:hanging="193"/>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Revenue was $222.4 million and $221.0 million, respectively, representing 0.6% growth year-over-year;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Gross Profit was $89.8 million and $86.7 million, respectively, representing a gross margin of 40.4% and 39.2%, respectively;</w:t>
      </w:r>
    </w:p>
    <w:p>
      <w:pPr>
        <w:spacing w:after="0" w:line="93" w:lineRule="exact"/>
        <w:rPr>
          <w:rFonts w:ascii="Arial" w:cs="Arial" w:eastAsia="Arial" w:hAnsi="Arial"/>
          <w:sz w:val="14"/>
          <w:szCs w:val="14"/>
          <w:color w:val="auto"/>
        </w:rPr>
      </w:pPr>
    </w:p>
    <w:p>
      <w:pPr>
        <w:ind w:left="580" w:right="300" w:hanging="193"/>
        <w:spacing w:after="0" w:line="290" w:lineRule="auto"/>
        <w:tabs>
          <w:tab w:leader="none" w:pos="576"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Net Loss was $(88.4) million and $(112.5) million, respectively. Net Loss as a percentage of revenue was (39.7)% and (50.9)%, respectively. In the nine months ended October 31, 2022, Net Loss included $5.8 million of restructuring and related charges;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Adjusted EBITDA was $15.7 million and $(0.4) million, respectively, representing an Adjusted EBITDA margin of 7.1% and (0.2)%, respectively;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Net cash used in operating activities plus net cash used in investing activities was $(47.3) million and $(69.9) million, respectively;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Net cash used in operating activities plus net cash used in investing activities as a percentage of revenue was (21.3)% and (31.6)%, respectively;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Cash and Cash Equivalents was $105.9 million and $176.0 million,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 Acquisition Strategy</w:t>
      </w:r>
    </w:p>
    <w:p>
      <w:pPr>
        <w:spacing w:after="0" w:line="94" w:lineRule="exact"/>
        <w:rPr>
          <w:sz w:val="20"/>
          <w:szCs w:val="20"/>
          <w:color w:val="auto"/>
        </w:rPr>
      </w:pPr>
    </w:p>
    <w:p>
      <w:pPr>
        <w:ind w:right="300"/>
        <w:spacing w:after="0" w:line="265" w:lineRule="auto"/>
        <w:rPr>
          <w:sz w:val="20"/>
          <w:szCs w:val="20"/>
          <w:color w:val="auto"/>
        </w:rPr>
      </w:pPr>
      <w:r>
        <w:rPr>
          <w:rFonts w:ascii="Arial" w:cs="Arial" w:eastAsia="Arial" w:hAnsi="Arial"/>
          <w:sz w:val="14"/>
          <w:szCs w:val="14"/>
          <w:color w:val="auto"/>
        </w:rPr>
        <w:t>We acquire and monetize products in three ways: Wholesale, Share by RTR and Exclusive Designs. Wholesale items are acquired directly from brand partners, typically at a discount to Wholesale price. Share by RTR items are acquired directly from brand partners on consignment, at zero to low upfront cost with performance-based revenue share payments to our brand partners over time. Exclusive Designs items are designed using our data in collaboration with our brand partners. These units are manufactured through third-party partners with a low upfront fee and minimal revenue share payments to our brand partners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134747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32" w:lineRule="exact"/>
        <w:rPr>
          <w:sz w:val="20"/>
          <w:szCs w:val="20"/>
          <w:color w:val="auto"/>
        </w:rPr>
      </w:pPr>
    </w:p>
    <w:p>
      <w:pPr>
        <w:ind w:left="100" w:hanging="95"/>
        <w:spacing w:after="0"/>
        <w:tabs>
          <w:tab w:leader="none" w:pos="100" w:val="left"/>
        </w:tabs>
        <w:numPr>
          <w:ilvl w:val="0"/>
          <w:numId w:val="21"/>
        </w:numPr>
        <w:rPr>
          <w:rFonts w:ascii="Arial" w:cs="Arial" w:eastAsia="Arial" w:hAnsi="Arial"/>
          <w:sz w:val="7"/>
          <w:szCs w:val="7"/>
          <w:color w:val="auto"/>
        </w:rPr>
      </w:pPr>
      <w:r>
        <w:rPr>
          <w:rFonts w:ascii="Arial" w:cs="Arial" w:eastAsia="Arial" w:hAnsi="Arial"/>
          <w:sz w:val="11"/>
          <w:szCs w:val="11"/>
          <w:color w:val="auto"/>
        </w:rPr>
        <w:t>Active Subscribers is defined as ending total subscribers as of period end, excluding paused subscribers.</w:t>
      </w:r>
    </w:p>
    <w:p>
      <w:pPr>
        <w:spacing w:after="0" w:line="33" w:lineRule="exact"/>
        <w:rPr>
          <w:sz w:val="20"/>
          <w:szCs w:val="20"/>
          <w:color w:val="auto"/>
        </w:rPr>
      </w:pPr>
    </w:p>
    <w:p>
      <w:pPr>
        <w:ind w:firstLine="5"/>
        <w:spacing w:after="0" w:line="221" w:lineRule="auto"/>
        <w:tabs>
          <w:tab w:leader="none" w:pos="72" w:val="left"/>
        </w:tabs>
        <w:numPr>
          <w:ilvl w:val="0"/>
          <w:numId w:val="22"/>
        </w:numPr>
        <w:rPr>
          <w:rFonts w:ascii="Arial" w:cs="Arial" w:eastAsia="Arial" w:hAnsi="Arial"/>
          <w:sz w:val="15"/>
          <w:szCs w:val="15"/>
          <w:color w:val="auto"/>
          <w:vertAlign w:val="superscript"/>
        </w:rPr>
      </w:pPr>
      <w:r>
        <w:rPr>
          <w:rFonts w:ascii="Arial" w:cs="Arial" w:eastAsia="Arial" w:hAnsi="Arial"/>
          <w:sz w:val="11"/>
          <w:szCs w:val="11"/>
          <w:color w:val="auto"/>
        </w:rPr>
        <w:t>Average Active Subscribers represents the mean of the beginning of quarter and end of quarter Active Subscribers for a quarterly period; and for other periods, represents the mean of the Average Active Subscribers of every quarter within that period.</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Our three product acquisition methods are strategic levers to manage our capital efficiency, profitability and product risk. Our Exclusive Designs channel uses data insights to acquire items at a lower cost, which are designed to generate higher profitability over time. Share by RTR meaningfully reduces our purchases of rental product and de-risks our investment since we pay brands primarily based on item performance. Our Share by RTR arrangements with brands target delivering 75% to 100% of comparable Wholesale cost to the brand in the first year; however there is no minimum commitment other than the upfront payment, if applicable. Nearly all Share by RTR deals consummated after September 2020 include a cap on total potential payments to the brand partner.</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fiscal year 2022, 42% of new items were acquired through Wholesale, 27% through Share by RTR and 31% through Exclusive Designs, compared to 45% Wholesale, 33% Share by RTR and 22% Exclusive Designs in fiscal year 2021. In total, approximately 58% of new items were acquired through Share by RTR and Exclusive Designs, our more capital-efficient channels in fiscal year 2022 and approximately 55% in fiscal year 2021. Both our purchasing power and the diversification into Share by RTR and Exclusive Designs have led to a decrease in rental product capital expenditures (or Purchases of Rental Product as presented in the Condensed Consolidated Statement of Cash Flows) as a percentage of revenue over time. We plan to further decrease the percentage of units acquired through Wholesale and increase the percentage of units acquired through our more capital-efficient channels over time. We expect to incur considerably lower Purchases of Rental Product in fiscal year 2024 relative to fiscal year 2023 due to fiscal year 2023 being impacted by the need to make inventory depth adjustments.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details about our business model and our product acquisition strategy, see our 2022 Annual Report on Form 10-K.</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Affecting Our Performance</w:t>
      </w:r>
    </w:p>
    <w:p>
      <w:pPr>
        <w:spacing w:after="0" w:line="179"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believe that our performance and future success depend on a variety of factors that present significant opportunities for our business, but also present risks and challenges that could adversely impact our growth and profitability.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Subscribers and Customers</w:t>
      </w:r>
    </w:p>
    <w:p>
      <w:pPr>
        <w:spacing w:after="0" w:line="187" w:lineRule="exact"/>
        <w:rPr>
          <w:sz w:val="20"/>
          <w:szCs w:val="20"/>
          <w:color w:val="auto"/>
        </w:rPr>
      </w:pPr>
    </w:p>
    <w:p>
      <w:pPr>
        <w:ind w:right="80"/>
        <w:spacing w:after="0"/>
        <w:rPr>
          <w:sz w:val="20"/>
          <w:szCs w:val="20"/>
          <w:color w:val="auto"/>
        </w:rPr>
      </w:pPr>
      <w:r>
        <w:rPr>
          <w:rFonts w:ascii="Arial" w:cs="Arial" w:eastAsia="Arial" w:hAnsi="Arial"/>
          <w:sz w:val="14"/>
          <w:szCs w:val="14"/>
          <w:b w:val="1"/>
          <w:bCs w:val="1"/>
          <w:i w:val="1"/>
          <w:iCs w:val="1"/>
          <w:color w:val="auto"/>
        </w:rPr>
        <w:t xml:space="preserve">Ability to Attract and Retain Subscribers and Customers. </w:t>
      </w:r>
      <w:r>
        <w:rPr>
          <w:rFonts w:ascii="Arial" w:cs="Arial" w:eastAsia="Arial" w:hAnsi="Arial"/>
          <w:sz w:val="14"/>
          <w:szCs w:val="14"/>
          <w:color w:val="auto"/>
        </w:rPr>
        <w:t>We believe that we have a significant market opportunity to increase our base of subscribers and customers, and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long-term growth depends in large part on our continued ability to acquire and retain subscribers and customers. We provide a flexible offering that allows our subscribers to customize their subscription as their everyday life changes, choosing to pause and reactivate their membership as needed. We have also historically seen that many subscribers who cancel their subscription will return and resubscribe when membership again makes sense for their everyday life. Our strategies in fiscal year 2023 are focused on investing in and improving the customer experience to drive growth, including improving rental product in-stock levels, which we believe impacted subscriber growth in the second and third quarters of fiscal year 2023. Our data indicate that newer subscribers were most negatively impacted by lower rental product in-stock levels. We have begun to implement plans</w:t>
      </w:r>
    </w:p>
    <w:p>
      <w:pPr>
        <w:spacing w:after="0" w:line="3"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designed to address these lower in-stock levels through higher levels of rental product depth per style in future rental product purchases. We have seen an improvement to retention in the third quarter of fiscal year 2023 and expect these changes to have an even greater positive impact during fiscal year 2024. We believe that improving retention in the first 90</w:t>
      </w:r>
    </w:p>
    <w:p>
      <w:pPr>
        <w:ind w:right="20"/>
        <w:spacing w:after="0"/>
        <w:rPr>
          <w:sz w:val="20"/>
          <w:szCs w:val="20"/>
          <w:color w:val="auto"/>
        </w:rPr>
      </w:pPr>
      <w:r>
        <w:rPr>
          <w:rFonts w:ascii="Arial" w:cs="Arial" w:eastAsia="Arial" w:hAnsi="Arial"/>
          <w:sz w:val="14"/>
          <w:szCs w:val="14"/>
          <w:color w:val="auto"/>
        </w:rPr>
        <w:t>days of a subscription, which is when the majority of subscriber churn typically occurs, can increase loyalty and subscriber growth. Further, in the second quarter of fiscal year 2023, we experimented with changes to our initial promotion prices for Subscription, which impacted subscriber acquisition. We further reduced promotions in the third quarter of fiscal year 2023, as we believe that being less promotional going forward will have improved effects on retention and the overall health of the business over the longer-term and enable us to invest these resources into the customer experience. We expect our promotional activities to be below historical averages in the near to medium term, which is anticipated to reduce subscriber acquisition in the near term; however, depending on market conditions and other factors, we will likely conduct additional experiments and may make changes to our promotions strategy in the future, which could impact subscriber acquisition.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Brands and Products</w:t>
      </w:r>
    </w:p>
    <w:p>
      <w:pPr>
        <w:spacing w:after="0" w:line="134"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b w:val="1"/>
          <w:bCs w:val="1"/>
          <w:i w:val="1"/>
          <w:iCs w:val="1"/>
          <w:color w:val="auto"/>
        </w:rPr>
        <w:t xml:space="preserve">Ability to Acquire, Manage and Monetize Products Efficiently. </w:t>
      </w:r>
      <w:r>
        <w:rPr>
          <w:rFonts w:ascii="Arial" w:cs="Arial" w:eastAsia="Arial" w:hAnsi="Arial"/>
          <w:sz w:val="14"/>
          <w:szCs w:val="14"/>
          <w:color w:val="auto"/>
        </w:rPr>
        <w:t>Our ability to deliver an elevated experience for our subscribers and customers that keeps them loyal to RTR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depends on us having the right assortment. For example, in fiscal year 2023 we are focused on enhancing the availability of the items on our site and increasing the depth of our buys (i.e., purchasing more units of particular styles). Due to our deep partnerships with brands, flexibility in our buying timelines and ability to react to advantageous retail purchasing environments, we can acquire products directly from brands in multiple cost effective ways. Additionally, during the third quarter of fiscal year 2022, we launched a pilot to sell our brand new Exclusive Design products wholesale to a third party retailer, which we believe highlights the potential of the RTR platform and our data and consumer appeal. Our expertise in reverse logistics and garment restoration also provides us with the ability to monetize our products effectively over their useful life. Diversifying our product acquisition away from 100% Wholesale has driven higher overall product return on investment and reduced the capital needs of the business. In fiscal year 2022, approximately 58% of new items were acquired through our more capital efficient non-Wholesale channels, compared to 55% in fiscal year 2021. We plan to further increase the percentage of units acquired through Exclusive Designs and Share by RTR in fiscal year 2023. We continuously evaluate our product acquisition mix to maximize our strategic priorities.</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Purchases of rental product includes the cost of wholesale products acquired in the period and other ancillary costs such as freight, where applicable. Many factors impact the purchases of rental product including our acquisition mix strategy, the proportion of subscribers to total customers, timing of when those subscribers are acquired, the formality of styles, brand assortment, opportunities in the market and timing of when the rental product is received and paid for. Purchases of rental product as a percentage of revenue in fiscal year 2022 was 21% as compared to 15% in fiscal year 2021. We anticipate this percentage to increase in fiscal year 2023 compared with fiscal year 2022 due to lower sales projections, the reallocation of marketing dollars to rental product purchases and opportunistic purchases of attractively priced product beginning in the first quarter of fiscal year 2023. Due to seasonality factors, we track our progress on purchases of rental product as a percentage of revenue on a full year basis, as quarterly expenditures are not necessarily reflective of full year trends.</w:t>
      </w:r>
    </w:p>
    <w:p>
      <w:pPr>
        <w:spacing w:after="0" w:line="163"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b w:val="1"/>
          <w:bCs w:val="1"/>
          <w:i w:val="1"/>
          <w:iCs w:val="1"/>
          <w:color w:val="auto"/>
        </w:rPr>
        <w:t xml:space="preserve">Ability to Achieve Leverage in our Cost Structure. </w:t>
      </w:r>
      <w:r>
        <w:rPr>
          <w:rFonts w:ascii="Arial" w:cs="Arial" w:eastAsia="Arial" w:hAnsi="Arial"/>
          <w:sz w:val="14"/>
          <w:szCs w:val="14"/>
          <w:color w:val="auto"/>
        </w:rPr>
        <w:t>Improving operational efficiency of our platform is imperative to increasing profitability. We expect certain of our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costs to increase as order volume increases and as we make investments to grow subscribers and revenue and to enhance the customer experience. In September 2022, we announced a restructuring plan that reduced operating expenses by approximately $27 million in the last four quarters compared to the annualized run rate for the second quarter of fiscal year 2022. Though we anticipate quarterly fluctuations in operating leverage, with these reductions and continuous improvements to our cost structure, we expect our fixed costs to decrease as a percentage of total revenue in fiscal year 2023, and over time we anticipate that our operating costs will grow more slowly than our total revenue on an annual basis.</w:t>
      </w:r>
    </w:p>
    <w:p>
      <w:pPr>
        <w:spacing w:after="0" w:line="334"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spacing w:after="0" w:line="15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Over time, we have improved our margins, profitability and cash flow, and we believe we will continue to benefit from economies of scale. We are focused on driving additional efficiencies in our operating expenses and growing profitability to also cover rental product depreciation, in addition to fulfillment, revenue share and operating expenses.</w:t>
      </w:r>
    </w:p>
    <w:p>
      <w:pPr>
        <w:spacing w:after="0" w:line="141"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 The 2022 Amended Temasek Facility reduces our cash interest payments during fiscal years 2023 and 2024 relative to the original agreement, which we expect to improve our overall liquidity.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Seasonality</w:t>
      </w:r>
    </w:p>
    <w:p>
      <w:pPr>
        <w:spacing w:after="0" w:line="21"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We experience seasonality in our business, which has been impacted and may in the future change due to the effects of COVID-19, the macro environment, and business decisions.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onset of COVID-19. In fiscal year 2022, we believe that a price increase of our Subscription programs in April 2022 affected traditional seasonal patterns. In fiscal year 2023, changes in rental product in-stock levels and changes to promotional prices also disrupted typical seasonality. Given continued business changes, our future seasonality may not resemble historical trends.</w:t>
      </w:r>
    </w:p>
    <w:p>
      <w:pPr>
        <w:spacing w:after="0" w:line="168"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also experience seasonality in the timing of expenses and capital outlays. Transportation expense, and therefore fulfillment cost, is typically highest in the fourth fiscal quarter, given typical timing of carrier rate increases, higher service levels, such as more costly and expedited shipping, and competition during holidays. However we expect transportation expenses per shipment in the fourth quarter of fiscal year 2023 to be roughly flat with the third quarter of fiscal year 2023 due to more favorable contract terms. Our most significant product capital expenditures typically occur in the first fiscal quarter and the third fiscal quarter, when we acquire product for the upcoming fall and spring seasons. However, the impact on cash is historically dependent on timing of receipt of product.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of Macro and Consumer Environment on Our Business</w:t>
      </w:r>
    </w:p>
    <w:p>
      <w:pPr>
        <w:spacing w:after="0" w:line="187"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There remains significant uncertainty in the current macroeconomic and consumer environment, driven by several factors, including inflationary pressures, higher interest rates, potential risk of recession, ongoing industry-wide supply chain issues, instability in the financial system, the wars in Ukraine and the Middle East and COVID-19. These factors have impacted, and are expected to continue to impact, consumer discretionary spending and purchasing behavior, price sensitivity, wage rates, transportation costs, and other costs associated with our business.</w:t>
      </w:r>
    </w:p>
    <w:p>
      <w:pPr>
        <w:spacing w:after="0" w:line="159"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We continue to review and learn how changes in customer behavior post the COVID-19 pandemic may impact our business and demand, particularly in a challenging macro environment. We believe that Active Subscriber levels have been impacted by seasonal changes in consumer behavior and macro factors, such as higher levels of remote work and evolving demand for work wear, inflationary pressures and sensitivity to increased pricing, or other factors, and may continue to be impacted by these factors in the future.</w:t>
      </w:r>
    </w:p>
    <w:p>
      <w:pPr>
        <w:spacing w:after="0" w:line="155"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continue to take actions to adjust to the changing business environment and related inflationary pressure. For example, in light of potential pricing sensitivity in the current macro-economic environment, we are focused on investing in our customer and delivering even more value to her, and emphasizing the value proposition of our offering in our marketing materials. In addition, we increased wage rates throughout fiscal year 2022 and during the first quarter of fiscal year 2023 to attract and retain talent at our fulfillment centers and we expect to continue to be impacted by rising labor costs in the future. We also expect transportation costs to decrease in fiscal year 2023 due to transportation efficiencies and the impact of our new transportation contract with a major national carrier, effective in September 2023. While we expect to be able to reduce transportation costs in fiscal year 2023, we plan to continue to mitigate longer-term rising costs by seeking to optimize shipping methods and improve contractual and pricing terms. Although we continue to face a challenging environment, we plan to invest in our customers, manage our staffing and further leverage our transportation partners to help to drive growth and efficiencies in our business.</w:t>
      </w:r>
    </w:p>
    <w:p>
      <w:pPr>
        <w:spacing w:after="0" w:line="338"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The full extent to which the macro environment will directly or indirectly impact our business, results of operations, growth rates, and financial condition will depend on future developments that are highly uncertain and cannot be accurately predicted. Given this uncertainty, we cannot estimate the financial impact of the macro environment on our future results of operations, cash flows, or financial condition.</w:t>
      </w:r>
    </w:p>
    <w:p>
      <w:pPr>
        <w:spacing w:after="0" w:line="155"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For additional details about key factors affecting our performance, see our 2022 Annual Report on Form 10-K and Part II, Item 1A, “Risk Factors” of this Quarterly Report on Form 10-Q.</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Business and Financial Metrics</w:t>
      </w:r>
    </w:p>
    <w:p>
      <w:pPr>
        <w:spacing w:after="0" w:line="189"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In addition to the measures presented in our condensed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generally accepted accounting principles in the United States (“U.S. GAAP”) and should be considered in conjunction with other metrics and components of our results of operations, such as each of the other key business and financial metrics, and our revenue and net loss.</w:t>
      </w:r>
    </w:p>
    <w:p>
      <w:pPr>
        <w:sectPr>
          <w:pgSz w:w="11900" w:h="16838" w:orient="portrait"/>
          <w:cols w:equalWidth="0" w:num="1">
            <w:col w:w="11260"/>
          </w:cols>
          <w:pgMar w:left="300" w:top="123" w:right="339" w:bottom="1440" w:gutter="0" w:footer="0" w:header="0"/>
        </w:sectPr>
      </w:pPr>
    </w:p>
    <w:p>
      <w:pPr>
        <w:spacing w:after="0" w:line="193" w:lineRule="exact"/>
        <w:rPr>
          <w:sz w:val="20"/>
          <w:szCs w:val="20"/>
          <w:color w:val="auto"/>
        </w:rPr>
      </w:pPr>
    </w:p>
    <w:p>
      <w:pPr>
        <w:ind w:left="4140"/>
        <w:spacing w:after="0"/>
        <w:rPr>
          <w:sz w:val="20"/>
          <w:szCs w:val="20"/>
          <w:color w:val="auto"/>
        </w:rPr>
      </w:pPr>
      <w:r>
        <w:rPr>
          <w:rFonts w:ascii="Arial" w:cs="Arial" w:eastAsia="Arial" w:hAnsi="Arial"/>
          <w:sz w:val="11"/>
          <w:szCs w:val="11"/>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2219960</wp:posOffset>
            </wp:positionH>
            <wp:positionV relativeFrom="paragraph">
              <wp:posOffset>17780</wp:posOffset>
            </wp:positionV>
            <wp:extent cx="194056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3" w:lineRule="exact"/>
        <w:rPr>
          <w:sz w:val="20"/>
          <w:szCs w:val="20"/>
          <w:color w:val="auto"/>
        </w:rPr>
      </w:pPr>
    </w:p>
    <w:p>
      <w:pPr>
        <w:ind w:left="4120"/>
        <w:spacing w:after="0"/>
        <w:tabs>
          <w:tab w:leader="none" w:pos="5660" w:val="left"/>
        </w:tabs>
        <w:rPr>
          <w:sz w:val="20"/>
          <w:szCs w:val="20"/>
          <w:color w:val="auto"/>
        </w:rPr>
      </w:pPr>
      <w:r>
        <w:rPr>
          <w:rFonts w:ascii="Arial" w:cs="Arial" w:eastAsia="Arial" w:hAnsi="Arial"/>
          <w:sz w:val="11"/>
          <w:szCs w:val="11"/>
          <w:b w:val="1"/>
          <w:bCs w:val="1"/>
          <w:color w:val="auto"/>
        </w:rPr>
        <w:t>2023</w:t>
      </w:r>
      <w:r>
        <w:rPr>
          <w:sz w:val="20"/>
          <w:szCs w:val="20"/>
          <w:color w:val="auto"/>
        </w:rPr>
        <w:tab/>
      </w:r>
      <w:r>
        <w:rPr>
          <w:rFonts w:ascii="Arial" w:cs="Arial" w:eastAsia="Arial" w:hAnsi="Arial"/>
          <w:sz w:val="11"/>
          <w:szCs w:val="11"/>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2219960</wp:posOffset>
            </wp:positionH>
            <wp:positionV relativeFrom="paragraph">
              <wp:posOffset>17780</wp:posOffset>
            </wp:positionV>
            <wp:extent cx="194056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1"/>
          <w:szCs w:val="11"/>
          <w:b w:val="1"/>
          <w:bCs w:val="1"/>
          <w:color w:val="auto"/>
        </w:rPr>
        <w:t>($ in millions)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2180"/>
        <w:spacing w:after="0"/>
        <w:rPr>
          <w:sz w:val="20"/>
          <w:szCs w:val="20"/>
          <w:color w:val="auto"/>
        </w:rPr>
      </w:pPr>
      <w:r>
        <w:rPr>
          <w:rFonts w:ascii="Arial" w:cs="Arial" w:eastAsia="Arial" w:hAnsi="Arial"/>
          <w:sz w:val="11"/>
          <w:szCs w:val="11"/>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17780</wp:posOffset>
            </wp:positionV>
            <wp:extent cx="194056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3" w:lineRule="exact"/>
        <w:rPr>
          <w:sz w:val="20"/>
          <w:szCs w:val="20"/>
          <w:color w:val="auto"/>
        </w:rPr>
      </w:pPr>
    </w:p>
    <w:p>
      <w:pPr>
        <w:spacing w:after="0"/>
        <w:tabs>
          <w:tab w:leader="none" w:pos="1540" w:val="left"/>
        </w:tabs>
        <w:rPr>
          <w:sz w:val="20"/>
          <w:szCs w:val="20"/>
          <w:color w:val="auto"/>
        </w:rPr>
      </w:pPr>
      <w:r>
        <w:rPr>
          <w:rFonts w:ascii="Arial" w:cs="Arial" w:eastAsia="Arial" w:hAnsi="Arial"/>
          <w:sz w:val="11"/>
          <w:szCs w:val="11"/>
          <w:b w:val="1"/>
          <w:bCs w:val="1"/>
          <w:color w:val="auto"/>
        </w:rPr>
        <w:t>2023</w:t>
      </w:r>
      <w:r>
        <w:rPr>
          <w:sz w:val="20"/>
          <w:szCs w:val="20"/>
          <w:color w:val="auto"/>
        </w:rPr>
        <w:tab/>
      </w:r>
      <w:r>
        <w:rPr>
          <w:rFonts w:ascii="Arial" w:cs="Arial" w:eastAsia="Arial" w:hAnsi="Arial"/>
          <w:sz w:val="11"/>
          <w:szCs w:val="11"/>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17780</wp:posOffset>
            </wp:positionV>
            <wp:extent cx="194056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1"/>
          <w:szCs w:val="11"/>
          <w:b w:val="1"/>
          <w:bCs w:val="1"/>
          <w:color w:val="auto"/>
        </w:rPr>
        <w:t>($ in millions)</w:t>
      </w:r>
    </w:p>
    <w:p>
      <w:pPr>
        <w:spacing w:after="0" w:line="48" w:lineRule="exact"/>
        <w:rPr>
          <w:sz w:val="20"/>
          <w:szCs w:val="20"/>
          <w:color w:val="auto"/>
        </w:rPr>
      </w:pPr>
    </w:p>
    <w:p>
      <w:pPr>
        <w:sectPr>
          <w:pgSz w:w="11900" w:h="16838" w:orient="portrait"/>
          <w:cols w:equalWidth="0" w:num="2">
            <w:col w:w="6540" w:space="720"/>
            <w:col w:w="4000"/>
          </w:cols>
          <w:pgMar w:left="30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Active Subscribers</w:t>
            </w:r>
          </w:p>
        </w:tc>
        <w:tc>
          <w:tcPr>
            <w:tcW w:w="13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131,725</w:t>
            </w: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134,240</w:t>
            </w: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131,725</w:t>
            </w: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134,240</w:t>
            </w:r>
          </w:p>
        </w:tc>
      </w:tr>
      <w:tr>
        <w:trPr>
          <w:trHeight w:val="180"/>
        </w:trPr>
        <w:tc>
          <w:tcPr>
            <w:tcW w:w="2640" w:type="dxa"/>
            <w:vAlign w:val="bottom"/>
          </w:tcPr>
          <w:p>
            <w:pPr>
              <w:ind w:left="20"/>
              <w:spacing w:after="0"/>
              <w:rPr>
                <w:sz w:val="20"/>
                <w:szCs w:val="20"/>
                <w:color w:val="auto"/>
              </w:rPr>
            </w:pPr>
            <w:r>
              <w:rPr>
                <w:rFonts w:ascii="Arial" w:cs="Arial" w:eastAsia="Arial" w:hAnsi="Arial"/>
                <w:sz w:val="14"/>
                <w:szCs w:val="14"/>
                <w:color w:val="auto"/>
              </w:rPr>
              <w:t>Average Active Subscribers</w:t>
            </w:r>
          </w:p>
        </w:tc>
        <w:tc>
          <w:tcPr>
            <w:tcW w:w="136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134,646</w:t>
            </w:r>
          </w:p>
        </w:tc>
        <w:tc>
          <w:tcPr>
            <w:tcW w:w="560" w:type="dxa"/>
            <w:vAlign w:val="bottom"/>
          </w:tcPr>
          <w:p>
            <w:pPr>
              <w:spacing w:after="0"/>
              <w:rPr>
                <w:sz w:val="15"/>
                <w:szCs w:val="15"/>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129,186</w:t>
            </w:r>
          </w:p>
        </w:tc>
        <w:tc>
          <w:tcPr>
            <w:tcW w:w="56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134,646</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129,186</w:t>
            </w:r>
          </w:p>
        </w:tc>
      </w:tr>
      <w:tr>
        <w:trPr>
          <w:trHeight w:val="180"/>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36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25.2</w:t>
            </w:r>
          </w:p>
        </w:tc>
        <w:tc>
          <w:tcPr>
            <w:tcW w:w="56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31.8</w:t>
            </w:r>
          </w:p>
        </w:tc>
        <w:tc>
          <w:tcPr>
            <w:tcW w:w="56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89.8</w:t>
            </w:r>
          </w:p>
        </w:tc>
        <w:tc>
          <w:tcPr>
            <w:tcW w:w="56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w:t>
            </w:r>
          </w:p>
        </w:tc>
      </w:tr>
      <w:tr>
        <w:trPr>
          <w:trHeight w:val="186"/>
        </w:trPr>
        <w:tc>
          <w:tcPr>
            <w:tcW w:w="2640" w:type="dxa"/>
            <w:vAlign w:val="bottom"/>
          </w:tcPr>
          <w:p>
            <w:pPr>
              <w:ind w:left="20"/>
              <w:spacing w:after="0"/>
              <w:rPr>
                <w:sz w:val="20"/>
                <w:szCs w:val="20"/>
                <w:color w:val="auto"/>
              </w:rPr>
            </w:pPr>
            <w:r>
              <w:rPr>
                <w:rFonts w:ascii="Arial" w:cs="Arial" w:eastAsia="Arial" w:hAnsi="Arial"/>
                <w:sz w:val="14"/>
                <w:szCs w:val="14"/>
                <w:color w:val="auto"/>
              </w:rPr>
              <w:t>Adjusted EBITDA (1)</w:t>
            </w:r>
          </w:p>
        </w:tc>
        <w:tc>
          <w:tcPr>
            <w:tcW w:w="136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3.5</w:t>
            </w:r>
          </w:p>
        </w:tc>
        <w:tc>
          <w:tcPr>
            <w:tcW w:w="56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6.6</w:t>
            </w:r>
          </w:p>
        </w:tc>
        <w:tc>
          <w:tcPr>
            <w:tcW w:w="56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15.7</w:t>
            </w:r>
          </w:p>
        </w:tc>
        <w:tc>
          <w:tcPr>
            <w:tcW w:w="56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(0.4)</w:t>
            </w:r>
          </w:p>
        </w:tc>
      </w:tr>
    </w:tbl>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60" w:right="140" w:hanging="255"/>
        <w:spacing w:after="0" w:line="288" w:lineRule="auto"/>
        <w:tabs>
          <w:tab w:leader="none" w:pos="249" w:val="left"/>
        </w:tabs>
        <w:numPr>
          <w:ilvl w:val="0"/>
          <w:numId w:val="23"/>
        </w:numPr>
        <w:rPr>
          <w:rFonts w:ascii="Arial" w:cs="Arial" w:eastAsia="Arial" w:hAnsi="Arial"/>
          <w:sz w:val="11"/>
          <w:szCs w:val="11"/>
          <w:color w:val="auto"/>
        </w:rPr>
      </w:pPr>
      <w:r>
        <w:rPr>
          <w:rFonts w:ascii="Arial" w:cs="Arial" w:eastAsia="Arial" w:hAnsi="Arial"/>
          <w:sz w:val="11"/>
          <w:szCs w:val="11"/>
          <w:color w:val="auto"/>
        </w:rPr>
        <w:t>Adjusted EBITDA is a non-GAAP financial measure; for a reconciliation to the most directly comparable U.S. GAAP financial measure, net loss, and why we consider Adjusted EBITDA to be a useful metric, see “—Non-GAAP Financial Metrics” below.</w:t>
      </w:r>
    </w:p>
    <w:p>
      <w:pPr>
        <w:spacing w:after="0" w:line="41"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b w:val="1"/>
          <w:bCs w:val="1"/>
          <w:color w:val="auto"/>
        </w:rPr>
        <w:t>Active Subscribers</w:t>
      </w:r>
      <w:r>
        <w:rPr>
          <w:rFonts w:ascii="Arial" w:cs="Arial" w:eastAsia="Arial" w:hAnsi="Arial"/>
          <w:sz w:val="14"/>
          <w:szCs w:val="14"/>
          <w:color w:val="auto"/>
        </w:rPr>
        <w:t>: Active Subscribers represents the number of subscribers with an active membership as of the last day of any given period and excludes paused subscribers.</w:t>
      </w:r>
      <w:r>
        <w:rPr>
          <w:rFonts w:ascii="Arial" w:cs="Arial" w:eastAsia="Arial" w:hAnsi="Arial"/>
          <w:sz w:val="14"/>
          <w:szCs w:val="14"/>
          <w:b w:val="1"/>
          <w:bCs w:val="1"/>
          <w:color w:val="auto"/>
        </w:rPr>
        <w:t xml:space="preserve"> </w:t>
      </w:r>
      <w:r>
        <w:rPr>
          <w:rFonts w:ascii="Arial" w:cs="Arial" w:eastAsia="Arial" w:hAnsi="Arial"/>
          <w:sz w:val="14"/>
          <w:szCs w:val="14"/>
          <w:color w:val="auto"/>
        </w:rPr>
        <w:t>As of October 31, 2023, we had 131,725 Active Subscribers, a change of (2)% year-over-year. Our Active Subscribers decreased year-over-year, primarily due to the impact of lower rental product in-stock levels, changes in our promotional strategy and lower marketing spend.</w:t>
      </w:r>
    </w:p>
    <w:p>
      <w:pPr>
        <w:spacing w:after="0" w:line="155"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b w:val="1"/>
          <w:bCs w:val="1"/>
          <w:color w:val="auto"/>
        </w:rPr>
        <w:t xml:space="preserve">Average Active Subscribers: </w:t>
      </w:r>
      <w:r>
        <w:rPr>
          <w:rFonts w:ascii="Arial" w:cs="Arial" w:eastAsia="Arial" w:hAnsi="Arial"/>
          <w:sz w:val="14"/>
          <w:szCs w:val="14"/>
          <w:color w:val="auto"/>
        </w:rPr>
        <w:t>Average Active Subscribers represents the mean of the beginning of quarter and end of quarter Active Subscribers for a quarterly period; and for</w:t>
      </w:r>
      <w:r>
        <w:rPr>
          <w:rFonts w:ascii="Arial" w:cs="Arial" w:eastAsia="Arial" w:hAnsi="Arial"/>
          <w:sz w:val="14"/>
          <w:szCs w:val="14"/>
          <w:b w:val="1"/>
          <w:bCs w:val="1"/>
          <w:color w:val="auto"/>
        </w:rPr>
        <w:t xml:space="preserve"> </w:t>
      </w:r>
      <w:r>
        <w:rPr>
          <w:rFonts w:ascii="Arial" w:cs="Arial" w:eastAsia="Arial" w:hAnsi="Arial"/>
          <w:sz w:val="14"/>
          <w:szCs w:val="14"/>
          <w:color w:val="auto"/>
        </w:rPr>
        <w:t>other periods, represents the mean of the Average Active Subscribers of every quarter within that period. As of October 31, 2023, we had 134,646 Average Active Subscribers, up from 129,186 as of October 31, 2022, or a 4% increase year-over-year.</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4"/>
          <w:szCs w:val="14"/>
          <w:b w:val="1"/>
          <w:bCs w:val="1"/>
          <w:color w:val="auto"/>
        </w:rPr>
        <w:t xml:space="preserve">Gross Profit and Gross Margin: </w:t>
      </w:r>
      <w:r>
        <w:rPr>
          <w:rFonts w:ascii="Arial" w:cs="Arial" w:eastAsia="Arial" w:hAnsi="Arial"/>
          <w:sz w:val="14"/>
          <w:szCs w:val="14"/>
          <w:color w:val="auto"/>
        </w:rPr>
        <w:t>We define Gross Profit as total revenue less costs related to activities to fulfill customer orders and rental product acquisition costs, presented as</w:t>
      </w:r>
      <w:r>
        <w:rPr>
          <w:rFonts w:ascii="Arial" w:cs="Arial" w:eastAsia="Arial" w:hAnsi="Arial"/>
          <w:sz w:val="14"/>
          <w:szCs w:val="14"/>
          <w:b w:val="1"/>
          <w:bCs w:val="1"/>
          <w:color w:val="auto"/>
        </w:rPr>
        <w:t xml:space="preserve"> </w:t>
      </w:r>
      <w:r>
        <w:rPr>
          <w:rFonts w:ascii="Arial" w:cs="Arial" w:eastAsia="Arial" w:hAnsi="Arial"/>
          <w:sz w:val="14"/>
          <w:szCs w:val="14"/>
          <w:color w:val="auto"/>
        </w:rPr>
        <w:t>fulfillment and rental product depreciation and revenue share, respectively, on the condensed consolidated statement of operations. We depreciate owned apparel assets over three years and owned accessory assets over two years net of 20% and 30% salvage values, respectively, and recognize the depreciation on a straight-line basis and remaining cost of</w:t>
      </w:r>
    </w:p>
    <w:p>
      <w:pPr>
        <w:ind w:right="20"/>
        <w:spacing w:after="0" w:line="229" w:lineRule="auto"/>
        <w:rPr>
          <w:sz w:val="20"/>
          <w:szCs w:val="20"/>
          <w:color w:val="auto"/>
        </w:rPr>
      </w:pPr>
      <w:r>
        <w:rPr>
          <w:rFonts w:ascii="Arial" w:cs="Arial" w:eastAsia="Arial" w:hAnsi="Arial"/>
          <w:sz w:val="14"/>
          <w:szCs w:val="14"/>
          <w:color w:val="auto"/>
        </w:rPr>
        <w:t>items when sold or retired on our condensed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w:t>
      </w:r>
    </w:p>
    <w:p>
      <w:pPr>
        <w:spacing w:after="0"/>
        <w:rPr>
          <w:sz w:val="20"/>
          <w:szCs w:val="20"/>
          <w:color w:val="auto"/>
        </w:rPr>
      </w:pPr>
      <w:r>
        <w:rPr>
          <w:rFonts w:ascii="Arial" w:cs="Arial" w:eastAsia="Arial" w:hAnsi="Arial"/>
          <w:sz w:val="14"/>
          <w:szCs w:val="14"/>
          <w:color w:val="auto"/>
        </w:rPr>
        <w:t>costs are included.</w:t>
      </w:r>
    </w:p>
    <w:p>
      <w:pPr>
        <w:spacing w:after="0" w:line="186"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Gross Profit was $25.2 million for the three months ended October 31, 2023 compared to $31.8 million for the three months ended October 31, 2022 representing Gross Margins of 34.8% and 41.1%, respectively. Gross Profit was $89.8 million for the nine months ended October 31, 2023 compared to $86.7 million for the nine months ended October 31, 2022 representing Gross Margins of 40.4% and 39.2%, respectively. The decrease in Gross Profit and Gross Margin for the three months ended October 31, 2023 was driven by higher rental product depreciation and revenue share costs as a percentage of sales. Fulfillment costs as a percentage of revenue remained consistent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78"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Gross Profit for the nine months ended October 31, 2023 increased due to the impact of the April 2022 price increase and efficiencies in fulfillment costs. Gross Margin increased for the nine months ended October 31, 2023 due to lower fulfillment costs as a percentage of sales, partially offset by higher rental product depreciation and revenue share costs as a percentage of sales. We expect Gross Margin to be lower in fiscal year 2023 compared to fiscal year 2022 due to higher rental product depreciation and revenue share costs as a percentage of sales. We will seek to continue to drive fulfillment and operational efficiency gains over time and strategically evolve our mix of revenue and product acquisition to offset cost increases and/or higher units processed per shipment.</w:t>
      </w:r>
    </w:p>
    <w:p>
      <w:pPr>
        <w:spacing w:after="0" w:line="150" w:lineRule="exact"/>
        <w:rPr>
          <w:sz w:val="20"/>
          <w:szCs w:val="20"/>
          <w:color w:val="auto"/>
        </w:rPr>
      </w:pPr>
    </w:p>
    <w:p>
      <w:pPr>
        <w:ind w:right="20"/>
        <w:spacing w:after="0"/>
        <w:rPr>
          <w:sz w:val="20"/>
          <w:szCs w:val="20"/>
          <w:color w:val="auto"/>
        </w:rPr>
      </w:pPr>
      <w:r>
        <w:rPr>
          <w:rFonts w:ascii="Arial" w:cs="Arial" w:eastAsia="Arial" w:hAnsi="Arial"/>
          <w:sz w:val="14"/>
          <w:szCs w:val="14"/>
          <w:b w:val="1"/>
          <w:bCs w:val="1"/>
          <w:color w:val="auto"/>
        </w:rPr>
        <w:t xml:space="preserve">Adjusted EBITDA and Adjusted EBITDA Margin: </w:t>
      </w:r>
      <w:r>
        <w:rPr>
          <w:rFonts w:ascii="Arial" w:cs="Arial" w:eastAsia="Arial" w:hAnsi="Arial"/>
          <w:sz w:val="14"/>
          <w:szCs w:val="14"/>
          <w:color w:val="auto"/>
        </w:rPr>
        <w:t>We define Adjusted EBITDA as net loss, adjusted to exclude interest expense, rental product depreciation, other depreciation</w:t>
      </w:r>
      <w:r>
        <w:rPr>
          <w:rFonts w:ascii="Arial" w:cs="Arial" w:eastAsia="Arial" w:hAnsi="Arial"/>
          <w:sz w:val="14"/>
          <w:szCs w:val="14"/>
          <w:b w:val="1"/>
          <w:bCs w:val="1"/>
          <w:color w:val="auto"/>
        </w:rPr>
        <w:t xml:space="preserve"> </w:t>
      </w:r>
      <w:r>
        <w:rPr>
          <w:rFonts w:ascii="Arial" w:cs="Arial" w:eastAsia="Arial" w:hAnsi="Arial"/>
          <w:sz w:val="14"/>
          <w:szCs w:val="14"/>
          <w:color w:val="auto"/>
        </w:rPr>
        <w:t>and amortization, share-based compensation expense, write-off of liquidated rental product assets, certain non-recurring or one-time costs (see below footnotes to the reconciliation table), non-ordinary course legal expenses, restructuring charges, loss on asset impairment related to restructuring, income tax (benefit) expense, other income and expense, and other gains / losses. We define Adjusted EBITDA Margin as Adjusted EBITDA as a percentage of total revenue, net for a period. Adjusted EBITDA was $3.5 million for the three months ended October 31, 2023 compared to $ 6.6 million for the three months ended October 31, 2022, representing margins of 4.8% and 8.5%, respectively. Adjusted EBITDA decreased for the three months ended October 31, 2023 as the prior year benefited from a $4.6 million contribution to Adjusted EBITDA from sales of Exclusive Designs inventory</w:t>
      </w:r>
    </w:p>
    <w:p>
      <w:pPr>
        <w:spacing w:after="0" w:line="3" w:lineRule="exact"/>
        <w:rPr>
          <w:sz w:val="20"/>
          <w:szCs w:val="20"/>
          <w:color w:val="auto"/>
        </w:rPr>
      </w:pPr>
    </w:p>
    <w:p>
      <w:pPr>
        <w:jc w:val="both"/>
        <w:ind w:right="500"/>
        <w:spacing w:after="0" w:line="229" w:lineRule="auto"/>
        <w:rPr>
          <w:sz w:val="20"/>
          <w:szCs w:val="20"/>
          <w:color w:val="auto"/>
        </w:rPr>
      </w:pPr>
      <w:r>
        <w:rPr>
          <w:rFonts w:ascii="Arial" w:cs="Arial" w:eastAsia="Arial" w:hAnsi="Arial"/>
          <w:sz w:val="14"/>
          <w:szCs w:val="14"/>
          <w:color w:val="auto"/>
        </w:rPr>
        <w:t>to a third party retailer as part of a pilot program and from the launch of a new liquidation partnership. These declines were partly offset by the impact of the September 2022 restructuring plan. Adjusted EBITDA was $15.7 million for the nine months ended October 31, 2023 compared to $(0.4) million for the nine months ended October 31, 2022,</w:t>
      </w:r>
    </w:p>
    <w:p>
      <w:pPr>
        <w:ind w:right="80"/>
        <w:spacing w:after="0" w:line="245" w:lineRule="auto"/>
        <w:rPr>
          <w:sz w:val="20"/>
          <w:szCs w:val="20"/>
          <w:color w:val="auto"/>
        </w:rPr>
      </w:pPr>
      <w:r>
        <w:rPr>
          <w:rFonts w:ascii="Arial" w:cs="Arial" w:eastAsia="Arial" w:hAnsi="Arial"/>
          <w:sz w:val="14"/>
          <w:szCs w:val="14"/>
          <w:color w:val="auto"/>
        </w:rPr>
        <w:t>representing margins of 7.1% and (0.2)%, respectively. Adjusted EBITDA Margin significantly improved for the nine months ended October 31, 2023 due to the improvement in Gross Profit and Gross Margin, impact of the restructuring plan, and improved operating leverage across technology, marketing and general and administrative expenses even with additional strategic investments.</w:t>
      </w:r>
    </w:p>
    <w:p>
      <w:pPr>
        <w:spacing w:after="0" w:line="172"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We believe we have the opportunity to improve Adjusted EBITDA and offset cost increases and/or higher units processed per shipment as we increase revenue and drive fulfillment and operational efficiency gains and operating expense leverage. In particular, we continue to expect our September 2022 restructuring plan to significantly reduce fixed costs and improve operating expense leverage in fiscal year 2023 compared to fiscal year 2022.</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Total Revenue, Net</w:t>
      </w:r>
    </w:p>
    <w:p>
      <w:pPr>
        <w:spacing w:after="0" w:line="92"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Our total revenue, net consists of Subscription and Reserve rental revenue and Other revenue. Total revenue is presented net of promotional discounts, credits and refunds and taxes. In fiscal year 2022, our revenue growth rate benefited from COVID recovery and the April 2022 price increase compared to fiscal year 2021. We anticipate our total revenue growth rate to be roughly flat year-over-year due to an anticipated lower growth rate of Average Active Subscribers in fiscal year 2023 relative to fiscal year 2022 and in part due to an anticipated decrease in Reserve revenue in fiscal year 2023 compared to fiscal year 2022.</w:t>
      </w:r>
    </w:p>
    <w:p>
      <w:pPr>
        <w:spacing w:after="0" w:line="138"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b w:val="1"/>
          <w:bCs w:val="1"/>
          <w:i w:val="1"/>
          <w:iCs w:val="1"/>
          <w:color w:val="auto"/>
        </w:rPr>
        <w:t xml:space="preserve">Subscription and Reserve Rental Revenue. </w:t>
      </w:r>
      <w:r>
        <w:rPr>
          <w:rFonts w:ascii="Arial" w:cs="Arial" w:eastAsia="Arial" w:hAnsi="Arial"/>
          <w:sz w:val="14"/>
          <w:szCs w:val="14"/>
          <w:color w:val="auto"/>
        </w:rPr>
        <w:t>We generate Subscription and Reserve rental revenue from subscription and Reserve rental fees. We recognize subscription fees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ratably over the subscription period, commencing on the date the subscriber enrolls in a subscription program. These fees are collected upon enrollment and any revenue from an unrecognized portion of the subscription period is deferred to the following fiscal period. We announced a price increase in April 2022 for our subscription plans, which has since increased revenue per subscriber. We recognize Reserve fees over the rental period, which starts on the date of delivery of the product to the customer. Reserve orders can be placed up to two months prior to the rental start date (reduced from four months prior to the rental start date beginning in October 2023) and the customer’s payment form is charged upon order confirmation. We defer recognizing the rental fees and any related promotions for Reserve rentals until the date of delivery, and then recognize those fees evenly over the four- or eight-day rental period.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5" w:lineRule="auto"/>
        <w:rPr>
          <w:sz w:val="20"/>
          <w:szCs w:val="20"/>
          <w:color w:val="auto"/>
        </w:rPr>
      </w:pPr>
      <w:r>
        <w:rPr>
          <w:rFonts w:ascii="Arial" w:cs="Arial" w:eastAsia="Arial" w:hAnsi="Arial"/>
          <w:sz w:val="14"/>
          <w:szCs w:val="14"/>
          <w:b w:val="1"/>
          <w:bCs w:val="1"/>
          <w:i w:val="1"/>
          <w:iCs w:val="1"/>
          <w:color w:val="auto"/>
        </w:rPr>
        <w:t xml:space="preserve">Other Revenue. </w:t>
      </w:r>
      <w:r>
        <w:rPr>
          <w:rFonts w:ascii="Arial" w:cs="Arial" w:eastAsia="Arial" w:hAnsi="Arial"/>
          <w:sz w:val="14"/>
          <w:szCs w:val="14"/>
          <w:color w:val="auto"/>
        </w:rPr>
        <w:t>We generate Other revenue primarily from the sale of products while they are in rental condition. We offer the ability for subscribers and customers to purchase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products at a discount to retail price. Payment for the sale of products occurs upon order confirmation while the associated revenue is recognized either at the time the sold product is delivered or when purchased, if the item is already at home with the customer. From time to time, Other revenue may include revenue generated from pilots and other growth initiatives which may cause quarterly fluctuations in the Other revenue line.</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Costs and Expenses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consist of all costs to receive, process and fulfill customer orders. This primarily includes shipping costs to/from customers and personnel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related costs, which include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We expect fulfillment costs to increase as order volume increases. In fiscal year 2022 costs to ship orders increased due to increasing prices in the transportation market. Fulfillment expense may fluctuate due to various factors including commercial terms and market trends. Fulfillment expense may also increase due to competitive pressures in the labor market which could lead to continued higher wage rates. We</w:t>
      </w:r>
    </w:p>
    <w:p>
      <w:pPr>
        <w:spacing w:after="0" w:line="3"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increased warehouse wage rates during fiscal year 2022 and during the first quarter of fiscal year 2023 and expect to continue to be impacted by rising wage rates in the future. During the first three quarters of fiscal year 2023, we realized efficiencies that offset fulfillment cost increases. For fiscal year 2023, we expect to offset fulfillment expense increases</w:t>
      </w:r>
    </w:p>
    <w:p>
      <w:pPr>
        <w:ind w:right="20"/>
        <w:spacing w:after="0" w:line="242" w:lineRule="auto"/>
        <w:rPr>
          <w:sz w:val="20"/>
          <w:szCs w:val="20"/>
          <w:color w:val="auto"/>
        </w:rPr>
      </w:pPr>
      <w:r>
        <w:rPr>
          <w:rFonts w:ascii="Arial" w:cs="Arial" w:eastAsia="Arial" w:hAnsi="Arial"/>
          <w:sz w:val="14"/>
          <w:szCs w:val="14"/>
          <w:color w:val="auto"/>
        </w:rPr>
        <w:t>with transportation efficiencies and the impact of our new transportation contract. We expect to continue to invest in automation, other process improvements to support and drive efficiencies in our operations and negotiate better pricing where possible. To the extent we are successful in becoming more efficient in fulfilling orders, and at a magnitude that is able to offset long-term increases in shipping costs, wage rates and cleaning/packing supply price increases, we would expect these expenses to decrease as a percentage of total revenue over the longer term.</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consist of personnel and related costs for employees engaged in software development and engineering, quality assurance, product,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customer experience, data science, analytics and information technology-related efforts, net of personnel costs associated with capitalized software. Technology expenses also include professional services, third-party hosting expenses, website monitoring costs, and software and license fees. We expect these expenses to decrease in dollars and as a percentage of total revenue in fiscal year 2023 compared to fiscal year 2022 as a result of our September 2022 restructuring plan and our continued focus on managing costs. . In addition, we expect to incur lower fixed cost operating expenses in fiscal year 2024 relative to fiscal year 2023; however, over the long term, these expenses may increase as we continue to improve the customer and subscriber experience and invest in our technology stack and infrastructure to support overall growth in our business. While these expenses may vary from period to period as a percentage of total revenue, we expect them to decrease as a percentage of total revenue over the longer term.</w:t>
      </w:r>
    </w:p>
    <w:p>
      <w:pPr>
        <w:spacing w:after="0" w:line="163"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include online and mobile marketing, search engine optimization and email costs, marketing personnel and related costs, agency fees, brand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marketing, printed collateral, consumer research, and other related costs. Marketing expenses unrelated to personnel costs may increase if we increase marketing spend to drive the growth of our business and increase our brand awareness. Marketing expenses in the third quarter of fiscal year 2023 decreased as compared to the prior year, which we expect to continue into the fourth quarter of fiscal year 2023 as we reallocate a portion of our budgeted marketing expenses to rental product purchases, which is anticipated to continue to reduce subscriber acquisition in the near term. We expect our marketing spend to be roughly flat in fiscal year 2024 as compared to fiscal year 2023. The trend and timing of our marketing expenses will depend in part on the timing of marketing campaigns.</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(“G&amp;A”) expenses consist of all other personnel and related costs for customer service, finance, tax, legal, human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resources, fashion and photography and fixed operations costs. General and administrative expenses also includes occupancy costs (including warehouse-related), professional services, credit card fees, general corporate and warehouse expenses, other administrative costs, and gains and losses associated with asset disposals and operating lease terminations. In fiscal year 2023, we expect these expenses to decrease significantly in dollars and as a percentage of total revenue compared to fiscal year 2022 as a result of our September 2022 restructuring plan. In addition, we expect to incur lower fixed cost operating expenses in fiscal year 2024 relative to fiscal year 2023; however, over the longer term, we expect these expenses to increase as we grow our infrastructure to support the overall growth of the business. Rent expense and other facilities-related costs may increase in the future due to inflation or to support overall business growth and fulfillment efficiencies. While these expenses may vary from period to period as a percentage of total revenue, we expect them to decrease as a percentage of total revenue over the longer term.</w:t>
      </w:r>
    </w:p>
    <w:p>
      <w:pPr>
        <w:spacing w:after="0" w:line="143"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b w:val="1"/>
          <w:bCs w:val="1"/>
          <w:i w:val="1"/>
          <w:iCs w:val="1"/>
          <w:color w:val="auto"/>
        </w:rPr>
        <w:t xml:space="preserve">Rental Product Depreciation and Revenue Share. </w:t>
      </w:r>
      <w:r>
        <w:rPr>
          <w:rFonts w:ascii="Arial" w:cs="Arial" w:eastAsia="Arial" w:hAnsi="Arial"/>
          <w:sz w:val="14"/>
          <w:szCs w:val="14"/>
          <w:color w:val="auto"/>
        </w:rPr>
        <w:t>Rental product depreciation and revenue share expenses consist of depreciation and write-offs of rental products,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and when we acquire items as well as the mix of our rental product base.</w:t>
      </w:r>
    </w:p>
    <w:p>
      <w:pPr>
        <w:spacing w:after="0" w:line="142" w:lineRule="exact"/>
        <w:rPr>
          <w:sz w:val="20"/>
          <w:szCs w:val="20"/>
          <w:color w:val="auto"/>
        </w:rPr>
      </w:pPr>
    </w:p>
    <w:p>
      <w:pPr>
        <w:ind w:right="480"/>
        <w:spacing w:after="0" w:line="290"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expenses consist of depreciation and amortization amounts for fixed assets, intangible assets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including capitalized software, and financing right-of-use assets.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Restructuring Charges</w:t>
      </w:r>
      <w:r>
        <w:rPr>
          <w:rFonts w:ascii="Arial" w:cs="Arial" w:eastAsia="Arial" w:hAnsi="Arial"/>
          <w:sz w:val="14"/>
          <w:szCs w:val="14"/>
          <w:color w:val="auto"/>
        </w:rPr>
        <w:t>. Restructuring charges consist of severance and related costs associated with the September 2022 restructuring plan.</w:t>
      </w:r>
    </w:p>
    <w:p>
      <w:pPr>
        <w:spacing w:after="0" w:line="200" w:lineRule="exact"/>
        <w:rPr>
          <w:sz w:val="20"/>
          <w:szCs w:val="20"/>
          <w:color w:val="auto"/>
        </w:rPr>
      </w:pPr>
    </w:p>
    <w:p>
      <w:pPr>
        <w:ind w:right="580"/>
        <w:spacing w:after="0" w:line="290" w:lineRule="auto"/>
        <w:rPr>
          <w:sz w:val="20"/>
          <w:szCs w:val="20"/>
          <w:color w:val="auto"/>
        </w:rPr>
      </w:pPr>
      <w:r>
        <w:rPr>
          <w:rFonts w:ascii="Arial" w:cs="Arial" w:eastAsia="Arial" w:hAnsi="Arial"/>
          <w:sz w:val="14"/>
          <w:szCs w:val="14"/>
          <w:b w:val="1"/>
          <w:bCs w:val="1"/>
          <w:i w:val="1"/>
          <w:iCs w:val="1"/>
          <w:color w:val="auto"/>
        </w:rPr>
        <w:t>Loss on Asset Impairment Related to Restructuring</w:t>
      </w:r>
      <w:r>
        <w:rPr>
          <w:rFonts w:ascii="Arial" w:cs="Arial" w:eastAsia="Arial" w:hAnsi="Arial"/>
          <w:sz w:val="14"/>
          <w:szCs w:val="14"/>
          <w:color w:val="auto"/>
        </w:rPr>
        <w:t>. Loss on asset impairment related to restructuring consists of an asset impairment charge related to discontinuing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warehouse operations project in connection with the September 2022 restructuring plan.</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4"/>
          <w:szCs w:val="14"/>
          <w:b w:val="1"/>
          <w:bCs w:val="1"/>
          <w:i w:val="1"/>
          <w:iCs w:val="1"/>
          <w:color w:val="auto"/>
        </w:rPr>
        <w:t xml:space="preserve">Interest Income / (Expense). </w:t>
      </w:r>
      <w:r>
        <w:rPr>
          <w:rFonts w:ascii="Arial" w:cs="Arial" w:eastAsia="Arial" w:hAnsi="Arial"/>
          <w:sz w:val="14"/>
          <w:szCs w:val="14"/>
          <w:color w:val="auto"/>
        </w:rPr>
        <w:t>Interest income / (expense) consists primarily of accrued paid-in-kind interest, cash and cash equivalents interest and debt issuance cost amortization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associated with our 2023 Amended Temasek Facility going forward. The 2023 Amended Temasek Facility eliminates all interest (both payment-in-kind and cash interest) for a period of six full fiscal quarters beginning with the fourth quarter of fiscal year 2023.</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Other Income / (Expense). </w:t>
      </w:r>
      <w:r>
        <w:rPr>
          <w:rFonts w:ascii="Arial" w:cs="Arial" w:eastAsia="Arial" w:hAnsi="Arial"/>
          <w:sz w:val="14"/>
          <w:szCs w:val="14"/>
          <w:color w:val="auto"/>
        </w:rPr>
        <w:t>Other income / (expense) consists primarily of proceeds from monetizing tax credits associated with growth.</w:t>
      </w:r>
    </w:p>
    <w:p>
      <w:pPr>
        <w:spacing w:after="0" w:line="263"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b w:val="1"/>
          <w:bCs w:val="1"/>
          <w:i w:val="1"/>
          <w:iCs w:val="1"/>
          <w:color w:val="auto"/>
        </w:rPr>
        <w:t xml:space="preserve">Income Tax Benefit / (Expense). </w:t>
      </w:r>
      <w:r>
        <w:rPr>
          <w:rFonts w:ascii="Arial" w:cs="Arial" w:eastAsia="Arial" w:hAnsi="Arial"/>
          <w:sz w:val="14"/>
          <w:szCs w:val="14"/>
          <w:color w:val="auto"/>
        </w:rPr>
        <w:t>Income taxes consist primarily of state minimum taxes and Irish refundable tax credits. We have established a valuation allowance for our U.S.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federal and state deferred tax assets, including net operating losses. We expect to maintain this valuation allowance until it becomes more likely than not that the benefit of our federal and state deferred tax assets will be realized by way of expected future taxable income in the United States.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94"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The results of operations presented below should be reviewed in conjunction with the condensed consolidated financial statements and notes included elsewhere in this Quarterly Report on Form 10-Q. The following tables set forth our results of operations for the periods presented:</w:t>
      </w:r>
    </w:p>
    <w:p>
      <w:pPr>
        <w:sectPr>
          <w:pgSz w:w="11900" w:h="16838" w:orient="portrait"/>
          <w:cols w:equalWidth="0" w:num="1">
            <w:col w:w="11280"/>
          </w:cols>
          <w:pgMar w:left="300" w:top="123" w:right="319" w:bottom="1440" w:gutter="0" w:footer="0" w:header="0"/>
        </w:sectPr>
      </w:pPr>
    </w:p>
    <w:p>
      <w:pPr>
        <w:spacing w:after="0" w:line="171" w:lineRule="exact"/>
        <w:rPr>
          <w:sz w:val="20"/>
          <w:szCs w:val="20"/>
          <w:color w:val="auto"/>
        </w:rPr>
      </w:pPr>
    </w:p>
    <w:p>
      <w:pPr>
        <w:ind w:left="6200"/>
        <w:spacing w:after="0"/>
        <w:rPr>
          <w:sz w:val="20"/>
          <w:szCs w:val="20"/>
          <w:color w:val="auto"/>
        </w:rPr>
      </w:pPr>
      <w:r>
        <w:rPr>
          <w:rFonts w:ascii="Arial" w:cs="Arial" w:eastAsia="Arial" w:hAnsi="Arial"/>
          <w:sz w:val="11"/>
          <w:szCs w:val="11"/>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24765</wp:posOffset>
            </wp:positionV>
            <wp:extent cx="184594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45945" cy="6985"/>
                    </a:xfrm>
                    <a:prstGeom prst="rect">
                      <a:avLst/>
                    </a:prstGeom>
                    <a:noFill/>
                  </pic:spPr>
                </pic:pic>
              </a:graphicData>
            </a:graphic>
          </wp:anchor>
        </w:drawing>
      </w:r>
    </w:p>
    <w:p>
      <w:pPr>
        <w:spacing w:after="0" w:line="34" w:lineRule="exact"/>
        <w:rPr>
          <w:sz w:val="20"/>
          <w:szCs w:val="20"/>
          <w:color w:val="auto"/>
        </w:rPr>
      </w:pPr>
    </w:p>
    <w:p>
      <w:pPr>
        <w:ind w:left="6220"/>
        <w:spacing w:after="0"/>
        <w:tabs>
          <w:tab w:leader="none" w:pos="7700" w:val="left"/>
        </w:tabs>
        <w:rPr>
          <w:sz w:val="20"/>
          <w:szCs w:val="20"/>
          <w:color w:val="auto"/>
        </w:rPr>
      </w:pPr>
      <w:r>
        <w:rPr>
          <w:rFonts w:ascii="Arial" w:cs="Arial" w:eastAsia="Arial" w:hAnsi="Arial"/>
          <w:sz w:val="11"/>
          <w:szCs w:val="11"/>
          <w:b w:val="1"/>
          <w:bCs w:val="1"/>
          <w:color w:val="auto"/>
        </w:rPr>
        <w:t>2023</w:t>
      </w:r>
      <w:r>
        <w:rPr>
          <w:sz w:val="20"/>
          <w:szCs w:val="20"/>
          <w:color w:val="auto"/>
        </w:rPr>
        <w:tab/>
      </w:r>
      <w:r>
        <w:rPr>
          <w:rFonts w:ascii="Arial" w:cs="Arial" w:eastAsia="Arial" w:hAnsi="Arial"/>
          <w:sz w:val="11"/>
          <w:szCs w:val="11"/>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17780</wp:posOffset>
            </wp:positionV>
            <wp:extent cx="184594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45945" cy="6985"/>
                    </a:xfrm>
                    <a:prstGeom prst="rect">
                      <a:avLst/>
                    </a:prstGeom>
                    <a:noFill/>
                  </pic:spPr>
                </pic:pic>
              </a:graphicData>
            </a:graphic>
          </wp:anchor>
        </w:drawing>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1"/>
          <w:szCs w:val="11"/>
          <w:b w:val="1"/>
          <w:bCs w:val="1"/>
          <w:color w:val="auto"/>
        </w:rPr>
        <w:t>(in millions)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1"/>
          <w:szCs w:val="11"/>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24765</wp:posOffset>
            </wp:positionV>
            <wp:extent cx="168402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84020" cy="6985"/>
                    </a:xfrm>
                    <a:prstGeom prst="rect">
                      <a:avLst/>
                    </a:prstGeom>
                    <a:noFill/>
                  </pic:spPr>
                </pic:pic>
              </a:graphicData>
            </a:graphic>
          </wp:anchor>
        </w:drawing>
      </w:r>
    </w:p>
    <w:p>
      <w:pPr>
        <w:spacing w:after="0" w:line="34"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1"/>
          <w:szCs w:val="11"/>
          <w:b w:val="1"/>
          <w:bCs w:val="1"/>
          <w:color w:val="auto"/>
        </w:rPr>
        <w:t>2023</w:t>
      </w:r>
      <w:r>
        <w:rPr>
          <w:sz w:val="20"/>
          <w:szCs w:val="20"/>
          <w:color w:val="auto"/>
        </w:rPr>
        <w:tab/>
      </w:r>
      <w:r>
        <w:rPr>
          <w:rFonts w:ascii="Arial" w:cs="Arial" w:eastAsia="Arial" w:hAnsi="Arial"/>
          <w:sz w:val="11"/>
          <w:szCs w:val="11"/>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17780</wp:posOffset>
            </wp:positionV>
            <wp:extent cx="168402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84020" cy="6985"/>
                    </a:xfrm>
                    <a:prstGeom prst="rect">
                      <a:avLst/>
                    </a:prstGeom>
                    <a:noFill/>
                  </pic:spPr>
                </pic:pic>
              </a:graphicData>
            </a:graphic>
          </wp:anchor>
        </w:drawing>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1"/>
          <w:szCs w:val="11"/>
          <w:b w:val="1"/>
          <w:bCs w:val="1"/>
          <w:color w:val="auto"/>
        </w:rPr>
        <w:t>(in millions)</w:t>
      </w:r>
    </w:p>
    <w:p>
      <w:pPr>
        <w:spacing w:after="0" w:line="28" w:lineRule="exact"/>
        <w:rPr>
          <w:sz w:val="20"/>
          <w:szCs w:val="20"/>
          <w:color w:val="auto"/>
        </w:rPr>
      </w:pPr>
    </w:p>
    <w:p>
      <w:pPr>
        <w:sectPr>
          <w:pgSz w:w="11900" w:h="16838" w:orient="portrait"/>
          <w:cols w:equalWidth="0" w:num="2">
            <w:col w:w="8380" w:space="720"/>
            <w:col w:w="2180"/>
          </w:cols>
          <w:pgMar w:left="300" w:top="123"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5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180"/>
        </w:trPr>
        <w:tc>
          <w:tcPr>
            <w:tcW w:w="5640" w:type="dxa"/>
            <w:vAlign w:val="bottom"/>
          </w:tcPr>
          <w:p>
            <w:pPr>
              <w:ind w:left="280"/>
              <w:spacing w:after="0"/>
              <w:rPr>
                <w:sz w:val="20"/>
                <w:szCs w:val="20"/>
                <w:color w:val="auto"/>
              </w:rPr>
            </w:pPr>
            <w:r>
              <w:rPr>
                <w:rFonts w:ascii="Arial" w:cs="Arial" w:eastAsia="Arial" w:hAnsi="Arial"/>
                <w:sz w:val="14"/>
                <w:szCs w:val="14"/>
                <w:color w:val="auto"/>
              </w:rPr>
              <w:t>Subscription and Reserve rental revenue</w:t>
            </w:r>
          </w:p>
        </w:tc>
        <w:tc>
          <w:tcPr>
            <w:tcW w:w="560" w:type="dxa"/>
            <w:vAlign w:val="bottom"/>
          </w:tcPr>
          <w:p>
            <w:pPr>
              <w:jc w:val="right"/>
              <w:ind w:right="38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5"/>
                <w:szCs w:val="15"/>
                <w:color w:val="auto"/>
              </w:rPr>
            </w:pPr>
          </w:p>
        </w:tc>
        <w:tc>
          <w:tcPr>
            <w:tcW w:w="540" w:type="dxa"/>
            <w:vAlign w:val="bottom"/>
          </w:tcPr>
          <w:p>
            <w:pPr>
              <w:jc w:val="right"/>
              <w:ind w:right="38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199.5</w:t>
            </w:r>
          </w:p>
        </w:tc>
        <w:tc>
          <w:tcPr>
            <w:tcW w:w="80" w:type="dxa"/>
            <w:vAlign w:val="bottom"/>
          </w:tcPr>
          <w:p>
            <w:pPr>
              <w:spacing w:after="0"/>
              <w:rPr>
                <w:sz w:val="15"/>
                <w:szCs w:val="15"/>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200.2</w:t>
            </w:r>
          </w:p>
        </w:tc>
      </w:tr>
      <w:tr>
        <w:trPr>
          <w:trHeight w:val="180"/>
        </w:trPr>
        <w:tc>
          <w:tcPr>
            <w:tcW w:w="5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revenue</w:t>
            </w:r>
          </w:p>
        </w:tc>
        <w:tc>
          <w:tcPr>
            <w:tcW w:w="5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r>
      <w:tr>
        <w:trPr>
          <w:trHeight w:val="171"/>
        </w:trPr>
        <w:tc>
          <w:tcPr>
            <w:tcW w:w="5640" w:type="dxa"/>
            <w:vAlign w:val="bottom"/>
          </w:tcPr>
          <w:p>
            <w:pPr>
              <w:ind w:left="540"/>
              <w:spacing w:after="0"/>
              <w:rPr>
                <w:sz w:val="20"/>
                <w:szCs w:val="20"/>
                <w:color w:val="auto"/>
              </w:rPr>
            </w:pPr>
            <w:r>
              <w:rPr>
                <w:rFonts w:ascii="Arial" w:cs="Arial" w:eastAsia="Arial" w:hAnsi="Arial"/>
                <w:sz w:val="14"/>
                <w:szCs w:val="14"/>
                <w:color w:val="auto"/>
              </w:rPr>
              <w:t>Total revenue, net</w:t>
            </w:r>
          </w:p>
        </w:tc>
        <w:tc>
          <w:tcPr>
            <w:tcW w:w="5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222.4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221.0</w:t>
            </w:r>
          </w:p>
        </w:tc>
      </w:tr>
      <w:tr>
        <w:trPr>
          <w:trHeight w:val="180"/>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and expenses:</w:t>
            </w: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5640" w:type="dxa"/>
            <w:vAlign w:val="bottom"/>
          </w:tcPr>
          <w:p>
            <w:pPr>
              <w:ind w:left="280"/>
              <w:spacing w:after="0"/>
              <w:rPr>
                <w:sz w:val="20"/>
                <w:szCs w:val="20"/>
                <w:color w:val="auto"/>
              </w:rPr>
            </w:pPr>
            <w:r>
              <w:rPr>
                <w:rFonts w:ascii="Arial" w:cs="Arial" w:eastAsia="Arial" w:hAnsi="Arial"/>
                <w:sz w:val="14"/>
                <w:szCs w:val="14"/>
                <w:color w:val="auto"/>
              </w:rPr>
              <w:t>Fulfillment</w:t>
            </w:r>
          </w:p>
        </w:tc>
        <w:tc>
          <w:tcPr>
            <w:tcW w:w="5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69.5</w:t>
            </w:r>
          </w:p>
        </w:tc>
      </w:tr>
      <w:tr>
        <w:trPr>
          <w:trHeight w:val="180"/>
        </w:trPr>
        <w:tc>
          <w:tcPr>
            <w:tcW w:w="5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Technology</w:t>
            </w: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r>
      <w:tr>
        <w:trPr>
          <w:trHeight w:val="180"/>
        </w:trPr>
        <w:tc>
          <w:tcPr>
            <w:tcW w:w="5640" w:type="dxa"/>
            <w:vAlign w:val="bottom"/>
          </w:tcPr>
          <w:p>
            <w:pPr>
              <w:ind w:left="280"/>
              <w:spacing w:after="0"/>
              <w:rPr>
                <w:sz w:val="20"/>
                <w:szCs w:val="20"/>
                <w:color w:val="auto"/>
              </w:rPr>
            </w:pPr>
            <w:r>
              <w:rPr>
                <w:rFonts w:ascii="Arial" w:cs="Arial" w:eastAsia="Arial" w:hAnsi="Arial"/>
                <w:sz w:val="14"/>
                <w:szCs w:val="14"/>
                <w:color w:val="auto"/>
              </w:rPr>
              <w:t>Marketing</w:t>
            </w:r>
          </w:p>
        </w:tc>
        <w:tc>
          <w:tcPr>
            <w:tcW w:w="5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27.4</w:t>
            </w:r>
          </w:p>
        </w:tc>
      </w:tr>
      <w:tr>
        <w:trPr>
          <w:trHeight w:val="180"/>
        </w:trPr>
        <w:tc>
          <w:tcPr>
            <w:tcW w:w="5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w:t>
            </w:r>
          </w:p>
        </w:tc>
      </w:tr>
      <w:tr>
        <w:trPr>
          <w:trHeight w:val="180"/>
        </w:trPr>
        <w:tc>
          <w:tcPr>
            <w:tcW w:w="5640" w:type="dxa"/>
            <w:vAlign w:val="bottom"/>
          </w:tcPr>
          <w:p>
            <w:pPr>
              <w:ind w:left="280"/>
              <w:spacing w:after="0"/>
              <w:rPr>
                <w:sz w:val="20"/>
                <w:szCs w:val="20"/>
                <w:color w:val="auto"/>
              </w:rPr>
            </w:pPr>
            <w:r>
              <w:rPr>
                <w:rFonts w:ascii="Arial" w:cs="Arial" w:eastAsia="Arial" w:hAnsi="Arial"/>
                <w:sz w:val="14"/>
                <w:szCs w:val="14"/>
                <w:color w:val="auto"/>
              </w:rPr>
              <w:t>Rental product depreciation and revenue share</w:t>
            </w:r>
          </w:p>
        </w:tc>
        <w:tc>
          <w:tcPr>
            <w:tcW w:w="5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64.8</w:t>
            </w:r>
          </w:p>
        </w:tc>
      </w:tr>
      <w:tr>
        <w:trPr>
          <w:trHeight w:val="180"/>
        </w:trPr>
        <w:tc>
          <w:tcPr>
            <w:tcW w:w="5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depreciation and amortization</w:t>
            </w: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180"/>
        </w:trPr>
        <w:tc>
          <w:tcPr>
            <w:tcW w:w="5640" w:type="dxa"/>
            <w:vAlign w:val="bottom"/>
          </w:tcPr>
          <w:p>
            <w:pPr>
              <w:ind w:left="280"/>
              <w:spacing w:after="0"/>
              <w:rPr>
                <w:sz w:val="20"/>
                <w:szCs w:val="20"/>
                <w:color w:val="auto"/>
              </w:rPr>
            </w:pPr>
            <w:r>
              <w:rPr>
                <w:rFonts w:ascii="Arial" w:cs="Arial" w:eastAsia="Arial" w:hAnsi="Arial"/>
                <w:sz w:val="14"/>
                <w:szCs w:val="14"/>
                <w:color w:val="auto"/>
              </w:rPr>
              <w:t>Restructuring charges</w:t>
            </w:r>
          </w:p>
        </w:tc>
        <w:tc>
          <w:tcPr>
            <w:tcW w:w="5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80"/>
        </w:trPr>
        <w:tc>
          <w:tcPr>
            <w:tcW w:w="5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on asset impairment related to restructuring</w:t>
            </w:r>
          </w:p>
        </w:tc>
        <w:tc>
          <w:tcPr>
            <w:tcW w:w="5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71"/>
        </w:trPr>
        <w:tc>
          <w:tcPr>
            <w:tcW w:w="564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costs and expenses</w:t>
            </w:r>
          </w:p>
        </w:tc>
        <w:tc>
          <w:tcPr>
            <w:tcW w:w="5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94.4</w:t>
            </w:r>
          </w:p>
        </w:tc>
        <w:tc>
          <w:tcPr>
            <w:tcW w:w="10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104.4</w:t>
            </w:r>
          </w:p>
        </w:tc>
        <w:tc>
          <w:tcPr>
            <w:tcW w:w="10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283.1</w:t>
            </w:r>
          </w:p>
        </w:tc>
        <w:tc>
          <w:tcPr>
            <w:tcW w:w="8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306.8</w:t>
            </w:r>
          </w:p>
        </w:tc>
      </w:tr>
      <w:tr>
        <w:trPr>
          <w:trHeight w:val="171"/>
        </w:trPr>
        <w:tc>
          <w:tcPr>
            <w:tcW w:w="5640" w:type="dxa"/>
            <w:vAlign w:val="bottom"/>
            <w:shd w:val="clear" w:color="auto" w:fill="CCEEFF"/>
          </w:tcPr>
          <w:p>
            <w:pPr>
              <w:ind w:left="780"/>
              <w:spacing w:after="0"/>
              <w:rPr>
                <w:sz w:val="20"/>
                <w:szCs w:val="20"/>
                <w:color w:val="auto"/>
              </w:rPr>
            </w:pPr>
            <w:r>
              <w:rPr>
                <w:rFonts w:ascii="Arial" w:cs="Arial" w:eastAsia="Arial" w:hAnsi="Arial"/>
                <w:sz w:val="14"/>
                <w:szCs w:val="14"/>
                <w:color w:val="auto"/>
              </w:rPr>
              <w:t>Operating loss</w:t>
            </w: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w:t>
            </w:r>
          </w:p>
        </w:tc>
      </w:tr>
      <w:tr>
        <w:trPr>
          <w:trHeight w:val="180"/>
        </w:trPr>
        <w:tc>
          <w:tcPr>
            <w:tcW w:w="5640" w:type="dxa"/>
            <w:vAlign w:val="bottom"/>
          </w:tcPr>
          <w:p>
            <w:pPr>
              <w:ind w:left="20"/>
              <w:spacing w:after="0"/>
              <w:rPr>
                <w:sz w:val="20"/>
                <w:szCs w:val="20"/>
                <w:color w:val="auto"/>
              </w:rPr>
            </w:pPr>
            <w:r>
              <w:rPr>
                <w:rFonts w:ascii="Arial" w:cs="Arial" w:eastAsia="Arial" w:hAnsi="Arial"/>
                <w:sz w:val="14"/>
                <w:szCs w:val="14"/>
                <w:color w:val="auto"/>
              </w:rPr>
              <w:t>Interest income / (expense), net</w:t>
            </w:r>
          </w:p>
        </w:tc>
        <w:tc>
          <w:tcPr>
            <w:tcW w:w="5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(28.2)</w:t>
            </w:r>
          </w:p>
        </w:tc>
      </w:tr>
      <w:tr>
        <w:trPr>
          <w:trHeight w:val="180"/>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 (expense), net</w:t>
            </w:r>
          </w:p>
        </w:tc>
        <w:tc>
          <w:tcPr>
            <w:tcW w:w="5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71"/>
        </w:trPr>
        <w:tc>
          <w:tcPr>
            <w:tcW w:w="5640" w:type="dxa"/>
            <w:vAlign w:val="bottom"/>
          </w:tcPr>
          <w:p>
            <w:pPr>
              <w:ind w:left="780"/>
              <w:spacing w:after="0"/>
              <w:rPr>
                <w:sz w:val="20"/>
                <w:szCs w:val="20"/>
                <w:color w:val="auto"/>
              </w:rPr>
            </w:pPr>
            <w:r>
              <w:rPr>
                <w:rFonts w:ascii="Arial" w:cs="Arial" w:eastAsia="Arial" w:hAnsi="Arial"/>
                <w:sz w:val="14"/>
                <w:szCs w:val="14"/>
                <w:color w:val="auto"/>
              </w:rPr>
              <w:t>Net loss before income tax benefit / (expense)</w:t>
            </w:r>
          </w:p>
        </w:tc>
        <w:tc>
          <w:tcPr>
            <w:tcW w:w="5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(88.7)</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(112.6)</w:t>
            </w:r>
          </w:p>
        </w:tc>
      </w:tr>
      <w:tr>
        <w:trPr>
          <w:trHeight w:val="180"/>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 (expense)</w:t>
            </w:r>
          </w:p>
        </w:tc>
        <w:tc>
          <w:tcPr>
            <w:tcW w:w="5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71"/>
        </w:trPr>
        <w:tc>
          <w:tcPr>
            <w:tcW w:w="5640" w:type="dxa"/>
            <w:vAlign w:val="bottom"/>
          </w:tcPr>
          <w:p>
            <w:pPr>
              <w:ind w:left="780"/>
              <w:spacing w:after="0"/>
              <w:rPr>
                <w:sz w:val="20"/>
                <w:szCs w:val="20"/>
                <w:color w:val="auto"/>
              </w:rPr>
            </w:pPr>
            <w:r>
              <w:rPr>
                <w:rFonts w:ascii="Arial" w:cs="Arial" w:eastAsia="Arial" w:hAnsi="Arial"/>
                <w:sz w:val="14"/>
                <w:szCs w:val="14"/>
                <w:color w:val="auto"/>
              </w:rPr>
              <w:t>Net loss</w:t>
            </w:r>
          </w:p>
        </w:tc>
        <w:tc>
          <w:tcPr>
            <w:tcW w:w="5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(112.5)</w:t>
            </w:r>
          </w:p>
        </w:tc>
      </w:tr>
      <w:tr>
        <w:trPr>
          <w:trHeight w:val="20"/>
        </w:trPr>
        <w:tc>
          <w:tcPr>
            <w:tcW w:w="5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three months ended October 31, 2023 and 2022</w:t>
      </w:r>
    </w:p>
    <w:p>
      <w:pPr>
        <w:spacing w:after="0" w:line="92"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b w:val="1"/>
          <w:bCs w:val="1"/>
          <w:i w:val="1"/>
          <w:iCs w:val="1"/>
          <w:color w:val="auto"/>
        </w:rPr>
        <w:t xml:space="preserve">Total Revenue, Net. </w:t>
      </w:r>
      <w:r>
        <w:rPr>
          <w:rFonts w:ascii="Arial" w:cs="Arial" w:eastAsia="Arial" w:hAnsi="Arial"/>
          <w:sz w:val="14"/>
          <w:szCs w:val="14"/>
          <w:color w:val="auto"/>
        </w:rPr>
        <w:t>Total revenue, net was $72.5 million for the three months ended October 31, 2023, a decrease of $ (4.9) million, or (6.3)%, compared to $77.4 million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three months ended October 31, 2022. This decrease was primarily driven by lower revenue per subscriber, lower reserve revenue and lower other revenue which was offset by higher Average Active Subscribers and an increase in units purchased per subscriber.</w:t>
      </w:r>
    </w:p>
    <w:p>
      <w:pPr>
        <w:spacing w:after="0" w:line="134" w:lineRule="exact"/>
        <w:rPr>
          <w:sz w:val="20"/>
          <w:szCs w:val="20"/>
          <w:color w:val="auto"/>
        </w:rPr>
      </w:pPr>
    </w:p>
    <w:p>
      <w:pPr>
        <w:spacing w:after="0"/>
        <w:tabs>
          <w:tab w:leader="none" w:pos="3020" w:val="left"/>
        </w:tabs>
        <w:rPr>
          <w:sz w:val="20"/>
          <w:szCs w:val="20"/>
          <w:color w:val="auto"/>
        </w:rPr>
      </w:pPr>
      <w:r>
        <w:rPr>
          <w:rFonts w:ascii="Arial" w:cs="Arial" w:eastAsia="Arial" w:hAnsi="Arial"/>
          <w:sz w:val="14"/>
          <w:szCs w:val="14"/>
          <w:b w:val="1"/>
          <w:bCs w:val="1"/>
          <w:i w:val="1"/>
          <w:iCs w:val="1"/>
          <w:color w:val="auto"/>
        </w:rPr>
        <w:t>Subscription and Reserve Rental Revenue.</w:t>
      </w:r>
      <w:r>
        <w:rPr>
          <w:sz w:val="20"/>
          <w:szCs w:val="20"/>
          <w:color w:val="auto"/>
        </w:rPr>
        <w:tab/>
      </w:r>
      <w:r>
        <w:rPr>
          <w:rFonts w:ascii="Arial" w:cs="Arial" w:eastAsia="Arial" w:hAnsi="Arial"/>
          <w:sz w:val="14"/>
          <w:szCs w:val="14"/>
          <w:color w:val="auto"/>
        </w:rPr>
        <w:t>Subscription and Reserve rental revenue was $64.7 million for the three months ended October 31, 2023, a decrease of</w:t>
      </w:r>
    </w:p>
    <w:p>
      <w:pPr>
        <w:spacing w:after="0" w:line="23" w:lineRule="exact"/>
        <w:rPr>
          <w:sz w:val="20"/>
          <w:szCs w:val="20"/>
          <w:color w:val="auto"/>
        </w:rPr>
      </w:pPr>
    </w:p>
    <w:p>
      <w:pPr>
        <w:ind w:right="200"/>
        <w:spacing w:after="0" w:line="261" w:lineRule="auto"/>
        <w:rPr>
          <w:sz w:val="20"/>
          <w:szCs w:val="20"/>
          <w:color w:val="auto"/>
        </w:rPr>
      </w:pPr>
      <w:r>
        <w:rPr>
          <w:rFonts w:ascii="Arial" w:cs="Arial" w:eastAsia="Arial" w:hAnsi="Arial"/>
          <w:sz w:val="14"/>
          <w:szCs w:val="14"/>
          <w:color w:val="auto"/>
        </w:rPr>
        <w:t>$(4.1) million, or (6.0)%, compared to $68.8 million for the three months ended October 31, 2022. This decrease was driven by lower revenue per subscriber which was driven by changes in subscription program mix and lower add-on rates. The decrease was also driven by lower reserve revenue and was partially offset by higher Average Active Subscribers.</w:t>
      </w:r>
    </w:p>
    <w:p>
      <w:pPr>
        <w:spacing w:after="0" w:line="140"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b w:val="1"/>
          <w:bCs w:val="1"/>
          <w:i w:val="1"/>
          <w:iCs w:val="1"/>
          <w:color w:val="auto"/>
        </w:rPr>
        <w:t xml:space="preserve">Other Revenue. </w:t>
      </w:r>
      <w:r>
        <w:rPr>
          <w:rFonts w:ascii="Arial" w:cs="Arial" w:eastAsia="Arial" w:hAnsi="Arial"/>
          <w:sz w:val="14"/>
          <w:szCs w:val="14"/>
          <w:color w:val="auto"/>
        </w:rPr>
        <w:t>Other revenue was $7.8 million for the three months ended October 31, 2023, a decrease of $ (0.8) million, or (9.3)%, compared to $8.6 million for the three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months ended October 31, 2022. The prior year period benefited from $1.6 million of other revenue related to our pilot to sell brand new Exclusive Design products wholesale to a third party retailer. This decrease was offset by an increase in total items sold as well as an increase in Average Active Subscribers and the items purchased per subscriber. Other revenue represented 10.8% of total revenue, down from 11.1% in the same period last year.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i w:val="1"/>
          <w:iCs w:val="1"/>
          <w:color w:val="auto"/>
        </w:rPr>
        <w:t>Costs and Expenses.</w:t>
      </w:r>
      <w:r>
        <w:rPr>
          <w:sz w:val="20"/>
          <w:szCs w:val="20"/>
          <w:color w:val="auto"/>
        </w:rPr>
        <w:tab/>
      </w:r>
      <w:r>
        <w:rPr>
          <w:rFonts w:ascii="Arial" w:cs="Arial" w:eastAsia="Arial" w:hAnsi="Arial"/>
          <w:sz w:val="14"/>
          <w:szCs w:val="14"/>
          <w:color w:val="auto"/>
        </w:rPr>
        <w:t>Total costs and expenses were $94.4 million for the three months ended October 31, 2023, a decrease of $(10.0) million, or (9.6)%, compared to</w:t>
      </w:r>
    </w:p>
    <w:p>
      <w:pPr>
        <w:spacing w:after="0" w:line="23" w:lineRule="exact"/>
        <w:rPr>
          <w:sz w:val="20"/>
          <w:szCs w:val="20"/>
          <w:color w:val="auto"/>
        </w:rPr>
      </w:pPr>
    </w:p>
    <w:p>
      <w:pPr>
        <w:ind w:right="160"/>
        <w:spacing w:after="0" w:line="269" w:lineRule="auto"/>
        <w:rPr>
          <w:sz w:val="20"/>
          <w:szCs w:val="20"/>
          <w:color w:val="auto"/>
        </w:rPr>
      </w:pPr>
      <w:r>
        <w:rPr>
          <w:rFonts w:ascii="Arial" w:cs="Arial" w:eastAsia="Arial" w:hAnsi="Arial"/>
          <w:sz w:val="14"/>
          <w:szCs w:val="14"/>
          <w:color w:val="auto"/>
        </w:rPr>
        <w:t>$104.4 million for the three months ended October 31, 2022. This decrease was primarily driven by cost savings from the September 2022 restructuring plan which reduced costs compared to the same period last year.</w:t>
      </w:r>
    </w:p>
    <w:p>
      <w:pPr>
        <w:spacing w:after="0" w:line="134" w:lineRule="exact"/>
        <w:rPr>
          <w:sz w:val="20"/>
          <w:szCs w:val="20"/>
          <w:color w:val="auto"/>
        </w:rPr>
      </w:pPr>
    </w:p>
    <w:p>
      <w:pPr>
        <w:ind w:right="240"/>
        <w:spacing w:after="0" w:line="271" w:lineRule="auto"/>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were $21.5 million for the three months ended October 31, 2023, a decrease of $(1.7) million, or (7.3)%, representing 29.7% of revenue,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$23.2 million for the three months ended October 31, 2022, representing 30.0% of revenue. The decrease in fulfillment dollars and as a percentage of revenue was primarily driven by transportation and processing cost efficiencies and subscriber program mix that offset an increase in units per shipment due to the 5 item plan.</w:t>
      </w:r>
    </w:p>
    <w:p>
      <w:pPr>
        <w:spacing w:after="0" w:line="134"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were $12.1 million for the three months ended October 31, 2023, a decrease of $(2.0) million, or (14.2)%, compared to $14.1 million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three months ended October 31, 2022. This decrease was driven by cost savings from the September 2022 restructuring plan. We were able to realize these benefits while supporting growth initiatives including enhanced search, fit and discovery experience for the consumer. Technology expenses were 16.7% of revenue for the three months ended October 31, 2023 compared to 18.2% last year as we saw increased operating leverage despite lower revenue. Technology related share-based compensation expense was $0.9 million for the three months ended October 31, 2023 and was $1.5 million for the same period last year.</w:t>
      </w:r>
    </w:p>
    <w:p>
      <w:pPr>
        <w:spacing w:after="0" w:line="140" w:lineRule="exact"/>
        <w:rPr>
          <w:sz w:val="20"/>
          <w:szCs w:val="20"/>
          <w:color w:val="auto"/>
        </w:rPr>
      </w:pPr>
    </w:p>
    <w:p>
      <w:pPr>
        <w:spacing w:after="0" w:line="265"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were $7.1 million for the three months ended October 31, 2023, a decrease of $(2.6) million, or (26.8)%, compared to $9.7 million for the three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months ended October 31, 2022. This decrease was driven by timing of marketing spend to support customer initiatives and by the reallocation of our budgeted marketing expenses to rental product purchases in the third quarter of fiscal year 2023. Marketing expenses unrelated to personnel costs were $6.5 million in the three months ended October 31, 2023 and 9.0% of revenue, compared to $8.7 million and 11.2% of total revenue last year.</w:t>
      </w:r>
    </w:p>
    <w:p>
      <w:pPr>
        <w:spacing w:after="0" w:line="148"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(“G&amp;A”) expenses were $ 24.4 million for the three months ended October 31, 2023, a decrease of $(0.9) million,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(3.6)%, compared to $25.3 million for the three months ended October 31, 2022. This decrease was driven by cost savings from the September 2022 restructuring plan. We recognized proceeds from a new liquidation partnership which positively impacted G&amp;A expenses by $2.3 million in the third quarter of fiscal year 2022. G&amp;A expenses as a percentage of revenue were 33.7% compared to 32.7% last year as we had less operating leverage over lower revenue despite a lower cost base post-restructuring. G&amp;A related share-based compensation expense was $4.0 million for the three months ended October 31, 2023 and was $5.0 million for the three months ended October 31, 2022. We generally expect G&amp;A expenses to decrease in fiscal year 2023, compared with fiscal year 2022, as a result of the aforementioned restructuring; however, share-based compensation expense is expected to increase in fiscal year 2023 due to equity award modifications related to the transition of the Chief Financial Officer role.</w:t>
      </w:r>
    </w:p>
    <w:p>
      <w:pPr>
        <w:spacing w:after="0" w:line="143"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b w:val="1"/>
          <w:bCs w:val="1"/>
          <w:i w:val="1"/>
          <w:iCs w:val="1"/>
          <w:color w:val="auto"/>
        </w:rPr>
        <w:t xml:space="preserve">Rental Product Depreciation and Revenue Share. </w:t>
      </w:r>
      <w:r>
        <w:rPr>
          <w:rFonts w:ascii="Arial" w:cs="Arial" w:eastAsia="Arial" w:hAnsi="Arial"/>
          <w:sz w:val="14"/>
          <w:szCs w:val="14"/>
          <w:color w:val="auto"/>
        </w:rPr>
        <w:t>Rental product depreciation and revenue share was $25.8 million for the three months ended October 31, 2023, an increase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$3.4 million, or 15.2%, compared to $22.4 million for the three months ended October 31, 2022. Rental product depreciation and revenue share was 35.6% of revenue in the three months ended October 31, 2023, up from 28.9% in the same period last year due to higher rental product depreciation and revenue share costs as a percentage of sales.</w:t>
      </w:r>
    </w:p>
    <w:p>
      <w:pPr>
        <w:spacing w:after="0" w:line="134" w:lineRule="exact"/>
        <w:rPr>
          <w:sz w:val="20"/>
          <w:szCs w:val="20"/>
          <w:color w:val="auto"/>
        </w:rPr>
      </w:pPr>
    </w:p>
    <w:p>
      <w:pPr>
        <w:ind w:right="440"/>
        <w:spacing w:after="0" w:line="271"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was $3.5 million for the three months ended October 31, 2023, a decrease of $(0.4) million,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(10.3)%, compared to $3.9 million for the three months ended October 31, 2022. This decrease was primarily driven by lower depreciation and amortization associated with capitalized technology labor offset by higher depreciation associated with reusable packaging.</w:t>
      </w:r>
    </w:p>
    <w:p>
      <w:pPr>
        <w:spacing w:after="0" w:line="134"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b w:val="1"/>
          <w:bCs w:val="1"/>
          <w:i w:val="1"/>
          <w:iCs w:val="1"/>
          <w:color w:val="auto"/>
        </w:rPr>
        <w:t>Restructuring Charges</w:t>
      </w:r>
      <w:r>
        <w:rPr>
          <w:rFonts w:ascii="Arial" w:cs="Arial" w:eastAsia="Arial" w:hAnsi="Arial"/>
          <w:sz w:val="14"/>
          <w:szCs w:val="14"/>
          <w:color w:val="auto"/>
        </w:rPr>
        <w:t>. Restructuring charges were $2.0 million for the three months ended October 31, 2022 for severance and related costs in connection with the September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2022 restructuring plan.</w:t>
      </w:r>
    </w:p>
    <w:p>
      <w:pPr>
        <w:spacing w:after="0" w:line="120"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b w:val="1"/>
          <w:bCs w:val="1"/>
          <w:i w:val="1"/>
          <w:iCs w:val="1"/>
          <w:color w:val="auto"/>
        </w:rPr>
        <w:t>Loss on Asset Impairment Related to Restructuring</w:t>
      </w:r>
      <w:r>
        <w:rPr>
          <w:rFonts w:ascii="Arial" w:cs="Arial" w:eastAsia="Arial" w:hAnsi="Arial"/>
          <w:sz w:val="14"/>
          <w:szCs w:val="14"/>
          <w:color w:val="auto"/>
        </w:rPr>
        <w:t>. Loss on asset impairment related to restructuring was $3.8 million for the three months ended October 31, 2022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consisted of an asset impairment charge related to discontinuing a warehouse operations project in connection with the September 2022 restructuring plan.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2320" w:val="left"/>
        </w:tabs>
        <w:rPr>
          <w:sz w:val="20"/>
          <w:szCs w:val="20"/>
          <w:color w:val="auto"/>
        </w:rPr>
      </w:pPr>
      <w:r>
        <w:rPr>
          <w:rFonts w:ascii="Arial" w:cs="Arial" w:eastAsia="Arial" w:hAnsi="Arial"/>
          <w:sz w:val="14"/>
          <w:szCs w:val="14"/>
          <w:b w:val="1"/>
          <w:bCs w:val="1"/>
          <w:i w:val="1"/>
          <w:iCs w:val="1"/>
          <w:color w:val="auto"/>
        </w:rPr>
        <w:t>Interest Income / (Expense), Net.</w:t>
      </w:r>
      <w:r>
        <w:rPr>
          <w:sz w:val="20"/>
          <w:szCs w:val="20"/>
          <w:color w:val="auto"/>
        </w:rPr>
        <w:tab/>
      </w:r>
      <w:r>
        <w:rPr>
          <w:rFonts w:ascii="Arial" w:cs="Arial" w:eastAsia="Arial" w:hAnsi="Arial"/>
          <w:sz w:val="14"/>
          <w:szCs w:val="14"/>
          <w:color w:val="auto"/>
        </w:rPr>
        <w:t>Interest expense, net was $(10.0) million for the three months ended October 31, 2023, an increase in expense of $0.7 million, or 7.5%,</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compared to $(9.3) million for the three months ended October 31, 2022. This increase was driven by higher paid-in-kind (“PIK”) interest from the 2022 Amended Temasek Facility,</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offset by lower cash interest as a result of the 2022 Amended Temasek Facility and higher cash interest earned. Of the $10.0 million total interest expense in the three months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ended October 31, 2023, $7.8 million was the accrual of PIK interest, $0.4 million was the net of cash interest, interest earned and financing lease interest and other interest and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$1.8 million was debt discount amortization, compared to $3.6 million of PIK interest, $4.5 million of net cash interest, interest earned and financing lease interest and $1.2 million of</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debt discount amortization in the three months ended October 31, 2022.</w:t>
      </w:r>
    </w:p>
    <w:p>
      <w:pPr>
        <w:spacing w:after="0" w:line="186"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b w:val="1"/>
          <w:bCs w:val="1"/>
          <w:i w:val="1"/>
          <w:iCs w:val="1"/>
          <w:color w:val="auto"/>
        </w:rPr>
        <w:t xml:space="preserve">Other Income / (Expense), Net. </w:t>
      </w:r>
      <w:r>
        <w:rPr>
          <w:rFonts w:ascii="Arial" w:cs="Arial" w:eastAsia="Arial" w:hAnsi="Arial"/>
          <w:sz w:val="14"/>
          <w:szCs w:val="14"/>
          <w:color w:val="auto"/>
        </w:rPr>
        <w:t>Other income / (expense) was $0.2 million for the three months ended October 31, 2023, an increase of $0.1 million, compared to $0.1 million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three months ended October 31, 2022.</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nine months ended October 31, 2023 and 2022</w:t>
      </w:r>
    </w:p>
    <w:p>
      <w:pPr>
        <w:spacing w:after="0" w:line="92"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b w:val="1"/>
          <w:bCs w:val="1"/>
          <w:i w:val="1"/>
          <w:iCs w:val="1"/>
          <w:color w:val="auto"/>
        </w:rPr>
        <w:t xml:space="preserve">Total Revenue, Net. </w:t>
      </w:r>
      <w:r>
        <w:rPr>
          <w:rFonts w:ascii="Arial" w:cs="Arial" w:eastAsia="Arial" w:hAnsi="Arial"/>
          <w:sz w:val="14"/>
          <w:szCs w:val="14"/>
          <w:color w:val="auto"/>
        </w:rPr>
        <w:t>Total revenue, net was $222.4 million for the nine months ended October 31, 2023, an increase of $1.4 million, or 0.6%, compared to $221.0 million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nine months ended October 31, 2022. This increase was primarily driven by the increase in Average Active Subscribers and units purchased per subscriber.</w:t>
      </w:r>
    </w:p>
    <w:p>
      <w:pPr>
        <w:spacing w:after="0" w:line="120" w:lineRule="exact"/>
        <w:rPr>
          <w:sz w:val="20"/>
          <w:szCs w:val="20"/>
          <w:color w:val="auto"/>
        </w:rPr>
      </w:pPr>
    </w:p>
    <w:p>
      <w:pPr>
        <w:spacing w:after="0"/>
        <w:tabs>
          <w:tab w:leader="none" w:pos="3020" w:val="left"/>
        </w:tabs>
        <w:rPr>
          <w:sz w:val="20"/>
          <w:szCs w:val="20"/>
          <w:color w:val="auto"/>
        </w:rPr>
      </w:pPr>
      <w:r>
        <w:rPr>
          <w:rFonts w:ascii="Arial" w:cs="Arial" w:eastAsia="Arial" w:hAnsi="Arial"/>
          <w:sz w:val="14"/>
          <w:szCs w:val="14"/>
          <w:b w:val="1"/>
          <w:bCs w:val="1"/>
          <w:i w:val="1"/>
          <w:iCs w:val="1"/>
          <w:color w:val="auto"/>
        </w:rPr>
        <w:t>Subscription and Reserve Rental Revenue.</w:t>
      </w:r>
      <w:r>
        <w:rPr>
          <w:sz w:val="20"/>
          <w:szCs w:val="20"/>
          <w:color w:val="auto"/>
        </w:rPr>
        <w:tab/>
      </w:r>
      <w:r>
        <w:rPr>
          <w:rFonts w:ascii="Arial" w:cs="Arial" w:eastAsia="Arial" w:hAnsi="Arial"/>
          <w:sz w:val="14"/>
          <w:szCs w:val="14"/>
          <w:color w:val="auto"/>
        </w:rPr>
        <w:t>Subscription and Reserve rental revenue was $199.5 million for the nine months ended October 31, 2023, a decrease of</w:t>
      </w:r>
    </w:p>
    <w:p>
      <w:pPr>
        <w:spacing w:after="0" w:line="23"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$(0.7) million, or (0.3)%, compared to $200.2 million for the nine months ended October 31, 2022. This decrease was driven by lower reserve revenue and lower add-on rates, and was partially offset by an increase in Average Active Subscribers compared to the same period last year.</w:t>
      </w:r>
    </w:p>
    <w:p>
      <w:pPr>
        <w:spacing w:after="0" w:line="134"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b w:val="1"/>
          <w:bCs w:val="1"/>
          <w:i w:val="1"/>
          <w:iCs w:val="1"/>
          <w:color w:val="auto"/>
        </w:rPr>
        <w:t xml:space="preserve">Other Revenue. </w:t>
      </w:r>
      <w:r>
        <w:rPr>
          <w:rFonts w:ascii="Arial" w:cs="Arial" w:eastAsia="Arial" w:hAnsi="Arial"/>
          <w:sz w:val="14"/>
          <w:szCs w:val="14"/>
          <w:color w:val="auto"/>
        </w:rPr>
        <w:t>Other revenue was $22.9 million for the nine months ended October 31, 2023, a increase of $2.1 million, or 10.1%, compared to $20.8 million for the nine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months ended October 31, 2022. This increase was primarily driven by an increase in Average Active Subscribers and the items purchased per subscriber. Other revenue represented 10.3% of total revenue, up from 9.4% in the same period last year. During the nine months ended October 31, 2022 we also recognized $1.6 million of revenue from a pilot to sell our brand new Exclusive Design products wholesale to a third party retailer.</w:t>
      </w:r>
    </w:p>
    <w:p>
      <w:pPr>
        <w:spacing w:after="0" w:line="138"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i w:val="1"/>
          <w:iCs w:val="1"/>
          <w:color w:val="auto"/>
        </w:rPr>
        <w:t>Costs and Expenses.</w:t>
      </w:r>
      <w:r>
        <w:rPr>
          <w:sz w:val="20"/>
          <w:szCs w:val="20"/>
          <w:color w:val="auto"/>
        </w:rPr>
        <w:tab/>
      </w:r>
      <w:r>
        <w:rPr>
          <w:rFonts w:ascii="Arial" w:cs="Arial" w:eastAsia="Arial" w:hAnsi="Arial"/>
          <w:sz w:val="14"/>
          <w:szCs w:val="14"/>
          <w:color w:val="auto"/>
        </w:rPr>
        <w:t>Total costs and expenses were $283.1 million for the nine months ended October 31, 2023, a decrease of $(23.7) million, or (7.7)%, compared to</w:t>
      </w:r>
    </w:p>
    <w:p>
      <w:pPr>
        <w:spacing w:after="0" w:line="23" w:lineRule="exact"/>
        <w:rPr>
          <w:sz w:val="20"/>
          <w:szCs w:val="20"/>
          <w:color w:val="auto"/>
        </w:rPr>
      </w:pPr>
    </w:p>
    <w:p>
      <w:pPr>
        <w:ind w:right="200"/>
        <w:spacing w:after="0" w:line="269" w:lineRule="auto"/>
        <w:rPr>
          <w:sz w:val="20"/>
          <w:szCs w:val="20"/>
          <w:color w:val="auto"/>
        </w:rPr>
      </w:pPr>
      <w:r>
        <w:rPr>
          <w:rFonts w:ascii="Arial" w:cs="Arial" w:eastAsia="Arial" w:hAnsi="Arial"/>
          <w:sz w:val="14"/>
          <w:szCs w:val="14"/>
          <w:color w:val="auto"/>
        </w:rPr>
        <w:t>$306.8 million for the nine months ended October 31, 2022. This decrease was primarily driven by cost savings from the September 2022 restructuring plan which reduced costs compared to the same period last year.</w:t>
      </w:r>
    </w:p>
    <w:p>
      <w:pPr>
        <w:spacing w:after="0" w:line="134"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were $65.9 million for the nine months ended October 31, 2023, a decrease of $(3.6) million, or (5.2)%, representing 29.6% of revenue,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$69.5 million for the nine months ended October 31, 2022, representing 31.4% of revenue. The decrease in fulfillment dollars and as a percentage of revenue was primarily driven by transportation and processing cost efficiencies and higher revenue per shipment that offset an increase in units per shipment due to the 5 item plan.</w:t>
      </w:r>
    </w:p>
    <w:p>
      <w:pPr>
        <w:spacing w:after="0" w:line="134"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were $38.1 million for the nine months ended October 31, 2023, a decrease of $(4.5) million, or (10.6)%, compared to $42.6 million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nine months ended October 31, 2022. This decrease was driven by cost savings from the September 2022 restructuring plan. We were able to realize these benefits while supporting growth initiatives including enhanced search, fit and discovery experience for the consumer. Technology expenses were 17.1% of revenue for the nine months ended October 31, 2023 compared to 19.3% for the same period last year as we saw increased operating leverage with higher revenue and a lower cost base post-restructuring. Technology related share-based compensation expense was $4.6 million for the nine months ended October 31, 2023 and was $4.3 million for the same period last year.</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5"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were $24.6 million for the nine months ended October 31, 2023, a decrease of $(2.8) million, or (10.2)%, compared to $27.4 million for the nine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months ended October 31, 2022. This decrease was driven by timing of marketing spend to support customer initiatives and by the reallocation of our budgeted marketing expenses to rental product purchases in the third quarter of fiscal year 2023. Marketing expenses unrelated to personnel costs were $22.5 million in the nine months ended October 31, 2023 and 10.1% of revenue, compared to $23.9 million and 10.8% of total revenue for the same period last year.</w:t>
      </w:r>
    </w:p>
    <w:p>
      <w:pPr>
        <w:spacing w:after="0" w:line="148" w:lineRule="exact"/>
        <w:rPr>
          <w:sz w:val="20"/>
          <w:szCs w:val="20"/>
          <w:color w:val="auto"/>
        </w:rPr>
      </w:pPr>
    </w:p>
    <w:p>
      <w:pPr>
        <w:ind w:right="20"/>
        <w:spacing w:after="0"/>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(“G&amp;A”) expenses were $76.8 million for the nine months ended October 31, 2023, a decrease of $(7.3) million,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(8.7)%, compared to $84.1 million for the nine months ended October 31, 2022. This decrease was driven by cost savings from the September 2022 restructuring plan. We recognized proceeds from a new liquidation partnership which positively impacted G&amp;A expenses by $2.3 million in the third quarter of fiscal year 2022. G&amp;A expenses as a percentage of revenue were 34.5% compared to 38.1% last year as we saw increased operating leverage with higher revenue and a lower cost base post-restructuring. G&amp;A related share-based compensation expense was $16.4 million for the nine months ended October 31, 2023 and was $14.3 million for the nine months ended October 31, 2022. The increase was primarily due to incremental share-based compensation expense due to equity award modifications related to the transition of the Chief Financial Officer role. We</w:t>
      </w:r>
    </w:p>
    <w:p>
      <w:pPr>
        <w:spacing w:after="0" w:line="3" w:lineRule="exact"/>
        <w:rPr>
          <w:sz w:val="20"/>
          <w:szCs w:val="20"/>
          <w:color w:val="auto"/>
        </w:rPr>
      </w:pPr>
    </w:p>
    <w:p>
      <w:pPr>
        <w:ind w:right="820"/>
        <w:spacing w:after="0" w:line="238" w:lineRule="auto"/>
        <w:rPr>
          <w:sz w:val="20"/>
          <w:szCs w:val="20"/>
          <w:color w:val="auto"/>
        </w:rPr>
      </w:pPr>
      <w:r>
        <w:rPr>
          <w:rFonts w:ascii="Arial" w:cs="Arial" w:eastAsia="Arial" w:hAnsi="Arial"/>
          <w:sz w:val="14"/>
          <w:szCs w:val="14"/>
          <w:color w:val="auto"/>
        </w:rPr>
        <w:t>generally expect G&amp;A expenses to decrease in fiscal year 2023, compared with fiscal year 2022, as a result of the aforementioned restructuring; however, share-based compensation expense is expected to increase in fiscal year 2023 due to equity award modifications related to the transition of the Chief Financial Officer role.</w:t>
      </w:r>
    </w:p>
    <w:p>
      <w:pPr>
        <w:spacing w:after="0" w:line="155"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b w:val="1"/>
          <w:bCs w:val="1"/>
          <w:i w:val="1"/>
          <w:iCs w:val="1"/>
          <w:color w:val="auto"/>
        </w:rPr>
        <w:t xml:space="preserve">Rental Product Depreciation and Revenue Share. </w:t>
      </w:r>
      <w:r>
        <w:rPr>
          <w:rFonts w:ascii="Arial" w:cs="Arial" w:eastAsia="Arial" w:hAnsi="Arial"/>
          <w:sz w:val="14"/>
          <w:szCs w:val="14"/>
          <w:color w:val="auto"/>
        </w:rPr>
        <w:t>Rental product depreciation and revenue share was $66.7 million for the nine months ended October 31, 2023, an increase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$1.9 million, or 2.9%, compared to $64.8 million for the nine months ended October 31, 2022. The increase was primarily driven by an increase in revenue share. Rental product depreciation and revenue share was 30.0% of revenue in the nine months ended October 31, 2023, up from 29.3% in the same period last year primarily due to an increase in revenue share due to more Share by RTR units acquired.</w:t>
      </w:r>
    </w:p>
    <w:p>
      <w:pPr>
        <w:spacing w:after="0" w:line="138" w:lineRule="exact"/>
        <w:rPr>
          <w:sz w:val="20"/>
          <w:szCs w:val="20"/>
          <w:color w:val="auto"/>
        </w:rPr>
      </w:pPr>
    </w:p>
    <w:p>
      <w:pPr>
        <w:ind w:right="420"/>
        <w:spacing w:after="0" w:line="271"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was $11.0 million for the nine months ended October 31, 2023, a decrease of $(1.6) million,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(12.7)%, compared to $12.6 million for the nine months ended October 31, 2022. This decrease was primarily driven by lower depreciation and amortization associated with capitalized technology labor, computers, equipment and software.</w:t>
      </w:r>
    </w:p>
    <w:p>
      <w:pPr>
        <w:spacing w:after="0" w:line="134"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b w:val="1"/>
          <w:bCs w:val="1"/>
          <w:i w:val="1"/>
          <w:iCs w:val="1"/>
          <w:color w:val="auto"/>
        </w:rPr>
        <w:t>Restructuring Charges</w:t>
      </w:r>
      <w:r>
        <w:rPr>
          <w:rFonts w:ascii="Arial" w:cs="Arial" w:eastAsia="Arial" w:hAnsi="Arial"/>
          <w:sz w:val="14"/>
          <w:szCs w:val="14"/>
          <w:color w:val="auto"/>
        </w:rPr>
        <w:t>. Restructuring charges was $2.0 million for the nine months ended October 31, 2022 for severance and related costs in connection with the September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2022 restructuring plan.</w:t>
      </w:r>
    </w:p>
    <w:p>
      <w:pPr>
        <w:spacing w:after="0" w:line="120" w:lineRule="exact"/>
        <w:rPr>
          <w:sz w:val="20"/>
          <w:szCs w:val="20"/>
          <w:color w:val="auto"/>
        </w:rPr>
      </w:pPr>
    </w:p>
    <w:p>
      <w:pPr>
        <w:ind w:right="520"/>
        <w:spacing w:after="0" w:line="290" w:lineRule="auto"/>
        <w:rPr>
          <w:sz w:val="20"/>
          <w:szCs w:val="20"/>
          <w:color w:val="auto"/>
        </w:rPr>
      </w:pPr>
      <w:r>
        <w:rPr>
          <w:rFonts w:ascii="Arial" w:cs="Arial" w:eastAsia="Arial" w:hAnsi="Arial"/>
          <w:sz w:val="14"/>
          <w:szCs w:val="14"/>
          <w:b w:val="1"/>
          <w:bCs w:val="1"/>
          <w:i w:val="1"/>
          <w:iCs w:val="1"/>
          <w:color w:val="auto"/>
        </w:rPr>
        <w:t>Loss on Asset Impairment Related to Restructuring</w:t>
      </w:r>
      <w:r>
        <w:rPr>
          <w:rFonts w:ascii="Arial" w:cs="Arial" w:eastAsia="Arial" w:hAnsi="Arial"/>
          <w:sz w:val="14"/>
          <w:szCs w:val="14"/>
          <w:color w:val="auto"/>
        </w:rPr>
        <w:t>. Loss on asset impairment related to restructuring was $3.8 million for the nine months ended October 31, 2022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consists of an asset impairment charge related to discontinuing a warehouse operations project in connection with the September 2022 restructuring plan.</w:t>
      </w:r>
    </w:p>
    <w:p>
      <w:pPr>
        <w:spacing w:after="0" w:line="131" w:lineRule="exact"/>
        <w:rPr>
          <w:sz w:val="20"/>
          <w:szCs w:val="20"/>
          <w:color w:val="auto"/>
        </w:rPr>
      </w:pPr>
    </w:p>
    <w:p>
      <w:pPr>
        <w:spacing w:after="0" w:line="244" w:lineRule="auto"/>
        <w:rPr>
          <w:sz w:val="20"/>
          <w:szCs w:val="20"/>
          <w:color w:val="auto"/>
        </w:rPr>
      </w:pPr>
      <w:r>
        <w:rPr>
          <w:rFonts w:ascii="Arial" w:cs="Arial" w:eastAsia="Arial" w:hAnsi="Arial"/>
          <w:sz w:val="14"/>
          <w:szCs w:val="14"/>
          <w:b w:val="1"/>
          <w:bCs w:val="1"/>
          <w:i w:val="1"/>
          <w:iCs w:val="1"/>
          <w:color w:val="auto"/>
        </w:rPr>
        <w:t xml:space="preserve">Interest Income / (Expense), Net. </w:t>
      </w:r>
      <w:r>
        <w:rPr>
          <w:rFonts w:ascii="Arial" w:cs="Arial" w:eastAsia="Arial" w:hAnsi="Arial"/>
          <w:sz w:val="14"/>
          <w:szCs w:val="14"/>
          <w:color w:val="auto"/>
        </w:rPr>
        <w:t>Interest expense, net was $(28.3) million for the nine months ended October 31, 2023, an increase in expense of $0.1 million, or 0.4%,</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$(28.2) million for the nine months ended October 31, 2022. This increase was driven by higher paid-in-kind (“PIK”) and lower cash interest from the 2022 Amended Temasek Facility, partially offset by higher cash interest earned. Of the $28.3 million total interest expense in the nine months ended October 31, 2023, $22.5 million was the accrual of PIK interest, $0.6 million was the net of cash interest, interest earned and financing lease interest and other interest and $ 5.2 million was debt discount amortization, compared to $10.6 million of PIK interest, $14.4 million of cash interest, financing lease interest and other interest and $3.2 million of debt discount amortization in the nine months ended October 31, 2022.</w:t>
      </w:r>
    </w:p>
    <w:p>
      <w:pPr>
        <w:spacing w:after="0" w:line="174"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b w:val="1"/>
          <w:bCs w:val="1"/>
          <w:i w:val="1"/>
          <w:iCs w:val="1"/>
          <w:color w:val="auto"/>
        </w:rPr>
        <w:t>Other Income / (Expense), Net</w:t>
      </w:r>
      <w:r>
        <w:rPr>
          <w:rFonts w:ascii="Arial" w:cs="Arial" w:eastAsia="Arial" w:hAnsi="Arial"/>
          <w:sz w:val="14"/>
          <w:szCs w:val="14"/>
          <w:color w:val="auto"/>
        </w:rPr>
        <w:t>. Other income / (expense) was $0.3 million for the nine months ended October 31, 2023, a decrease of $ (1.1) million, compared to $ 1.4 million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nine months ended October 31, 2022. This decrease was primarily driven by $1.4 million of monetization of tax credits during the nine months ended October 31, 2022.</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Metrics</w:t>
      </w:r>
    </w:p>
    <w:p>
      <w:pPr>
        <w:spacing w:after="0" w:line="94"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Quarterly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40"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reconciliation of the below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44" w:lineRule="exact"/>
        <w:rPr>
          <w:sz w:val="20"/>
          <w:szCs w:val="20"/>
          <w:color w:val="auto"/>
        </w:rPr>
      </w:pPr>
    </w:p>
    <w:p>
      <w:pPr>
        <w:ind w:right="20"/>
        <w:spacing w:after="0"/>
        <w:rPr>
          <w:sz w:val="20"/>
          <w:szCs w:val="20"/>
          <w:color w:val="auto"/>
        </w:rPr>
      </w:pPr>
      <w:r>
        <w:rPr>
          <w:rFonts w:ascii="Arial" w:cs="Arial" w:eastAsia="Arial" w:hAnsi="Arial"/>
          <w:sz w:val="14"/>
          <w:szCs w:val="14"/>
          <w:b w:val="1"/>
          <w:bCs w:val="1"/>
          <w:i w:val="1"/>
          <w:iCs w:val="1"/>
          <w:color w:val="auto"/>
        </w:rPr>
        <w:t xml:space="preserve">Adjusted EBITDA and Adjusted EBITDA Margin. </w:t>
      </w:r>
      <w:r>
        <w:rPr>
          <w:rFonts w:ascii="Arial" w:cs="Arial" w:eastAsia="Arial" w:hAnsi="Arial"/>
          <w:sz w:val="14"/>
          <w:szCs w:val="14"/>
          <w:color w:val="auto"/>
        </w:rPr>
        <w:t>Adjusted EBITDA and Adjusted EBITDA Margin are key performance measures used by management to assess our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performance and the operating leverage of our business prior to capital expenditures. Adjusted EBITDA was $3.5 million for the three months ended October 31, 2023 compared to $6.6 million for the three months ended October 31, 2022, representing margins of 4.8% and 8.5%, respectively. Adjusted EBITDA decreased for the three months ended October 31, 2023 as the prior year benefited from a $4.6 million contribution to Adjusted EBITDA from sales of Exclusive Designs inventory to a third party retailer as part of a pilot program and from the launch of a new liquidation partnership. These declines were partly offset by the impact of the September 2022 restructuring plan. Adjusted EBITDA was $15.7 million for the nine months ended October 31, 2023 compared to $(0.4) million for the nine months ended October 31, 2022, representing margins of 7.1% and (0.2)%, respectively.</w:t>
      </w:r>
    </w:p>
    <w:p>
      <w:pPr>
        <w:spacing w:after="0" w:line="3" w:lineRule="exact"/>
        <w:rPr>
          <w:sz w:val="20"/>
          <w:szCs w:val="20"/>
          <w:color w:val="auto"/>
        </w:rPr>
      </w:pPr>
    </w:p>
    <w:p>
      <w:pPr>
        <w:ind w:right="160"/>
        <w:spacing w:after="0" w:line="238" w:lineRule="auto"/>
        <w:rPr>
          <w:sz w:val="20"/>
          <w:szCs w:val="20"/>
          <w:color w:val="auto"/>
        </w:rPr>
      </w:pPr>
      <w:r>
        <w:rPr>
          <w:rFonts w:ascii="Arial" w:cs="Arial" w:eastAsia="Arial" w:hAnsi="Arial"/>
          <w:sz w:val="14"/>
          <w:szCs w:val="14"/>
          <w:color w:val="auto"/>
        </w:rPr>
        <w:t>Adjusted EBITDA Margin significantly improved for the nine months ended October 31, 2023 due to the improvement in Gross Profit and Gross Margin, impact of the restructuring plan, and improved operating leverage across technology, marketing and general and administrative expenses even with additional strategic investments.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 reconciliation of net loss, the most comparable GAAP financial measure, to Adjusted EBITDA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1"/>
                <w:szCs w:val="11"/>
                <w:b w:val="1"/>
                <w:bCs w:val="1"/>
                <w:color w:val="auto"/>
              </w:rPr>
              <w:t>Three Months Ended October 31,</w:t>
            </w: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1"/>
                <w:szCs w:val="11"/>
                <w:b w:val="1"/>
                <w:bCs w:val="1"/>
                <w:color w:val="auto"/>
              </w:rPr>
              <w:t>Nine Months Ended October 31,</w:t>
            </w:r>
          </w:p>
        </w:tc>
      </w:tr>
      <w:tr>
        <w:trPr>
          <w:trHeight w:val="150"/>
        </w:trPr>
        <w:tc>
          <w:tcPr>
            <w:tcW w:w="47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2023</w:t>
            </w: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2023</w:t>
            </w: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2022</w:t>
            </w:r>
          </w:p>
        </w:tc>
      </w:tr>
      <w:tr>
        <w:trPr>
          <w:trHeight w:val="150"/>
        </w:trPr>
        <w:tc>
          <w:tcPr>
            <w:tcW w:w="4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(in millions)</w:t>
            </w: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(in millions)</w:t>
            </w:r>
          </w:p>
        </w:tc>
        <w:tc>
          <w:tcPr>
            <w:tcW w:w="1060" w:type="dxa"/>
            <w:vAlign w:val="bottom"/>
          </w:tcPr>
          <w:p>
            <w:pPr>
              <w:spacing w:after="0"/>
              <w:rPr>
                <w:sz w:val="13"/>
                <w:szCs w:val="13"/>
                <w:color w:val="auto"/>
              </w:rPr>
            </w:pPr>
          </w:p>
        </w:tc>
      </w:tr>
      <w:tr>
        <w:trPr>
          <w:trHeight w:val="181"/>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(31.5)</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(36.1)</w:t>
            </w:r>
          </w:p>
        </w:tc>
        <w:tc>
          <w:tcPr>
            <w:tcW w:w="56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(88.4)</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(112.5)</w:t>
            </w: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color w:val="auto"/>
              </w:rPr>
              <w:t>Interest (income) / expense, net (1)</w:t>
            </w:r>
          </w:p>
        </w:tc>
        <w:tc>
          <w:tcPr>
            <w:tcW w:w="340" w:type="dxa"/>
            <w:vAlign w:val="bottom"/>
          </w:tcPr>
          <w:p>
            <w:pPr>
              <w:spacing w:after="0"/>
              <w:rPr>
                <w:sz w:val="15"/>
                <w:szCs w:val="15"/>
                <w:color w:val="auto"/>
              </w:rPr>
            </w:pP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rPr>
              <w:t>9.3</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28.3</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rPr>
              <w:t>28.2</w:t>
            </w:r>
          </w:p>
        </w:tc>
      </w:tr>
      <w:tr>
        <w:trPr>
          <w:trHeight w:val="180"/>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Rental product depreciation</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15.5</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13.9</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40.4</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41.0</w:t>
            </w: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color w:val="auto"/>
              </w:rPr>
              <w:t>Other depreciation and amortization (2)</w:t>
            </w:r>
          </w:p>
        </w:tc>
        <w:tc>
          <w:tcPr>
            <w:tcW w:w="340" w:type="dxa"/>
            <w:vAlign w:val="bottom"/>
          </w:tcPr>
          <w:p>
            <w:pPr>
              <w:spacing w:after="0"/>
              <w:rPr>
                <w:sz w:val="15"/>
                <w:szCs w:val="15"/>
                <w:color w:val="auto"/>
              </w:rPr>
            </w:pP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3.5</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rPr>
              <w:t>3.9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11.0</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rPr>
              <w:t>12.6</w:t>
            </w:r>
          </w:p>
        </w:tc>
      </w:tr>
      <w:tr>
        <w:trPr>
          <w:trHeight w:val="180"/>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(3)</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4.9</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6.6</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21.1</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19.0</w:t>
            </w: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color w:val="auto"/>
              </w:rPr>
              <w:t>Write-off of liquidated assets (4)</w:t>
            </w:r>
          </w:p>
        </w:tc>
        <w:tc>
          <w:tcPr>
            <w:tcW w:w="340" w:type="dxa"/>
            <w:vAlign w:val="bottom"/>
          </w:tcPr>
          <w:p>
            <w:pPr>
              <w:spacing w:after="0"/>
              <w:rPr>
                <w:sz w:val="15"/>
                <w:szCs w:val="15"/>
                <w:color w:val="auto"/>
              </w:rPr>
            </w:pP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0.9</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rPr>
              <w:t>4.9</w:t>
            </w:r>
          </w:p>
        </w:tc>
      </w:tr>
      <w:tr>
        <w:trPr>
          <w:trHeight w:val="180"/>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Non-recurring adjustments (5)</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0.1</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0.3</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0.6</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1.3</w:t>
            </w: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color w:val="auto"/>
              </w:rPr>
              <w:t>Non-ordinary course legal fees (6)</w:t>
            </w:r>
          </w:p>
        </w:tc>
        <w:tc>
          <w:tcPr>
            <w:tcW w:w="340" w:type="dxa"/>
            <w:vAlign w:val="bottom"/>
          </w:tcPr>
          <w:p>
            <w:pPr>
              <w:spacing w:after="0"/>
              <w:rPr>
                <w:sz w:val="15"/>
                <w:szCs w:val="15"/>
                <w:color w:val="auto"/>
              </w:rPr>
            </w:pP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0.2</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0.2</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rPr>
              <w:t>—</w:t>
            </w:r>
          </w:p>
        </w:tc>
      </w:tr>
      <w:tr>
        <w:trPr>
          <w:trHeight w:val="180"/>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 (7)</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2.0</w:t>
            </w:r>
          </w:p>
        </w:tc>
        <w:tc>
          <w:tcPr>
            <w:tcW w:w="560" w:type="dxa"/>
            <w:vAlign w:val="bottom"/>
            <w:gridSpan w:val="2"/>
            <w:shd w:val="clear" w:color="auto" w:fill="CCEEFF"/>
          </w:tcPr>
          <w:p>
            <w:pPr>
              <w:jc w:val="right"/>
              <w:ind w:right="329"/>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2.0</w:t>
            </w: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color w:val="auto"/>
              </w:rPr>
              <w:t>Loss on asset impairment related to restructuring (8)</w:t>
            </w:r>
          </w:p>
        </w:tc>
        <w:tc>
          <w:tcPr>
            <w:tcW w:w="340" w:type="dxa"/>
            <w:vAlign w:val="bottom"/>
          </w:tcPr>
          <w:p>
            <w:pPr>
              <w:spacing w:after="0"/>
              <w:rPr>
                <w:sz w:val="15"/>
                <w:szCs w:val="15"/>
                <w:color w:val="auto"/>
              </w:rPr>
            </w:pP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rPr>
              <w:t>3.8</w:t>
            </w:r>
          </w:p>
        </w:tc>
      </w:tr>
      <w:tr>
        <w:trPr>
          <w:trHeight w:val="180"/>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 expense</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(0.1)</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(0.3)</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(0.1)</w:t>
            </w: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color w:val="auto"/>
              </w:rPr>
              <w:t>Other (income) / expense, net (9)</w:t>
            </w:r>
          </w:p>
        </w:tc>
        <w:tc>
          <w:tcPr>
            <w:tcW w:w="34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(0.2)</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(0.3)</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(1.4)</w:t>
            </w:r>
          </w:p>
        </w:tc>
      </w:tr>
      <w:tr>
        <w:trPr>
          <w:trHeight w:val="180"/>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(gains) / losses (10)</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0.3</w:t>
            </w:r>
          </w:p>
        </w:tc>
        <w:tc>
          <w:tcPr>
            <w:tcW w:w="2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0.6</w:t>
            </w:r>
          </w:p>
        </w:tc>
        <w:tc>
          <w:tcPr>
            <w:tcW w:w="2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0.5</w:t>
            </w:r>
          </w:p>
        </w:tc>
        <w:tc>
          <w:tcPr>
            <w:tcW w:w="2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0.8</w:t>
            </w:r>
          </w:p>
        </w:tc>
      </w:tr>
      <w:tr>
        <w:trPr>
          <w:trHeight w:val="171"/>
        </w:trPr>
        <w:tc>
          <w:tcPr>
            <w:tcW w:w="476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3.5</w:t>
            </w:r>
          </w:p>
        </w:tc>
        <w:tc>
          <w:tcPr>
            <w:tcW w:w="6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10"/>
              <w:spacing w:after="0"/>
              <w:rPr>
                <w:sz w:val="20"/>
                <w:szCs w:val="20"/>
                <w:color w:val="auto"/>
              </w:rPr>
            </w:pPr>
            <w:r>
              <w:rPr>
                <w:rFonts w:ascii="Arial" w:cs="Arial" w:eastAsia="Arial" w:hAnsi="Arial"/>
                <w:sz w:val="14"/>
                <w:szCs w:val="14"/>
                <w:color w:val="auto"/>
              </w:rPr>
              <w:t>6.6</w:t>
            </w:r>
          </w:p>
        </w:tc>
        <w:tc>
          <w:tcPr>
            <w:tcW w:w="220" w:type="dxa"/>
            <w:vAlign w:val="bottom"/>
          </w:tcPr>
          <w:p>
            <w:pPr>
              <w:spacing w:after="0"/>
              <w:rPr>
                <w:sz w:val="14"/>
                <w:szCs w:val="14"/>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15.7</w:t>
            </w:r>
          </w:p>
        </w:tc>
        <w:tc>
          <w:tcPr>
            <w:tcW w:w="6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(0.4)</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 (11)</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8.5 %</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712"/>
        </w:trPr>
        <w:tc>
          <w:tcPr>
            <w:tcW w:w="4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32"/>
              <w:spacing w:after="0"/>
              <w:rPr>
                <w:sz w:val="20"/>
                <w:szCs w:val="20"/>
                <w:color w:val="auto"/>
              </w:rPr>
            </w:pPr>
            <w:r>
              <w:rPr>
                <w:rFonts w:ascii="Arial" w:cs="Arial" w:eastAsia="Arial" w:hAnsi="Arial"/>
                <w:sz w:val="14"/>
                <w:szCs w:val="14"/>
                <w:color w:val="auto"/>
              </w:rPr>
              <w:t>44</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85"/>
        </w:trPr>
        <w:tc>
          <w:tcPr>
            <w:tcW w:w="47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260" w:right="80" w:hanging="255"/>
        <w:spacing w:after="0" w:line="227" w:lineRule="auto"/>
        <w:tabs>
          <w:tab w:leader="none" w:pos="254" w:val="left"/>
        </w:tabs>
        <w:numPr>
          <w:ilvl w:val="0"/>
          <w:numId w:val="24"/>
        </w:numPr>
        <w:rPr>
          <w:rFonts w:ascii="Arial" w:cs="Arial" w:eastAsia="Arial" w:hAnsi="Arial"/>
          <w:sz w:val="15"/>
          <w:szCs w:val="15"/>
          <w:color w:val="auto"/>
          <w:vertAlign w:val="superscript"/>
        </w:rPr>
      </w:pPr>
      <w:r>
        <w:rPr>
          <w:rFonts w:ascii="Arial" w:cs="Arial" w:eastAsia="Arial" w:hAnsi="Arial"/>
          <w:sz w:val="11"/>
          <w:szCs w:val="11"/>
          <w:color w:val="auto"/>
        </w:rPr>
        <w:t>Includes debt discount amortization of $1.8 million in the three months ended October 31, 2023, $1.2 million in the three months ended October 31, 2022, $5.2 million in the nine months ended October 31, 2023 and $3.2 million in the nine months ended October 31, 2022.</w:t>
      </w:r>
    </w:p>
    <w:p>
      <w:pPr>
        <w:spacing w:after="0" w:line="50"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4"/>
        </w:numPr>
        <w:rPr>
          <w:rFonts w:ascii="Arial" w:cs="Arial" w:eastAsia="Arial" w:hAnsi="Arial"/>
          <w:sz w:val="15"/>
          <w:szCs w:val="15"/>
          <w:color w:val="auto"/>
          <w:vertAlign w:val="superscript"/>
        </w:rPr>
      </w:pPr>
      <w:r>
        <w:rPr>
          <w:rFonts w:ascii="Arial" w:cs="Arial" w:eastAsia="Arial" w:hAnsi="Arial"/>
          <w:sz w:val="11"/>
          <w:szCs w:val="11"/>
          <w:color w:val="auto"/>
        </w:rPr>
        <w:t>Reflects non-rental product depreciation and capitalized software amortization.</w:t>
      </w:r>
    </w:p>
    <w:p>
      <w:pPr>
        <w:spacing w:after="0" w:line="63"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4"/>
        </w:numPr>
        <w:rPr>
          <w:rFonts w:ascii="Arial" w:cs="Arial" w:eastAsia="Arial" w:hAnsi="Arial"/>
          <w:sz w:val="7"/>
          <w:szCs w:val="7"/>
          <w:color w:val="auto"/>
        </w:rPr>
      </w:pPr>
      <w:r>
        <w:rPr>
          <w:rFonts w:ascii="Arial" w:cs="Arial" w:eastAsia="Arial" w:hAnsi="Arial"/>
          <w:sz w:val="11"/>
          <w:szCs w:val="11"/>
          <w:color w:val="auto"/>
        </w:rPr>
        <w:t>Reflects the non-cash expense for share-based compensation.</w:t>
      </w:r>
    </w:p>
    <w:p>
      <w:pPr>
        <w:spacing w:after="0" w:line="72" w:lineRule="exact"/>
        <w:rPr>
          <w:rFonts w:ascii="Arial" w:cs="Arial" w:eastAsia="Arial" w:hAnsi="Arial"/>
          <w:sz w:val="7"/>
          <w:szCs w:val="7"/>
          <w:color w:val="auto"/>
        </w:rPr>
      </w:pPr>
    </w:p>
    <w:p>
      <w:pPr>
        <w:ind w:left="260" w:hanging="255"/>
        <w:spacing w:after="0"/>
        <w:tabs>
          <w:tab w:leader="none" w:pos="260" w:val="left"/>
        </w:tabs>
        <w:numPr>
          <w:ilvl w:val="0"/>
          <w:numId w:val="24"/>
        </w:numPr>
        <w:rPr>
          <w:rFonts w:ascii="Arial" w:cs="Arial" w:eastAsia="Arial" w:hAnsi="Arial"/>
          <w:sz w:val="15"/>
          <w:szCs w:val="15"/>
          <w:color w:val="auto"/>
          <w:vertAlign w:val="superscript"/>
        </w:rPr>
      </w:pPr>
      <w:r>
        <w:rPr>
          <w:rFonts w:ascii="Arial" w:cs="Arial" w:eastAsia="Arial" w:hAnsi="Arial"/>
          <w:sz w:val="11"/>
          <w:szCs w:val="11"/>
          <w:color w:val="auto"/>
        </w:rPr>
        <w:t>Reflects the write-off of the remaining book value of liquidated rental product that had previously been held for sale.</w:t>
      </w:r>
    </w:p>
    <w:p>
      <w:pPr>
        <w:spacing w:after="0" w:line="74" w:lineRule="exact"/>
        <w:rPr>
          <w:rFonts w:ascii="Arial" w:cs="Arial" w:eastAsia="Arial" w:hAnsi="Arial"/>
          <w:sz w:val="15"/>
          <w:szCs w:val="15"/>
          <w:color w:val="auto"/>
          <w:vertAlign w:val="superscript"/>
        </w:rPr>
      </w:pPr>
    </w:p>
    <w:p>
      <w:pPr>
        <w:ind w:left="260" w:right="100" w:hanging="255"/>
        <w:spacing w:after="0" w:line="239" w:lineRule="auto"/>
        <w:tabs>
          <w:tab w:leader="none" w:pos="254" w:val="left"/>
        </w:tabs>
        <w:numPr>
          <w:ilvl w:val="0"/>
          <w:numId w:val="24"/>
        </w:numPr>
        <w:rPr>
          <w:rFonts w:ascii="Arial" w:cs="Arial" w:eastAsia="Arial" w:hAnsi="Arial"/>
          <w:sz w:val="15"/>
          <w:szCs w:val="15"/>
          <w:color w:val="auto"/>
          <w:vertAlign w:val="superscript"/>
        </w:rPr>
      </w:pPr>
      <w:r>
        <w:rPr>
          <w:rFonts w:ascii="Arial" w:cs="Arial" w:eastAsia="Arial" w:hAnsi="Arial"/>
          <w:sz w:val="11"/>
          <w:szCs w:val="11"/>
          <w:color w:val="auto"/>
        </w:rPr>
        <w:t>Non-recurring adjustments for the three months ended October 31, 2023 includes $0.1 million of costs primarily related to the option exchange and the three months ended October 31, 2022 includes $0.3 million of costs related to public company SOX readiness. Non-recurring adjustments for the nine months ended October 31, 2023 includes $0.6 million of costs primarily related to the option exchange and for the nine months ended October 31, 2022 includes $1.3 million of costs related to public company SOX readiness.</w:t>
      </w:r>
    </w:p>
    <w:p>
      <w:pPr>
        <w:spacing w:after="0" w:line="64"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4"/>
        </w:numPr>
        <w:rPr>
          <w:rFonts w:ascii="Arial" w:cs="Arial" w:eastAsia="Arial" w:hAnsi="Arial"/>
          <w:sz w:val="7"/>
          <w:szCs w:val="7"/>
          <w:color w:val="auto"/>
        </w:rPr>
      </w:pPr>
      <w:r>
        <w:rPr>
          <w:rFonts w:ascii="Arial" w:cs="Arial" w:eastAsia="Arial" w:hAnsi="Arial"/>
          <w:sz w:val="11"/>
          <w:szCs w:val="11"/>
          <w:color w:val="auto"/>
        </w:rPr>
        <w:t>Non-ordinary course legal fees for the three and nine months ended October 31, 2023 includes $0.2 million of costs related to a class action lawsuit.</w:t>
      </w:r>
    </w:p>
    <w:p>
      <w:pPr>
        <w:spacing w:after="0" w:line="72" w:lineRule="exact"/>
        <w:rPr>
          <w:rFonts w:ascii="Arial" w:cs="Arial" w:eastAsia="Arial" w:hAnsi="Arial"/>
          <w:sz w:val="7"/>
          <w:szCs w:val="7"/>
          <w:color w:val="auto"/>
        </w:rPr>
      </w:pPr>
    </w:p>
    <w:p>
      <w:pPr>
        <w:ind w:left="260" w:hanging="255"/>
        <w:spacing w:after="0"/>
        <w:tabs>
          <w:tab w:leader="none" w:pos="260" w:val="left"/>
        </w:tabs>
        <w:numPr>
          <w:ilvl w:val="0"/>
          <w:numId w:val="24"/>
        </w:numPr>
        <w:rPr>
          <w:rFonts w:ascii="Arial" w:cs="Arial" w:eastAsia="Arial" w:hAnsi="Arial"/>
          <w:sz w:val="15"/>
          <w:szCs w:val="15"/>
          <w:color w:val="auto"/>
          <w:vertAlign w:val="superscript"/>
        </w:rPr>
      </w:pPr>
      <w:r>
        <w:rPr>
          <w:rFonts w:ascii="Arial" w:cs="Arial" w:eastAsia="Arial" w:hAnsi="Arial"/>
          <w:sz w:val="11"/>
          <w:szCs w:val="11"/>
          <w:color w:val="auto"/>
        </w:rPr>
        <w:t>Reflects restructuring charges primarily related to severance and related costs in connection with the September 2022 restructuring plan.</w:t>
      </w:r>
    </w:p>
    <w:p>
      <w:pPr>
        <w:spacing w:after="0" w:line="50"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4"/>
        </w:numPr>
        <w:rPr>
          <w:rFonts w:ascii="Arial" w:cs="Arial" w:eastAsia="Arial" w:hAnsi="Arial"/>
          <w:sz w:val="15"/>
          <w:szCs w:val="15"/>
          <w:color w:val="auto"/>
          <w:vertAlign w:val="superscript"/>
        </w:rPr>
      </w:pPr>
      <w:r>
        <w:rPr>
          <w:rFonts w:ascii="Arial" w:cs="Arial" w:eastAsia="Arial" w:hAnsi="Arial"/>
          <w:sz w:val="11"/>
          <w:szCs w:val="11"/>
          <w:color w:val="auto"/>
        </w:rPr>
        <w:t>Reflects the asset impairment charge related to discontinuing a warehouse operations project in connection with the September 2022 restructuring plan.</w:t>
      </w:r>
    </w:p>
    <w:p>
      <w:pPr>
        <w:spacing w:after="0" w:line="50"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4"/>
        </w:numPr>
        <w:rPr>
          <w:rFonts w:ascii="Arial" w:cs="Arial" w:eastAsia="Arial" w:hAnsi="Arial"/>
          <w:sz w:val="15"/>
          <w:szCs w:val="15"/>
          <w:color w:val="auto"/>
          <w:vertAlign w:val="superscript"/>
        </w:rPr>
      </w:pPr>
      <w:r>
        <w:rPr>
          <w:rFonts w:ascii="Arial" w:cs="Arial" w:eastAsia="Arial" w:hAnsi="Arial"/>
          <w:sz w:val="11"/>
          <w:szCs w:val="11"/>
          <w:color w:val="auto"/>
        </w:rPr>
        <w:t>Primarily includes $1.4 million of monetized tax credits for the nine months ended October 31, 2022.</w:t>
      </w:r>
    </w:p>
    <w:p>
      <w:pPr>
        <w:spacing w:after="0" w:line="74" w:lineRule="exact"/>
        <w:rPr>
          <w:rFonts w:ascii="Arial" w:cs="Arial" w:eastAsia="Arial" w:hAnsi="Arial"/>
          <w:sz w:val="15"/>
          <w:szCs w:val="15"/>
          <w:color w:val="auto"/>
          <w:vertAlign w:val="superscript"/>
        </w:rPr>
      </w:pPr>
    </w:p>
    <w:p>
      <w:pPr>
        <w:ind w:left="260" w:right="420" w:hanging="255"/>
        <w:spacing w:after="0" w:line="221" w:lineRule="auto"/>
        <w:tabs>
          <w:tab w:leader="none" w:pos="252" w:val="left"/>
        </w:tabs>
        <w:numPr>
          <w:ilvl w:val="0"/>
          <w:numId w:val="24"/>
        </w:numPr>
        <w:rPr>
          <w:rFonts w:ascii="Arial" w:cs="Arial" w:eastAsia="Arial" w:hAnsi="Arial"/>
          <w:sz w:val="15"/>
          <w:szCs w:val="15"/>
          <w:color w:val="auto"/>
          <w:vertAlign w:val="superscript"/>
        </w:rPr>
      </w:pPr>
      <w:r>
        <w:rPr>
          <w:rFonts w:ascii="Arial" w:cs="Arial" w:eastAsia="Arial" w:hAnsi="Arial"/>
          <w:sz w:val="11"/>
          <w:szCs w:val="11"/>
          <w:color w:val="auto"/>
        </w:rPr>
        <w:t>Includes gains / losses recognized in relation to foreign exchange, operating lease terminations and the related surrender of fixed assets (see “Note 5 - Leases – Lessee Accounting” in the Notes to the Condensed Consolidated Financial Statements).</w:t>
      </w:r>
    </w:p>
    <w:p>
      <w:pPr>
        <w:spacing w:after="0" w:line="50" w:lineRule="exact"/>
        <w:rPr>
          <w:rFonts w:ascii="Arial" w:cs="Arial" w:eastAsia="Arial" w:hAnsi="Arial"/>
          <w:sz w:val="15"/>
          <w:szCs w:val="15"/>
          <w:color w:val="auto"/>
          <w:vertAlign w:val="superscript"/>
        </w:rPr>
      </w:pPr>
    </w:p>
    <w:p>
      <w:pPr>
        <w:ind w:left="240" w:hanging="235"/>
        <w:spacing w:after="0"/>
        <w:tabs>
          <w:tab w:leader="none" w:pos="240" w:val="left"/>
        </w:tabs>
        <w:numPr>
          <w:ilvl w:val="0"/>
          <w:numId w:val="24"/>
        </w:numPr>
        <w:rPr>
          <w:rFonts w:ascii="Arial" w:cs="Arial" w:eastAsia="Arial" w:hAnsi="Arial"/>
          <w:sz w:val="15"/>
          <w:szCs w:val="15"/>
          <w:color w:val="auto"/>
          <w:vertAlign w:val="superscript"/>
        </w:rPr>
      </w:pPr>
      <w:r>
        <w:rPr>
          <w:rFonts w:ascii="Arial" w:cs="Arial" w:eastAsia="Arial" w:hAnsi="Arial"/>
          <w:sz w:val="11"/>
          <w:szCs w:val="11"/>
          <w:color w:val="auto"/>
        </w:rPr>
        <w:t>Adjusted EBITDA Margin calculated as Adjusted EBITDA as a percentage of revenue.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Since our founding, we have financed our operations primarily from net proceeds from the sale of redeemable preferred stock, common stock and debt financings. As of October 31, 2023, we had cash and cash equivalents of $105.9 million and restricted cash of $10.0 million ($4.8 million current and $5.2 million noncurrent), and an accumulated deficit of $(1,028.3) million.</w:t>
      </w:r>
    </w:p>
    <w:p>
      <w:pPr>
        <w:spacing w:after="0" w:line="155"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On October 29, 2021, we closed our IPO, in which we issued and sold 17,000,000 shares at a public offering price of $21.00 per share. We received net proceeds of $327.3 million after deducting underwriting discounts and commissions and offering expenses.</w:t>
      </w:r>
    </w:p>
    <w:p>
      <w:pPr>
        <w:spacing w:after="0" w:line="131" w:lineRule="exact"/>
        <w:rPr>
          <w:sz w:val="20"/>
          <w:szCs w:val="20"/>
          <w:color w:val="auto"/>
        </w:rPr>
      </w:pPr>
    </w:p>
    <w:p>
      <w:pPr>
        <w:ind w:right="240"/>
        <w:spacing w:after="0" w:line="241" w:lineRule="auto"/>
        <w:rPr>
          <w:sz w:val="20"/>
          <w:szCs w:val="20"/>
          <w:color w:val="auto"/>
        </w:rPr>
      </w:pPr>
      <w:r>
        <w:rPr>
          <w:rFonts w:ascii="Arial" w:cs="Arial" w:eastAsia="Arial" w:hAnsi="Arial"/>
          <w:sz w:val="14"/>
          <w:szCs w:val="14"/>
          <w:color w:val="auto"/>
        </w:rPr>
        <w:t>Concurrent with our IPO, we paid down our senior secured term loan of $80.7 million (including accrued interest) with Ares Corporate Opportunities Fund V, L.P. in full and $60.0 million of our Temasek Facility and refinanced the remaining Temasek Facility, resulting in a total debt repayment of $140.7 million. In January 2023, we entered into the 2022 Amended Temasek Facility. The 2022 Amended Temasek Facility extended the maturity date from October 2024 to October 2026, reduced cash interest payments by over $20 million in cash in the next two fiscal years while the total interest rate remains unchanged during this period, with subsequent increases thereafter. In connection with the 2022 Amended Temasek Facility, we also granted warrants to purchase two million shares of Class A Common Stock at an exercise price of $5.00 per share, along with other</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clarifications and updates. Our total indebtedness as of October 31, 2023 was $300.2 million. For a description of the terms of our current and prior credit agreements, see “Note 7 – Long-Term Debt” and “Note 15 – Subsequent Events” in the Notes to the Condensed Consolidated Financial Statements.</w:t>
      </w:r>
    </w:p>
    <w:p>
      <w:pPr>
        <w:spacing w:after="0" w:line="165"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auto"/>
        </w:rPr>
        <w:t>We expect that operating losses and negative cash flows from operations plus cash flows used in investing could continue in the future as we continue to acquire products and invest in our business initiatives. However, we anticipate making further reductions to our fixed and variable costs to support our profitability goals in fiscal year 2023 and 2024. We believe our existing cash and cash equivalents, and cash generated from our operations, will be sufficient to sustain our business operations, to satisfy our debt service obligations and to comply with our $30 million minimum liquidity maintenance covenant for at least the next twelve months from the date the accompanying financial statements included elsewhere in this Quarterly Report are issued. As noted above, our 2023 Amended Temasek Facility eliminates all interest (both payment-in-kind and cash interest) for a period of six full fiscal quarters beginning with the fourth quarter of fiscal year 2023. In September 2022, we announced a restructuring plan to reduce costs, streamline our organizational structure and drive operational efficiencies, which generated annual operating expense savings of approximately $27 million (relative to the second quarter of fiscal year 2022 run rate) in the last four quarters.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rPr>
          <w:sz w:val="20"/>
          <w:szCs w:val="20"/>
          <w:color w:val="auto"/>
        </w:rPr>
      </w:pPr>
      <w:r>
        <w:rPr>
          <w:rFonts w:ascii="Arial" w:cs="Arial" w:eastAsia="Arial" w:hAnsi="Arial"/>
          <w:sz w:val="14"/>
          <w:szCs w:val="14"/>
          <w:color w:val="auto"/>
        </w:rPr>
        <w:t>Our future capital requirements will depend on many factors, including, but not limited to, demand for our business, rental product spend and the timing of investments in technology and personnel to support the overall growth of our business. To the extent that current and anticipated future sources of liquidity are insufficient to fund our future business activities and requirements and service our debt obligations or if we fail to comply with the covenants specified in the 2023 Amended Temasek Facility, inclusive of the $ 30 million minimum liquidity maintenance covenant, we may be required to seek additional capital or restructure or refinance our indebtedness.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which could negatively affect our liquidity in the</w:t>
      </w:r>
    </w:p>
    <w:p>
      <w:pPr>
        <w:spacing w:after="0" w:line="3" w:lineRule="exact"/>
        <w:rPr>
          <w:sz w:val="20"/>
          <w:szCs w:val="20"/>
          <w:color w:val="auto"/>
        </w:rPr>
      </w:pPr>
    </w:p>
    <w:p>
      <w:pPr>
        <w:ind w:right="520"/>
        <w:spacing w:after="0" w:line="229" w:lineRule="auto"/>
        <w:rPr>
          <w:sz w:val="20"/>
          <w:szCs w:val="20"/>
          <w:color w:val="auto"/>
        </w:rPr>
      </w:pPr>
      <w:r>
        <w:rPr>
          <w:rFonts w:ascii="Arial" w:cs="Arial" w:eastAsia="Arial" w:hAnsi="Arial"/>
          <w:sz w:val="14"/>
          <w:szCs w:val="14"/>
          <w:color w:val="auto"/>
        </w:rPr>
        <w:t>future. In the event that additional financing is required from outside sources, we may not be able to negotiate terms acceptable to us or at all. If this occurs, our repayment obligations under the 2023 Amended Temasek Facility may be accelerated and we may be unable to meet such obligations. If we are unable to raise additional capital when</w:t>
      </w:r>
    </w:p>
    <w:p>
      <w:pPr>
        <w:ind w:right="20"/>
        <w:spacing w:after="0" w:line="253" w:lineRule="auto"/>
        <w:rPr>
          <w:sz w:val="20"/>
          <w:szCs w:val="20"/>
          <w:color w:val="auto"/>
        </w:rPr>
      </w:pPr>
      <w:r>
        <w:rPr>
          <w:rFonts w:ascii="Arial" w:cs="Arial" w:eastAsia="Arial" w:hAnsi="Arial"/>
          <w:sz w:val="14"/>
          <w:szCs w:val="14"/>
          <w:color w:val="auto"/>
        </w:rPr>
        <w:t>required, or if we cannot expand our operations or otherwise capitalize on our business opportunities because we lack sufficient capital, our business, results of operations, financial condition, and cash flows would be adversely affected.</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periods presented:</w:t>
      </w:r>
    </w:p>
    <w:p>
      <w:pPr>
        <w:spacing w:after="0" w:line="219" w:lineRule="exact"/>
        <w:rPr>
          <w:sz w:val="20"/>
          <w:szCs w:val="20"/>
          <w:color w:val="auto"/>
        </w:rPr>
      </w:pPr>
    </w:p>
    <w:p>
      <w:pPr>
        <w:jc w:val="center"/>
        <w:ind w:left="8220"/>
        <w:spacing w:after="0"/>
        <w:rPr>
          <w:sz w:val="20"/>
          <w:szCs w:val="20"/>
          <w:color w:val="auto"/>
        </w:rPr>
      </w:pPr>
      <w:r>
        <w:rPr>
          <w:rFonts w:ascii="Arial" w:cs="Arial" w:eastAsia="Arial" w:hAnsi="Arial"/>
          <w:sz w:val="11"/>
          <w:szCs w:val="11"/>
          <w:b w:val="1"/>
          <w:bCs w:val="1"/>
          <w:color w:val="auto"/>
        </w:rPr>
        <w:t>Nine Months Ended</w:t>
      </w:r>
    </w:p>
    <w:p>
      <w:pPr>
        <w:jc w:val="center"/>
        <w:ind w:left="8220"/>
        <w:spacing w:after="0"/>
        <w:rPr>
          <w:sz w:val="20"/>
          <w:szCs w:val="20"/>
          <w:color w:val="auto"/>
        </w:rPr>
      </w:pPr>
      <w:r>
        <w:rPr>
          <w:rFonts w:ascii="Arial" w:cs="Arial" w:eastAsia="Arial" w:hAnsi="Arial"/>
          <w:sz w:val="11"/>
          <w:szCs w:val="11"/>
          <w:b w:val="1"/>
          <w:bCs w:val="1"/>
          <w:color w:val="auto"/>
        </w:rPr>
        <w:t>October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22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2022</w:t>
            </w:r>
          </w:p>
        </w:tc>
      </w:tr>
      <w:tr>
        <w:trPr>
          <w:trHeight w:val="150"/>
        </w:trPr>
        <w:tc>
          <w:tcPr>
            <w:tcW w:w="82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(in millions)</w:t>
            </w:r>
          </w:p>
        </w:tc>
        <w:tc>
          <w:tcPr>
            <w:tcW w:w="1040" w:type="dxa"/>
            <w:vAlign w:val="bottom"/>
            <w:tcBorders>
              <w:bottom w:val="single" w:sz="8" w:color="auto"/>
            </w:tcBorders>
          </w:tcPr>
          <w:p>
            <w:pPr>
              <w:spacing w:after="0"/>
              <w:rPr>
                <w:sz w:val="13"/>
                <w:szCs w:val="13"/>
                <w:color w:val="auto"/>
              </w:rPr>
            </w:pP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980" w:type="dxa"/>
            <w:vAlign w:val="bottom"/>
            <w:shd w:val="clear" w:color="auto" w:fill="CCEEFF"/>
          </w:tcPr>
          <w:p>
            <w:pPr>
              <w:jc w:val="right"/>
              <w:ind w:right="814"/>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(30.5)</w:t>
            </w:r>
          </w:p>
        </w:tc>
      </w:tr>
      <w:tr>
        <w:trPr>
          <w:trHeight w:val="180"/>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71"/>
        </w:trPr>
        <w:tc>
          <w:tcPr>
            <w:tcW w:w="822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 and restricted cash</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(47.7)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(73.7)</w:t>
            </w:r>
          </w:p>
        </w:tc>
      </w:tr>
      <w:tr>
        <w:trPr>
          <w:trHeight w:val="180"/>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at beginning of year</w:t>
            </w: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163.6</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259.6</w:t>
            </w:r>
          </w:p>
        </w:tc>
      </w:tr>
      <w:tr>
        <w:trPr>
          <w:trHeight w:val="171"/>
        </w:trPr>
        <w:tc>
          <w:tcPr>
            <w:tcW w:w="8220" w:type="dxa"/>
            <w:vAlign w:val="bottom"/>
          </w:tcPr>
          <w:p>
            <w:pPr>
              <w:ind w:left="20"/>
              <w:spacing w:after="0"/>
              <w:rPr>
                <w:sz w:val="20"/>
                <w:szCs w:val="20"/>
                <w:color w:val="auto"/>
              </w:rPr>
            </w:pPr>
            <w:r>
              <w:rPr>
                <w:rFonts w:ascii="Arial" w:cs="Arial" w:eastAsia="Arial" w:hAnsi="Arial"/>
                <w:sz w:val="14"/>
                <w:szCs w:val="14"/>
                <w:color w:val="auto"/>
              </w:rPr>
              <w:t>Cash and cash equivalents and restricted cash at end of period</w:t>
            </w:r>
          </w:p>
        </w:tc>
        <w:tc>
          <w:tcPr>
            <w:tcW w:w="98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115.9</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185.9</w:t>
            </w: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We also measure the cash consumption of the business including capital expenditures, by assessing net cash used in operating activities and net cash used in investing activities on a combined basis, which was $(47.3) million for the nine months ended October 31, 2023 and $(69.9) million for the nine months ended October 31, 2022. The cash consumption of the business was lower in the first three quarters of fiscal year 2023 compared with the same period of fiscal year 2022 primarily due to lower operating costs as a result of the September 2022 restructuring plan and lower purchases of property and equipment compared to the prior period. Purchases of rental product were higher than the same period last year to support our rental product strategy. We also opportunistically purchased additional rental product to take advantage of attractive pricing in the current environment, which partially offset the lower cash consumption in the first three quarters of fiscal year 2023 compared to the prior year. The sum of net cash used in operating activities and net cash used in investing activities, as a percentage of revenue, was (21.3)% for the nine months ended October 31, 2023 and (31.6)% for the nine months ended October 31, 2022.</w:t>
      </w:r>
    </w:p>
    <w:p>
      <w:pPr>
        <w:spacing w:after="0" w:line="154"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b w:val="1"/>
          <w:bCs w:val="1"/>
          <w:color w:val="auto"/>
        </w:rPr>
        <w:t>Net cash (used in) provided by operating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nine months ended October 31, 2023, net cash used in operating activities was $(7.7) million, which consisted of a</w:t>
      </w:r>
      <w:r>
        <w:rPr>
          <w:rFonts w:ascii="Arial" w:cs="Arial" w:eastAsia="Arial" w:hAnsi="Arial"/>
          <w:sz w:val="14"/>
          <w:szCs w:val="14"/>
          <w:b w:val="1"/>
          <w:bCs w:val="1"/>
          <w:color w:val="auto"/>
        </w:rPr>
        <w:t xml:space="preserve"> </w:t>
      </w:r>
      <w:r>
        <w:rPr>
          <w:rFonts w:ascii="Arial" w:cs="Arial" w:eastAsia="Arial" w:hAnsi="Arial"/>
          <w:sz w:val="14"/>
          <w:szCs w:val="14"/>
          <w:color w:val="auto"/>
        </w:rPr>
        <w:t>net loss of $(88.4) million, partially offset by non-cash charges of $99.6 million, reclassification of the proceeds from the sale of rental product of $16.2 million and a net change of $(2.7) million in our operating assets and liabilities. The non-cash charges were primarily comprised of $39.5 million of rental product depreciation and write-off expenses, $22.5 million of payment-in-kind interest, $21.1 million of share-based compensation, $5.2 million of debt discount amortization, and $11.3 million of other fixed and intangible asset depreciation.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For the nine months ended October 31, 2022, net cash used in operating activities was $(39.4) million, which consisted of a net loss of $(112.5) million, partially offset by non-cash charges of $89.6 million, reclassification of the proceeds from the sale of rental product of $13.7 million and a net change of $(2.8) million in our operating assets and liabilities. The non-cash charges were primarily comprised of $38.3 million of rental product depreciation and write-off expenses, $10.6 million of payment-in-kind interest, $19.0 million of share-based compensation, $3.2 million of debt discount amortization, $15.1 million of other fixed and intangible asset depreciation and the loss on the surrender of fixed asset write-offs related to the partial termination of the lease of the corporate headquarters (see “Note 5 - Leases – Lessee Accounting” in the Notes to the Condensed Consolidated Financial Statements), and $ 3.8 million consisting of an asset impairment charge related to discontinuing a warehouse operations project in connection with the September 2022 restructuring plan, of which $0.4 million is included in accrued expenses related to the asset impairment (see the Supplemental Cash Flow Information in Part I, Item 1. Financial Statements).</w:t>
      </w:r>
    </w:p>
    <w:p>
      <w:pPr>
        <w:spacing w:after="0" w:line="142"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b w:val="1"/>
          <w:bCs w:val="1"/>
          <w:color w:val="auto"/>
        </w:rPr>
        <w:t>Net cash (used in) provided by investing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nine months ended October 31, 2023, net cash used in investing activities was $(39.6) million, primarily consisting</w:t>
      </w:r>
      <w:r>
        <w:rPr>
          <w:rFonts w:ascii="Arial" w:cs="Arial" w:eastAsia="Arial" w:hAnsi="Arial"/>
          <w:sz w:val="14"/>
          <w:szCs w:val="14"/>
          <w:b w:val="1"/>
          <w:bCs w:val="1"/>
          <w:color w:val="auto"/>
        </w:rPr>
        <w:t xml:space="preserve"> </w:t>
      </w:r>
      <w:r>
        <w:rPr>
          <w:rFonts w:ascii="Arial" w:cs="Arial" w:eastAsia="Arial" w:hAnsi="Arial"/>
          <w:sz w:val="14"/>
          <w:szCs w:val="14"/>
          <w:color w:val="auto"/>
        </w:rPr>
        <w:t>of $(56.3) million of purchases of rental product incurred in the period and $(3.2) million of purchases of fixed and intangible assets. The investment in rental product does not include an additional $17.3 million of cost for units received in the current period but not yet paid for, but does include $(5.4) million of cost for units paid for in the current period but received in the prior period (see the Supplemental Cash Flow Information in Part I, Item 1. Financial Statements). The investment in rental product was to support our rental product strategy. We also opportunistically purchased additional rental product to take advantage of attractive pricing in the current environment. The majority of the investment in fixed and intangible assets was primarily related to capitalized lease renewals and investments in leasehold improvements. The cash used in investing activities was partially offset by $16.2 million of proceeds from the sale of owned rental product and $3.7 million of proceeds from the liquidation of rental product.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For the nine months ended October 31, 2022, net cash used in investing activities was $(30.5) million, primarily consisting of $(43.6) million of purchases of rental product and</w:t>
      </w:r>
    </w:p>
    <w:p>
      <w:pPr>
        <w:spacing w:after="0" w:line="2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$(8.5) million of purchases of fixed and intangible assets. The investment in rental product did not include the additional $14.0 million of cost for units received in the current period but not yet paid for, but did include $(6.5) million of cost for units paid for in the current period but received in the prior period (see Supplemental Cash Flow Information in Part I, Item 1. Financial Statements). The investment in rental product was to support growth in customer demand. The majority of the investment in fixed and intangible assets was related to investments in automation assets, additional processing machinery and equipment for the Secaucus and Arlington warehouses and capitalized technology labor. The cash used in investing activities was partially offset by $13.7 million of proceeds from sales of owned rental products and $7.9 million of proceeds from the liquidation of rental product.</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b w:val="1"/>
          <w:bCs w:val="1"/>
          <w:color w:val="auto"/>
        </w:rPr>
        <w:t>Net cash provided by (used in) financing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During the nine months ended October 31, 2023, net cash used in financing activities was $(0.4) million, consisting of other</w:t>
      </w:r>
      <w:r>
        <w:rPr>
          <w:rFonts w:ascii="Arial" w:cs="Arial" w:eastAsia="Arial" w:hAnsi="Arial"/>
          <w:sz w:val="14"/>
          <w:szCs w:val="14"/>
          <w:b w:val="1"/>
          <w:bCs w:val="1"/>
          <w:color w:val="auto"/>
        </w:rPr>
        <w:t xml:space="preserve"> </w:t>
      </w:r>
      <w:r>
        <w:rPr>
          <w:rFonts w:ascii="Arial" w:cs="Arial" w:eastAsia="Arial" w:hAnsi="Arial"/>
          <w:sz w:val="14"/>
          <w:szCs w:val="14"/>
          <w:color w:val="auto"/>
        </w:rPr>
        <w:t>financing payments.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During the nine months ended October 31, 2022, net cash used in financing activities was $(3.8) million, consisting of other financing payments.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94"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In January 2023, we entered into the 2022 Amended Temasek Facility, which extended the maturity date and reduced cash interest payments over the next two years. As of October 31, 2023, we had approximately $300.2 million of total debt outstanding, none of which matures within the next 12 months. See “Note 7 — Long-Term Debt” in the Notes to the Condensed Consolidated Financial Statements for more information. See “Note 5 — Leases – Lessee Accounting” in the Notes to the Condensed Consolidated Financial Statements for our minimum fixed lease obligations under existing lease agreements as of October 31, 2023, including the discussion of the recent extension of our Secaucus lease.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79" w:lineRule="exact"/>
        <w:rPr>
          <w:sz w:val="20"/>
          <w:szCs w:val="20"/>
          <w:color w:val="auto"/>
        </w:rPr>
      </w:pPr>
    </w:p>
    <w:p>
      <w:pPr>
        <w:jc w:val="both"/>
        <w:ind w:right="180"/>
        <w:spacing w:after="0" w:line="271" w:lineRule="auto"/>
        <w:rPr>
          <w:sz w:val="20"/>
          <w:szCs w:val="20"/>
          <w:color w:val="auto"/>
        </w:rPr>
      </w:pPr>
      <w:r>
        <w:rPr>
          <w:rFonts w:ascii="Arial" w:cs="Arial" w:eastAsia="Arial" w:hAnsi="Arial"/>
          <w:sz w:val="14"/>
          <w:szCs w:val="14"/>
          <w:color w:val="auto"/>
        </w:rPr>
        <w:t>Our critical accounting estimates are described under the heading “Management’s Discussion and Analysis of Financial Condition and Results of Operations-Critical Accounting Estimates” in our 2022 Annual Report on Form 10-K. In the nine months ended October 31, 2023, there were no material changes to our critical accounting estimates from those discussed in our 2022 Annual Report on Form 10-K except as discussed below.</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Interim Impairment Evaluation</w:t>
      </w:r>
    </w:p>
    <w:p>
      <w:pPr>
        <w:spacing w:after="0" w:line="200"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w:t>
      </w:r>
    </w:p>
    <w:p>
      <w:pPr>
        <w:spacing w:after="0" w:line="161"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Given the Company’s stock price decline during the third quarter, the Company concluded a triggering event had occurred and performed an impairment analysis of its long-lived assets as of October 31, 2023. The Company performed a quantitative assessment using the undiscounted future cash flows expected to be generated by the use and eventual disposition of the Company’s long-lived assets group. The assessment included consideration of key factors including projected enterprise cash flows, market capitalization and the fair value of the Temasek debt. Based on the quantitative assessment, undiscounted cash flows expected to be generated by the use and eventual disposition of the Company’s long-lived assets exceeded their carrying values and therefore no impairment was recognized for the three months ended October 31, 2023.</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94" w:lineRule="exact"/>
        <w:rPr>
          <w:sz w:val="20"/>
          <w:szCs w:val="20"/>
          <w:color w:val="auto"/>
        </w:rPr>
      </w:pPr>
    </w:p>
    <w:p>
      <w:pPr>
        <w:ind w:right="520"/>
        <w:spacing w:after="0" w:line="290" w:lineRule="auto"/>
        <w:rPr>
          <w:sz w:val="20"/>
          <w:szCs w:val="20"/>
          <w:color w:val="auto"/>
        </w:rPr>
      </w:pPr>
      <w:r>
        <w:rPr>
          <w:rFonts w:ascii="Arial" w:cs="Arial" w:eastAsia="Arial" w:hAnsi="Arial"/>
          <w:sz w:val="14"/>
          <w:szCs w:val="14"/>
          <w:color w:val="auto"/>
        </w:rPr>
        <w:t>See “Note 2 — Summary of Significant Accounting Policies” in the Notes to Condensed Consolidated Financial Statements for a description of recently adopted accounting pronouncements and recently issued accounting pronouncements not yet adopted.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JOBS Act</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94" w:lineRule="exact"/>
        <w:rPr>
          <w:sz w:val="20"/>
          <w:szCs w:val="20"/>
          <w:color w:val="auto"/>
        </w:rPr>
      </w:pPr>
    </w:p>
    <w:p>
      <w:pPr>
        <w:jc w:val="both"/>
        <w:ind w:right="260"/>
        <w:spacing w:after="0" w:line="271" w:lineRule="auto"/>
        <w:rPr>
          <w:sz w:val="20"/>
          <w:szCs w:val="20"/>
          <w:color w:val="auto"/>
        </w:rPr>
      </w:pPr>
      <w:r>
        <w:rPr>
          <w:rFonts w:ascii="Arial" w:cs="Arial" w:eastAsia="Arial" w:hAnsi="Arial"/>
          <w:sz w:val="14"/>
          <w:szCs w:val="14"/>
          <w:color w:val="auto"/>
        </w:rPr>
        <w:t>Our quantitative and qualitative disclosures about market risk are described under the heading “Quantitative and Qualitative Disclosures About Market Risk” in our 2022 Annual Report on Form 10-K. In the three months ended October 31, 2023, there were no material changes to our quantitative and qualitative disclosures about market risk from those discussed in our 2022 Annual Report on Form 10-K.</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94"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October 31, 2023 because of the material weaknesses in our internal control over financial reporting described below.</w:t>
      </w:r>
    </w:p>
    <w:p>
      <w:pPr>
        <w:spacing w:after="0" w:line="55"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Notwithstanding the below identified material weaknesses, management believes the condensed consolidated financial statements as included in Part I, Item 1 of this Quarterly Report on Form 10-Q present fairly, in all material respects, the Company's financial condition, results of operations and cash flows as of and for the periods presented in accordance with generally accepted accounting principles in the United States.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Material Weaknesses in Internal Control Over Financial Reporting</w:t>
      </w:r>
    </w:p>
    <w:p>
      <w:pPr>
        <w:spacing w:after="0" w:line="94"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In connection with the audit of our financial statements as of and for the year ended January 31, 2021,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of October 31, 2023, these material weaknesses are still in the process of being remediated.</w:t>
      </w:r>
    </w:p>
    <w:p>
      <w:pPr>
        <w:spacing w:after="0" w:line="53"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49"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did not design and maintain effective controls to ensure (i) the appropriate segregation of duties in the operation of manual controls and (ii) journal entries were reviewed at the appropriate level of precision.</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63" w:lineRule="exact"/>
        <w:rPr>
          <w:sz w:val="20"/>
          <w:szCs w:val="20"/>
          <w:color w:val="auto"/>
        </w:rPr>
      </w:pPr>
    </w:p>
    <w:p>
      <w:pPr>
        <w:jc w:val="both"/>
        <w:ind w:right="40"/>
        <w:spacing w:after="0" w:line="271" w:lineRule="auto"/>
        <w:rPr>
          <w:sz w:val="20"/>
          <w:szCs w:val="20"/>
          <w:color w:val="auto"/>
        </w:rPr>
      </w:pPr>
      <w:r>
        <w:rPr>
          <w:rFonts w:ascii="Arial" w:cs="Arial" w:eastAsia="Arial" w:hAnsi="Arial"/>
          <w:sz w:val="14"/>
          <w:szCs w:val="14"/>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55"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These material weaknesses did not result in a misstatement to our annual or interim condensed consolidated financial statements. However, each of these material weaknesses could result in a misstatement of substantially all account balances or disclosures that would result in a material misstatement to our annual or interim condensed consolidated financial statements that would not be prevented or detected.</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Remediation Efforts to Address Material Weaknesses</w:t>
      </w:r>
    </w:p>
    <w:p>
      <w:pPr>
        <w:spacing w:after="0" w:line="94" w:lineRule="exact"/>
        <w:rPr>
          <w:sz w:val="20"/>
          <w:szCs w:val="20"/>
          <w:color w:val="auto"/>
        </w:rPr>
      </w:pPr>
    </w:p>
    <w:p>
      <w:pPr>
        <w:jc w:val="both"/>
        <w:ind w:right="140"/>
        <w:spacing w:after="0" w:line="271" w:lineRule="auto"/>
        <w:rPr>
          <w:sz w:val="20"/>
          <w:szCs w:val="20"/>
          <w:color w:val="auto"/>
        </w:rPr>
      </w:pPr>
      <w:r>
        <w:rPr>
          <w:rFonts w:ascii="Arial" w:cs="Arial" w:eastAsia="Arial" w:hAnsi="Arial"/>
          <w:sz w:val="14"/>
          <w:szCs w:val="14"/>
          <w:color w:val="auto"/>
        </w:rPr>
        <w:t>We continue to implement measures designed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49"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55"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94"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There have been no changes in the Company’s internal control over financial reporting that occurred during the quarter ended October 31,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II - Other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94"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The information contained in “Note 14 — Commitments and Contingencies” in the Notes to the Condensed Consolidated Financial Statements is incorporated by reference into this Item.</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4"/>
          <w:szCs w:val="14"/>
          <w:i w:val="1"/>
          <w:iCs w:val="1"/>
          <w:color w:val="auto"/>
        </w:rPr>
        <w:t>Investing in our Class A common stock involves a high degree of risk. You should consider and read carefully all of the risks and uncertainties described below, as well as other information included in this Quarterly Report on Form 10-Q, including our condensed consolidated financial statements and related notes appearing elsewhere in this filing,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Business and Industry</w:t>
      </w:r>
    </w:p>
    <w:p>
      <w:pPr>
        <w:spacing w:after="0" w:line="179" w:lineRule="exact"/>
        <w:rPr>
          <w:sz w:val="20"/>
          <w:szCs w:val="20"/>
          <w:color w:val="auto"/>
        </w:rPr>
      </w:pPr>
    </w:p>
    <w:p>
      <w:pPr>
        <w:jc w:val="both"/>
        <w:ind w:right="160"/>
        <w:spacing w:after="0" w:line="299" w:lineRule="auto"/>
        <w:rPr>
          <w:sz w:val="20"/>
          <w:szCs w:val="20"/>
          <w:color w:val="auto"/>
        </w:rPr>
      </w:pPr>
      <w:r>
        <w:rPr>
          <w:rFonts w:ascii="Arial" w:cs="Arial" w:eastAsia="Arial" w:hAnsi="Arial"/>
          <w:sz w:val="14"/>
          <w:szCs w:val="14"/>
          <w:b w:val="1"/>
          <w:bCs w:val="1"/>
          <w:i w:val="1"/>
          <w:iCs w:val="1"/>
          <w:color w:val="auto"/>
        </w:rPr>
        <w:t>We have grown rapidly in recent years and have limited experience at our current scale of operations and our historical growth rates are not necessarily indicative of our future performance. If we are unable to drive future growth or manage our growth effectively, our brand, company culture, and financial performance may suffer</w:t>
      </w:r>
      <w:r>
        <w:rPr>
          <w:rFonts w:ascii="Arial" w:cs="Arial" w:eastAsia="Arial" w:hAnsi="Arial"/>
          <w:sz w:val="14"/>
          <w:szCs w:val="14"/>
          <w:color w:val="auto"/>
        </w:rPr>
        <w:t>.</w:t>
      </w:r>
    </w:p>
    <w:p>
      <w:pPr>
        <w:spacing w:after="0" w:line="2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We have grown rapidly in the last several years, due in large part to the growth in demand for our Subscription offerings, however, our historical growth rates and financial performance should not necessarily be considered indicative of our future performance. To effectively manage and capitalize on our growth, we must continue to enhance customer experience and attract and retain customers (particularly subscribers), iterate our subscription products, invest in digital consumer innovation, expand our brand awareness and marketing, and upgrade our management information and reverse logistics systems and other processes. Our growth and growth strategies have in the past strained, and could in the future strain, our existing resources, and we could experience ongoing operating difficulties in managing our business across numerous jurisdictions, including difficulties in hiring, training, and managing a diverse employee base. Failure to scale and preserve our company culture as we grow could also harm our future success, including our ability to retain and recruit personnel and to effectively focus on and pursue our corporate objectives.</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Our growth strategy is focused on continuing to grow, engage, and retain our subscriber and customer base, expanding our brand partner relationships and product assortment, increasing our advertising and other marketing spending, and continuing to invest in our offerings and technology. The majority of our revenue is generated by our subscribers. Our base subscription plans range in price and customers can customize their subscription monthly by purchasing additional slots and shipments. Our subscriptions renew automatically on a monthly basis and subscribers may disable automatic renewal by canceling or pausing their subscription prior to the next month’s bill date.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or buy items via our Reserve offering and Resale offering, respectively. Our Subscription plans and offerings do not have demonstrably long track records of success and may not grow as much or as fast as we expect. For example, our active subscriber growth rate slowed year over year as of January 31, 2023 and may continue to slow year over year in the future. In addition, we presently anticipate our revenue growth rate to be roughly flat year-over-year in fiscal year 2023. If our growth rates continue to decelerate, the perception of our business, financial condition and results of operations by investors and our third-partner service providers and brand partners may be adversely affected.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The fashion industry is rapidly evolving and our business may not develop as we expect. Overall growth of our revenue will depend on a number of factors, including our ability to:</w:t>
      </w:r>
    </w:p>
    <w:p>
      <w:pPr>
        <w:spacing w:after="0" w:line="94" w:lineRule="exact"/>
        <w:rPr>
          <w:sz w:val="20"/>
          <w:szCs w:val="20"/>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change traditional consumer buying habits and normalize clothing subscription, rental and resale;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price our Subscription, Reserve and Resale offerings so that we are able to attract new customers, and retain and expand our relationships with existing customers;</w:t>
      </w:r>
    </w:p>
    <w:p>
      <w:pPr>
        <w:spacing w:after="0" w:line="93"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25"/>
        </w:numPr>
        <w:rPr>
          <w:rFonts w:ascii="Arial" w:cs="Arial" w:eastAsia="Arial" w:hAnsi="Arial"/>
          <w:sz w:val="14"/>
          <w:szCs w:val="14"/>
          <w:color w:val="auto"/>
        </w:rPr>
      </w:pPr>
      <w:r>
        <w:rPr>
          <w:rFonts w:ascii="Arial" w:cs="Arial" w:eastAsia="Arial" w:hAnsi="Arial"/>
          <w:sz w:val="14"/>
          <w:szCs w:val="14"/>
          <w:color w:val="auto"/>
        </w:rPr>
        <w:t>ensure that we maintain an adequate depth and breadth of available products to meet customer demand and respond swiftly and appropriately to new and changing styles, trends or desired consumer preferences;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accurately forecast our revenue and plan our fulfillment, operating expenses and capital expenditures;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provide customers with a high-quality, seamless user experience and order fulfillment, as well as customer service and support that meets their needs;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acquire customers into varying levels of subscription programs at different price points;</w:t>
      </w:r>
    </w:p>
    <w:p>
      <w:pPr>
        <w:spacing w:after="0" w:line="93" w:lineRule="exact"/>
        <w:rPr>
          <w:rFonts w:ascii="Arial" w:cs="Arial" w:eastAsia="Arial" w:hAnsi="Arial"/>
          <w:sz w:val="14"/>
          <w:szCs w:val="14"/>
          <w:color w:val="auto"/>
        </w:rPr>
      </w:pPr>
    </w:p>
    <w:p>
      <w:pPr>
        <w:ind w:left="580" w:right="700" w:hanging="193"/>
        <w:spacing w:after="0" w:line="290" w:lineRule="auto"/>
        <w:tabs>
          <w:tab w:leader="none" w:pos="576" w:val="left"/>
        </w:tabs>
        <w:numPr>
          <w:ilvl w:val="0"/>
          <w:numId w:val="25"/>
        </w:numPr>
        <w:rPr>
          <w:rFonts w:ascii="Arial" w:cs="Arial" w:eastAsia="Arial" w:hAnsi="Arial"/>
          <w:sz w:val="14"/>
          <w:szCs w:val="14"/>
          <w:color w:val="auto"/>
        </w:rPr>
      </w:pPr>
      <w:r>
        <w:rPr>
          <w:rFonts w:ascii="Arial" w:cs="Arial" w:eastAsia="Arial" w:hAnsi="Arial"/>
          <w:sz w:val="14"/>
          <w:szCs w:val="14"/>
          <w:color w:val="auto"/>
        </w:rPr>
        <w:t>improve our website and app performance and successfully identify and acquire, partner or invest in products, technologies, or businesses that we believe could complement or expand our business;</w:t>
      </w:r>
    </w:p>
    <w:p>
      <w:pPr>
        <w:spacing w:after="0" w:line="35" w:lineRule="exact"/>
        <w:rPr>
          <w:rFonts w:ascii="Arial" w:cs="Arial" w:eastAsia="Arial" w:hAnsi="Arial"/>
          <w:sz w:val="14"/>
          <w:szCs w:val="14"/>
          <w:color w:val="auto"/>
        </w:rPr>
      </w:pPr>
    </w:p>
    <w:p>
      <w:pPr>
        <w:ind w:left="580" w:right="80" w:hanging="193"/>
        <w:spacing w:after="0" w:line="290" w:lineRule="auto"/>
        <w:tabs>
          <w:tab w:leader="none" w:pos="576" w:val="left"/>
        </w:tabs>
        <w:numPr>
          <w:ilvl w:val="0"/>
          <w:numId w:val="25"/>
        </w:numPr>
        <w:rPr>
          <w:rFonts w:ascii="Arial" w:cs="Arial" w:eastAsia="Arial" w:hAnsi="Arial"/>
          <w:sz w:val="14"/>
          <w:szCs w:val="14"/>
          <w:color w:val="auto"/>
        </w:rPr>
      </w:pPr>
      <w:r>
        <w:rPr>
          <w:rFonts w:ascii="Arial" w:cs="Arial" w:eastAsia="Arial" w:hAnsi="Arial"/>
          <w:sz w:val="14"/>
          <w:szCs w:val="14"/>
          <w:color w:val="auto"/>
        </w:rPr>
        <w:t>successfully maintain and grow our relationships with existing and new brand partners, including continuing to maintain and grow our Share by RTR and Exclusive Design offerings;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avoid disruptions in acquiring and distributing our products and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be efficient in our paid marketing;</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maintain and enhance our reputation and the value of our brand;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hire, integrate and retain talented personnel across all levels of our organization;</w:t>
      </w:r>
    </w:p>
    <w:p>
      <w:pPr>
        <w:spacing w:after="0" w:line="93" w:lineRule="exact"/>
        <w:rPr>
          <w:rFonts w:ascii="Arial" w:cs="Arial" w:eastAsia="Arial" w:hAnsi="Arial"/>
          <w:sz w:val="14"/>
          <w:szCs w:val="14"/>
          <w:color w:val="auto"/>
        </w:rPr>
      </w:pPr>
    </w:p>
    <w:p>
      <w:pPr>
        <w:ind w:left="580" w:right="100" w:hanging="193"/>
        <w:spacing w:after="0" w:line="290" w:lineRule="auto"/>
        <w:tabs>
          <w:tab w:leader="none" w:pos="576" w:val="left"/>
        </w:tabs>
        <w:numPr>
          <w:ilvl w:val="0"/>
          <w:numId w:val="25"/>
        </w:numPr>
        <w:rPr>
          <w:rFonts w:ascii="Arial" w:cs="Arial" w:eastAsia="Arial" w:hAnsi="Arial"/>
          <w:sz w:val="14"/>
          <w:szCs w:val="14"/>
          <w:color w:val="auto"/>
        </w:rPr>
      </w:pPr>
      <w:r>
        <w:rPr>
          <w:rFonts w:ascii="Arial" w:cs="Arial" w:eastAsia="Arial" w:hAnsi="Arial"/>
          <w:sz w:val="14"/>
          <w:szCs w:val="14"/>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comply with existing and new laws and regulations applicable to our business;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successfully expand into new and penetrate existing geographic markets in the United States;</w:t>
      </w:r>
    </w:p>
    <w:p>
      <w:pPr>
        <w:spacing w:after="0" w:line="93" w:lineRule="exact"/>
        <w:rPr>
          <w:rFonts w:ascii="Arial" w:cs="Arial" w:eastAsia="Arial" w:hAnsi="Arial"/>
          <w:sz w:val="14"/>
          <w:szCs w:val="14"/>
          <w:color w:val="auto"/>
        </w:rPr>
      </w:pPr>
    </w:p>
    <w:p>
      <w:pPr>
        <w:ind w:left="580" w:right="220" w:hanging="193"/>
        <w:spacing w:after="0" w:line="290" w:lineRule="auto"/>
        <w:tabs>
          <w:tab w:leader="none" w:pos="576" w:val="left"/>
        </w:tabs>
        <w:numPr>
          <w:ilvl w:val="0"/>
          <w:numId w:val="25"/>
        </w:numPr>
        <w:rPr>
          <w:rFonts w:ascii="Arial" w:cs="Arial" w:eastAsia="Arial" w:hAnsi="Arial"/>
          <w:sz w:val="14"/>
          <w:szCs w:val="14"/>
          <w:color w:val="auto"/>
        </w:rPr>
      </w:pPr>
      <w:r>
        <w:rPr>
          <w:rFonts w:ascii="Arial" w:cs="Arial" w:eastAsia="Arial" w:hAnsi="Arial"/>
          <w:sz w:val="14"/>
          <w:szCs w:val="14"/>
          <w:color w:val="auto"/>
        </w:rPr>
        <w:t>successfully develop new offerings and innovate and enhance our existing offerings and their features, including in response to new trends, competitive dynamics or the needs of customers and subscribers;</w:t>
      </w:r>
    </w:p>
    <w:p>
      <w:pPr>
        <w:spacing w:after="0" w:line="35" w:lineRule="exact"/>
        <w:rPr>
          <w:rFonts w:ascii="Arial" w:cs="Arial" w:eastAsia="Arial" w:hAnsi="Arial"/>
          <w:sz w:val="14"/>
          <w:szCs w:val="14"/>
          <w:color w:val="auto"/>
        </w:rPr>
      </w:pPr>
    </w:p>
    <w:p>
      <w:pPr>
        <w:ind w:left="580" w:right="200" w:hanging="193"/>
        <w:spacing w:after="0" w:line="290" w:lineRule="auto"/>
        <w:tabs>
          <w:tab w:leader="none" w:pos="576" w:val="left"/>
        </w:tabs>
        <w:numPr>
          <w:ilvl w:val="0"/>
          <w:numId w:val="25"/>
        </w:numPr>
        <w:rPr>
          <w:rFonts w:ascii="Arial" w:cs="Arial" w:eastAsia="Arial" w:hAnsi="Arial"/>
          <w:sz w:val="14"/>
          <w:szCs w:val="14"/>
          <w:color w:val="auto"/>
        </w:rPr>
      </w:pPr>
      <w:r>
        <w:rPr>
          <w:rFonts w:ascii="Arial" w:cs="Arial" w:eastAsia="Arial" w:hAnsi="Arial"/>
          <w:sz w:val="14"/>
          <w:szCs w:val="14"/>
          <w:color w:val="auto"/>
        </w:rPr>
        <w:t>effectively manage growth of our business, personnel, and operations, including expanding our shipping and distribution capabilities and fulfillment center operations, as well as our logistics footprint and the number of facilities we operate in the future;</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effectively manage our costs related to our business and operations; and</w:t>
      </w:r>
    </w:p>
    <w:p>
      <w:pPr>
        <w:spacing w:after="0" w:line="93" w:lineRule="exact"/>
        <w:rPr>
          <w:rFonts w:ascii="Arial" w:cs="Arial" w:eastAsia="Arial" w:hAnsi="Arial"/>
          <w:sz w:val="14"/>
          <w:szCs w:val="14"/>
          <w:color w:val="auto"/>
        </w:rPr>
      </w:pPr>
    </w:p>
    <w:p>
      <w:pPr>
        <w:ind w:left="580" w:right="300" w:hanging="193"/>
        <w:spacing w:after="0" w:line="290" w:lineRule="auto"/>
        <w:tabs>
          <w:tab w:leader="none" w:pos="576"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avoid or manage interruptions in our business from information technology downtime, cybersecurity incidents and other factors that could affect our physical and digital infrastructure.</w:t>
      </w:r>
    </w:p>
    <w:p>
      <w:pPr>
        <w:spacing w:after="0" w:line="120"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results of operations.</w:t>
      </w:r>
    </w:p>
    <w:p>
      <w:pPr>
        <w:spacing w:after="0" w:line="138"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We also expect to continue to expend substantial financial and other resources to grow our business, and we may fail to allocate our resources in a manner that results in increased revenue growth in our business. Additionally, we may encounter unforeseen capital or operating expenses, difficulties, complications, delays, and other unknown factors that may result in losses in future periods and undermine our profitability goals. If our revenue growth does not meet our expectations in future periods, our business, financial condition, and results of operations may be harmed, and we may not achieve or sustain profitability in the future.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global fashion industry is highly competitive and rapidly changing, and we may not be able to compete effectively</w:t>
      </w:r>
      <w:r>
        <w:rPr>
          <w:rFonts w:ascii="Arial" w:cs="Arial" w:eastAsia="Arial" w:hAnsi="Arial"/>
          <w:sz w:val="14"/>
          <w:szCs w:val="14"/>
          <w:color w:val="auto"/>
        </w:rPr>
        <w:t>.</w:t>
      </w:r>
    </w:p>
    <w:p>
      <w:pPr>
        <w:spacing w:after="0" w:line="94" w:lineRule="exact"/>
        <w:rPr>
          <w:sz w:val="20"/>
          <w:szCs w:val="20"/>
          <w:color w:val="auto"/>
        </w:rPr>
      </w:pPr>
    </w:p>
    <w:p>
      <w:pPr>
        <w:ind w:right="420"/>
        <w:spacing w:after="0" w:line="290" w:lineRule="auto"/>
        <w:rPr>
          <w:sz w:val="20"/>
          <w:szCs w:val="20"/>
          <w:color w:val="auto"/>
        </w:rPr>
      </w:pPr>
      <w:r>
        <w:rPr>
          <w:rFonts w:ascii="Arial" w:cs="Arial" w:eastAsia="Arial" w:hAnsi="Arial"/>
          <w:sz w:val="14"/>
          <w:szCs w:val="14"/>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We believe our ability to compete effectively depends on many factors within and beyond our control, including:</w:t>
      </w:r>
    </w:p>
    <w:p>
      <w:pPr>
        <w:spacing w:after="0" w:line="94" w:lineRule="exact"/>
        <w:rPr>
          <w:sz w:val="20"/>
          <w:szCs w:val="20"/>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normalize fashion rental and change traditional retail shopping habits and norms;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how effectively differentiated our offerings, customer experience and value proposition are from those of our competitors;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how effectively we market and communicate how to use our Subscription, Reserve and Resale offerings and attract and retain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expand and maintain an appealing depth and breadth of our products to meet customer demand;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price at which we are able to offer our Subscription, Reserve and Resale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amount, diversity, and quality of brands that we or our competitors offer;</w:t>
      </w:r>
    </w:p>
    <w:p>
      <w:pPr>
        <w:spacing w:after="0" w:line="93" w:lineRule="exact"/>
        <w:rPr>
          <w:rFonts w:ascii="Arial" w:cs="Arial" w:eastAsia="Arial" w:hAnsi="Arial"/>
          <w:sz w:val="14"/>
          <w:szCs w:val="14"/>
          <w:color w:val="auto"/>
        </w:rPr>
      </w:pPr>
    </w:p>
    <w:p>
      <w:pPr>
        <w:ind w:left="580" w:right="200" w:hanging="193"/>
        <w:spacing w:after="0" w:line="290" w:lineRule="auto"/>
        <w:tabs>
          <w:tab w:leader="none" w:pos="5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acquire products on favorable and efficient terms, including our ability to attract new brand partners and retain existing brand partners in our Share by RTR and Exclusive Design programs;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speed and cost at which we can deliver products to our customers and the ease with which they can return our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effectiveness of our customer service;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further developing our data science capabilities for brand partners;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strength of our brand, including maintaining favorable brand recognition and effectively marketing our services and value proposition to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success of our reverse-logistics processes in delivering products in good condition to customers;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anticipating and successfully responding to changing apparel trends and consumer shopping preferences.</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Many competitors or potential competitors have or may have longer operating histories, greater brand recognition, better user experiences, stronger consumer and supplier relationships, less complicated business models, and significantly greater financial, marketing and other resources. In addition, they may be able to innovate and provide products and services faster and with more selection than we can, including as a result of their vertical integrations that better enables them to acquire market share. Certain fashion rental competitors have lower priced subscription offerings than we do and/or offer more items per shipment. In addition, competitors and potential competitors may be willing to price their products and services more aggressively in order to gain market share and be able to manufacture goods on a more cost-effective basis because they are vertically integrated, producing higher volumes, and/or have stronger relationships with manufacturing partners. In addition, brands set pricing for their own new retail items, which can include promotional discounts that may adversely affect the relative value of rental and/or resale items offered by us, and, in turn, our revenue, results of operations and financial condition. 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140" w:lineRule="exact"/>
        <w:rPr>
          <w:sz w:val="20"/>
          <w:szCs w:val="20"/>
          <w:color w:val="auto"/>
        </w:rPr>
      </w:pPr>
    </w:p>
    <w:p>
      <w:pPr>
        <w:ind w:right="500"/>
        <w:spacing w:after="0" w:line="290" w:lineRule="auto"/>
        <w:rPr>
          <w:sz w:val="20"/>
          <w:szCs w:val="20"/>
          <w:color w:val="auto"/>
        </w:rPr>
      </w:pPr>
      <w:r>
        <w:rPr>
          <w:rFonts w:ascii="Arial" w:cs="Arial" w:eastAsia="Arial" w:hAnsi="Arial"/>
          <w:sz w:val="14"/>
          <w:szCs w:val="14"/>
          <w:color w:val="auto"/>
        </w:rPr>
        <w:t>Our inability to respond effectively to competitive pressures, improved performance by our competitors, failure to achieve broad acceptance and changes in the fashion retail markets could result in lost market share and have a material adverse effect on our business, financial condition, and results of operations.</w:t>
      </w:r>
    </w:p>
    <w:p>
      <w:pPr>
        <w:spacing w:after="0" w:line="207" w:lineRule="exact"/>
        <w:rPr>
          <w:sz w:val="20"/>
          <w:szCs w:val="20"/>
          <w:color w:val="auto"/>
        </w:rPr>
      </w:pPr>
    </w:p>
    <w:p>
      <w:pPr>
        <w:ind w:right="740"/>
        <w:spacing w:after="0" w:line="299" w:lineRule="auto"/>
        <w:rPr>
          <w:sz w:val="20"/>
          <w:szCs w:val="20"/>
          <w:color w:val="auto"/>
        </w:rPr>
      </w:pPr>
      <w:r>
        <w:rPr>
          <w:rFonts w:ascii="Arial" w:cs="Arial" w:eastAsia="Arial" w:hAnsi="Arial"/>
          <w:sz w:val="14"/>
          <w:szCs w:val="14"/>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4"/>
          <w:szCs w:val="14"/>
          <w:color w:val="auto"/>
        </w:rPr>
        <w:t>.</w:t>
      </w:r>
    </w:p>
    <w:p>
      <w:pPr>
        <w:spacing w:after="0" w:line="21"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We are subject to variable industry and global economic conditions and their impact on consumer discretionary spending. Some of the factors that may negatively influence consumer spending include high levels of unemployment; recession; higher consumer debt levels; inflation;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due to the recent volatile macroeconomic environment and have seen negative impacts on customer demand at varying levels as a result.</w:t>
      </w:r>
    </w:p>
    <w:p>
      <w:pPr>
        <w:spacing w:after="0" w:line="14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Furthermore, increases in consumer discretionary spending tend to fluctuate and may decrease, particularly if there is a recession and/or higher inflation leading to increased price sensitivity. Economic conditions in certain regions may also be affected by natural disasters, such as hurricanes, tropical storms, earthquakes, and wildfires; other public health crises; wars, terrorism and political tensions; and other major unforeseen events. Although we believe the value proposition of our offering and business model may be strengthened in an inflationary environment where the cost of purchasing clothing and accessories increases, consumer purchases or rental of discretionary items, including the products that we offer, frequently decline during recessionary periods or periods of economic uncertainty, when disposable income is reduced or when there is a reduction in consumer confidence.</w:t>
      </w:r>
    </w:p>
    <w:p>
      <w:pPr>
        <w:spacing w:after="0" w:line="140"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Additionally, adverse economic changes could reduce consumer confidence, and could thereby negatively affect our operating results. In the event of a prolonged economic downturn or acute recession, significant inflation, or increased supply chain shortages, consumer spending habits could be adversely affected, and we could experience lower than expected revenue, net income, and Adjusted EBITDA. In challenging and uncertain economic environments, we cannot predict the degree of uncertainty, whether or when such circumstances may improve or worsen or what impact such circumstances could have on our business. Any of these developments could harm our business, financial condition and results of operations.</w:t>
      </w:r>
    </w:p>
    <w:p>
      <w:pPr>
        <w:spacing w:after="0" w:line="227"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b w:val="1"/>
          <w:bCs w:val="1"/>
          <w:i w:val="1"/>
          <w:iCs w:val="1"/>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r>
        <w:rPr>
          <w:rFonts w:ascii="Arial" w:cs="Arial" w:eastAsia="Arial" w:hAnsi="Arial"/>
          <w:sz w:val="14"/>
          <w:szCs w:val="14"/>
          <w:b w:val="1"/>
          <w:bCs w:val="1"/>
          <w:color w:val="auto"/>
        </w:rPr>
        <w:t>.</w:t>
      </w:r>
    </w:p>
    <w:p>
      <w:pPr>
        <w:spacing w:after="0" w:line="21"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The growth of our business is dependent upon our ability to continue to grow by cost-effectively adding new customers and retaining existing customers. Historically, a substantial portion of new customer acquisition has originated from organic word-of-mouth and other non-paid referrals. In fiscal year 2022, as we increased paid marketing spend, we saw an increase in the proportion of new customers attributed to paid channels. Our current marketing initiatives are focused on re-engaging lapsed and paused customers, retaining existing customers and growing our base of new customers. Although we expect to make significant investments in improving the customer experience going forward, these investments may not result in an increase in customer loyalty or higher customer engagement. As a result, our levels of paid and organic growth may continue to fluctuate and/or overall growth may decline.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363"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Paid marketing is a key part of our growth strategy. During 2023, we have increased our spending; however, we allocated a portion of our budgeted marketing expense to rental product purchases in the second half of 2023, which we believe negatively impacted subscriber acquisition in the third quarter of 2023 and, which we expect to negatively impact subscriber acquisition in the fourth quarter of 2023. We also utilize promotional pricing to attract customers and subscribers who may have heightened price sensitivity and not be willing to pay full price for our offering when the promotion period expires. In the third quarter of 2023, we reduced promotional pricing for Subscription, which negatively impacted subscriber acquisition. However, we believe that being less promotional going forward will enhance retention and customer experience and is in the best interest of the long-term health of the business. This approach may not be successful or sustainable and is likely to result in lower subscriber acquisition in the short term. In addition, it’s likely that we will conduct additional experiments and may make changes to our promotions strategy in the future, depending on market conditions and other factors, We may incur marketing expenses significantly in advance of the time we anticipate recognized revenue associated with such expenses. In addition, our paid marketing may be unsuccessful for various reasons, including not effectively reaching potential customers or being cost-effective, changes in regulations or third-party interference could limit the ability of search engines and social media platforms for marketing, potential customers may decide not to rent through our platform or the spend of new customers may not yield the intended return on investment, any of which could negatively affect our results of operations.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 addition, customer preferences may change and customers may not rent through our platform as frequently or spend as much with us. We strive to drive conversion of new subscribers from current and former customers; however, if their behavior changes or they are not satisfied with our offering for any reason, our ability to grow subscribers may be impacted. If we are not able to continue to expand our customer base through cost-effective methods, we may not meet our revenue and profitability goals, our revenue may grow slower than expected or decline, and investors may lose confidence in our business. Relatedly, an inability to attract and retain customers could harm our ability to attract and retain brand partners, who may decide to partner with alternative platforms.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retain customers, our business, financial condition, and results of operations would be harmed</w:t>
      </w:r>
      <w:r>
        <w:rPr>
          <w:rFonts w:ascii="Arial" w:cs="Arial" w:eastAsia="Arial" w:hAnsi="Arial"/>
          <w:sz w:val="14"/>
          <w:szCs w:val="14"/>
          <w:color w:val="auto"/>
        </w:rPr>
        <w:t>.</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A high proportion of our revenue comes from longer-tenured subscribers. A decrease in the number of customers, their tenures with us, and/or a reduction in the amount customers spend on our offerings could negatively affect our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Our number of customers and the amounts they spend on our offerings may decline materially or fluctuate as a result of many factors, including, among other things:</w:t>
      </w:r>
    </w:p>
    <w:p>
      <w:pPr>
        <w:spacing w:after="0" w:line="94" w:lineRule="exact"/>
        <w:rPr>
          <w:sz w:val="20"/>
          <w:szCs w:val="20"/>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quality, consumer appeal, price, and reliability of our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dissatisfaction with changes we make to our offerings and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perceived value of our offerings, especially in response to price increases and changes in the macroeconomic environment;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ability to quality control the products delivered to our customers and their fit;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ensuring on-time delivery of orders;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ease with which customers can find items they are looking for, including the effectiveness of our search and discovery tools and rental product availability;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performance of our website and mobile app, including site speed and reliability;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 negative customer service experience;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intense competition in the fashion industry;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negative publicity that impacts our brand and reputation;</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in consumer preferences regarding the use of pre-loved apparel;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lack of market acceptance of our business model;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unpredictable nature of the continued impact of COVID-19 or a future outbreak of disease or similar public health concern;</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363" w:lineRule="exact"/>
        <w:rPr>
          <w:sz w:val="20"/>
          <w:szCs w:val="20"/>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failure (or perceived failure) to meet customer expectations regarding our environmental, social and governance (“ESG”), initiatives;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in efficiency of our historic or current customer acquisition methods.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If existing customers no longer find our offerings and products appealing, appropriately priced or easy to use, or if we are unable to provide high-quality support to customers to help them resolve issues in a timely and acceptable manner, they may stop using our offerings, negative publicity may be generated and word-of-mouth and other referrals may be hampered. If our customers no longer perceive our subscription plans as appropriately priced and cancel or pause their subscriptions, our business and financial results could be harmed. We are focused on investing in our customer and delivering even more value to her, including by adding an extra item to each shipment beginning in the first quarter of fiscal year 2023, increasing the depth and breadth of our rental product selection, and emphasizing the value proposition of our offering in our marketing materials; however these or other initiatives to retain customers may not be successful at improving customer satisfaction, subscriber retention and/or revenues and may require additional costs or lead to</w:t>
      </w:r>
    </w:p>
    <w:p>
      <w:pPr>
        <w:spacing w:after="0" w:line="3" w:lineRule="exact"/>
        <w:rPr>
          <w:sz w:val="20"/>
          <w:szCs w:val="20"/>
          <w:color w:val="auto"/>
        </w:rPr>
      </w:pPr>
    </w:p>
    <w:p>
      <w:pPr>
        <w:ind w:right="460"/>
        <w:spacing w:after="0" w:line="229" w:lineRule="auto"/>
        <w:rPr>
          <w:sz w:val="20"/>
          <w:szCs w:val="20"/>
          <w:color w:val="auto"/>
        </w:rPr>
      </w:pPr>
      <w:r>
        <w:rPr>
          <w:rFonts w:ascii="Arial" w:cs="Arial" w:eastAsia="Arial" w:hAnsi="Arial"/>
          <w:sz w:val="14"/>
          <w:szCs w:val="14"/>
          <w:color w:val="auto"/>
        </w:rPr>
        <w:t>unanticipated consequences. Even if our existing customers continue to find our offerings and products appealing and our customer service satisfactory, they may decide to downgrade to a less frequent, lower cost subscription and/or rent fewer items due to price sensitivity and/or changing demand or other reasons. If customers downgrade their</w:t>
      </w:r>
    </w:p>
    <w:p>
      <w:pPr>
        <w:spacing w:after="0"/>
        <w:rPr>
          <w:sz w:val="20"/>
          <w:szCs w:val="20"/>
          <w:color w:val="auto"/>
        </w:rPr>
      </w:pPr>
      <w:r>
        <w:rPr>
          <w:rFonts w:ascii="Arial" w:cs="Arial" w:eastAsia="Arial" w:hAnsi="Arial"/>
          <w:sz w:val="14"/>
          <w:szCs w:val="14"/>
          <w:color w:val="auto"/>
        </w:rPr>
        <w:t>subscriptions or make fewer or lower priced rentals, our financial results could be negatively affected.</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history of losses, and we may be unable to achieve or sustain profitability</w:t>
      </w:r>
      <w:r>
        <w:rPr>
          <w:rFonts w:ascii="Arial" w:cs="Arial" w:eastAsia="Arial" w:hAnsi="Arial"/>
          <w:sz w:val="14"/>
          <w:szCs w:val="14"/>
          <w:color w:val="auto"/>
        </w:rPr>
        <w:t>.</w:t>
      </w:r>
    </w:p>
    <w:p>
      <w:pPr>
        <w:spacing w:after="0" w:line="94"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We had a net loss of $(88.4) million and $(138.7) million for the nine months ended October 31, 2023 and year ended January 31, 2023, respectively, and have in the past had net losses. As of October 31, 2023, we had an accumulated deficit of $(1,028.3)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spacing w:after="0" w:line="138"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Our ability to generate profit depends on our ability to grow customers and revenue and drive operational efficiencies in our business to generate better margins. In fiscal years 2022 and 2023, we have taken significant steps to reduce our operating costs, improve our margins, and make progress towards profitability, which is an important financial goal for us over time. Nevertheless, our efforts may be unsuccessful and we may continue to generate net losses in order to:</w:t>
      </w:r>
    </w:p>
    <w:p>
      <w:pPr>
        <w:spacing w:after="0" w:line="49" w:lineRule="exact"/>
        <w:rPr>
          <w:sz w:val="20"/>
          <w:szCs w:val="20"/>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acquire rental product, which impacts rental product depreciation and revenue share expenses;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fulfill customer orders and provide customer service;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increase the engagement, enhance retention and improve the experience, of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drive customer acquisition and brand awareness through marketing and promotional initiatives;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invest in technology, including to enhance our website and mobile offerings and functionality;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attract, motivate and retain our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develop new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generally support a larger customer base;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invest in our operations, including our logistics fulfillment, capacity and footprint, and other capital expenditures to support the growth in our business.</w:t>
      </w:r>
    </w:p>
    <w:p>
      <w:pPr>
        <w:spacing w:after="0" w:line="179"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We may discover unanticipated costs or that these initiatives are more expensive than we currently anticipate, and we may not succeed in increasing our revenue sufficiently to offset these expenses or realize the operating efficiencies and profitability we anticipate. We also expect to face greater compliance costs over time associated with the increased scope of our business and being a public company. If we are not able to adequately increase revenue or manage operating costs or due to other factors outside of our control, we may continue to incur net losses and not be able to achieve or sustain profitability in the near term or at all. If we are unable to achieve or sustain profitability, the value of our business and the trading price of our Class A common stock may be negatively impacted.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anticipate and respond successfully to new and changing fashion trends and consumer preferences, our business could be harmed</w:t>
      </w:r>
      <w:r>
        <w:rPr>
          <w:rFonts w:ascii="Arial" w:cs="Arial" w:eastAsia="Arial" w:hAnsi="Arial"/>
          <w:sz w:val="14"/>
          <w:szCs w:val="14"/>
          <w:color w:val="auto"/>
        </w:rPr>
        <w:t>.</w:t>
      </w:r>
    </w:p>
    <w:p>
      <w:pPr>
        <w:spacing w:after="0" w:line="94"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and design decisions may make it difficult for us to respond rapidly to new or changing apparel trends or customer acceptance of products chosen by us. We generally enter into contracts with our designer brand partners in advance of anticipated rentals and typically before apparel trends are confirmed by customer rentals.</w:t>
      </w:r>
    </w:p>
    <w:p>
      <w:pPr>
        <w:spacing w:after="0" w:line="148" w:lineRule="exact"/>
        <w:rPr>
          <w:sz w:val="20"/>
          <w:szCs w:val="20"/>
          <w:color w:val="auto"/>
        </w:rPr>
      </w:pPr>
    </w:p>
    <w:p>
      <w:pPr>
        <w:ind w:right="160"/>
        <w:spacing w:after="0" w:line="244" w:lineRule="auto"/>
        <w:rPr>
          <w:sz w:val="20"/>
          <w:szCs w:val="20"/>
          <w:color w:val="auto"/>
        </w:rPr>
      </w:pPr>
      <w:r>
        <w:rPr>
          <w:rFonts w:ascii="Arial" w:cs="Arial" w:eastAsia="Arial" w:hAnsi="Arial"/>
          <w:sz w:val="14"/>
          <w:szCs w:val="14"/>
          <w:color w:val="auto"/>
        </w:rPr>
        <w:t>We have not always predicted our customers’ preferences and acceptance levels of our products with accuracy. For example, during the second quarter of fiscal year 2022, there was higher than expected usage of high formality apparel, which may have constrained the availability of these items and our ability to meet demand. In addition, external events may disrupt or change customer preferences and behaviors in ways we are not able to anticipate. In addition, during the second quarter of 2023, lower rental product depth levels negatively impacted active subscribers, particularly new subscribers, and our strategy to improve rental product depth levels and, as a result, improve customer satisfaction and retention, may be unsuccessful. We have observed that our customers live, work, socialize and travel differently than they did prior to the COVID-19 pandemic and this influences what they wear.</w:t>
      </w:r>
    </w:p>
    <w:p>
      <w:pPr>
        <w:spacing w:after="0" w:line="153"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38" w:lineRule="exact"/>
        <w:rPr>
          <w:sz w:val="20"/>
          <w:szCs w:val="20"/>
          <w:color w:val="auto"/>
        </w:rPr>
      </w:pPr>
    </w:p>
    <w:p>
      <w:pPr>
        <w:ind w:right="380"/>
        <w:spacing w:after="0" w:line="271" w:lineRule="auto"/>
        <w:rPr>
          <w:sz w:val="20"/>
          <w:szCs w:val="20"/>
          <w:color w:val="auto"/>
        </w:rPr>
      </w:pPr>
      <w:r>
        <w:rPr>
          <w:rFonts w:ascii="Arial" w:cs="Arial" w:eastAsia="Arial" w:hAnsi="Arial"/>
          <w:sz w:val="14"/>
          <w:szCs w:val="14"/>
          <w:color w:val="auto"/>
        </w:rPr>
        <w:t>Further, although we use our data and business insights to predict our customers’ preferences and gauge demand for our products, there is no guarantee that our data and business insights will accurately anticipate demand. To the extent we misjudge the market for the service we offer or fail to execute on trends and deliver attractive products to customers, we may not attract and retain customers effectively and our operating results will be adversely affected.</w:t>
      </w:r>
    </w:p>
    <w:p>
      <w:pPr>
        <w:spacing w:after="0" w:line="221" w:lineRule="exact"/>
        <w:rPr>
          <w:sz w:val="20"/>
          <w:szCs w:val="20"/>
          <w:color w:val="auto"/>
        </w:rPr>
      </w:pPr>
    </w:p>
    <w:p>
      <w:pPr>
        <w:ind w:right="280"/>
        <w:spacing w:after="0" w:line="299" w:lineRule="auto"/>
        <w:rPr>
          <w:sz w:val="20"/>
          <w:szCs w:val="20"/>
          <w:color w:val="auto"/>
        </w:rPr>
      </w:pPr>
      <w:r>
        <w:rPr>
          <w:rFonts w:ascii="Arial" w:cs="Arial" w:eastAsia="Arial" w:hAnsi="Arial"/>
          <w:sz w:val="14"/>
          <w:szCs w:val="14"/>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4"/>
          <w:szCs w:val="14"/>
          <w:color w:val="auto"/>
        </w:rPr>
        <w:t>.</w:t>
      </w:r>
    </w:p>
    <w:p>
      <w:pPr>
        <w:spacing w:after="0" w:line="117"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We currently rely on several third-party national and regional shipping vendors for our outbound and inbound logistics. However, a substantial portion of our shipments to and from customers are currently conducted through a single vendor, a major national carrier, and we are in the process of transitioning nearly all of our non-same day outbound shipping and</w:t>
      </w:r>
    </w:p>
    <w:p>
      <w:pPr>
        <w:spacing w:after="0" w:line="1"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home pick up services to this vendor over the next several months, which we anticipate will provide customer experience advantages and cost savings over time. The transition of these services may not be successfully implemented and there are risks associated with increasing our dependence on a single vendor. Further, we cannot predict how this change or future changes and transitions may impact our costs and our customer sentiment and satisfaction and this change will increase our reliance on this vendor.</w:t>
      </w:r>
    </w:p>
    <w:p>
      <w:pPr>
        <w:spacing w:after="0" w:line="151"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Additionally, our business relies on the successful management of reverse logistics needed to ingest, clean, and restock returned items quickly and efficiently in order to offer them for rental or resale to other customers. If we are not able to maintain appropriate staffing levels or negotiate acceptable pricing and other terms with third-party vendors or they experience performance problems or other difficulties, our operating results and customers’ experience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67" w:lineRule="exact"/>
        <w:rPr>
          <w:sz w:val="20"/>
          <w:szCs w:val="20"/>
          <w:color w:val="auto"/>
        </w:rPr>
      </w:pPr>
    </w:p>
    <w:p>
      <w:pPr>
        <w:ind w:right="100"/>
        <w:spacing w:after="0"/>
        <w:rPr>
          <w:sz w:val="20"/>
          <w:szCs w:val="20"/>
          <w:color w:val="auto"/>
        </w:rPr>
      </w:pPr>
      <w:r>
        <w:rPr>
          <w:rFonts w:ascii="Arial" w:cs="Arial" w:eastAsia="Arial" w:hAnsi="Arial"/>
          <w:sz w:val="14"/>
          <w:szCs w:val="14"/>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or on time, they could become dissatisfied and cease using our services, which would adversely affect our business and operating results. Our shipping vendors have faced and may continue to face increased volumes which, in turn, has caused and could in the future cause a decrease in their service levels, including shipping delays, or result in an increase in their prices. We have experienced increased shipping costs in recent years, and these costs may increase in the future. In addition, although we have achieved efficiencies in our supply chain operations in recent years, these efficiencies may not be</w:t>
      </w:r>
    </w:p>
    <w:p>
      <w:pPr>
        <w:spacing w:after="0" w:line="3"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sustainable or meet our broader business objectives. Increases in shipping costs, in particular for our primary shipping vendor, could result in increased costs to us and adversely impact our business. In addition, significant shipping difficulties or disruptions or any failure by our brand partners or third-party carriers to deliver high-quality products to us or to our</w:t>
      </w:r>
    </w:p>
    <w:p>
      <w:pPr>
        <w:spacing w:after="0"/>
        <w:rPr>
          <w:sz w:val="20"/>
          <w:szCs w:val="20"/>
          <w:color w:val="auto"/>
        </w:rPr>
      </w:pPr>
      <w:r>
        <w:rPr>
          <w:rFonts w:ascii="Arial" w:cs="Arial" w:eastAsia="Arial" w:hAnsi="Arial"/>
          <w:sz w:val="14"/>
          <w:szCs w:val="14"/>
          <w:color w:val="auto"/>
        </w:rPr>
        <w:t>customers, as applicable, in a timely manner or to otherwise adequately serve our customers could damage our reputation and brand and may substantially harm our business.</w:t>
      </w:r>
    </w:p>
    <w:p>
      <w:pPr>
        <w:spacing w:after="0" w:line="165"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In addition to offering the ability to return products by dropping off items with third-party shipping vendors, we offer at-home pickup for customers located in multiple markets. We believe at-home pickup is more convenient for many customers and is more cost-effective for us. Although we have had positive customer feedback and adoption to date, at-home pickup is a newer offering and may not be successful over the long-term, particularly as we transition carriers. In the event that we do not successfully and cost-effectively manage at-home pickup logistics, it will make it more difficult for us to satisfy our customers and efficiently manage shipping costs, which will negatively affect our brand, financial condition and results of operations.</w:t>
      </w:r>
    </w:p>
    <w:p>
      <w:pPr>
        <w:spacing w:after="0" w:line="227" w:lineRule="exact"/>
        <w:rPr>
          <w:sz w:val="20"/>
          <w:szCs w:val="20"/>
          <w:color w:val="auto"/>
        </w:rPr>
      </w:pPr>
    </w:p>
    <w:p>
      <w:pPr>
        <w:ind w:right="280"/>
        <w:spacing w:after="0" w:line="299" w:lineRule="auto"/>
        <w:rPr>
          <w:sz w:val="20"/>
          <w:szCs w:val="20"/>
          <w:color w:val="auto"/>
        </w:rPr>
      </w:pPr>
      <w:r>
        <w:rPr>
          <w:rFonts w:ascii="Arial" w:cs="Arial" w:eastAsia="Arial" w:hAnsi="Arial"/>
          <w:sz w:val="14"/>
          <w:szCs w:val="14"/>
          <w:b w:val="1"/>
          <w:bCs w:val="1"/>
          <w:i w:val="1"/>
          <w:iCs w:val="1"/>
          <w:color w:val="auto"/>
        </w:rPr>
        <w:t>If we are unable to accurately forecast customer demand, acquire and manage our products effectively and plan for future expenses, our operating results could be adversely affected.</w:t>
      </w:r>
    </w:p>
    <w:p>
      <w:pPr>
        <w:spacing w:after="0" w:line="21"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We are vulnerable to demand and pricing shifts and to suboptimal selection and timing of product purchases. We obtain substantially all of our products directly from hundreds of brand partners through three key ways: 1) Wholesale, 2) Share by RTR, and 3) Exclusive Designs. For our business to be successful and have sufficient product to meet consumer demand, our brand and manufacturing partners must be willing and able to provide us with products in specific quantities and styles of sufficient quality, in compliance with regulatory requirements, at acceptable costs and payment schedules and on a timely basis. We typically do not enter into long-term contracts with our brand and manufacturing partners and, as such, we operate without significant contractual assurances of continued supply, pricing or access to products. Although we believe we have had limited voluntary attrition of brand partners to date, a brand partner could choose to no longer work with us or provide less favorable terms for a variety of reasons, including current operating, financial, market and supply chain conditions.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 relationships.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have been focused on expanding our relationships with brand partners and continuing to work to increase the proportion of our products procured under Exclusive Designs and Share by RTR arrangements, which are our more capital-efficient ways of acquiring rental product. For our Exclusive Designs, RTR generally sources the materials and relies upon third-party manufacturing partners to produce products. For Wholesale and Share by RTR items, entering into contracts in advance of a particular season requires brand partners to agree to incur costs related to sourcing and manufacturing products before we have paid for them, which requires the brand partners to continue to trust us. If we were viewed as less financially viable by our brand partners and/or their financing partners or factoring companies, we may receive less favorable terms and conditions from our brand partners, including requiring upfront payments or other demonstrations of credit. The cash flow benefits we currently experience from our brand partners’ willingness to revenue share could be adversely affected if revenue share terms change or if brand partners no longer wish to revenue share due to (1) lack of trust in us, (2) lack of revenue earned in comparison to the projections we provided, or (3) their inability to continue to spread their earnings out over the time period that the products are earning revenue on our website, among other reasons. For our Exclusive Design arrangements, we must continue to increase the number of brand partners with whom we work, design an assortment of styles that meet customer demand, maintain and enhance our third-party manufacturing capabilities and partner relationships and ensure the products manufactured meets brand partners’, customers’ and our quality standards. Our ability to obtain a sufficient selection or volume of products on a timely basis at competitive prices could suffer as a result of any deterioration or change in our partner relationships or events that adversely affect them and, in turn, could have a material adverse effect on our business.</w:t>
      </w:r>
    </w:p>
    <w:p>
      <w:pPr>
        <w:spacing w:after="0" w:line="146"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We also procure and manufacture products outside of the United States. Global sourcing and foreign trade involve numerous factors and uncertainties beyond our control including increased shipping costs, limitations in factory capacity, the imposition of additional import or trade restrictions, including legal or economic restrictions on overseas brand partners’ or manufacturers’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economic uncertainties in the countries from which we or our brand partners source our products. Future extended disruptions in travel may limit our ability to source products in-person, which may lead to suboptimal products and harm our business. For the next several quarters, we anticipate facing, and having to address challenges relating to, economic uncertainty and trends that may also impact our business operations, including transportation efficiencies. Additionally, oil supply disruptions related to Russia’s invasion of Ukraine led and could continue to lead to increased fuel and shipping prices. Further, certain trade restrictions related to the Xinjiang region of China that impose a ban on virtually all imports from that region could affect the sourcing and availability of raw materials, such as cotton, used in the manufacturing of certain products and lead to our products and materials and those of our brand and/or manufacturing partners being held for inspection by the United States Customs &amp; Border Patrol and delayed or rejected for entry, which could adversely impact the customer experience and our business. In addition, negative press or consumer sentiment about internationally sourced products may lead to reduced demand for our products. These and other issues affecting our international brand partners, manufacturers or internationally sourced products could have a material adverse effect on our business, financial condition, and results of operations.</w:t>
      </w:r>
    </w:p>
    <w:p>
      <w:pPr>
        <w:spacing w:after="0" w:line="144"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We also rely on our merchandising team to order styles that our customers will rent and we rely on our data to inform the levels of and which products we purchase, including when to reorder items that are renting well and when to sell or write-off items that are not renting well. As has occurred in the past, if our teams do not predict customer demand and tastes well or if our algorithms do not help us reorder the right products or write off the right products timely, we may not effectively manage our products and our operating results could be adversely affected.</w:t>
      </w:r>
    </w:p>
    <w:p>
      <w:pPr>
        <w:spacing w:after="0" w:line="138"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4"/>
          <w:szCs w:val="14"/>
          <w:color w:val="auto"/>
        </w:rPr>
        <w:t>.</w:t>
      </w:r>
    </w:p>
    <w:p>
      <w:pPr>
        <w:spacing w:after="0" w:line="2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Maintaining and enhancing our appeal and reputation as a stylish, revolutionary and trusted brand is critical to attracting and retaining customers and brand partners. The successful promotion of our brand and awareness of our offerings and products depends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depends largely on our ability to provide a compelling customer value proposition for our rental and resale offerings and continued customer engagement and word of mouth organic marketing. Our efforts to improve our customer experience may not be successful. In addition, brand promotion activities may not yield increased revenue, and even if they do, the increased revenue may not offset the expenses we incur in promoting and maintaining our brand and reputation.</w:t>
      </w:r>
    </w:p>
    <w:p>
      <w:pPr>
        <w:spacing w:after="0" w:line="142"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Furthermore, whether accurate or not, negative publicity about our business, operations, or employees, and customer complaints could harm our reputation, customer trust and referrals of our services, brand partner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140"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If we fail to maintain, protect, and enhance our brand successfully or to maintain and grow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207" w:lineRule="exact"/>
        <w:rPr>
          <w:sz w:val="20"/>
          <w:szCs w:val="20"/>
          <w:color w:val="auto"/>
        </w:rPr>
      </w:pPr>
    </w:p>
    <w:p>
      <w:pPr>
        <w:ind w:right="620"/>
        <w:spacing w:after="0" w:line="299" w:lineRule="auto"/>
        <w:rPr>
          <w:sz w:val="20"/>
          <w:szCs w:val="20"/>
          <w:color w:val="auto"/>
        </w:rPr>
      </w:pPr>
      <w:r>
        <w:rPr>
          <w:rFonts w:ascii="Arial" w:cs="Arial" w:eastAsia="Arial" w:hAnsi="Arial"/>
          <w:sz w:val="14"/>
          <w:szCs w:val="14"/>
          <w:b w:val="1"/>
          <w:bCs w:val="1"/>
          <w:i w:val="1"/>
          <w:iCs w:val="1"/>
          <w:color w:val="auto"/>
        </w:rPr>
        <w:t>If we are not able to improve our website and mobile app performance, keep pace with technological changes, enhance our current offerings, and develop new offerings to respond to the changing needs of partners and customers, our business, financial performance, and growth may be harmed</w:t>
      </w:r>
      <w:r>
        <w:rPr>
          <w:rFonts w:ascii="Arial" w:cs="Arial" w:eastAsia="Arial" w:hAnsi="Arial"/>
          <w:sz w:val="14"/>
          <w:szCs w:val="14"/>
          <w:color w:val="auto"/>
        </w:rPr>
        <w:t>.</w:t>
      </w:r>
    </w:p>
    <w:p>
      <w:pPr>
        <w:spacing w:after="0" w:line="21"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Our industry is characterized by rapidly changing technology, new service and product introductions, and changing customer demands and preferences, and we are not able to predict the effect of these changes on our business. In addition, we believe that our future success depends, in part, on our ability to anticipate and respond effectively to new technology disruption and developments. These may include new software applications or related services based on artificial intelligence (such as our AI search beta launch), machine learning, or robotics. For example, we are currently focused on improving the performance of our website and mobile application for our customers, including increasing site speed and reliability and enhancing search and discovery; however, our efforts may be unsuccessful. The technologies that we currently use to support our business platform may become inadequate or obsolete, and the cost of incorporating new technologies into our offerings and services may be substantial.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enhance and drive efficiencies in our operations, our business, results of operations and financial condition could be harmed.</w:t>
      </w:r>
    </w:p>
    <w:p>
      <w:pPr>
        <w:spacing w:after="0" w:line="143"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offer or will offer in the future.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Additionally, as we invest in and experiment with new offerings or changes to our platform, our partners and customers may find these changes to be disruptive and may perceive them negatively. For example, in 2021, we phased out our “unlimited swaps” subscription plan and shifted to our current subscription plans with different price points based on usage. In addition, our at-home pickup offering offers customers in certain markets a new way to return their items without going to a physical drop off location. In March 2023, we changed our subscription programs to provide customers with one additional item per shipment at no extra charge, which is intended to provide more value to our customers and increase retention. These new plans and offerings do not have demonstrably long track records of success for us and could result in higher fulfillment costs and lower gross margins, higher product spend, and/or other unforeseen impacts on the business.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changes to subscription plans or new offerings may have lower margins than we anticipate or than existing offerings, and our revenue from new offerings may not be enough to offset the cost of developing and maintaining them, which could adversely affect our business, financial performance, and growth.</w:t>
      </w:r>
    </w:p>
    <w:p>
      <w:pPr>
        <w:spacing w:after="0" w:line="231"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rely heavily on the Internet, in-house proprietary technology, third-party software and infrastructure, and customized off-the-shelf technology solutions across our business (collectively, our “IT Systems”). Our ability to effectively manage all areas of our business, particularly our product management and fulfillment operations, depends significantly on the reliability and capacity of these systems. We are critically dependent on the integrity, connectivity, security and consistent operations of our IT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similar outages or other disruptions may occur in the future, which could harm our ability to meet customer expectations, fulfill orders, manage our products, and achieve our objectives for operating efficiencies and profitability.</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The technology underlying our platform is highly interconnected and complex and, we detect bugs, errors, and vulnerabilities from time to time in the ordinary course of business. Because of the complexity of our technology, it is likely to contain additional undetected bugs, errors or vulnerabilities, some of which may have a material adverse effect on our business or operations. Due to the interconnected nature of the software underlying our platform, updates to parts of our code, third-party code, and application programming interfaces, on which we rely and that maintain the functionality of our systems, could have an unintended impact on other sections of our code, which may result in errors or vulnerabilities to our platform that negatively impact the customer experience and functionality of our offerings. In some cases, such as our mobile application, certain errors are only able to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systems are increasingly reliant on machine learning systems, which are complex and may have errors or inadequacies that are not easily detectable. These systems may inadvertently reduce the efficiency of our systems, or may cause unintentional or unexpected outputs that are incorrect, do not match our business goals, do not comply with our policies, or otherwise are inconsistent with our brand, guiding principles and mission. Any errors or vulnerabilities discovered in our code or IT Systems generally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significant technology disruption or failure, cyberattack or data security incident could adversely affect our business, financial condition and operations</w:t>
      </w:r>
      <w:r>
        <w:rPr>
          <w:rFonts w:ascii="Arial" w:cs="Arial" w:eastAsia="Arial" w:hAnsi="Arial"/>
          <w:sz w:val="14"/>
          <w:szCs w:val="14"/>
          <w:color w:val="auto"/>
        </w:rPr>
        <w:t>.</w:t>
      </w:r>
    </w:p>
    <w:p>
      <w:pPr>
        <w:spacing w:after="0" w:line="94"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Our ability to effectively manage our business, particularly our product management, order and fulfillment operations, depends significantly on the reliability and capacity of the Internet and our IT Systems. We also collect, process and store sensitive and confidential information, including our proprietary business information and information regarding our customers, employees, suppliers and business partners, including personally identifiable information. The secure processing, maintenance and transmission of this information is critical to our operations. Our IT Systems and those of our service providers and business partners may be subject to damage or interruption from cyber attacks,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identify, detect, prevent, or recover from data corruption or loss or long-term network or operational outages. In addition, we upgrade our existing IT Systems and incorporate new technology systems from time to time in order for such systems to support the needs of our business. Costs and potential problems and interruptions associated with the implementation of new or upgraded systems and technology or with maintenance or adequate support of existing systems could disrupt or reduce the efficiency of our operations. In addition, our failure to implement upgrades to our IT systems, whether due to cost savings or resource constraints, failure to identify the need or other reasons, could negatively impact our business.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Despite various security measures that have been implemented, our IT Systems and those of our third-party service providers and business partners are vulnerable to security incidents, attacks by hackers, acts of vandalism, malware, social engineering, denial or degradation of service attacks, computer viruses, software bugs or vulnerabilities, supply chain attacks, phishing attacks, ransomware attacks, misplaced or lost data, human errors, malicious insiders or other similar events. If unauthorized parties gain access to our IT Systems or information, or those of our third-party service providers or business partners, they may be able to steal, publish, sell, delete, use inappropriately or modify private and sensitive information, including credit card information and personally identifiable information or proprietary business information, any or all of which could harm our business, financial condition and results of operations.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 such payments. In addition, employees may intentionally or inadvertently cause data or security incidents that result in unauthorized release of personal or confidential information. Because the techniques used to circumvent security systems change frequently, are becoming increasingly sophisticated, are designed to evade detection and remove forensic evidence, are often not recognized until launched against a target and may originate from less regulated and remote areas around the world, we may be unable to timely or effectively anticipate, detect or recover from cyberattacks or security incidents in the future.</w:t>
      </w:r>
    </w:p>
    <w:p>
      <w:pPr>
        <w:spacing w:after="0" w:line="14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Certain of the aforementioned types of cyberattacks and security incidents have occurred in the past, and may occur in the future, resulting in unauthorized, unlawful, or inappropriate access to, inability to access, disclosure of, or loss of sensitive, proprietary and confidential information. For example, although no sensitive information was affected, our platform has been the subject of phishing attempts, credential stuffing attacks (i.e., email addresses and passwords involved in security incidents reported by other companies have been used to attempt to gain unauthorized access to our platform) and brute force attacks (i.e., attempts to try different username and password credentials to gain access to our platform). In addition, company-issued laptops or other devices have been, and may in the future be, lost, stolen, or infected with malware. The security measures we employ to prevent, detect, and mitigate potential harm to our users from the theft of or misuse of user credentials on our network may not be effective in every instance.</w:t>
      </w:r>
    </w:p>
    <w:p>
      <w:pPr>
        <w:spacing w:after="0" w:line="14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rely on a number of third-party providers of products and services to operate our critical internal and external operations, such as the processing of confidential and personally identifiable information. Examples of third parties include, but are not limited to, our shipping partners, human resources information system, payment processor, and various IT Systems providers. These service providers may not have adequate security measures and could experience a security incident that compromises the confidentiality, integrity, or availability of the IT Systems they operate for us or the information they process on our behalf and may not be able to contain or recover from such incidents or to notify us in a timely manner. Moreover, we or our third-party service providers may be more vulnerable to such attacks in remote or hybrid work environments. Any cyberattack, security incident, or material disruption or slowdown affecting our IT Systems or those of our third-party service providers or business partners, could have a material adverse effect on our business, financial condition, and results of operations.</w:t>
      </w:r>
    </w:p>
    <w:p>
      <w:pPr>
        <w:spacing w:after="0" w:line="142"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While we maintain cyber insurance that may help provide coverage for these types of events, we cannot provide assurances that our insurance will be adequate to cover costs and liabilities related to these incidents. Any such incident, attack, virus or other event could result in costly investigations and litigation exceeding applicable insurance coverage or contractual rights available to us, in particular because certain data privacy laws, including the California Consumer Privacy Act (the “CCPA”), grant individuals a private right of action arising from certain data security incidents, civil or criminal penalties, operational changes or other response measures, loss of consumer confidence in our security measures, and negative publicity that could adversely affect our business, financial condition, and results of operations.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Our e-commerce business faces distinct risks, such as fulfillment of orders, and our failure to successfully manage these risks could have a negative impact on our profitability.</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Reserve and Resale orders depend on efficient and uninterrupted e-commerce order-taking and fulfillment operations. If we are unable to allow real-time and accurate visibility to product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 We have two fulfillment centers in Arlington, Texas and Secaucus, New Jersey that we depend on for our fulfillment operations. We currently lease these facilities. Although we have recently renewed our lease in Secaucus, NJ, we cannot guarantee that we will be able to renew or negotiate new or renewed leases in the future at this location or in Texas on terms acceptable to us or at all. If we are unable to secure such leases, or if we can only secure such leases on economic terms that are less than optimal for us, it may materially adversely impact our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Risks associated with our e-commerce business include:</w:t>
      </w:r>
    </w:p>
    <w:p>
      <w:pPr>
        <w:spacing w:after="0" w:line="94" w:lineRule="exact"/>
        <w:rPr>
          <w:sz w:val="20"/>
          <w:szCs w:val="20"/>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ability to provide a delightful and effective search and discovery experience for our customers;</w:t>
      </w:r>
    </w:p>
    <w:p>
      <w:pPr>
        <w:spacing w:after="0" w:line="93" w:lineRule="exact"/>
        <w:rPr>
          <w:rFonts w:ascii="Arial" w:cs="Arial" w:eastAsia="Arial" w:hAnsi="Arial"/>
          <w:sz w:val="14"/>
          <w:szCs w:val="14"/>
          <w:color w:val="auto"/>
        </w:rPr>
      </w:pPr>
    </w:p>
    <w:p>
      <w:pPr>
        <w:ind w:left="580" w:right="240" w:hanging="193"/>
        <w:spacing w:after="0" w:line="290" w:lineRule="auto"/>
        <w:tabs>
          <w:tab w:leader="none" w:pos="576"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failure to successfully execute planned enhancements to our website and mobile application performance to improve site speed and reliability in order to keep pace with industry standards and meet customer expectations;</w:t>
      </w:r>
    </w:p>
    <w:p>
      <w:pPr>
        <w:spacing w:after="0" w:line="35" w:lineRule="exact"/>
        <w:rPr>
          <w:rFonts w:ascii="Arial" w:cs="Arial" w:eastAsia="Arial" w:hAnsi="Arial"/>
          <w:sz w:val="14"/>
          <w:szCs w:val="14"/>
          <w:color w:val="auto"/>
        </w:rPr>
      </w:pPr>
    </w:p>
    <w:p>
      <w:pPr>
        <w:ind w:left="580" w:right="100" w:hanging="193"/>
        <w:spacing w:after="0" w:line="271" w:lineRule="auto"/>
        <w:tabs>
          <w:tab w:leader="none" w:pos="576" w:val="left"/>
        </w:tabs>
        <w:numPr>
          <w:ilvl w:val="0"/>
          <w:numId w:val="30"/>
        </w:numPr>
        <w:rPr>
          <w:rFonts w:ascii="Arial" w:cs="Arial" w:eastAsia="Arial" w:hAnsi="Arial"/>
          <w:sz w:val="14"/>
          <w:szCs w:val="14"/>
          <w:color w:val="auto"/>
        </w:rPr>
      </w:pPr>
      <w:r>
        <w:rPr>
          <w:rFonts w:ascii="Arial" w:cs="Arial" w:eastAsia="Arial" w:hAnsi="Arial"/>
          <w:sz w:val="14"/>
          <w:szCs w:val="14"/>
          <w:color w:val="auto"/>
        </w:rPr>
        <w:t>uncertainties associated with our website and mobile application, including changes in required technology interfaces, website downtime and other technical failures, anticipated or unanticipated costs and technical issues, our ability to upgrade systems software successfully, inadequate system capacity, computer viruses, human error, and/or security incidents;</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disruptions in internet service or power outages;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reliance on third parties for computer hardware and software, as well as delivery of products to our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rapid technology changes;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credit or debit card fraud and other payment processing related issues;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changes in applicable federal, state and international regulations;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legal claims related to our e-commerce operations and fulfillment, including liability for online content;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cybersecurity, consumer privacy and consumer protection concerns and regulation;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natural disasters or adverse weather conditions.</w:t>
      </w:r>
    </w:p>
    <w:p>
      <w:pPr>
        <w:spacing w:after="0" w:line="179"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134" w:lineRule="exact"/>
        <w:rPr>
          <w:sz w:val="20"/>
          <w:szCs w:val="20"/>
          <w:color w:val="auto"/>
        </w:rPr>
      </w:pPr>
    </w:p>
    <w:p>
      <w:pPr>
        <w:jc w:val="both"/>
        <w:ind w:right="80"/>
        <w:spacing w:after="0" w:line="265" w:lineRule="auto"/>
        <w:rPr>
          <w:sz w:val="20"/>
          <w:szCs w:val="20"/>
          <w:color w:val="auto"/>
        </w:rPr>
      </w:pPr>
      <w:r>
        <w:rPr>
          <w:rFonts w:ascii="Arial" w:cs="Arial" w:eastAsia="Arial" w:hAnsi="Arial"/>
          <w:sz w:val="14"/>
          <w:szCs w:val="14"/>
          <w:color w:val="auto"/>
        </w:rPr>
        <w:t>In addition, we must keep up to date with competitive technology trends, including the use of new or improved technology, checkout and payment options,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quarterly and annual results of operations may fluctuate, which may make it difficult to predict our future performance</w:t>
      </w:r>
      <w:r>
        <w:rPr>
          <w:rFonts w:ascii="Arial" w:cs="Arial" w:eastAsia="Arial" w:hAnsi="Arial"/>
          <w:sz w:val="14"/>
          <w:szCs w:val="14"/>
          <w:color w:val="auto"/>
        </w:rPr>
        <w:t>.</w:t>
      </w:r>
    </w:p>
    <w:p>
      <w:pPr>
        <w:spacing w:after="0" w:line="94"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 -to-period basis or our revenue growth rate for any prior period may not be meaningful. In addition to other risk factors discussed in this section, factors that may contribute to the variability of our quarterly and annual results include:</w:t>
      </w:r>
    </w:p>
    <w:p>
      <w:pPr>
        <w:spacing w:after="0" w:line="53" w:lineRule="exact"/>
        <w:rPr>
          <w:sz w:val="20"/>
          <w:szCs w:val="20"/>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success in attracting and retaining customers and subscribers;</w:t>
      </w:r>
    </w:p>
    <w:p>
      <w:pPr>
        <w:spacing w:after="0" w:line="93" w:lineRule="exact"/>
        <w:rPr>
          <w:rFonts w:ascii="Arial" w:cs="Arial" w:eastAsia="Arial" w:hAnsi="Arial"/>
          <w:sz w:val="14"/>
          <w:szCs w:val="14"/>
          <w:color w:val="auto"/>
        </w:rPr>
      </w:pPr>
    </w:p>
    <w:p>
      <w:pPr>
        <w:ind w:left="580" w:right="140" w:hanging="193"/>
        <w:spacing w:after="0" w:line="290" w:lineRule="auto"/>
        <w:tabs>
          <w:tab w:leader="none" w:pos="5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maintaining successful relationships with brand partners and our ability to acquire products at acceptable prices and offer a compelling mix of products that are available for Subscription, Reserve or Resale at any given time;</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amount and timing of our fulfillment costs, operating expenses and capital expenditures;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timing and success of product launches, including pricing changes, new services and features we may introduce;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success of our marketing and promotional efforts;</w:t>
      </w:r>
    </w:p>
    <w:p>
      <w:pPr>
        <w:spacing w:after="0" w:line="93" w:lineRule="exact"/>
        <w:rPr>
          <w:rFonts w:ascii="Arial" w:cs="Arial" w:eastAsia="Arial" w:hAnsi="Arial"/>
          <w:sz w:val="14"/>
          <w:szCs w:val="14"/>
          <w:color w:val="auto"/>
        </w:rPr>
      </w:pPr>
    </w:p>
    <w:p>
      <w:pPr>
        <w:ind w:left="580" w:right="280" w:hanging="193"/>
        <w:spacing w:after="0" w:line="290" w:lineRule="auto"/>
        <w:tabs>
          <w:tab w:leader="none" w:pos="5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adverse economic and market conditions and other adverse global events that negatively impact commerce and consumer behavior and that could lead to inflationary pressures and supply chain disruptions;</w:t>
      </w:r>
    </w:p>
    <w:p>
      <w:pPr>
        <w:spacing w:after="0" w:line="35" w:lineRule="exact"/>
        <w:rPr>
          <w:rFonts w:ascii="Arial" w:cs="Arial" w:eastAsia="Arial" w:hAnsi="Arial"/>
          <w:sz w:val="14"/>
          <w:szCs w:val="14"/>
          <w:color w:val="auto"/>
        </w:rPr>
      </w:pPr>
    </w:p>
    <w:p>
      <w:pPr>
        <w:ind w:left="580" w:right="600" w:hanging="193"/>
        <w:spacing w:after="0" w:line="290" w:lineRule="auto"/>
        <w:tabs>
          <w:tab w:leader="none" w:pos="5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disruptions or defects in our software or operations, such as privacy or data security incidents, outages, or other incidents that impact the availability, reliability, or performance of our business;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impact of competitive developments and our response to those developments;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ability to manage our business and future growth;</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ability to recruit and retain employees including fulfillment center labor to process, itemize, list, pack and ship our products;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to financial accounting standards and the interpretation of those standards, which may affect the way we recognize and report our financial results.</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impact of one or more of the foregoing and other factors may cause our results of operations to vary significantly. As such, period-over-period comparisons of our results of operations may not be meaningful and should not be relied upon as an indication of future performance. Fluctuations in our operating results and key metrics may cause our results to fall below our financial guidance or other projections, or the expectations of analysts or investors, which could cause the price of our Class A common stock to decline.</w:t>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40"/>
        <w:spacing w:after="0" w:line="299" w:lineRule="auto"/>
        <w:rPr>
          <w:sz w:val="20"/>
          <w:szCs w:val="20"/>
          <w:color w:val="auto"/>
        </w:rPr>
      </w:pPr>
      <w:r>
        <w:rPr>
          <w:rFonts w:ascii="Arial" w:cs="Arial" w:eastAsia="Arial" w:hAnsi="Arial"/>
          <w:sz w:val="14"/>
          <w:szCs w:val="14"/>
          <w:b w:val="1"/>
          <w:bCs w:val="1"/>
          <w:i w:val="1"/>
          <w:iCs w:val="1"/>
          <w:color w:val="auto"/>
        </w:rPr>
        <w:t>We face risks arising from the restructuring of our operations, which could adversely affect our financial condition, results of operations, cash flows, or business reputation.</w:t>
      </w:r>
    </w:p>
    <w:p>
      <w:pPr>
        <w:spacing w:after="0" w:line="21" w:lineRule="exact"/>
        <w:rPr>
          <w:sz w:val="20"/>
          <w:szCs w:val="20"/>
          <w:color w:val="auto"/>
        </w:rPr>
      </w:pPr>
    </w:p>
    <w:p>
      <w:pPr>
        <w:ind w:right="220"/>
        <w:spacing w:after="0" w:line="265" w:lineRule="auto"/>
        <w:rPr>
          <w:sz w:val="20"/>
          <w:szCs w:val="20"/>
          <w:color w:val="auto"/>
        </w:rPr>
      </w:pPr>
      <w:r>
        <w:rPr>
          <w:rFonts w:ascii="Arial" w:cs="Arial" w:eastAsia="Arial" w:hAnsi="Arial"/>
          <w:sz w:val="14"/>
          <w:szCs w:val="14"/>
          <w:color w:val="auto"/>
        </w:rPr>
        <w:t>In September 2022, we announced a restructuring plan that is intended to reduce costs, streamline our organizational structure and drive operational efficiencies. We have taken and plan to continue to take actions intended to further reduce our cost structure, including, for example, reducing and relocating NYC-based technology roles to Galway, Ireland during the third quarter of 2023. These plans or other future restructuring plans present significant risks that could have a material adverse effect on our operations, financial condition, results of operations, cash flow, or business reputation. Such risks include:</w:t>
      </w:r>
    </w:p>
    <w:p>
      <w:pPr>
        <w:spacing w:after="0" w:line="53" w:lineRule="exact"/>
        <w:rPr>
          <w:sz w:val="20"/>
          <w:szCs w:val="20"/>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failure to achieve targeted cost savings and efficiency, and cash flow and profitability goals;</w:t>
      </w:r>
    </w:p>
    <w:p>
      <w:pPr>
        <w:spacing w:after="0" w:line="93" w:lineRule="exact"/>
        <w:rPr>
          <w:rFonts w:ascii="Arial" w:cs="Arial" w:eastAsia="Arial" w:hAnsi="Arial"/>
          <w:sz w:val="14"/>
          <w:szCs w:val="14"/>
          <w:color w:val="auto"/>
        </w:rPr>
      </w:pPr>
    </w:p>
    <w:p>
      <w:pPr>
        <w:ind w:left="580" w:right="440" w:hanging="193"/>
        <w:spacing w:after="0" w:line="290" w:lineRule="auto"/>
        <w:tabs>
          <w:tab w:leader="none" w:pos="576"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decrease in employee morale, a negative impact to our corporate culture, and heightened regrettable attrition, including by critical employees, each of which we’ve observed to some extent and are focused on addressing;</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 increase in employment claims;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actual or perceived disruption of service or reduction in service standards to customers;</w:t>
      </w:r>
    </w:p>
    <w:p>
      <w:pPr>
        <w:spacing w:after="0" w:line="93" w:lineRule="exact"/>
        <w:rPr>
          <w:rFonts w:ascii="Arial" w:cs="Arial" w:eastAsia="Arial" w:hAnsi="Arial"/>
          <w:sz w:val="14"/>
          <w:szCs w:val="14"/>
          <w:color w:val="auto"/>
        </w:rPr>
      </w:pPr>
    </w:p>
    <w:p>
      <w:pPr>
        <w:ind w:left="580" w:right="20" w:hanging="193"/>
        <w:spacing w:after="0" w:line="290" w:lineRule="auto"/>
        <w:tabs>
          <w:tab w:leader="none" w:pos="57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loss of institutional knowledge and/or employee expertise, which could lead to inefficiencies or business disruptions, some of which may be significant and our efforts to address may not be successful; and</w:t>
      </w:r>
    </w:p>
    <w:p>
      <w:pPr>
        <w:spacing w:after="0" w:line="35" w:lineRule="exact"/>
        <w:rPr>
          <w:rFonts w:ascii="Arial" w:cs="Arial" w:eastAsia="Arial" w:hAnsi="Arial"/>
          <w:sz w:val="14"/>
          <w:szCs w:val="14"/>
          <w:color w:val="auto"/>
        </w:rPr>
      </w:pPr>
    </w:p>
    <w:p>
      <w:pPr>
        <w:ind w:left="580" w:right="100" w:hanging="193"/>
        <w:spacing w:after="0" w:line="290" w:lineRule="auto"/>
        <w:tabs>
          <w:tab w:leader="none" w:pos="57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delay or failure to meet our operational standards, needs, or goals due to fewer employees, including potential single points of failure, or due to reduced or reallocated resources generally.</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Environmental, social and governance matters may impact our business and reputation.</w:t>
      </w:r>
    </w:p>
    <w:p>
      <w:pPr>
        <w:spacing w:after="0" w:line="92"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There has been increased focus, including by consumers, investors, employees and other stakeholders, as well as by governmental and non-governmental organizations, on environmental, social and governance matters generally and with regard to the fashion industry specifically. We expect that an increased focus on ESG considerations will affect some aspects of our operations.</w:t>
      </w:r>
    </w:p>
    <w:p>
      <w:pPr>
        <w:spacing w:after="0" w:line="144"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Any failure by us to meet our Impact Strategy goals for any reason, including due to the potential de-prioritization of these goals, or a loss of confidence on the part of customers, investors, employees, brand partners, and other stakeholders as it relates to our ESG initiatives could negatively impact our brand, the demand for our offerings, our financial condition, results of operations and prospects. These impacts could be difficult and costly to overcome, even if such concerns were based on inaccurate or misleading information. In addition, achieving our Impact Strategy goals may result in increased costs in our supply chain, fulfillment, and/or corporate business operations, and could deviate from our initial estimates and have a material adverse effect on our business and financial condition. Furthermore, if our competitors’ corporate responsibility performance is perceived to be greater than ours, we may lose potential or current customers, we may be unable to recruit and retain employees effectively, and potential or current investors may elect to invest with our competitors instead.</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Voluntary or required standards and research regarding environmental, social, and governance initiatives could change and become more onerous for both for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w:t>
      </w:r>
    </w:p>
    <w:p>
      <w:pPr>
        <w:ind w:right="520"/>
        <w:spacing w:after="0" w:line="253" w:lineRule="auto"/>
        <w:rPr>
          <w:sz w:val="20"/>
          <w:szCs w:val="20"/>
          <w:color w:val="auto"/>
        </w:rPr>
      </w:pPr>
      <w:r>
        <w:rPr>
          <w:rFonts w:ascii="Arial" w:cs="Arial" w:eastAsia="Arial" w:hAnsi="Arial"/>
          <w:sz w:val="14"/>
          <w:szCs w:val="14"/>
          <w:color w:val="auto"/>
        </w:rPr>
        <w:t>Alternatively, if we are unable to satisfy such new criteria, investors may conclude that our policies or actions with respect to corporate responsibility are inadequate. We risk damage to our brand and reputation in the event that our corporate responsibility procedures or standards do not meet the standards set by various constituencies.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67"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ESG issues. Unfavorable ESG ratings could lead to negative investor sentiment toward us and/or our industry, which could have a negative impact on our access to and costs of capital. In light of investors’ and other stakeholders’ increased focus on ESG matters, there can be no certainty that we will manage such issues successfully, or that we will successfully meet our stakeholders’ or society’s ESG expectations or achieve our ESG goals and financial goals.</w:t>
      </w:r>
    </w:p>
    <w:p>
      <w:pPr>
        <w:spacing w:after="0" w:line="230"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We rely on the experience and expertise of our Co-Founder and Chief Executive Officer, senior management team, key technical and strategic employees and hourly personnel.</w:t>
      </w:r>
    </w:p>
    <w:p>
      <w:pPr>
        <w:spacing w:after="0" w:line="21"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We believe that our success and future growth depend largely upon the continued services of our senior management team, including our Co-Founder, Chief Executive Officer and Chair, Jennifer Y. Hyman. From time to time, there may be changes in our executive management team resulting from the hiring or departure of these executives.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 We do not maintain key man life insurance with respect to any member of management or other employee.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In addition, our future success will depend upon our ability to attract and retain employees, particularly for key roles, such as engineering and technology (including data science), brand, marketing, buying and planning, and logistics, as well as hourly fulfillment workers and customer service agents. Such efforts have required, and are expected to continue to require significant time, expense, and attention as there is intense competition for such individuals, particularly in New York City, Galway, New Jersey and Texas, and new hires require significant training and time before they achieve full productivity. We may be unable to maintain competitive wage and salary levels, which may increase further due to inflation and potential minimum wage increases, which could increase attrition and make recruiting more difficult. Alternatively, we may be required to increase current compensation levels to attract and retain employees, which could negatively impact our profitability goals. In addition, prospective and existing employees often consider the value of the equity awards they may receive in connection with their employment and our stock price has declined significantly since our 2021 IPO. If the perceived value of our equity awards is inadequate or experiences significant volatility, it may adversely affect our ability to recruit and retain key employees. In July 2023, we completed an option exchange designed to incentivize and retain employees, directors and other service providers by providing the ability to exchange outstanding stock options for RSUs, which was approved by stockholders. This option exchange, however, may not have the intended incentivization and retention benefits. Further our continued efforts to optimize our cost structure and organization design has made, and in the future may, continue to make it more difficult to attract and retain employees for key roles.</w:t>
      </w:r>
    </w:p>
    <w:p>
      <w:pPr>
        <w:spacing w:after="0" w:line="160"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Our corporate employees primarily worked remotely from March 2020 to April 2022. Since then, we have reopened our offices and moved to a hybrid working model for New York City and Galway. We have continued to shift to a more office-centric model in New York City in which employees were asked to be in the office four days a week starting in September 2023. If our current model is not aligned with our employees’ preferences, it may adversely affect our ability to recruit and retain employees and may negatively impact our company culture, collaboration and productivity.</w:t>
      </w:r>
    </w:p>
    <w:p>
      <w:pPr>
        <w:spacing w:after="0" w:line="138" w:lineRule="exact"/>
        <w:rPr>
          <w:sz w:val="20"/>
          <w:szCs w:val="20"/>
          <w:color w:val="auto"/>
        </w:rPr>
      </w:pPr>
    </w:p>
    <w:p>
      <w:pPr>
        <w:jc w:val="both"/>
        <w:ind w:right="80"/>
        <w:spacing w:after="0" w:line="271" w:lineRule="auto"/>
        <w:rPr>
          <w:sz w:val="20"/>
          <w:szCs w:val="20"/>
          <w:color w:val="auto"/>
        </w:rPr>
      </w:pPr>
      <w:r>
        <w:rPr>
          <w:rFonts w:ascii="Arial" w:cs="Arial" w:eastAsia="Arial" w:hAnsi="Arial"/>
          <w:sz w:val="14"/>
          <w:szCs w:val="14"/>
          <w:color w:val="auto"/>
        </w:rPr>
        <w:t>We have experienced in the past, and may in the future experience, voluntary attrition at significant rates for various reasons, including challenging labor market conditions such as rising wages, and a decreased level of workforce participation. If we are unable to attract and retain qualified employees in a timely fashion, particularly for the key roles described above, our ability to achieve our strategic objectives will be adversely impacted, and our business and future growth prospects will be harmed.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believe that our company culture has contributed to our success and if we cannot maintain this culture as we grow, our business could be harmed.</w:t>
      </w:r>
    </w:p>
    <w:p>
      <w:pPr>
        <w:spacing w:after="0" w:line="92"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We believe that our company culture has been critical to our success. Our company culture stands for being entrepreneurial, passionate, kind and positive. Our ability to continue to cultivate and maintain this culture is essential to our growth and continued success. We face a number of challenges that may affect our ability to sustain our corporate culture, including:</w:t>
      </w:r>
    </w:p>
    <w:p>
      <w:pPr>
        <w:spacing w:after="0" w:line="49" w:lineRule="exact"/>
        <w:rPr>
          <w:sz w:val="20"/>
          <w:szCs w:val="20"/>
          <w:color w:val="auto"/>
        </w:rPr>
      </w:pPr>
    </w:p>
    <w:p>
      <w:pPr>
        <w:ind w:left="580" w:right="520" w:hanging="193"/>
        <w:spacing w:after="0" w:line="290" w:lineRule="auto"/>
        <w:tabs>
          <w:tab w:leader="none" w:pos="576" w:val="left"/>
        </w:tabs>
        <w:numPr>
          <w:ilvl w:val="0"/>
          <w:numId w:val="33"/>
        </w:numPr>
        <w:rPr>
          <w:rFonts w:ascii="Arial" w:cs="Arial" w:eastAsia="Arial" w:hAnsi="Arial"/>
          <w:sz w:val="14"/>
          <w:szCs w:val="14"/>
          <w:color w:val="auto"/>
        </w:rPr>
      </w:pPr>
      <w:r>
        <w:rPr>
          <w:rFonts w:ascii="Arial" w:cs="Arial" w:eastAsia="Arial" w:hAnsi="Arial"/>
          <w:sz w:val="14"/>
          <w:szCs w:val="14"/>
          <w:color w:val="auto"/>
        </w:rPr>
        <w:t>failure to maintain and/or improve employee morale and engagement in light of our office-centric approach in our New York City headquarters, our September 2022 restructuring plan and our continued efforts to ensure a cost-conscious and efficient workforce that supports our growth and profitability goals;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failure to identify, attract, reward, and retain employees who share and further our culture, values, and mission;</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evolving size, complexity and geographic diversity of our workforce, and our ability to promote a uniform and consistent culture across all our offices and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employee and market perception of our ESG efforts, which may impact employee morale and recruiting efforts;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competitive pressures to move in directions that may divert us from our mission, vision, and values;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hybrid working model for employees in Galway and the remote working model for customer service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continued challenges of a rapidly-evolving industry;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increasing need to develop expertise in new areas of business that affect us.</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 particular, Diversity, Equity and Inclusion is a strategic imperative for us. We are focused on driving inclusiveness, innovation and stronger business results by attracting a diverse talent pool and continuing to foster an inclusive work environment for all our employees.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and reputation, result in negative publicity, affect the confidence of our stockholders, regulators and other parties and could have a material adverse effect on our business, financial condition and operating results.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Material changes in the pricing practices of our brand and manufacturing partners and/or the costs of raw materials could negatively impact our profitability.</w:t>
      </w:r>
    </w:p>
    <w:p>
      <w:pPr>
        <w:spacing w:after="0" w:line="92"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Our brand and manufacturing partners may increase their pricing if raw materials, labor, or other costs become more expensive or subject to other pricing pressures. The inputs used to manufacture products are subject to availability constraints and price volatility. In addition, our brand partners may pass the increase in sourcing costs to us through price increases, thereby impacting our margins. For example, if our manufacturing partners increase their costs, our Exclusive Designs may not be as cost-effective to produce, which could negatively impact our ability to meet our financial goals. The fabrics used in our products are made of raw materials including petroleum-based products and cotton. Significant price fluctuations or shortages in petroleum, cotton, or other raw materials could significantly increase our cost of revenue and the cost associated with procuring products via Exclusive Designs. Moreover, in the event of a significant disruption in the supply of the fabrics or raw materials used in the manufacture of the products we offer, such as due to restrictions on Xinjiang cotton, we and/or our partners might not be able to locate alternative suppliers of materials of comparable quality at an acceptable price. For example, disruptions in the supply chain as a result of the COVID-19 pandemic and the recent inflationary environment increased raw material costs, impacting pricing of our products, and caused shipping delays for certain of our products.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affected by seasonality.</w:t>
      </w:r>
    </w:p>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Our business is subject to seasonal fluctuations.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onset of COVID-19. Adverse events, such as higher unemployment, inflation, deteriorating economic conditions, or fewer large-scale holiday and special events, can deter consumers from shopping and renting. Any significant decrease in customers or revenue during periods of high seasonal acquisition could have a disproportionately large impact on our operating results and financial condition for that year. Any factors that harm our operating results during these periods, including disruptions in our brand partners’ supply chains or unfavorable economic conditions, could have a disproportionate effect on our results of operations for our entire fiscal year.</w:t>
      </w:r>
    </w:p>
    <w:p>
      <w:pPr>
        <w:spacing w:after="0" w:line="131" w:lineRule="exact"/>
        <w:rPr>
          <w:sz w:val="20"/>
          <w:szCs w:val="20"/>
          <w:color w:val="auto"/>
        </w:rPr>
      </w:pPr>
    </w:p>
    <w:p>
      <w:pPr>
        <w:ind w:right="520"/>
        <w:spacing w:after="0" w:line="239" w:lineRule="auto"/>
        <w:rPr>
          <w:sz w:val="20"/>
          <w:szCs w:val="20"/>
          <w:color w:val="auto"/>
        </w:rPr>
      </w:pPr>
      <w:r>
        <w:rPr>
          <w:rFonts w:ascii="Arial" w:cs="Arial" w:eastAsia="Arial" w:hAnsi="Arial"/>
          <w:sz w:val="14"/>
          <w:szCs w:val="14"/>
          <w:color w:val="auto"/>
        </w:rPr>
        <w:t>We also experience seasonality in the timing of expenses and capital outlays. In anticipation of increased rental activity during seasonal peaks, we typically incur significant expenses, such as rental product capital expenditures. We may also incur expenses for additional marketing and/or additional staffing in our customer support operations. In</w:t>
      </w:r>
    </w:p>
    <w:p>
      <w:pPr>
        <w:spacing w:after="0" w:line="1" w:lineRule="exact"/>
        <w:rPr>
          <w:sz w:val="20"/>
          <w:szCs w:val="20"/>
          <w:color w:val="auto"/>
        </w:rPr>
      </w:pPr>
    </w:p>
    <w:p>
      <w:pPr>
        <w:jc w:val="both"/>
        <w:ind w:right="280"/>
        <w:spacing w:after="0" w:line="233" w:lineRule="auto"/>
        <w:rPr>
          <w:sz w:val="20"/>
          <w:szCs w:val="20"/>
          <w:color w:val="auto"/>
        </w:rPr>
      </w:pPr>
      <w:r>
        <w:rPr>
          <w:rFonts w:ascii="Arial" w:cs="Arial" w:eastAsia="Arial" w:hAnsi="Arial"/>
          <w:sz w:val="14"/>
          <w:szCs w:val="14"/>
          <w:color w:val="auto"/>
        </w:rPr>
        <w:t>addition, we typically experience an increase in our shipping costs during peak seasons, such as around the holidays. In the future, our seasonal subscriber or revenue patterns may become more pronounced or may change, may strain our personnel and operational activities, and may cause a shortfall in revenue as compared with expenses in a given period, which could substantially harm our business, financial condition and results of operations.</w:t>
      </w:r>
    </w:p>
    <w:p>
      <w:pPr>
        <w:spacing w:after="0" w:line="143" w:lineRule="exact"/>
        <w:rPr>
          <w:sz w:val="20"/>
          <w:szCs w:val="20"/>
          <w:color w:val="auto"/>
        </w:rPr>
      </w:pPr>
    </w:p>
    <w:p>
      <w:pPr>
        <w:ind w:right="220"/>
        <w:spacing w:after="0" w:line="265" w:lineRule="auto"/>
        <w:rPr>
          <w:sz w:val="20"/>
          <w:szCs w:val="20"/>
          <w:color w:val="auto"/>
        </w:rPr>
      </w:pPr>
      <w:r>
        <w:rPr>
          <w:rFonts w:ascii="Arial" w:cs="Arial" w:eastAsia="Arial" w:hAnsi="Arial"/>
          <w:sz w:val="14"/>
          <w:szCs w:val="14"/>
          <w:color w:val="auto"/>
        </w:rPr>
        <w:t>Furthermore, our rapid growth in recent years may obscure the extent to which seasonality trends have affected our business and may continue to affect our business, and the effects of the COVID-19 pandemic may have altered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225"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b w:val="1"/>
          <w:bCs w:val="1"/>
          <w:i w:val="1"/>
          <w:iCs w:val="1"/>
          <w:color w:val="auto"/>
        </w:rPr>
        <w:t>We may require additional capital to support the growth of our business and satisfy our debt obligations, and this capital might not be available on acceptable terms, if at all.</w:t>
      </w:r>
    </w:p>
    <w:p>
      <w:pPr>
        <w:spacing w:after="0" w:line="11"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We have funded our operations since inception primarily through equity and debt financings and revenue generated from our offerings. Our goal is to be a profitable company; however, we cannot be certain when or if our operations will generate sufficient cash to fully fund our ongoing operations or the growth of our business. We also intend to continue to make investments to develop and grow our business. For example, in the future, we may need additional funding to satisfy our debt obligations, to obtain rental products, for marketing, and for headcount or other operating expenses and capital expenditures, to develop new features or enhance our offerings, to improve our operating infrastructure, and/or to acquire complementary businesses and technologies. However, we believe that our current market capitalization, business performance and/or current level of indebtedness may adversely impact efforts to raise additional capital. If we are unable to obtain adequate financing or financing on terms satisfactory to us, our ability to support our business growth, and respond to business challenges could be significantly impaired, and our business may be adversely affected. Additionally, in recent periods, there has been volatility in and disruptions to the global economy, including the equity and debt financial markets. Such weakness and volatility in capital markets and the economy in general could limit our access to capital markets and increase our costs of borrowing.</w:t>
      </w:r>
    </w:p>
    <w:p>
      <w:pPr>
        <w:spacing w:after="0" w:line="17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78"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maintain the majority of our cash and cash equivalents in accounts with major U.S. and international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25"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As of October 31, 2023, we had $300.2 million aggregate principal amount of borrowings under a credit facility with Double Helix Pte Ltd. as administrative agent for Temasek Holdings (as subsequently amended, the “2023 Amended Temasek Facility”). The 2023 Amended Temasek Facility matures in October 2026.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provide assurance that our business will be able to generate</w:t>
      </w:r>
    </w:p>
    <w:p>
      <w:pPr>
        <w:spacing w:after="0" w:line="3" w:lineRule="exact"/>
        <w:rPr>
          <w:sz w:val="20"/>
          <w:szCs w:val="20"/>
          <w:color w:val="auto"/>
        </w:rPr>
      </w:pPr>
    </w:p>
    <w:p>
      <w:pPr>
        <w:ind w:right="440"/>
        <w:spacing w:after="0" w:line="229" w:lineRule="auto"/>
        <w:rPr>
          <w:sz w:val="20"/>
          <w:szCs w:val="20"/>
          <w:color w:val="auto"/>
        </w:rPr>
      </w:pPr>
      <w:r>
        <w:rPr>
          <w:rFonts w:ascii="Arial" w:cs="Arial" w:eastAsia="Arial" w:hAnsi="Arial"/>
          <w:sz w:val="14"/>
          <w:szCs w:val="14"/>
          <w:color w:val="auto"/>
        </w:rPr>
        <w:t>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w:t>
      </w:r>
    </w:p>
    <w:p>
      <w:pPr>
        <w:ind w:right="260"/>
        <w:spacing w:after="0" w:line="253" w:lineRule="auto"/>
        <w:rPr>
          <w:sz w:val="20"/>
          <w:szCs w:val="20"/>
          <w:color w:val="auto"/>
        </w:rPr>
      </w:pPr>
      <w:r>
        <w:rPr>
          <w:rFonts w:ascii="Arial" w:cs="Arial" w:eastAsia="Arial" w:hAnsi="Arial"/>
          <w:sz w:val="14"/>
          <w:szCs w:val="14"/>
          <w:color w:val="auto"/>
        </w:rPr>
        <w:t>condition and results of operations. See “Note 7 —Long-Term Debt” and “Note 15 – Subsequent Events” in the Notes to Condensed Consolidated Financial Statements for more information on our indebtedness.</w:t>
      </w:r>
    </w:p>
    <w:p>
      <w:pPr>
        <w:spacing w:after="0" w:line="232"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b w:val="1"/>
          <w:bCs w:val="1"/>
          <w:i w:val="1"/>
          <w:iCs w:val="1"/>
          <w:color w:val="auto"/>
        </w:rPr>
        <w:t>Our 2023 Amended Temasek Facility contains financial covenants and other restrictions on our actions that may limit our operational flexibility or otherwise adversely affect our business, financial condition and results of operations.</w:t>
      </w:r>
    </w:p>
    <w:p>
      <w:pPr>
        <w:spacing w:after="0" w:line="11"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The terms of our 2023 Amended Temasek Facility include a number of covenants that limit our ability to (subject to negotiated exceptions), among other things, incur additional indebtedness, incur liens on assets, enter into agreements related to mergers and acquisitions, dispose of assets or pay dividends and make distributions. Additionally, the 2023 Amended Temasek Facility includes a minimum liquidity maintenance covenant of $30 million and certain maximum expenditures levels for fiscal year 2024, 2025 and 2026. The terms of our 2023 Amended Temasek Facility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which are not subject to such restrictions.</w:t>
      </w:r>
    </w:p>
    <w:p>
      <w:pPr>
        <w:spacing w:after="0" w:line="68"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A failure by us to comply with the covenants specified in the 2023 Amended Temasek Facility could result in an event of default under the agreement, which would give the lender the right to declare all borrowings outstanding, together with accrued and unpaid interest and fees, to be immediately due and payable. If the debt under the Credit Agreement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300"/>
        <w:spacing w:after="0" w:line="268" w:lineRule="auto"/>
        <w:rPr>
          <w:sz w:val="20"/>
          <w:szCs w:val="20"/>
          <w:color w:val="auto"/>
        </w:rPr>
      </w:pPr>
      <w:r>
        <w:rPr>
          <w:rFonts w:ascii="Arial" w:cs="Arial" w:eastAsia="Arial" w:hAnsi="Arial"/>
          <w:sz w:val="14"/>
          <w:szCs w:val="14"/>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r>
        <w:rPr>
          <w:rFonts w:ascii="Arial" w:cs="Arial" w:eastAsia="Arial" w:hAnsi="Arial"/>
          <w:sz w:val="14"/>
          <w:szCs w:val="14"/>
          <w:color w:val="auto"/>
        </w:rPr>
        <w:t>.</w:t>
      </w:r>
    </w:p>
    <w:p>
      <w:pPr>
        <w:spacing w:after="0" w:line="43"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In connection with the preparation of our consolidated financial statements as of January 31, 2021, we identified material weaknesses in our internal control over financial reporting, as described below. As of October 31, 2023, these material weaknesses were still in the process of being 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38"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134"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We did not design and maintain effective controls to ensure (i) the appropriate segregation of duties in the operation of manual controls and (ii) journal entries were reviewed at the appropriate level of precision.</w:t>
      </w:r>
    </w:p>
    <w:p>
      <w:pPr>
        <w:spacing w:after="0" w:line="120"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42" w:lineRule="exact"/>
        <w:rPr>
          <w:sz w:val="20"/>
          <w:szCs w:val="20"/>
          <w:color w:val="auto"/>
        </w:rPr>
      </w:pPr>
    </w:p>
    <w:p>
      <w:pPr>
        <w:jc w:val="both"/>
        <w:ind w:right="100"/>
        <w:spacing w:after="0" w:line="271" w:lineRule="auto"/>
        <w:rPr>
          <w:sz w:val="20"/>
          <w:szCs w:val="20"/>
          <w:color w:val="auto"/>
        </w:rPr>
      </w:pPr>
      <w:r>
        <w:rPr>
          <w:rFonts w:ascii="Arial" w:cs="Arial" w:eastAsia="Arial" w:hAnsi="Arial"/>
          <w:sz w:val="14"/>
          <w:szCs w:val="14"/>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34"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34" w:lineRule="exact"/>
        <w:rPr>
          <w:sz w:val="20"/>
          <w:szCs w:val="20"/>
          <w:color w:val="auto"/>
        </w:rPr>
      </w:pPr>
    </w:p>
    <w:p>
      <w:pPr>
        <w:jc w:val="both"/>
        <w:ind w:right="220"/>
        <w:spacing w:after="0" w:line="271" w:lineRule="auto"/>
        <w:rPr>
          <w:sz w:val="20"/>
          <w:szCs w:val="20"/>
          <w:color w:val="auto"/>
        </w:rPr>
      </w:pPr>
      <w:r>
        <w:rPr>
          <w:rFonts w:ascii="Arial" w:cs="Arial" w:eastAsia="Arial" w:hAnsi="Arial"/>
          <w:sz w:val="14"/>
          <w:szCs w:val="14"/>
          <w:color w:val="auto"/>
        </w:rPr>
        <w:t>We continue to implement measures designed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155"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color w:val="auto"/>
        </w:rPr>
        <w:t>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78"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described above is uncertain. We can give no assurance that our efforts will remediate these material weaknesses in our internal control over financial reporting, or that additional material weaknesses will not be identified in the future. If the steps we take do not remediate the material weaknesses we have identified in a timely manner, or if our internal control over financial reporting is not effective, there could be errors in our annual or interim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142"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 we have identified in a timely manner, or if additional material weaknesses exist or are discovered in the future, and we are unable to remediate any such material weakness, our reputation, results of operations and financial condition could suffer.</w:t>
      </w:r>
    </w:p>
    <w:p>
      <w:pPr>
        <w:spacing w:after="0" w:line="225" w:lineRule="exact"/>
        <w:rPr>
          <w:sz w:val="20"/>
          <w:szCs w:val="20"/>
          <w:color w:val="auto"/>
        </w:rPr>
      </w:pPr>
    </w:p>
    <w:p>
      <w:pPr>
        <w:ind w:right="880"/>
        <w:spacing w:after="0" w:line="299" w:lineRule="auto"/>
        <w:rPr>
          <w:sz w:val="20"/>
          <w:szCs w:val="20"/>
          <w:color w:val="auto"/>
        </w:rPr>
      </w:pPr>
      <w:r>
        <w:rPr>
          <w:rFonts w:ascii="Arial" w:cs="Arial" w:eastAsia="Arial" w:hAnsi="Arial"/>
          <w:sz w:val="14"/>
          <w:szCs w:val="14"/>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4"/>
          <w:szCs w:val="14"/>
          <w:color w:val="auto"/>
        </w:rPr>
        <w:t>.</w:t>
      </w:r>
    </w:p>
    <w:p>
      <w:pPr>
        <w:spacing w:after="0" w:line="21"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As a public company, we are subject to the reporting requirements of the Securities Exchange Act of 1934, as amended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several members of our management team do not have prior experience in running a public company. We have hired additional employees and engaged consultants to assist us in complying with these requirements; however we may invest additional resources in our compliance efforts, including hiring more employees or engaging outside consultants, which may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46" w:lineRule="exact"/>
        <w:rPr>
          <w:sz w:val="20"/>
          <w:szCs w:val="20"/>
          <w:color w:val="auto"/>
        </w:rPr>
      </w:pPr>
    </w:p>
    <w:p>
      <w:pPr>
        <w:jc w:val="both"/>
        <w:ind w:right="40"/>
        <w:spacing w:after="0" w:line="271" w:lineRule="auto"/>
        <w:rPr>
          <w:sz w:val="20"/>
          <w:szCs w:val="20"/>
          <w:color w:val="auto"/>
        </w:rPr>
      </w:pPr>
      <w:r>
        <w:rPr>
          <w:rFonts w:ascii="Arial" w:cs="Arial" w:eastAsia="Arial" w:hAnsi="Arial"/>
          <w:sz w:val="14"/>
          <w:szCs w:val="14"/>
          <w:color w:val="auto"/>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spacing w:after="0" w:line="221" w:lineRule="exact"/>
        <w:rPr>
          <w:sz w:val="20"/>
          <w:szCs w:val="20"/>
          <w:color w:val="auto"/>
        </w:rPr>
      </w:pPr>
    </w:p>
    <w:p>
      <w:pPr>
        <w:ind w:right="280"/>
        <w:spacing w:after="0" w:line="299" w:lineRule="auto"/>
        <w:rPr>
          <w:sz w:val="20"/>
          <w:szCs w:val="20"/>
          <w:color w:val="auto"/>
        </w:rPr>
      </w:pPr>
      <w:r>
        <w:rPr>
          <w:rFonts w:ascii="Arial" w:cs="Arial" w:eastAsia="Arial" w:hAnsi="Arial"/>
          <w:sz w:val="14"/>
          <w:szCs w:val="14"/>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4"/>
          <w:szCs w:val="14"/>
          <w:color w:val="auto"/>
        </w:rPr>
        <w:t>.</w:t>
      </w:r>
    </w:p>
    <w:p>
      <w:pPr>
        <w:spacing w:after="0" w:line="21"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color w:val="auto"/>
        </w:rPr>
        <w:t>We are required, pursuant to Section 404 of the Sarbanes-Oxley Act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At such time, our compliance with Section 404 will require that we incur substantial expenses and expend significant management efforts.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addition to the material weaknesses in internal control over financial reporting identified in connection with the audit of our financial statements as of and for the fiscal year 2020,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provide assurance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30" w:lineRule="exact"/>
        <w:rPr>
          <w:sz w:val="20"/>
          <w:szCs w:val="20"/>
          <w:color w:val="auto"/>
        </w:rPr>
      </w:pPr>
    </w:p>
    <w:p>
      <w:pPr>
        <w:ind w:right="120"/>
        <w:spacing w:after="0" w:line="299" w:lineRule="auto"/>
        <w:rPr>
          <w:sz w:val="20"/>
          <w:szCs w:val="20"/>
          <w:color w:val="auto"/>
        </w:rPr>
      </w:pPr>
      <w:r>
        <w:rPr>
          <w:rFonts w:ascii="Arial" w:cs="Arial" w:eastAsia="Arial" w:hAnsi="Arial"/>
          <w:sz w:val="14"/>
          <w:szCs w:val="14"/>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21"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We are an “emerging growth company,” as defined in the Jumpstart Our Business Startups Act of 2012 (“JOBS Act”), and we may take advantage of certain exemptions from reporting requirements that are applicable to other public companies that are not “emerging growth companies,” including:</w:t>
      </w:r>
    </w:p>
    <w:p>
      <w:pPr>
        <w:spacing w:after="0" w:line="35" w:lineRule="exact"/>
        <w:rPr>
          <w:sz w:val="20"/>
          <w:szCs w:val="20"/>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auditor attestation requirements of Section 404;</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reduced disclosure obligations regarding executive compensation in our periodic reports and proxy statements; and</w:t>
      </w:r>
    </w:p>
    <w:p>
      <w:pPr>
        <w:spacing w:after="0" w:line="93" w:lineRule="exact"/>
        <w:rPr>
          <w:rFonts w:ascii="Arial" w:cs="Arial" w:eastAsia="Arial" w:hAnsi="Arial"/>
          <w:sz w:val="14"/>
          <w:szCs w:val="14"/>
          <w:color w:val="auto"/>
        </w:rPr>
      </w:pPr>
    </w:p>
    <w:p>
      <w:pPr>
        <w:ind w:left="580" w:right="220" w:hanging="193"/>
        <w:spacing w:after="0" w:line="290" w:lineRule="auto"/>
        <w:tabs>
          <w:tab w:leader="none" w:pos="576" w:val="left"/>
        </w:tabs>
        <w:numPr>
          <w:ilvl w:val="0"/>
          <w:numId w:val="34"/>
        </w:numPr>
        <w:rPr>
          <w:rFonts w:ascii="Arial" w:cs="Arial" w:eastAsia="Arial" w:hAnsi="Arial"/>
          <w:sz w:val="14"/>
          <w:szCs w:val="14"/>
          <w:color w:val="auto"/>
        </w:rPr>
      </w:pPr>
      <w:r>
        <w:rPr>
          <w:rFonts w:ascii="Arial" w:cs="Arial" w:eastAsia="Arial" w:hAnsi="Arial"/>
          <w:sz w:val="14"/>
          <w:szCs w:val="14"/>
          <w:color w:val="auto"/>
        </w:rPr>
        <w:t>exemptions from the requirements of holding a non-binding advisory stockholder vote on executive compensation and non-binding advisory stockholder vote to approve any golden parachute payments not previously approved.</w:t>
      </w:r>
    </w:p>
    <w:p>
      <w:pPr>
        <w:spacing w:after="0" w:line="120"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We will remain an emerging growth company until the earliest of:</w:t>
      </w:r>
    </w:p>
    <w:p>
      <w:pPr>
        <w:spacing w:after="0" w:line="94" w:lineRule="exact"/>
        <w:rPr>
          <w:sz w:val="20"/>
          <w:szCs w:val="20"/>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last day of the fiscal year following the fifth anniversary of our IPO;</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last day of the first fiscal year in which our annual gross revenue is $1.235 billion or more;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date on which we have, during the previous rolling three-year period, issued more than $1 billion in non-convertible debt securities;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date we qualify as a “large accelerated filer,” with at least $700 million of equity securities held by non-affiliates.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363" w:lineRule="exact"/>
        <w:rPr>
          <w:sz w:val="20"/>
          <w:szCs w:val="20"/>
          <w:color w:val="auto"/>
        </w:rPr>
      </w:pPr>
    </w:p>
    <w:p>
      <w:pPr>
        <w:ind w:right="140"/>
        <w:spacing w:after="0" w:line="302" w:lineRule="auto"/>
        <w:rPr>
          <w:sz w:val="20"/>
          <w:szCs w:val="20"/>
          <w:color w:val="auto"/>
        </w:rPr>
      </w:pPr>
      <w:r>
        <w:rPr>
          <w:rFonts w:ascii="Arial" w:cs="Arial" w:eastAsia="Arial" w:hAnsi="Arial"/>
          <w:sz w:val="14"/>
          <w:szCs w:val="14"/>
          <w:b w:val="1"/>
          <w:bCs w:val="1"/>
          <w:i w:val="1"/>
          <w:iCs w:val="1"/>
          <w:color w:val="auto"/>
        </w:rPr>
        <w:t>The COVID-19 pandemic had, and outbreaks of COVID-19 may in the future have, a material adverse impact on our business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Other future pandemics or public health crises may have a similar adverse impact on our business.</w:t>
      </w:r>
    </w:p>
    <w:p>
      <w:pPr>
        <w:spacing w:after="0" w:line="19"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The COVID-19 pandemic materially adversely affected our operating and financial results during fiscal year 2020 due to the occurrence of the following events or circumstances, among others:</w:t>
      </w:r>
    </w:p>
    <w:p>
      <w:pPr>
        <w:spacing w:after="0" w:line="35" w:lineRule="exact"/>
        <w:rPr>
          <w:sz w:val="20"/>
          <w:szCs w:val="20"/>
          <w:color w:val="auto"/>
        </w:rPr>
      </w:pPr>
    </w:p>
    <w:p>
      <w:pPr>
        <w:ind w:left="580" w:right="100" w:hanging="193"/>
        <w:spacing w:after="0" w:line="290" w:lineRule="auto"/>
        <w:tabs>
          <w:tab w:leader="none" w:pos="5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global shelter-in-place restrictions significantly reduced our number of Active Subscribers and engagement with all of our offerings because of the decrease in special events, social gatherings and interactions outside the home;</w:t>
      </w:r>
    </w:p>
    <w:p>
      <w:pPr>
        <w:spacing w:after="0" w:line="35"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a significant number of subscribers paused or canceled their subscriptions or downgraded to lower-priced plans, and we experienced significant decreased demand for our Reserve offering and customers canceled their existing orders for special events;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subscribers engaged less, which impacted the success of our organic marketing and reduced the volume of our data and business insights;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disruptions of the operations of our brand partners and delays in shipment and delivery of our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pausing all of our paid marketing spend and eliminating or significantly reducing investments in growth initiatives;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carrying more products relative to customer demand, negatively impacting gross margins;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performance-based revenue share payments to brands were decreased due to lower total revenue, impacting our brand partner relationships and value proposition;</w:t>
      </w:r>
    </w:p>
    <w:p>
      <w:pPr>
        <w:spacing w:after="0" w:line="93" w:lineRule="exact"/>
        <w:rPr>
          <w:rFonts w:ascii="Arial" w:cs="Arial" w:eastAsia="Arial" w:hAnsi="Arial"/>
          <w:sz w:val="14"/>
          <w:szCs w:val="14"/>
          <w:color w:val="auto"/>
        </w:rPr>
      </w:pPr>
    </w:p>
    <w:p>
      <w:pPr>
        <w:ind w:left="580" w:right="480" w:hanging="193"/>
        <w:spacing w:after="0" w:line="290" w:lineRule="auto"/>
        <w:tabs>
          <w:tab w:leader="none" w:pos="5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implementing temporary salary cuts, employee layoffs and furloughs, and pausing recruiting efforts, which negatively impacted employee morale and resulted in an increase in regrettable employee attrition; and</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closure of our brick-and-mortar retail stores, which was perceived negatively by some customers.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In fiscal years 2021 and 2022, our operating and financial results continued to be impacted by the COVID-19 pandemic.</w:t>
      </w:r>
    </w:p>
    <w:p>
      <w:pPr>
        <w:spacing w:after="0" w:line="179"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The effects of COVID-19, including the identification and spread of new variants of the virus, may continue to have a negative impact on our business operations and long-term financial results of operations due to the occurrence of the following events or circumstances, among others:</w:t>
      </w:r>
    </w:p>
    <w:p>
      <w:pPr>
        <w:spacing w:after="0" w:line="35" w:lineRule="exact"/>
        <w:rPr>
          <w:sz w:val="20"/>
          <w:szCs w:val="20"/>
          <w:color w:val="auto"/>
        </w:rPr>
      </w:pPr>
    </w:p>
    <w:p>
      <w:pPr>
        <w:ind w:left="580" w:right="180" w:hanging="193"/>
        <w:spacing w:after="0" w:line="290" w:lineRule="auto"/>
        <w:tabs>
          <w:tab w:leader="none" w:pos="576"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difficulty in accurately predicting the timing of potential new variants and/or the pace of our business recovery, particularly changes in demand, subscriber levels and pause activity, and Reserve and Resale orders, leading to potentially over-spending and lower profitability if demand and engagement are not as expected;</w:t>
      </w:r>
    </w:p>
    <w:p>
      <w:pPr>
        <w:spacing w:after="0" w:line="35" w:lineRule="exact"/>
        <w:rPr>
          <w:rFonts w:ascii="Arial" w:cs="Arial" w:eastAsia="Arial" w:hAnsi="Arial"/>
          <w:sz w:val="14"/>
          <w:szCs w:val="14"/>
          <w:color w:val="auto"/>
        </w:rPr>
      </w:pPr>
    </w:p>
    <w:p>
      <w:pPr>
        <w:ind w:left="580" w:right="280" w:hanging="193"/>
        <w:spacing w:after="0" w:line="290" w:lineRule="auto"/>
        <w:tabs>
          <w:tab w:leader="none" w:pos="576" w:val="left"/>
        </w:tabs>
        <w:numPr>
          <w:ilvl w:val="0"/>
          <w:numId w:val="37"/>
        </w:numPr>
        <w:rPr>
          <w:rFonts w:ascii="Arial" w:cs="Arial" w:eastAsia="Arial" w:hAnsi="Arial"/>
          <w:sz w:val="14"/>
          <w:szCs w:val="14"/>
          <w:color w:val="auto"/>
        </w:rPr>
      </w:pPr>
      <w:r>
        <w:rPr>
          <w:rFonts w:ascii="Arial" w:cs="Arial" w:eastAsia="Arial" w:hAnsi="Arial"/>
          <w:sz w:val="14"/>
          <w:szCs w:val="14"/>
          <w:color w:val="auto"/>
        </w:rPr>
        <w:t>our inability to meet increased demand and provide an optimal customer experience as a result of difficulty in hiring additional employees, particularly in our fulfillment, operations and customer experience functions;</w:t>
      </w:r>
    </w:p>
    <w:p>
      <w:pPr>
        <w:spacing w:after="0" w:line="35" w:lineRule="exact"/>
        <w:rPr>
          <w:rFonts w:ascii="Arial" w:cs="Arial" w:eastAsia="Arial" w:hAnsi="Arial"/>
          <w:sz w:val="14"/>
          <w:szCs w:val="14"/>
          <w:color w:val="auto"/>
        </w:rPr>
      </w:pPr>
    </w:p>
    <w:p>
      <w:pPr>
        <w:ind w:left="580" w:right="120" w:hanging="193"/>
        <w:spacing w:after="0" w:line="290" w:lineRule="auto"/>
        <w:tabs>
          <w:tab w:leader="none" w:pos="576"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continuing supply chain disruptions and/or disruptions in the operations of our brand partners, which could impact our ability to acquire an adequate depth and breadth of products at favorable prices in a timely manner to match demand; and</w:t>
      </w:r>
    </w:p>
    <w:p>
      <w:pPr>
        <w:spacing w:after="0" w:line="35" w:lineRule="exact"/>
        <w:rPr>
          <w:rFonts w:ascii="Arial" w:cs="Arial" w:eastAsia="Arial" w:hAnsi="Arial"/>
          <w:sz w:val="14"/>
          <w:szCs w:val="14"/>
          <w:color w:val="auto"/>
        </w:rPr>
      </w:pPr>
    </w:p>
    <w:p>
      <w:pPr>
        <w:ind w:left="580" w:right="40" w:hanging="193"/>
        <w:spacing w:after="0" w:line="290" w:lineRule="auto"/>
        <w:tabs>
          <w:tab w:leader="none" w:pos="576" w:val="left"/>
        </w:tabs>
        <w:numPr>
          <w:ilvl w:val="0"/>
          <w:numId w:val="37"/>
        </w:numPr>
        <w:rPr>
          <w:rFonts w:ascii="Arial" w:cs="Arial" w:eastAsia="Arial" w:hAnsi="Arial"/>
          <w:sz w:val="14"/>
          <w:szCs w:val="14"/>
          <w:color w:val="auto"/>
        </w:rPr>
      </w:pPr>
      <w:r>
        <w:rPr>
          <w:rFonts w:ascii="Arial" w:cs="Arial" w:eastAsia="Arial" w:hAnsi="Arial"/>
          <w:sz w:val="14"/>
          <w:szCs w:val="14"/>
          <w:color w:val="auto"/>
        </w:rPr>
        <w:t>possible resurgences of COVID-19 that lead to new or additional shelter-in-place orders, travel advisories, and/or reduced social activities and events, which may dampen future demand for our products and offering.</w:t>
      </w:r>
    </w:p>
    <w:p>
      <w:pPr>
        <w:spacing w:after="0" w:line="226"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Future pandemics or public health crises may have similar adverse effects on our business. Although we anticipate that our operating results in future fiscal years will reflect a more normal operating environment, the current economic climate has created a high degree of uncertainty and there is no assurance that our scale, number of customers, revenue or growth will return to or surpass pre-pandemic levels for a sustained period of time. As such, we continue to closely monitor this global health crisis and will continue to reassess our strategy and operational structure on a regular, ongoing basis as the situation evolves.</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4"/>
          <w:szCs w:val="14"/>
          <w:b w:val="1"/>
          <w:bCs w:val="1"/>
          <w:color w:val="auto"/>
        </w:rPr>
        <w:t>.</w:t>
      </w:r>
    </w:p>
    <w:p>
      <w:pPr>
        <w:spacing w:after="0" w:line="21"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Our success depends,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55" w:lineRule="exact"/>
        <w:rPr>
          <w:sz w:val="20"/>
          <w:szCs w:val="20"/>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partnership or acquisition may disrupt our ongoing business, divert resources, increase our expenses, and distract our management;</w:t>
      </w:r>
    </w:p>
    <w:p>
      <w:pPr>
        <w:spacing w:after="0" w:line="93" w:lineRule="exact"/>
        <w:rPr>
          <w:rFonts w:ascii="Arial" w:cs="Arial" w:eastAsia="Arial" w:hAnsi="Arial"/>
          <w:sz w:val="14"/>
          <w:szCs w:val="14"/>
          <w:color w:val="auto"/>
        </w:rPr>
      </w:pPr>
    </w:p>
    <w:p>
      <w:pPr>
        <w:ind w:left="580" w:right="140" w:hanging="193"/>
        <w:spacing w:after="0" w:line="271" w:lineRule="auto"/>
        <w:tabs>
          <w:tab w:leader="none" w:pos="576"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48" w:lineRule="exact"/>
        <w:rPr>
          <w:rFonts w:ascii="Arial" w:cs="Arial" w:eastAsia="Arial" w:hAnsi="Arial"/>
          <w:sz w:val="14"/>
          <w:szCs w:val="14"/>
          <w:color w:val="auto"/>
        </w:rPr>
      </w:pPr>
    </w:p>
    <w:p>
      <w:pPr>
        <w:ind w:left="580" w:right="20" w:hanging="193"/>
        <w:spacing w:after="0" w:line="290" w:lineRule="auto"/>
        <w:tabs>
          <w:tab w:leader="none" w:pos="576"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may encounter difficulties or unforeseen expenditures in integrating the business, offerings, technologies, personnel, or operations of any company that we partner with or acquire; and</w:t>
      </w:r>
    </w:p>
    <w:p>
      <w:pPr>
        <w:spacing w:after="0" w:line="35" w:lineRule="exact"/>
        <w:rPr>
          <w:rFonts w:ascii="Arial" w:cs="Arial" w:eastAsia="Arial" w:hAnsi="Arial"/>
          <w:sz w:val="14"/>
          <w:szCs w:val="14"/>
          <w:color w:val="auto"/>
        </w:rPr>
      </w:pPr>
    </w:p>
    <w:p>
      <w:pPr>
        <w:jc w:val="both"/>
        <w:ind w:left="580" w:right="100" w:hanging="193"/>
        <w:spacing w:after="0" w:line="271" w:lineRule="auto"/>
        <w:tabs>
          <w:tab w:leader="none" w:pos="576" w:val="left"/>
        </w:tabs>
        <w:numPr>
          <w:ilvl w:val="0"/>
          <w:numId w:val="38"/>
        </w:numPr>
        <w:rPr>
          <w:rFonts w:ascii="Arial" w:cs="Arial" w:eastAsia="Arial" w:hAnsi="Arial"/>
          <w:sz w:val="14"/>
          <w:szCs w:val="14"/>
          <w:color w:val="auto"/>
        </w:rPr>
      </w:pPr>
      <w:r>
        <w:rPr>
          <w:rFonts w:ascii="Arial" w:cs="Arial" w:eastAsia="Arial" w:hAnsi="Arial"/>
          <w:sz w:val="14"/>
          <w:szCs w:val="14"/>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occurrence of any of these foregoing risks could adversely affect our business, financial condition, and results of operations and expose us to unknown risks or liabilities.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reported financial results may be adversely affected by changes in accounting principles generally accepted in the United States</w:t>
      </w:r>
      <w:r>
        <w:rPr>
          <w:rFonts w:ascii="Arial" w:cs="Arial" w:eastAsia="Arial" w:hAnsi="Arial"/>
          <w:sz w:val="14"/>
          <w:szCs w:val="14"/>
          <w:color w:val="auto"/>
        </w:rPr>
        <w:t>.</w:t>
      </w:r>
    </w:p>
    <w:p>
      <w:pPr>
        <w:spacing w:after="0" w:line="94"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4"/>
          <w:szCs w:val="14"/>
          <w:color w:val="auto"/>
        </w:rPr>
        <w:t>.</w:t>
      </w:r>
    </w:p>
    <w:p>
      <w:pPr>
        <w:spacing w:after="0" w:line="94"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amounts reported in our condensed consolidated financial statements and accompanying notes appearing elsewhere in this Quarterly Report. We base our estimates on historical experience and on various other assumptions that we believe to be reasonable under the circumstances, as provided in Part I, Item 2, “Management’s Discussion and Analysis of Financial Condition and Results of Operations—Critical Accounting Estimates.” The results of these estimates form the basis for making judgments about the carrying values of assets, liabilities, and equity, and the amount of revenue and expenses. Significant estimates and judgments include the useful life and salvage value of rental product, incremental borrowing rate to determine lease liabilities and right-of-use assets, and the valuation of share-based compensation and warrants.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30"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The estimates of market opportunity and forecasts of market growth included in our public disclosures may prove to be inaccurate, and even if the markets in which we compete achieve the forecasted growth, our business could fail to grow at similar rates, or at all.</w:t>
      </w:r>
    </w:p>
    <w:p>
      <w:pPr>
        <w:spacing w:after="0" w:line="21"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in this Quarterly Report.</w:t>
      </w:r>
    </w:p>
    <w:p>
      <w:pPr>
        <w:spacing w:after="0" w:line="134"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public disclosures should not be taken as indicative of our future growth.</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Expansion of our operations internationally requires management attention and resources, involves additional risks, and may be unsuccessful.</w:t>
      </w:r>
    </w:p>
    <w:p>
      <w:pPr>
        <w:spacing w:after="0" w:line="92"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138" w:lineRule="exact"/>
        <w:rPr>
          <w:sz w:val="20"/>
          <w:szCs w:val="20"/>
          <w:color w:val="auto"/>
        </w:rPr>
      </w:pPr>
    </w:p>
    <w:p>
      <w:pPr>
        <w:jc w:val="both"/>
        <w:ind w:right="120"/>
        <w:spacing w:after="0" w:line="271" w:lineRule="auto"/>
        <w:rPr>
          <w:sz w:val="20"/>
          <w:szCs w:val="20"/>
          <w:color w:val="auto"/>
        </w:rPr>
      </w:pPr>
      <w:r>
        <w:rPr>
          <w:rFonts w:ascii="Arial" w:cs="Arial" w:eastAsia="Arial" w:hAnsi="Arial"/>
          <w:sz w:val="14"/>
          <w:szCs w:val="14"/>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49" w:lineRule="exact"/>
        <w:rPr>
          <w:sz w:val="20"/>
          <w:szCs w:val="20"/>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lower acceptance of our offerings and the concept of renting apparel and accessories and the need to localize our products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competition from local incumbents that understand the local market and may operate more effectively;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363" w:lineRule="exact"/>
        <w:rPr>
          <w:sz w:val="20"/>
          <w:szCs w:val="20"/>
          <w:color w:val="auto"/>
        </w:rPr>
      </w:pPr>
    </w:p>
    <w:p>
      <w:pPr>
        <w:ind w:left="580" w:right="140" w:hanging="193"/>
        <w:spacing w:after="0" w:line="290" w:lineRule="auto"/>
        <w:tabs>
          <w:tab w:leader="none" w:pos="576"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regulatory requirements, taxes, trade laws, trade sanctions and economic embargoes, tariffs, export quotas, custom duties, or other trade restrictions, or any unexpected changes thereto; and</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risks resulting from changes in currency exchange rates.</w:t>
      </w:r>
    </w:p>
    <w:p>
      <w:pPr>
        <w:spacing w:after="0" w:line="179"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If we invest substantial time and resources to establish and expand our operations internationally and are unable to do so successfully and in a timely manner, our operating results would suffer.</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Legal and Regulatory Environment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subject to a large number of U.S. and non-U.S. laws and regulations, many of which are evolving.</w:t>
      </w:r>
    </w:p>
    <w:p>
      <w:pPr>
        <w:spacing w:after="0" w:line="92" w:lineRule="exact"/>
        <w:rPr>
          <w:sz w:val="20"/>
          <w:szCs w:val="20"/>
          <w:color w:val="auto"/>
        </w:rPr>
      </w:pPr>
    </w:p>
    <w:p>
      <w:pPr>
        <w:ind w:right="300"/>
        <w:spacing w:after="0" w:line="260" w:lineRule="auto"/>
        <w:rPr>
          <w:sz w:val="20"/>
          <w:szCs w:val="20"/>
          <w:color w:val="auto"/>
        </w:rPr>
      </w:pPr>
      <w:r>
        <w:rPr>
          <w:rFonts w:ascii="Arial" w:cs="Arial" w:eastAsia="Arial" w:hAnsi="Arial"/>
          <w:sz w:val="14"/>
          <w:szCs w:val="14"/>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recent focus on automatically renewing Subscription offerings.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spacing w:after="0" w:line="142"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221"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4"/>
          <w:szCs w:val="14"/>
          <w:b w:val="1"/>
          <w:bCs w:val="1"/>
          <w:color w:val="auto"/>
        </w:rPr>
        <w:t>.</w:t>
      </w:r>
    </w:p>
    <w:p>
      <w:pPr>
        <w:spacing w:after="0" w:line="37"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 § 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4"/>
          <w:szCs w:val="14"/>
          <w:color w:val="auto"/>
        </w:rPr>
        <w:t>.</w:t>
      </w:r>
    </w:p>
    <w:p>
      <w:pPr>
        <w:spacing w:after="0" w:line="2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environmental regulations, and other matters that could adversely affect our business operations and financial condition. For example, on November 14, 2022, a purported stockholder of the Company filed a putative class action lawsuit in the Eastern District of New York against the Company, certain of its officers and directors, and the underwriters of its IPO, entitled Rajat Sharma v. Rent the Runway, Inc., et al. The complaint, which has since been amended, alleges that we violated Sections 11, 12(a)(2) and 15 of the Securities Act of 1933, as amended, by making allegedly materially misleading statements, and by omitting material facts necessary to make the statements made therein not misleading. The lawsuit seeks, among other things, compensatory damages, attorneys’ fees and costs and such other relief as deemed just and proper by the court. See Note 14, “Commitments and Contingencies” in the Notes to the Condensed Consolidated Financial</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Statements for more details.</w:t>
      </w:r>
    </w:p>
    <w:p>
      <w:pPr>
        <w:spacing w:after="0" w:line="20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 addition,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and offerings,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143"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addition, as a public company, our business and financial condition are more visible than as a private company,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225" w:lineRule="exact"/>
        <w:rPr>
          <w:sz w:val="20"/>
          <w:szCs w:val="20"/>
          <w:color w:val="auto"/>
        </w:rPr>
      </w:pPr>
    </w:p>
    <w:p>
      <w:pPr>
        <w:ind w:right="120"/>
        <w:spacing w:after="0" w:line="299" w:lineRule="auto"/>
        <w:rPr>
          <w:sz w:val="20"/>
          <w:szCs w:val="20"/>
          <w:color w:val="auto"/>
        </w:rPr>
      </w:pPr>
      <w:r>
        <w:rPr>
          <w:rFonts w:ascii="Arial" w:cs="Arial" w:eastAsia="Arial" w:hAnsi="Arial"/>
          <w:sz w:val="14"/>
          <w:szCs w:val="14"/>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4"/>
          <w:szCs w:val="14"/>
          <w:color w:val="auto"/>
        </w:rPr>
        <w:t>.</w:t>
      </w:r>
    </w:p>
    <w:p>
      <w:pPr>
        <w:spacing w:after="0" w:line="21" w:lineRule="exact"/>
        <w:rPr>
          <w:sz w:val="20"/>
          <w:szCs w:val="20"/>
          <w:color w:val="auto"/>
        </w:rPr>
      </w:pPr>
    </w:p>
    <w:p>
      <w:pPr>
        <w:ind w:right="200"/>
        <w:spacing w:after="0" w:line="260" w:lineRule="auto"/>
        <w:rPr>
          <w:sz w:val="20"/>
          <w:szCs w:val="20"/>
          <w:color w:val="auto"/>
        </w:rPr>
      </w:pPr>
      <w:r>
        <w:rPr>
          <w:rFonts w:ascii="Arial" w:cs="Arial" w:eastAsia="Arial" w:hAnsi="Arial"/>
          <w:sz w:val="14"/>
          <w:szCs w:val="14"/>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broadly enforce all of our intellectual property rights. Failure to adequately protect our intellectual property could harm our brand, devalue our proprietary technology and content, and adversely affect our ability to compete effectively.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create potential roadblocks to any expansion of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243" w:lineRule="exact"/>
        <w:rPr>
          <w:sz w:val="20"/>
          <w:szCs w:val="20"/>
          <w:color w:val="auto"/>
        </w:rPr>
      </w:pPr>
    </w:p>
    <w:p>
      <w:pPr>
        <w:ind w:right="160"/>
        <w:spacing w:after="0" w:line="299" w:lineRule="auto"/>
        <w:rPr>
          <w:sz w:val="20"/>
          <w:szCs w:val="20"/>
          <w:color w:val="auto"/>
        </w:rPr>
      </w:pPr>
      <w:r>
        <w:rPr>
          <w:rFonts w:ascii="Arial" w:cs="Arial" w:eastAsia="Arial" w:hAnsi="Arial"/>
          <w:sz w:val="14"/>
          <w:szCs w:val="14"/>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4"/>
          <w:szCs w:val="14"/>
          <w:color w:val="auto"/>
        </w:rPr>
        <w:t>.</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Third parties may assert claims against us alleging that we infringe upon, misappropriate, dilute or otherwise violate their intellectual property rights, particularly as we expand our business.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These claims are resolved against us, they could result in significant monetary liability, or prevent us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4"/>
          <w:szCs w:val="14"/>
          <w:b w:val="1"/>
          <w:bCs w:val="1"/>
          <w:color w:val="auto"/>
        </w:rPr>
        <w:t>.</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use third-party open-source software in connection with the development and deployment of our software applications and will likely use third-party open-source software in the future. Some open-source licenses require that source code that is developed using open-source software be made available to the public at no cost and that any modifications or derivative works to certain open-source software continue to be licensed under open-source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limit or prohibit our use of some or all of our software, or expend substantial time and resources to re-engineer some or all of our software. We could also be precluded from charging fees for third-party use of our proprietary code.</w:t>
      </w:r>
    </w:p>
    <w:p>
      <w:pPr>
        <w:spacing w:after="0" w:line="14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b w:val="1"/>
          <w:bCs w:val="1"/>
          <w:i w:val="1"/>
          <w:iCs w:val="1"/>
          <w:color w:val="auto"/>
        </w:rPr>
        <w:t>We are subject to rapidly changing and increasingly stringent laws and industry standards relating to data privacy, data security, data protection, and consumer protection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The restrictions and costs imposed by these laws, or our actual or perceived failure to comply with them, could subject us to liabilities that adversely affect our business, operations, and financial performance.</w:t>
      </w:r>
    </w:p>
    <w:p>
      <w:pPr>
        <w:spacing w:after="0" w:line="37"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We collect, process, store, and use a wide variety of data from current and prospective customers, including personal information, such as home addresses, credit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 We have in the past and may continue to be subject to allegations that we have violated one or more of these laws.</w:t>
      </w:r>
    </w:p>
    <w:p>
      <w:pPr>
        <w:spacing w:after="0" w:line="138"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Further, the CCPA took effect on January 1, 2020. The CCPA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and could cause us to incur additional CCPA compliance costs or create adverse effects as a result of its restrictions. The CCPA provides for civil penalties for violations and creates a private right of action for data security incidents that is expected to increase data security-related litigation. Additionally, the California Privacy Rights Act (the “CPRA”) largely took effect on January 1, 2023. The CPRA restricts the use of cross-context behavioral advertising techniques on which our products and offerings may rely on in the future; expands requirements on businesses that “sell” personal information under the CCPA to businesses like ours that “share” it; requires all businesses with any California employees to limit uses of employee data; establish restrictions on the retention of personal information; expands the types of data security incidents subject to the private right of action; and establishes the California Privacy Protection Agency to implement and enforce the new law, as well as impose administrative fines. We expect to continue to invest in compliance initiatives and potentially implement business process changes to support our compliance efforts. Similar laws have been proposed in other states and at the federal level, reflecting a trend toward more stringent privacy legislation in the United States. For example, in March 2021, Virginia enacted the Virginia Consumer Data Protection Act (the “CDPA”), a comprehensive privacy statute that shares similarities with the CCPA, CPRA, and legislation adopted and proposed in other states. Some observers have noted that such statutes could mark the beginning of a trend toward more stringent privacy legislation in the United States. The enactment of such laws could have potentially conflicting requirements that would make compliance challenging, resulting in further uncertainty and requiring us to incur additional costs and expenses in an effort to comply.</w:t>
      </w:r>
    </w:p>
    <w:p>
      <w:pPr>
        <w:spacing w:after="0" w:line="152"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In addition, the Telephone Consumer Protection Act (the “TCPA”), imposes significant restrictions on the ability to make telephone calls or send text messages to mobile telephone numbers without the prior consent of the person being contacted. We use text messages frequently to communicate with our customers. Efforts to comply with the TCPA do not prevent third-party claims that we have violated the TCPA from being brought, and such claims could be costly to litigate, and if successful, expose us to substantial statutory damages. The Controlling the Assault of Non-Solicited Pornography and Marketing Act (the “CAN-SPAM”), imposes specific restrictions and requirements on our efforts to send marketing materials via email, including notice obligations that must be included in our marketing emails and the ability for recipients to unsubscribe from such emails. The Federal Trade Commission enforces CAN-SPAM, and our efforts to comply with CAN-SPAM may not prevent claims that we have violated the law, which could be costly to resolve, and if successful, expose us to substantial penalties and potential injunctive relief.</w:t>
      </w:r>
    </w:p>
    <w:p>
      <w:pPr>
        <w:spacing w:after="0" w:line="142"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 xml:space="preserve">We are also subject to the European Union General Data Protection Regulation (the “GDPR”), due to certain of our employees being based in Ireland. The GDPR, which is wide-ranging in scope and applies extraterritorially, imposes several requirements relating to the processing of personal data. The GDPR also imposes strict rules on the transfer of personal data out of the EU, including to the U.S. In addition, GDPR compliance requirements are constantly and rapidly evolving. For example, in July 2020, the Court of Justice of the European Union invalidated the EU-U.S. Privacy Shield data transfer mechanism, and other data transfer mechanisms such as the Standard Contractual Clauses, have also faced challenged in European courts, potentially limiting how organizations can lawfully transfer personal data from EEA to the U.S. Notably, the GDPR imposes large penalties for noncompliance, including the potential for fines of up to </w:t>
      </w:r>
      <w:r>
        <w:rPr>
          <w:rFonts w:ascii="Times New Roman" w:cs="Times New Roman" w:eastAsia="Times New Roman" w:hAnsi="Times New Roman"/>
          <w:sz w:val="14"/>
          <w:szCs w:val="14"/>
          <w:color w:val="auto"/>
        </w:rPr>
        <w:t>€</w:t>
      </w:r>
      <w:r>
        <w:rPr>
          <w:rFonts w:ascii="Arial" w:cs="Arial" w:eastAsia="Arial" w:hAnsi="Arial"/>
          <w:sz w:val="14"/>
          <w:szCs w:val="14"/>
          <w:color w:val="auto"/>
        </w:rPr>
        <w:t>20 million or 4% of the annual global revenues of the noncompliant entity, whichever is greater.</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 In addition, the U.S. Federal Trade Commission and U.S. State Attorneys General, and international regulators, are increasingly active in investigating and bringing enforcement actions against companies on claims related to notice, transparency, choice and processing of personal information in the context of sales and marketing and advertising activities.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Further, we are subject to the PCI Data Security Standard, which is a multifaceted security standard that is designed to protect credit card account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have an adverse impact on our business and reputation, and be costly for us to defend.</w:t>
      </w:r>
    </w:p>
    <w:p>
      <w:pPr>
        <w:spacing w:after="0" w:line="138"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All of these frameworks are constantly evolving and are not always consistent with each other, leading to uncertainty in interpretation.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any or all claims made against us and could have high deductibles, and defending a suit, regardless of its merit, could be costly and divert management attention.</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4"/>
          <w:szCs w:val="14"/>
          <w:color w:val="auto"/>
        </w:rPr>
        <w:t>.</w:t>
      </w:r>
    </w:p>
    <w:p>
      <w:pPr>
        <w:spacing w:after="0" w:line="9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operations are subject to a variety of federal, state, local and foreign laws and regulations relating to permitting requirements, health, safety and the protection of the environment. These environmental, health and safety laws and regulations include those relating to, among other things, the generation, storage, handling, use and transportation of hazardous and non-hazardous materials; the emission and discharge of hazardous and non-hazardous materials into the environment; the health and safety of our employees; and the maintenance of our facilities and operations. Our compliance efforts are expected to require ongoing investments and may be costly to maintain.</w:t>
      </w:r>
    </w:p>
    <w:p>
      <w:pPr>
        <w:spacing w:after="0" w:line="138" w:lineRule="exact"/>
        <w:rPr>
          <w:sz w:val="20"/>
          <w:szCs w:val="20"/>
          <w:color w:val="auto"/>
        </w:rPr>
      </w:pPr>
    </w:p>
    <w:p>
      <w:pPr>
        <w:jc w:val="both"/>
        <w:ind w:right="120"/>
        <w:spacing w:after="0" w:line="265" w:lineRule="auto"/>
        <w:rPr>
          <w:sz w:val="20"/>
          <w:szCs w:val="20"/>
          <w:color w:val="auto"/>
        </w:rPr>
      </w:pPr>
      <w:r>
        <w:rPr>
          <w:rFonts w:ascii="Arial" w:cs="Arial" w:eastAsia="Arial" w:hAnsi="Arial"/>
          <w:sz w:val="14"/>
          <w:szCs w:val="14"/>
          <w:color w:val="auto"/>
        </w:rPr>
        <w:t>Despite our efforts, we may become subject to claims that we have violated such laws and regulations based on past, present, and future practices, which could have an adverse impact on our business and reputation, and be costly for us to defend. Failure to comply with such laws and regulations, which tend to become more stringent over time, can result in significant fines, penalties, costs, liabilities or restrictions on operations, injunctive relief, civil or criminal sanctions, and could expose us to costs of investigation or remediation, as well as tort claims for property damage or personal injury, and could negatively affect our business, financial condition or results of operations.</w:t>
      </w:r>
    </w:p>
    <w:p>
      <w:pPr>
        <w:spacing w:after="0" w:line="138"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manage our waste materials as non-hazardous waste, but we cannot guarantee that our supply chain or the products we use will not contain hazardous materials or result in the generation of hazardous waste. Further, liability for the improper release or disposal of waste, even if non-hazardous, can be joint and several and significant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or non-hazardous substances or waste located on or in or emanating from our leased properties, as well as any property damage. There can be no assurance that our future operations, properties, uses or conditions will not result in the imposition of liability upon us under environmental laws or other regulations, or expose us to third-party actions such as tort suits.</w:t>
      </w:r>
    </w:p>
    <w:p>
      <w:pPr>
        <w:spacing w:after="0" w:line="142"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Furthermore, we rely on third-party suppliers to provide chemicals, cleaning supplies, and handling instructions that comply with applicable health, safety and environmental regulations, and to support other compliance initiatives from time to time. A failure of such suppliers to provide adequate advice, abide by applicable regulations, or the terms of our contractual relationships may subject us to material liabilities.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4"/>
          <w:szCs w:val="14"/>
          <w:color w:val="auto"/>
        </w:rPr>
        <w:t>.</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As of January 31, 2023, we had federal net operating loss carryforwards of $596.0 million, $152.0 million of which will expire at various times through 2038. Furthermore, we had stated net operating loss carryforwards of $33.0 million, which will expire at various times through 2041. Portions of these net operating loss carryforwards could expire unused and be unavailable to offset future income tax liabilities. Under the legislation enacted in 2017, commonly referred to as the Tax Cuts and Jobs Act (the “Tax Act”), U.S. federal net operating losses incurred in taxable years beginning after December 31, 2017, may be carried forward indefinitely, but the deductibility of such federal net operating losses is limited. In addition, for state income tax purposes, there may be periods during which the use of net operating loss carryforwards is suspended or otherwise limited, which could accelerate or permanently increase state taxes owed.</w:t>
      </w:r>
    </w:p>
    <w:p>
      <w:pPr>
        <w:spacing w:after="0" w:line="142"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net operating losses (“NOLs”) were subject to the limitation. However, all of those NOLs were available by the year ended January 31, 2017. We may have experienced and may experience in the future additional ownership changes as a result of shifts in our stock ownership, some of which may be outside of our control. Any ownership change may result in the imposition of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our effective tax rate or tax liability may have an adverse effect on our results of operations</w:t>
      </w:r>
      <w:r>
        <w:rPr>
          <w:rFonts w:ascii="Arial" w:cs="Arial" w:eastAsia="Arial" w:hAnsi="Arial"/>
          <w:sz w:val="14"/>
          <w:szCs w:val="14"/>
          <w:color w:val="auto"/>
        </w:rPr>
        <w:t>.</w:t>
      </w:r>
    </w:p>
    <w:p>
      <w:pPr>
        <w:spacing w:after="0" w:line="94"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We are subject to income and other taxes in the United States on a federal and state basis, as well as subject to taxation in Ireland. Our effective tax rate or tax liability could be adversely affected due to several factors, including:</w:t>
      </w:r>
    </w:p>
    <w:p>
      <w:pPr>
        <w:spacing w:after="0" w:line="35" w:lineRule="exact"/>
        <w:rPr>
          <w:sz w:val="20"/>
          <w:szCs w:val="20"/>
          <w:color w:val="auto"/>
        </w:rPr>
      </w:pPr>
    </w:p>
    <w:p>
      <w:pPr>
        <w:ind w:left="580" w:hanging="193"/>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the relative amounts of income before taxes in the various jurisdictions in which we operate that have differing statutory tax rates;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the United States or foreign tax laws, tax treaties, and regulations or their interpretation;</w:t>
      </w:r>
    </w:p>
    <w:p>
      <w:pPr>
        <w:spacing w:after="0" w:line="93" w:lineRule="exact"/>
        <w:rPr>
          <w:rFonts w:ascii="Arial" w:cs="Arial" w:eastAsia="Arial" w:hAnsi="Arial"/>
          <w:sz w:val="14"/>
          <w:szCs w:val="14"/>
          <w:color w:val="auto"/>
        </w:rPr>
      </w:pPr>
    </w:p>
    <w:p>
      <w:pPr>
        <w:ind w:left="580" w:right="60" w:hanging="193"/>
        <w:spacing w:after="0" w:line="290" w:lineRule="auto"/>
        <w:tabs>
          <w:tab w:leader="none" w:pos="576"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outcome of current and future tax audits, examinations, or administrative appeals;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limitations or adverse findings regarding our ability to do business in some jurisdictions.</w:t>
      </w:r>
    </w:p>
    <w:p>
      <w:pPr>
        <w:spacing w:after="0" w:line="179"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 For example, the recent Inflation Reduction Act enacted, among other changes, a 15% corporate minimum tax on certain United States corporations and a 1% excise tax on certain stock redemptions by United States corporations. To the extent that such changes or any future changes have a negative impact on us, our suppliers or our customers, these changes may materially and adversely impact our business, financial condition, results of operations and cash flows.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Dependence on Third Parties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risks associated with brand and manufacturing partners from whom our products are sourced or co-manufactured.</w:t>
      </w:r>
    </w:p>
    <w:p>
      <w:pPr>
        <w:spacing w:after="0" w:line="92"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We obtain substantially all of our products directly from hundreds of brand partners through Wholesale, Share by RTR, and Exclusive Designs arrangements with designer and/or manufacturing partners. The benefits we currently experience from these relationships could be adversely affected if they:</w:t>
      </w:r>
    </w:p>
    <w:p>
      <w:pPr>
        <w:spacing w:after="0" w:line="35" w:lineRule="exact"/>
        <w:rPr>
          <w:sz w:val="20"/>
          <w:szCs w:val="20"/>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discontinue selling products to us or manufacturing our Exclusive Designs;</w:t>
      </w:r>
    </w:p>
    <w:p>
      <w:pPr>
        <w:spacing w:after="0" w:line="93" w:lineRule="exact"/>
        <w:rPr>
          <w:rFonts w:ascii="Arial" w:cs="Arial" w:eastAsia="Arial" w:hAnsi="Arial"/>
          <w:sz w:val="14"/>
          <w:szCs w:val="14"/>
          <w:color w:val="auto"/>
        </w:rPr>
      </w:pPr>
    </w:p>
    <w:p>
      <w:pPr>
        <w:ind w:left="580" w:right="120" w:hanging="193"/>
        <w:spacing w:after="0" w:line="290" w:lineRule="auto"/>
        <w:tabs>
          <w:tab w:leader="none" w:pos="576" w:val="left"/>
        </w:tabs>
        <w:numPr>
          <w:ilvl w:val="0"/>
          <w:numId w:val="42"/>
        </w:numPr>
        <w:rPr>
          <w:rFonts w:ascii="Arial" w:cs="Arial" w:eastAsia="Arial" w:hAnsi="Arial"/>
          <w:sz w:val="14"/>
          <w:szCs w:val="14"/>
          <w:color w:val="auto"/>
        </w:rPr>
      </w:pPr>
      <w:r>
        <w:rPr>
          <w:rFonts w:ascii="Arial" w:cs="Arial" w:eastAsia="Arial" w:hAnsi="Arial"/>
          <w:sz w:val="14"/>
          <w:szCs w:val="14"/>
          <w:color w:val="auto"/>
        </w:rPr>
        <w:t>enter into arrangements with competitors that could impair our ability to source their products, including by giving our competitors exclusivity arrangements or limiting our access to certain products;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raise the prices they charge us;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are not satisfied with the value proposition we offer them;</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do not view our brand or financial profile favorably;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 pricing terms to require us to pay a significant portion of the cost of items on delivery or upfront;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experience negative publicity or reputational issues;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do not follow our vendor code of conduct and/or violate legal and regulatory requirements;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experience supply chain disruptions that cause lead times to be lengthened or missed entirely; or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fail to execute on the design we have provided for co-manufactured products.</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Events that adversely impact our brand and manufacturing partners could impair our ability to obtain adequate and timely products. We also source and manufacture products outside of the United States and we and many of our brand partners use manufacturers in the same geographic regions. As a result we may be subject to magnified impact from such events including, among others, difficulties or problems associated with our partners’ business, the financial instability and labor problems of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brand partners and manufacturers may be forced to reduce their production or operations, shut down their operations or file for bankruptcy. Our ability to obtain products timely and cost effectively may also depend on our brand partners’ ability to obtain financing, including through factoring companies and other entities, which may also assess our creditworthiness and procurement ability. To the extent our brand partners are unable to secure sufficient credit, they may not be able to produce merchandise, which would impact our ability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We rely on third parties for elements of the payment processing infrastructure underlying our business. If these third-party elements become unavailable or unavailable on favorable terms, our business could be adversely affected</w:t>
      </w:r>
      <w:r>
        <w:rPr>
          <w:rFonts w:ascii="Arial" w:cs="Arial" w:eastAsia="Arial" w:hAnsi="Arial"/>
          <w:sz w:val="14"/>
          <w:szCs w:val="14"/>
          <w:color w:val="auto"/>
        </w:rPr>
        <w:t>.</w:t>
      </w:r>
    </w:p>
    <w:p>
      <w:pPr>
        <w:spacing w:after="0" w:line="21"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We rely on third parties, including for our payment processing infrastructure, to accept payments from customers and in connection with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companies become unwilling or unable to provide these services to us on acceptable terms or at all, our business may be disrupted. For certain payment methods, including credit and debit cards,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143"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Outages or other failures of the payment processing infrastructure underlying our business could harm our business and cause customers to lose trust in our payment operations and cause them to discontinue use of our products and services. If the quality or convenience of our payment processing infrastructure declines or does not keep pace with industry standards, the attractiveness of our business to customers could be adversely affected. For example, we plan to enhance our payment operations in the future; however, our efforts may be unsuccessful or delayed for various reasons and may fail to meet customer expectations. If we are forced to migrate to other third-party payment service providers for any reason, the transition would require significant time and management resources, and may not be available on acceptable terms or as effective, efficient, or well-received by our customers.</w:t>
      </w:r>
    </w:p>
    <w:p>
      <w:pPr>
        <w:spacing w:after="0" w:line="229" w:lineRule="exact"/>
        <w:rPr>
          <w:sz w:val="20"/>
          <w:szCs w:val="20"/>
          <w:color w:val="auto"/>
        </w:rPr>
      </w:pPr>
    </w:p>
    <w:p>
      <w:pPr>
        <w:ind w:right="640"/>
        <w:spacing w:after="0" w:line="299" w:lineRule="auto"/>
        <w:rPr>
          <w:sz w:val="20"/>
          <w:szCs w:val="20"/>
          <w:color w:val="auto"/>
        </w:rPr>
      </w:pPr>
      <w:r>
        <w:rPr>
          <w:rFonts w:ascii="Arial" w:cs="Arial" w:eastAsia="Arial" w:hAnsi="Arial"/>
          <w:sz w:val="14"/>
          <w:szCs w:val="14"/>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4"/>
          <w:szCs w:val="14"/>
          <w:color w:val="auto"/>
        </w:rPr>
        <w:t>.</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2022, we migrated a substantial portion of our primary production environment, core architecture, and data centers to a new third-party cloud provider, which provides a distributed computing infrastructure as a service platform for business operations. We use another third-party cloud provider for other portions of our business. Our third-party cloud providers provide the cloud computing infrastructure we use to host our website and mobile application, serve our customers and support our operations and many of the internal tools we use to operate our business. Our website, mobile application and internal tools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their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All of the aforementioned risks may be exacerbated if our business continuity and disaster recovery plans prove to be inadequate.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Additionally, data stored with our third-party cloud providers may experience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spacing w:after="0" w:line="14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third-party cloud providers do not have an obligation to renew their agreements with us on terms acceptable to us. Although alternative data center providers could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229" w:lineRule="exact"/>
        <w:rPr>
          <w:sz w:val="20"/>
          <w:szCs w:val="20"/>
          <w:color w:val="auto"/>
        </w:rPr>
      </w:pPr>
    </w:p>
    <w:p>
      <w:pPr>
        <w:jc w:val="both"/>
        <w:ind w:right="120"/>
        <w:spacing w:after="0" w:line="276" w:lineRule="auto"/>
        <w:rPr>
          <w:sz w:val="20"/>
          <w:szCs w:val="20"/>
          <w:color w:val="auto"/>
        </w:rPr>
      </w:pPr>
      <w:r>
        <w:rPr>
          <w:rFonts w:ascii="Arial" w:cs="Arial" w:eastAsia="Arial" w:hAnsi="Arial"/>
          <w:sz w:val="14"/>
          <w:szCs w:val="14"/>
          <w:b w:val="1"/>
          <w:bCs w:val="1"/>
          <w:i w:val="1"/>
          <w:iCs w:val="1"/>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r>
        <w:rPr>
          <w:rFonts w:ascii="Arial" w:cs="Arial" w:eastAsia="Arial" w:hAnsi="Arial"/>
          <w:sz w:val="14"/>
          <w:szCs w:val="14"/>
          <w:color w:val="auto"/>
        </w:rPr>
        <w:t>.</w:t>
      </w:r>
    </w:p>
    <w:p>
      <w:pPr>
        <w:spacing w:after="0" w:line="37"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advertising and other online sources for traffic to our website and mobile application.</w:t>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14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ability to maintain and increase the number of consumers directed to our products from digital platforms is not entirely within our control. Search engines, social media platforms and other online sources often revise their algorithms and introduce new advertising products. If one or more of the search engines or other online sources on which we rely for traffic to our website and our mobile application were to modify its general methodology for how it displays our advertisements or keyword search results, resulting in fewer consumers clicking through to our website and our mobile application, our business and operating results are likely to suffer. For example, Apple recently moved to “opt-in” privacy models for mobile applications using its operating system such as ours, requiring consumers to voluntarily choose to receive targeted ads,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Furthermore, because many of our customers access our products through our mobile application, we depend on the Apple App Store to distribute our mobile application.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provide assurance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4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229"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r>
        <w:rPr>
          <w:rFonts w:ascii="Arial" w:cs="Arial" w:eastAsia="Arial" w:hAnsi="Arial"/>
          <w:sz w:val="14"/>
          <w:szCs w:val="14"/>
          <w:color w:val="auto"/>
        </w:rPr>
        <w:t>.</w:t>
      </w:r>
    </w:p>
    <w:p>
      <w:pPr>
        <w:spacing w:after="0" w:line="21"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Our standard vendor terms and conditions, vendor code of conduct, and other policies require our brand and manufacturing partners to comply with applicable laws and certain business standards, however, we often have limited visibility into their supply chains, practices, and level of compliance The failure of these partners to comply with our vendor code of conduct or applicable laws and regulations could damage our reputation, lead to negative press and/or customer sentiment, or result in costly litigation against us.</w:t>
      </w:r>
    </w:p>
    <w:p>
      <w:pPr>
        <w:spacing w:after="0" w:line="134"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The products we rent or sell to our customers are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40"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It is possible that some of the products we rent or sell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incur significant losses from fraud</w:t>
      </w:r>
      <w:r>
        <w:rPr>
          <w:rFonts w:ascii="Arial" w:cs="Arial" w:eastAsia="Arial" w:hAnsi="Arial"/>
          <w:sz w:val="14"/>
          <w:szCs w:val="14"/>
          <w:color w:val="auto"/>
        </w:rPr>
        <w:t>.</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our failure to adequately prevent fraudulent transactions could damage our reputation, result in litigation or regulatory action, and lead to expenses that could substantially impact our operating results.</w:t>
      </w:r>
    </w:p>
    <w:p>
      <w:pPr>
        <w:spacing w:after="0" w:line="229"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4"/>
          <w:szCs w:val="14"/>
          <w:color w:val="auto"/>
        </w:rPr>
        <w:t>.</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In addition, we are required to maintain certain levels of insurance coverage in certain commercial agreements, such as our real estate leases, and in our Credit Facility Amendment. We cannot guarantee that we will continue to maintain adequate insurance coverage on favorable terms that meets our coverage needs and/or contractual obligations.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(including due to contractual requirements), we could be liable for significant additional costs. Additionally, if any of our insurance providers becomes insolvent, it would be unable to pay any operations-related claims that we make.</w:t>
      </w:r>
    </w:p>
    <w:p>
      <w:pPr>
        <w:spacing w:after="0" w:line="143"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Ownership of Our Class A Common Stock</w:t>
      </w:r>
    </w:p>
    <w:p>
      <w:pPr>
        <w:spacing w:after="0" w:line="179" w:lineRule="exact"/>
        <w:rPr>
          <w:sz w:val="20"/>
          <w:szCs w:val="20"/>
          <w:color w:val="auto"/>
        </w:rPr>
      </w:pPr>
    </w:p>
    <w:p>
      <w:pPr>
        <w:ind w:right="180"/>
        <w:spacing w:after="0" w:line="276" w:lineRule="auto"/>
        <w:rPr>
          <w:sz w:val="20"/>
          <w:szCs w:val="20"/>
          <w:color w:val="auto"/>
        </w:rPr>
      </w:pPr>
      <w:r>
        <w:rPr>
          <w:rFonts w:ascii="Arial" w:cs="Arial" w:eastAsia="Arial" w:hAnsi="Arial"/>
          <w:sz w:val="14"/>
          <w:szCs w:val="14"/>
          <w:b w:val="1"/>
          <w:bCs w:val="1"/>
          <w:i w:val="1"/>
          <w:iCs w:val="1"/>
          <w:color w:val="auto"/>
        </w:rPr>
        <w:t>The dual class structure of our common stock and stockholders’ agreement among us and certain stockholders has the effect of concentrating voting control with those stockholders who held our capital stock prior to the listing of our Class A common stock on Nasdaq, including our Co-Founders, and their affiliates, which will limit an investor’s ability to influence the outcome of important transactions, including a change of control</w:t>
      </w:r>
      <w:r>
        <w:rPr>
          <w:rFonts w:ascii="Arial" w:cs="Arial" w:eastAsia="Arial" w:hAnsi="Arial"/>
          <w:sz w:val="14"/>
          <w:szCs w:val="14"/>
          <w:color w:val="auto"/>
        </w:rPr>
        <w:t>.</w:t>
      </w:r>
    </w:p>
    <w:p>
      <w:pPr>
        <w:spacing w:after="0" w:line="37"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Our Class B common stock has 20 votes per share, and our Class A common stock has one vote per share. Because of the twenty-to-one voting ratio between our Class B and Class A common stock, the holders of our Class B common stock collectively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In addition, we and certain stockholders, including our CEO and Co-Founder Jennifer Y. Hyman, entered into a stockholders’ agreement in connection with our IPO with respect to the election of directors. This concentrated control may limit or preclude an investor’s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investors may believe are in their best interests.</w:t>
      </w:r>
    </w:p>
    <w:p>
      <w:pPr>
        <w:spacing w:after="0" w:line="239" w:lineRule="exact"/>
        <w:rPr>
          <w:sz w:val="20"/>
          <w:szCs w:val="20"/>
          <w:color w:val="auto"/>
        </w:rPr>
      </w:pPr>
    </w:p>
    <w:p>
      <w:pPr>
        <w:ind w:right="120"/>
        <w:spacing w:after="0" w:line="243" w:lineRule="auto"/>
        <w:rPr>
          <w:sz w:val="20"/>
          <w:szCs w:val="20"/>
          <w:color w:val="auto"/>
        </w:rPr>
      </w:pPr>
      <w:r>
        <w:rPr>
          <w:rFonts w:ascii="Arial" w:cs="Arial" w:eastAsia="Arial" w:hAnsi="Arial"/>
          <w:sz w:val="14"/>
          <w:szCs w:val="14"/>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transfer of such share to a person that is not in the same Permitted Ownership Group (as defined in our Amended and Restated Certificate of Incorporation (“Amended Charter”)) as such Permitted Class B Holder (as defined in the Amended Charter), (ii) November 1, 2028, or (iii) with respect to any shares held by any person in our Co-Founder’s Permitted Ownership Group, (A) such time as a Co-Founder is removed or resigns from the Board of Directors, or otherwise ceases to serve as a director on the Board of Directors, (B) such time as a Co-Founder ceases to be either an employee, officer or consultant, or (C) the date that is 12 months after the death or disability of a Co-Founder.</w:t>
      </w:r>
    </w:p>
    <w:p>
      <w:pPr>
        <w:spacing w:after="0" w:line="155"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b w:val="1"/>
          <w:bCs w:val="1"/>
          <w:i w:val="1"/>
          <w:iCs w:val="1"/>
          <w:color w:val="auto"/>
        </w:rPr>
        <w:t>We are required to meet the Nasdaq Capital Market’s continued listing requirements and other Nasdaq rules, or we may risk delisting. Delisting could negatively affect the price of our Class A common stock, which could make it more difficult for us to sell securities in a future financing or for you to sell our Class A common stock.</w:t>
      </w:r>
    </w:p>
    <w:p>
      <w:pPr>
        <w:spacing w:after="0" w:line="128"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are required to meet the continued listing requirements of the Nasdaq Capital Market and other Nasdaq rules, including those regarding director independence and independent committee requirements, minimum stockholders’ equity, minimum share price and certain other corporate governance requirements. In particular, we are required to maintain a minimum bid price for our listed Class A common stock of $1.00 per share. If we do not meet these continued listing requirements, our Class A common stock could be delisted. On October 20, 2023, we received a letter from The Nasdaq Stock Market LLC indicating that, for the last thirty consecutive business days, the bid price for our Class A common stock had closed below the minimum $1.00 per share requirement for continued listing on The Nasdaq Capital Market under Nasdaq Listing Rule 5550(a)(2) (the “Bid Price Rule”). In accordance with Nasdaq Listing Rule 5810(c)(3)(A), we were provided an initial period of 180 calendar days, or until April 17, 2024, to regain compliance. The letter stated that the Nasdaq staff would provide written notification that we have achieved compliance with the Bid Price Rule if at any time before April 17, 2024, the bid price of our Class A common stock closed at $1.00 per share or more for a minimum of ten consecutive business days. The letter had no immediate effect on the listing or trading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67"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If we do not regain compliance with the Bid Price Rule by April 17, 2024, we may be eligible for an additional 180 calendar day compliance period. To qualify, we would be required to meet the continued listing requirement for market value of publicly held shares and all other initial listing standards for The Nasdaq Capital Market, with the exception of the bid price requirement, and would need to provide written notice of our intention to cure the deficiency during the second compliance period, for example, by effecting a reverse stock split, if necessary. However, if it appears to the Nasdaq staff that we will not be able to cure the deficiency, or if we are otherwise not eligible, Nasdaq would notify us that our securities would be subject to delisting. In the event of such a notification, we may appeal the Nasdaq staff’s determination to delist our securities. There can be no assurance that we will be eligible for the additional 180 calendar day compliance period, if applicable, or that the Nasdaq staff would grant our request for continued listing subsequent to any delisting notification.</w:t>
      </w:r>
    </w:p>
    <w:p>
      <w:pPr>
        <w:spacing w:after="0" w:line="153"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Delisting from the Nasdaq Capital Market would cause us to pursue eligibility for trading of these securities on other markets or exchanges, or on the “pink sheets.” In such case, our stockholders’ ability to trade, or obtain quotations of the market value of our Class A common stock would be severely limited because of lower trading volumes and transaction delays. These factors could contribute to lower prices and larger spreads in the bid and ask prices of these securities. There can be no assurance that our securities, if delisted from the Nasdaq Capital Market in the future, would be listed on a national securities exchange, a national quotation service, the over-the-counter markets or the pink sheets. Delisting from the Nasdaq Capital Market, or even the issuance of a notice of potential delisting, would also result in negative publicity, make it more difficult for us to raise additional capital, adversely affect the market liquidity of our securities, decrease securities analysts’ coverage of us or diminish investor, supplier and employee confidence.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 price may be volatile, and our investors may be unable to sell shares at or above the price they paid for them</w:t>
      </w:r>
      <w:r>
        <w:rPr>
          <w:rFonts w:ascii="Arial" w:cs="Arial" w:eastAsia="Arial" w:hAnsi="Arial"/>
          <w:sz w:val="14"/>
          <w:szCs w:val="14"/>
          <w:color w:val="auto"/>
        </w:rPr>
        <w:t>.</w:t>
      </w:r>
    </w:p>
    <w:p>
      <w:pPr>
        <w:spacing w:after="0" w:line="94" w:lineRule="exact"/>
        <w:rPr>
          <w:sz w:val="20"/>
          <w:szCs w:val="20"/>
          <w:color w:val="auto"/>
        </w:rPr>
      </w:pPr>
    </w:p>
    <w:p>
      <w:pPr>
        <w:ind w:right="520"/>
        <w:spacing w:after="0" w:line="290" w:lineRule="auto"/>
        <w:rPr>
          <w:sz w:val="20"/>
          <w:szCs w:val="20"/>
          <w:color w:val="auto"/>
        </w:rPr>
      </w:pPr>
      <w:r>
        <w:rPr>
          <w:rFonts w:ascii="Arial" w:cs="Arial" w:eastAsia="Arial" w:hAnsi="Arial"/>
          <w:sz w:val="14"/>
          <w:szCs w:val="14"/>
          <w:color w:val="auto"/>
        </w:rPr>
        <w:t>The market price of our Class A common stock has declined significantly since our IPO, has been volatile and is likely to continue to be volatile and could be subject to wide fluctuations in response to the risk factors described in this Quarterly Report, and others within or beyond our control, including:</w:t>
      </w:r>
    </w:p>
    <w:p>
      <w:pPr>
        <w:spacing w:after="0" w:line="35" w:lineRule="exact"/>
        <w:rPr>
          <w:sz w:val="20"/>
          <w:szCs w:val="20"/>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actual or anticipated fluctuations in our revenue or other operating metrics;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actual or anticipated operating performance and the operating performance of our competitors;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changes in the financial projections we provide to the public or our failure to meet these projections;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perceived adequacy of our ESG efforts;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positive or negative publicity;</w:t>
      </w:r>
    </w:p>
    <w:p>
      <w:pPr>
        <w:spacing w:after="0" w:line="93" w:lineRule="exact"/>
        <w:rPr>
          <w:rFonts w:ascii="Arial" w:cs="Arial" w:eastAsia="Arial" w:hAnsi="Arial"/>
          <w:sz w:val="14"/>
          <w:szCs w:val="14"/>
          <w:color w:val="auto"/>
        </w:rPr>
      </w:pPr>
    </w:p>
    <w:p>
      <w:pPr>
        <w:ind w:left="580" w:right="100" w:hanging="193"/>
        <w:spacing w:after="0" w:line="290" w:lineRule="auto"/>
        <w:tabs>
          <w:tab w:leader="none" w:pos="576" w:val="left"/>
        </w:tabs>
        <w:numPr>
          <w:ilvl w:val="0"/>
          <w:numId w:val="43"/>
        </w:numPr>
        <w:rPr>
          <w:rFonts w:ascii="Arial" w:cs="Arial" w:eastAsia="Arial" w:hAnsi="Arial"/>
          <w:sz w:val="14"/>
          <w:szCs w:val="14"/>
          <w:color w:val="auto"/>
        </w:rPr>
      </w:pPr>
      <w:r>
        <w:rPr>
          <w:rFonts w:ascii="Arial" w:cs="Arial" w:eastAsia="Arial" w:hAnsi="Arial"/>
          <w:sz w:val="14"/>
          <w:szCs w:val="14"/>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any major change in our board of directors, management, or key personnel;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economy as a whole and market conditions in our industry;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93" w:lineRule="exact"/>
        <w:rPr>
          <w:rFonts w:ascii="Arial" w:cs="Arial" w:eastAsia="Arial" w:hAnsi="Arial"/>
          <w:sz w:val="14"/>
          <w:szCs w:val="14"/>
          <w:color w:val="auto"/>
        </w:rPr>
      </w:pPr>
    </w:p>
    <w:p>
      <w:pPr>
        <w:ind w:left="580" w:right="420" w:hanging="193"/>
        <w:spacing w:after="0" w:line="290" w:lineRule="auto"/>
        <w:tabs>
          <w:tab w:leader="none" w:pos="576" w:val="left"/>
        </w:tabs>
        <w:numPr>
          <w:ilvl w:val="0"/>
          <w:numId w:val="43"/>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innovations, new products, services, features, integrations, or capabilities, acquisitions, strategic investments, partnerships, joint ventures, or capital commitments;</w:t>
      </w:r>
    </w:p>
    <w:p>
      <w:pPr>
        <w:spacing w:after="0" w:line="35" w:lineRule="exact"/>
        <w:rPr>
          <w:rFonts w:ascii="Arial" w:cs="Arial" w:eastAsia="Arial" w:hAnsi="Arial"/>
          <w:sz w:val="14"/>
          <w:szCs w:val="14"/>
          <w:color w:val="auto"/>
        </w:rPr>
      </w:pPr>
    </w:p>
    <w:p>
      <w:pPr>
        <w:ind w:left="580" w:right="20" w:hanging="193"/>
        <w:spacing w:after="0" w:line="290" w:lineRule="auto"/>
        <w:tabs>
          <w:tab w:leader="none" w:pos="576"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legal and regulatory landscape and changes in the application of existing laws or adoption of new laws that impact our business, including changes in e-commerce and tax laws;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legal and regulatory claims, litigation, or pre-litigation disputes and other proceedings;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impact of COVID-19 on our business or the fashion industry and sharing economy generally;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sales or expected sales of our Class A common stock by us, our officers, directors, principal stockholders, and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if securities or industry analysts publish research about our business, or if they publish unfavorable research;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other events or factors, including those resulting from war, incidents of terrorism, or responses to these events.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It is common for stockholders to institute securities class action litigation following periods of stock volatility. We are currently subject to securities litigation which could divert resources and the attention of management from our business, and materially adversely affect our business, financial condition and results of operations, and we could be subject to additional securities litigation in the future.</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Company insiders have the ability to control or significantly influence all matters submitted to stockholders for approval.</w:t>
      </w:r>
    </w:p>
    <w:p>
      <w:pPr>
        <w:spacing w:after="0" w:line="92"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Our executive officers, directors, and stockholders party to our stockholders’ agreement entered into in connection with our IPO, in the aggregate, beneficially own over 50% of the voting power of our outstanding common stock as of October 31, 2023.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management has broad discretion in the use of our cash resources and may not use them effectively</w:t>
      </w:r>
      <w:r>
        <w:rPr>
          <w:rFonts w:ascii="Arial" w:cs="Arial" w:eastAsia="Arial" w:hAnsi="Arial"/>
          <w:sz w:val="14"/>
          <w:szCs w:val="14"/>
          <w:color w:val="auto"/>
        </w:rPr>
        <w:t>.</w:t>
      </w:r>
    </w:p>
    <w:p>
      <w:pPr>
        <w:spacing w:after="0" w:line="9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management has broad discretion in the application of our cash resources,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cannot predict the effect our dual class structure may have on the trading price of our Class A common stock</w:t>
      </w:r>
      <w:r>
        <w:rPr>
          <w:rFonts w:ascii="Arial" w:cs="Arial" w:eastAsia="Arial" w:hAnsi="Arial"/>
          <w:sz w:val="14"/>
          <w:szCs w:val="14"/>
          <w:color w:val="auto"/>
        </w:rPr>
        <w:t>.</w:t>
      </w:r>
    </w:p>
    <w:p>
      <w:pPr>
        <w:spacing w:after="0" w:line="83" w:lineRule="exact"/>
        <w:rPr>
          <w:sz w:val="20"/>
          <w:szCs w:val="20"/>
          <w:color w:val="auto"/>
        </w:rPr>
      </w:pPr>
    </w:p>
    <w:p>
      <w:pPr>
        <w:ind w:right="60"/>
        <w:spacing w:after="0"/>
        <w:rPr>
          <w:sz w:val="20"/>
          <w:szCs w:val="20"/>
          <w:color w:val="auto"/>
        </w:rPr>
      </w:pPr>
      <w:r>
        <w:rPr>
          <w:rFonts w:ascii="Arial" w:cs="Arial" w:eastAsia="Arial" w:hAnsi="Arial"/>
          <w:sz w:val="14"/>
          <w:szCs w:val="14"/>
          <w:color w:val="auto"/>
        </w:rPr>
        <w:t>We cannot predict whether our dual class structure results in a lower or more volatile trading price of our Class A common stock, in adverse publicity, or other adverse consequences. For example, certain index providers have had restrictions on including companies with multiple-class share structures in certain of their indices. Under such announced policies, the dual class structure of our common stock would make us ineligible for inclusion in certain indices and, as a result, mutual funds, exchange-traded funds, and other investment vehicles that attempt to passively track those indices may not invest in our Class A common stock. S&amp;P Dow Jones eliminated this policy in 2023. It is unclear what effect, if any, these policies have on the valuations of publicly-traded companies excluded from such indices, but it is possible that they may depress valuations, as compared to similar companies that are included. Because of the dual class structure of our common stock, we may not be not eligible for inclusion in certain indices, and we cannot provide</w:t>
      </w:r>
    </w:p>
    <w:p>
      <w:pPr>
        <w:spacing w:after="0" w:line="3" w:lineRule="exact"/>
        <w:rPr>
          <w:sz w:val="20"/>
          <w:szCs w:val="20"/>
          <w:color w:val="auto"/>
        </w:rPr>
      </w:pPr>
    </w:p>
    <w:p>
      <w:pPr>
        <w:ind w:right="60"/>
        <w:spacing w:after="0" w:line="229" w:lineRule="auto"/>
        <w:rPr>
          <w:sz w:val="20"/>
          <w:szCs w:val="20"/>
          <w:color w:val="auto"/>
        </w:rPr>
      </w:pPr>
      <w:r>
        <w:rPr>
          <w:rFonts w:ascii="Arial" w:cs="Arial" w:eastAsia="Arial" w:hAnsi="Arial"/>
          <w:sz w:val="14"/>
          <w:szCs w:val="14"/>
          <w:color w:val="auto"/>
        </w:rPr>
        <w:t>assurance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w:t>
      </w:r>
    </w:p>
    <w:p>
      <w:pPr>
        <w:spacing w:after="0"/>
        <w:rPr>
          <w:sz w:val="20"/>
          <w:szCs w:val="20"/>
          <w:color w:val="auto"/>
        </w:rPr>
      </w:pPr>
      <w:r>
        <w:rPr>
          <w:rFonts w:ascii="Arial" w:cs="Arial" w:eastAsia="Arial" w:hAnsi="Arial"/>
          <w:sz w:val="14"/>
          <w:szCs w:val="14"/>
          <w:color w:val="auto"/>
        </w:rPr>
        <w:t>price of our Class A common stock could be adversely affected.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4"/>
          <w:szCs w:val="14"/>
          <w:color w:val="auto"/>
        </w:rPr>
        <w:t>.</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of our common stock in the public market could cause our share price to fall</w:t>
      </w:r>
      <w:r>
        <w:rPr>
          <w:rFonts w:ascii="Arial" w:cs="Arial" w:eastAsia="Arial" w:hAnsi="Arial"/>
          <w:sz w:val="14"/>
          <w:szCs w:val="14"/>
          <w:color w:val="auto"/>
        </w:rPr>
        <w:t>.</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34"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In the future, we may sell additional Class A common stock, other series of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40"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restricted stock units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These factors could also make it more difficult for us to raise additional funds through future offerings of our shares of Class A common stock or other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shares of our Class A common stock become subject to the penny stock rules, it would become more difficult to trade them.</w:t>
      </w:r>
    </w:p>
    <w:p>
      <w:pPr>
        <w:spacing w:after="0" w:line="198"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The SEC has adopted regulations which generally define a “penny stock” to be an equity security that has a market price of less than $5.00 per share or an exercise price of less than $5.00 per share, subject to specific exemptions, including an exemption for any securities listed on a national securities exchange. The rules impose additional sales practice requirements on broker-dealers for transactions involving “penny stock”, with some exceptions. If shares of our Class A common stock were delisted from the Nasdaq Capital Market and determined to be “penny stock”, broker-dealers may find it more difficult to trade such securities and investors may find it more difficult to acquire or dispose of such securities on the secondary market.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80"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4"/>
          <w:szCs w:val="14"/>
          <w:color w:val="auto"/>
        </w:rPr>
        <w:t>.</w:t>
      </w:r>
    </w:p>
    <w:p>
      <w:pPr>
        <w:spacing w:after="0" w:line="21"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There are provisions in our Amended Charter and Amended and Restated Bylaws (“Amended Bylaws”) that may make it difficult for a third party to acquire, or attempt to acquire, control of our company, even if a change in control were considered favorable by our stockholders. These anti-takeover provisions include:</w:t>
      </w:r>
    </w:p>
    <w:p>
      <w:pPr>
        <w:spacing w:after="0" w:line="35" w:lineRule="exact"/>
        <w:rPr>
          <w:sz w:val="20"/>
          <w:szCs w:val="20"/>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authorization of the issuance of “blank check” preferred stock that our board of directors could use to implement a stockholder rights plan;</w:t>
      </w:r>
    </w:p>
    <w:p>
      <w:pPr>
        <w:spacing w:after="0" w:line="93" w:lineRule="exact"/>
        <w:rPr>
          <w:rFonts w:ascii="Arial" w:cs="Arial" w:eastAsia="Arial" w:hAnsi="Arial"/>
          <w:sz w:val="14"/>
          <w:szCs w:val="14"/>
          <w:color w:val="auto"/>
        </w:rPr>
      </w:pPr>
    </w:p>
    <w:p>
      <w:pPr>
        <w:ind w:left="580" w:right="320" w:hanging="193"/>
        <w:spacing w:after="0" w:line="271" w:lineRule="auto"/>
        <w:tabs>
          <w:tab w:leader="none" w:pos="576" w:val="left"/>
        </w:tabs>
        <w:numPr>
          <w:ilvl w:val="0"/>
          <w:numId w:val="44"/>
        </w:numPr>
        <w:rPr>
          <w:rFonts w:ascii="Arial" w:cs="Arial" w:eastAsia="Arial" w:hAnsi="Arial"/>
          <w:sz w:val="14"/>
          <w:szCs w:val="14"/>
          <w:color w:val="auto"/>
        </w:rPr>
      </w:pPr>
      <w:r>
        <w:rPr>
          <w:rFonts w:ascii="Arial" w:cs="Arial" w:eastAsia="Arial" w:hAnsi="Arial"/>
          <w:sz w:val="14"/>
          <w:szCs w:val="14"/>
          <w:color w:val="auto"/>
        </w:rPr>
        <w:t>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 classified board of directors so that not all members of our board of directors are elected at one time;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 requirement that our directors may only be removed for cause;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ability of our directors to fill all board vacancies, subject to the rights granted pursuant to the stockholders’ agreement;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 prohibition on stockholder actions by written consent, thereby requiring that all stockholder actions be taken at a meeting of our stockholders;</w:t>
      </w:r>
    </w:p>
    <w:p>
      <w:pPr>
        <w:spacing w:after="0" w:line="93" w:lineRule="exact"/>
        <w:rPr>
          <w:rFonts w:ascii="Arial" w:cs="Arial" w:eastAsia="Arial" w:hAnsi="Arial"/>
          <w:sz w:val="14"/>
          <w:szCs w:val="14"/>
          <w:color w:val="auto"/>
        </w:rPr>
      </w:pPr>
    </w:p>
    <w:p>
      <w:pPr>
        <w:ind w:left="580" w:right="160" w:hanging="193"/>
        <w:spacing w:after="0" w:line="290" w:lineRule="auto"/>
        <w:tabs>
          <w:tab w:leader="none" w:pos="576" w:val="left"/>
        </w:tabs>
        <w:numPr>
          <w:ilvl w:val="0"/>
          <w:numId w:val="44"/>
        </w:numPr>
        <w:rPr>
          <w:rFonts w:ascii="Arial" w:cs="Arial" w:eastAsia="Arial" w:hAnsi="Arial"/>
          <w:sz w:val="14"/>
          <w:szCs w:val="14"/>
          <w:color w:val="auto"/>
        </w:rPr>
      </w:pPr>
      <w:r>
        <w:rPr>
          <w:rFonts w:ascii="Arial" w:cs="Arial" w:eastAsia="Arial" w:hAnsi="Arial"/>
          <w:sz w:val="14"/>
          <w:szCs w:val="14"/>
          <w:color w:val="auto"/>
        </w:rPr>
        <w:t>advance notice procedures for stockholder director nominees and annual meeting matters (other than the parties to our stockholders; agreement for nominations made pursuant to the terms of the stockholders’ agreement);</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an inability of our stockholders to call special meetings of stockholders;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ability of our directors to amend our Amended Bylaws without stockholder consent;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requirement of a super-majority to amend some provisions in our Amended Charter and Amended Bylaws;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 prohibition on cumulative voting for directors.</w:t>
      </w:r>
    </w:p>
    <w:p>
      <w:pPr>
        <w:spacing w:after="0" w:line="17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Although we have opted out of Section 203 of the General Corporation Law of the State of Delaware,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40"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b w:val="1"/>
          <w:bCs w:val="1"/>
          <w:i w:val="1"/>
          <w:iCs w:val="1"/>
          <w:color w:val="auto"/>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4"/>
          <w:szCs w:val="14"/>
          <w:color w:val="auto"/>
        </w:rPr>
        <w:t>.</w:t>
      </w:r>
    </w:p>
    <w:p>
      <w:pPr>
        <w:spacing w:after="0" w:line="3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are the exclusive forum for resolving any complaint asserting a cause of action arising under the Securities Act.</w:t>
      </w:r>
    </w:p>
    <w:p>
      <w:pPr>
        <w:spacing w:after="0" w:line="143"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138" w:lineRule="exact"/>
        <w:rPr>
          <w:sz w:val="20"/>
          <w:szCs w:val="20"/>
          <w:color w:val="auto"/>
        </w:rPr>
      </w:pPr>
    </w:p>
    <w:p>
      <w:pPr>
        <w:jc w:val="both"/>
        <w:ind w:right="320"/>
        <w:spacing w:after="0" w:line="265" w:lineRule="auto"/>
        <w:rPr>
          <w:sz w:val="20"/>
          <w:szCs w:val="20"/>
          <w:color w:val="auto"/>
        </w:rPr>
      </w:pPr>
      <w:r>
        <w:rPr>
          <w:rFonts w:ascii="Arial" w:cs="Arial" w:eastAsia="Arial" w:hAnsi="Arial"/>
          <w:sz w:val="14"/>
          <w:szCs w:val="14"/>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Amended Charter provides that the doctrine of “corporate opportunity” does not apply with respect to any directors (or their affiliates) who are not our employees.</w:t>
      </w:r>
    </w:p>
    <w:p>
      <w:pPr>
        <w:spacing w:after="0" w:line="9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Our Amended Charter provides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w:t>
      </w:r>
      <w:r>
        <w:rPr>
          <w:rFonts w:ascii="Times New Roman" w:cs="Times New Roman" w:eastAsia="Times New Roman" w:hAnsi="Times New Roman"/>
          <w:sz w:val="14"/>
          <w:szCs w:val="14"/>
          <w:b w:val="1"/>
          <w:bCs w:val="1"/>
          <w:color w:val="000000"/>
          <w:highlight w:val="white"/>
        </w:rPr>
        <w: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Use Of Proceeds, And Issuer Purchases Of Equity Securities</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Unregistered Sales of Equity Securities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w:t>
      </w:r>
    </w:p>
    <w:p>
      <w:pPr>
        <w:spacing w:after="0" w:line="200"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The offer and sale of the shares in the IPO was registered under the Securities Act pursuant to a registration statement on Form S-1 (File No. 333-260027), which was declared effective by the SEC on October 26, 2021.</w:t>
      </w:r>
    </w:p>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There has been no material change in the expected use of the net proceeds from our IPO, as described in our final prospectus filed with the SEC on October 27, 2021 pursuant to Rule 424(b) under the Securities Act of 1933.</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200" w:lineRule="exact"/>
        <w:rPr>
          <w:sz w:val="20"/>
          <w:szCs w:val="20"/>
          <w:color w:val="auto"/>
        </w:rPr>
      </w:pPr>
    </w:p>
    <w:p>
      <w:pPr>
        <w:ind w:left="220" w:hanging="215"/>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22" w:lineRule="exact"/>
        <w:rPr>
          <w:rFonts w:ascii="Arial" w:cs="Arial" w:eastAsia="Arial" w:hAnsi="Arial"/>
          <w:sz w:val="14"/>
          <w:szCs w:val="14"/>
          <w:color w:val="auto"/>
        </w:rPr>
      </w:pPr>
    </w:p>
    <w:p>
      <w:pPr>
        <w:ind w:left="220" w:hanging="215"/>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8" w:lineRule="exact"/>
        <w:rPr>
          <w:rFonts w:ascii="Arial" w:cs="Arial" w:eastAsia="Arial" w:hAnsi="Arial"/>
          <w:sz w:val="14"/>
          <w:szCs w:val="14"/>
          <w:color w:val="auto"/>
        </w:rPr>
      </w:pPr>
    </w:p>
    <w:p>
      <w:pPr>
        <w:ind w:left="200" w:hanging="195"/>
        <w:spacing w:after="0"/>
        <w:tabs>
          <w:tab w:leader="none" w:pos="2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3" w:right="459"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i w:val="1"/>
          <w:iCs w:val="1"/>
          <w:color w:val="auto"/>
        </w:rPr>
        <w:t>Item 6. Exhibits</w:t>
      </w:r>
    </w:p>
    <w:p>
      <w:pPr>
        <w:spacing w:after="0" w:line="82" w:lineRule="exact"/>
        <w:rPr>
          <w:sz w:val="20"/>
          <w:szCs w:val="20"/>
          <w:color w:val="auto"/>
        </w:rPr>
      </w:pPr>
    </w:p>
    <w:p>
      <w:pPr>
        <w:ind w:left="580" w:hanging="193"/>
        <w:spacing w:after="0"/>
        <w:tabs>
          <w:tab w:leader="none" w:pos="580" w:val="left"/>
        </w:tabs>
        <w:numPr>
          <w:ilvl w:val="0"/>
          <w:numId w:val="46"/>
        </w:numPr>
        <w:rPr>
          <w:rFonts w:ascii="Calibri" w:cs="Calibri" w:eastAsia="Calibri" w:hAnsi="Calibri"/>
          <w:sz w:val="16"/>
          <w:szCs w:val="16"/>
          <w:color w:val="auto"/>
        </w:rPr>
      </w:pPr>
      <w:r>
        <w:rPr>
          <w:rFonts w:ascii="Arial" w:cs="Arial" w:eastAsia="Arial" w:hAnsi="Arial"/>
          <w:sz w:val="14"/>
          <w:szCs w:val="14"/>
          <w:color w:val="auto"/>
        </w:rPr>
        <w:t>Exhibits.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ind w:left="420"/>
              <w:spacing w:after="0"/>
              <w:rPr>
                <w:sz w:val="20"/>
                <w:szCs w:val="20"/>
                <w:color w:val="auto"/>
              </w:rPr>
            </w:pPr>
            <w:r>
              <w:rPr>
                <w:rFonts w:ascii="Arial" w:cs="Arial" w:eastAsia="Arial" w:hAnsi="Arial"/>
                <w:sz w:val="11"/>
                <w:szCs w:val="11"/>
                <w:b w:val="1"/>
                <w:bCs w:val="1"/>
                <w:color w:val="auto"/>
              </w:rPr>
              <w:t>Incorporated by Reference</w:t>
            </w:r>
          </w:p>
        </w:tc>
        <w:tc>
          <w:tcPr>
            <w:tcW w:w="9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40" w:type="dxa"/>
            <w:vAlign w:val="bottom"/>
            <w:gridSpan w:val="2"/>
          </w:tcPr>
          <w:p>
            <w:pPr>
              <w:ind w:left="20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1"/>
                <w:szCs w:val="11"/>
                <w:color w:val="auto"/>
              </w:rPr>
            </w:pPr>
          </w:p>
        </w:tc>
        <w:tc>
          <w:tcPr>
            <w:tcW w:w="5400" w:type="dxa"/>
            <w:vAlign w:val="bottom"/>
            <w:gridSpan w:val="8"/>
            <w:vMerge w:val="restart"/>
          </w:tcPr>
          <w:p>
            <w:pPr>
              <w:spacing w:after="0"/>
              <w:rPr>
                <w:sz w:val="20"/>
                <w:szCs w:val="20"/>
                <w:color w:val="auto"/>
              </w:rPr>
            </w:pPr>
            <w:r>
              <w:rPr>
                <w:rFonts w:ascii="Arial" w:cs="Arial" w:eastAsia="Arial" w:hAnsi="Arial"/>
                <w:sz w:val="11"/>
                <w:szCs w:val="11"/>
                <w:b w:val="1"/>
                <w:bCs w:val="1"/>
                <w:color w:val="auto"/>
              </w:rPr>
              <w:t>Description of Exhibit</w:t>
            </w:r>
          </w:p>
        </w:tc>
        <w:tc>
          <w:tcPr>
            <w:tcW w:w="60" w:type="dxa"/>
            <w:vAlign w:val="bottom"/>
            <w:vMerge w:val="restart"/>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Form</w:t>
            </w:r>
          </w:p>
        </w:tc>
        <w:tc>
          <w:tcPr>
            <w:tcW w:w="60" w:type="dxa"/>
            <w:vAlign w:val="bottom"/>
            <w:vMerge w:val="restart"/>
          </w:tcPr>
          <w:p>
            <w:pPr>
              <w:spacing w:after="0"/>
              <w:rPr>
                <w:sz w:val="11"/>
                <w:szCs w:val="11"/>
                <w:color w:val="auto"/>
              </w:rPr>
            </w:pPr>
          </w:p>
        </w:tc>
        <w:tc>
          <w:tcPr>
            <w:tcW w:w="11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File No.</w:t>
            </w:r>
          </w:p>
        </w:tc>
        <w:tc>
          <w:tcPr>
            <w:tcW w:w="60" w:type="dxa"/>
            <w:vAlign w:val="bottom"/>
            <w:vMerge w:val="restart"/>
          </w:tcPr>
          <w:p>
            <w:pPr>
              <w:spacing w:after="0"/>
              <w:rPr>
                <w:sz w:val="11"/>
                <w:szCs w:val="11"/>
                <w:color w:val="auto"/>
              </w:rPr>
            </w:pPr>
          </w:p>
        </w:tc>
        <w:tc>
          <w:tcPr>
            <w:tcW w:w="700" w:type="dxa"/>
            <w:vAlign w:val="bottom"/>
            <w:vMerge w:val="restart"/>
          </w:tcPr>
          <w:p>
            <w:pPr>
              <w:jc w:val="right"/>
              <w:ind w:right="254"/>
              <w:spacing w:after="0"/>
              <w:rPr>
                <w:sz w:val="20"/>
                <w:szCs w:val="20"/>
                <w:color w:val="auto"/>
              </w:rPr>
            </w:pPr>
            <w:r>
              <w:rPr>
                <w:rFonts w:ascii="Arial" w:cs="Arial" w:eastAsia="Arial" w:hAnsi="Arial"/>
                <w:sz w:val="11"/>
                <w:szCs w:val="11"/>
                <w:b w:val="1"/>
                <w:bCs w:val="1"/>
                <w:color w:val="auto"/>
                <w:w w:val="98"/>
              </w:rPr>
              <w:t>Exhibit</w:t>
            </w:r>
          </w:p>
        </w:tc>
        <w:tc>
          <w:tcPr>
            <w:tcW w:w="60" w:type="dxa"/>
            <w:vAlign w:val="bottom"/>
            <w:vMerge w:val="restart"/>
          </w:tcPr>
          <w:p>
            <w:pPr>
              <w:spacing w:after="0"/>
              <w:rPr>
                <w:sz w:val="11"/>
                <w:szCs w:val="11"/>
                <w:color w:val="auto"/>
              </w:rPr>
            </w:pPr>
          </w:p>
        </w:tc>
        <w:tc>
          <w:tcPr>
            <w:tcW w:w="980" w:type="dxa"/>
            <w:vAlign w:val="bottom"/>
            <w:vMerge w:val="restart"/>
          </w:tcPr>
          <w:p>
            <w:pPr>
              <w:jc w:val="right"/>
              <w:ind w:right="334"/>
              <w:spacing w:after="0"/>
              <w:rPr>
                <w:sz w:val="20"/>
                <w:szCs w:val="20"/>
                <w:color w:val="auto"/>
              </w:rPr>
            </w:pPr>
            <w:r>
              <w:rPr>
                <w:rFonts w:ascii="Arial" w:cs="Arial" w:eastAsia="Arial" w:hAnsi="Arial"/>
                <w:sz w:val="11"/>
                <w:szCs w:val="11"/>
                <w:b w:val="1"/>
                <w:bCs w:val="1"/>
                <w:color w:val="auto"/>
              </w:rPr>
              <w:t>Filing date</w:t>
            </w:r>
          </w:p>
        </w:tc>
        <w:tc>
          <w:tcPr>
            <w:tcW w:w="60" w:type="dxa"/>
            <w:vAlign w:val="bottom"/>
          </w:tcPr>
          <w:p>
            <w:pPr>
              <w:spacing w:after="0"/>
              <w:rPr>
                <w:sz w:val="11"/>
                <w:szCs w:val="11"/>
                <w:color w:val="auto"/>
              </w:rPr>
            </w:pPr>
          </w:p>
        </w:tc>
        <w:tc>
          <w:tcPr>
            <w:tcW w:w="1200" w:type="dxa"/>
            <w:vAlign w:val="bottom"/>
          </w:tcPr>
          <w:p>
            <w:pPr>
              <w:ind w:left="20"/>
              <w:spacing w:after="0"/>
              <w:rPr>
                <w:sz w:val="20"/>
                <w:szCs w:val="20"/>
                <w:color w:val="auto"/>
              </w:rPr>
            </w:pPr>
            <w:r>
              <w:rPr>
                <w:rFonts w:ascii="Arial" w:cs="Arial" w:eastAsia="Arial" w:hAnsi="Arial"/>
                <w:sz w:val="11"/>
                <w:szCs w:val="11"/>
                <w:b w:val="1"/>
                <w:bCs w:val="1"/>
                <w:color w:val="auto"/>
              </w:rPr>
              <w:t>Filed / Furnished</w:t>
            </w:r>
          </w:p>
        </w:tc>
        <w:tc>
          <w:tcPr>
            <w:tcW w:w="0" w:type="dxa"/>
            <w:vAlign w:val="bottom"/>
          </w:tcPr>
          <w:p>
            <w:pPr>
              <w:spacing w:after="0"/>
              <w:rPr>
                <w:sz w:val="1"/>
                <w:szCs w:val="1"/>
                <w:color w:val="auto"/>
              </w:rPr>
            </w:pPr>
          </w:p>
        </w:tc>
      </w:tr>
      <w:tr>
        <w:trPr>
          <w:trHeight w:val="149"/>
        </w:trPr>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400" w:type="dxa"/>
            <w:vAlign w:val="bottom"/>
            <w:tcBorders>
              <w:bottom w:val="single" w:sz="8" w:color="auto"/>
            </w:tcBorders>
            <w:gridSpan w:val="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Herewith</w:t>
            </w:r>
          </w:p>
        </w:tc>
        <w:tc>
          <w:tcPr>
            <w:tcW w:w="0" w:type="dxa"/>
            <w:vAlign w:val="bottom"/>
          </w:tcPr>
          <w:p>
            <w:pPr>
              <w:spacing w:after="0"/>
              <w:rPr>
                <w:sz w:val="1"/>
                <w:szCs w:val="1"/>
                <w:color w:val="auto"/>
              </w:rPr>
            </w:pPr>
          </w:p>
        </w:tc>
      </w:tr>
      <w:tr>
        <w:trPr>
          <w:trHeight w:val="213"/>
        </w:trPr>
        <w:tc>
          <w:tcPr>
            <w:tcW w:w="780" w:type="dxa"/>
            <w:vAlign w:val="bottom"/>
          </w:tcPr>
          <w:p>
            <w:pPr>
              <w:ind w:left="20"/>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40" w:type="dxa"/>
            <w:vAlign w:val="bottom"/>
            <w:tcBorders>
              <w:bottom w:val="single" w:sz="8" w:color="0000FF"/>
            </w:tcBorders>
            <w:gridSpan w:val="3"/>
          </w:tcPr>
          <w:p>
            <w:pPr>
              <w:spacing w:after="0"/>
              <w:rPr>
                <w:rFonts w:ascii="Arial" w:cs="Arial" w:eastAsia="Arial" w:hAnsi="Arial"/>
                <w:sz w:val="14"/>
                <w:szCs w:val="14"/>
                <w:color w:val="0000FF"/>
              </w:rPr>
            </w:pPr>
            <w:hyperlink r:id="rId155">
              <w:r>
                <w:rPr>
                  <w:rFonts w:ascii="Arial" w:cs="Arial" w:eastAsia="Arial" w:hAnsi="Arial"/>
                  <w:sz w:val="14"/>
                  <w:szCs w:val="14"/>
                  <w:color w:val="0000FF"/>
                </w:rPr>
                <w:t>Amended &amp; Restated Certificate of Incorporation</w:t>
              </w:r>
            </w:hyperlink>
          </w:p>
        </w:tc>
        <w:tc>
          <w:tcPr>
            <w:tcW w:w="2420" w:type="dxa"/>
            <w:vAlign w:val="bottom"/>
            <w:gridSpan w:val="6"/>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10/29/2021</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60" w:type="dxa"/>
            <w:vAlign w:val="bottom"/>
            <w:gridSpan w:val="9"/>
          </w:tcPr>
          <w:p>
            <w:pPr>
              <w:spacing w:after="0"/>
              <w:rPr>
                <w:rFonts w:ascii="Arial" w:cs="Arial" w:eastAsia="Arial" w:hAnsi="Arial"/>
                <w:sz w:val="14"/>
                <w:szCs w:val="14"/>
                <w:color w:val="0000FF"/>
              </w:rPr>
            </w:pPr>
            <w:hyperlink r:id="rId156">
              <w:r>
                <w:rPr>
                  <w:rFonts w:ascii="Arial" w:cs="Arial" w:eastAsia="Arial" w:hAnsi="Arial"/>
                  <w:sz w:val="14"/>
                  <w:szCs w:val="14"/>
                  <w:color w:val="0000FF"/>
                </w:rPr>
                <w:t>Amended &amp; Restated Bylaws</w:t>
              </w:r>
            </w:hyperlink>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10/29/2021</w:t>
            </w: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4"/>
                <w:szCs w:val="14"/>
                <w:color w:val="auto"/>
              </w:rPr>
              <w:t>10.1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Form of Retention Bonus Letter</w:t>
            </w:r>
          </w:p>
        </w:tc>
        <w:tc>
          <w:tcPr>
            <w:tcW w:w="3480" w:type="dxa"/>
            <w:vAlign w:val="bottom"/>
            <w:gridSpan w:val="7"/>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4"/>
                <w:szCs w:val="14"/>
                <w:color w:val="auto"/>
              </w:rPr>
              <w:t>31.1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rPr>
              <w:t>Certification of Chief Executive Officer pursuant to Rule 13a-14(a)/15d-14(a)</w:t>
            </w:r>
          </w:p>
        </w:tc>
        <w:tc>
          <w:tcPr>
            <w:tcW w:w="70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4"/>
                <w:szCs w:val="14"/>
                <w:color w:val="auto"/>
              </w:rPr>
              <w:t>31.2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rPr>
              <w:t>Certification of Chief Financial Officer pursuant to Rule 13a-14(a)/15d-14(a)</w:t>
            </w:r>
          </w:p>
        </w:tc>
        <w:tc>
          <w:tcPr>
            <w:tcW w:w="740" w:type="dxa"/>
            <w:vAlign w:val="bottom"/>
            <w:gridSpan w:val="3"/>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4"/>
                <w:szCs w:val="14"/>
                <w:color w:val="auto"/>
              </w:rPr>
              <w:t>32.1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rPr>
              <w:t>Certification of Chief Executive Officer pursuant to 18 U.S.C. Section 1350</w:t>
            </w:r>
          </w:p>
        </w:tc>
        <w:tc>
          <w:tcPr>
            <w:tcW w:w="820" w:type="dxa"/>
            <w:vAlign w:val="bottom"/>
            <w:gridSpan w:val="4"/>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4"/>
                <w:szCs w:val="14"/>
                <w:color w:val="auto"/>
              </w:rPr>
              <w:t>32.2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rPr>
              <w:t>Certification of Chief Financial Officer pursuant to 18 U.S.C. Section 1350</w:t>
            </w:r>
          </w:p>
        </w:tc>
        <w:tc>
          <w:tcPr>
            <w:tcW w:w="860" w:type="dxa"/>
            <w:vAlign w:val="bottom"/>
            <w:gridSpan w:val="5"/>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1"/>
        </w:trPr>
        <w:tc>
          <w:tcPr>
            <w:tcW w:w="840" w:type="dxa"/>
            <w:vAlign w:val="bottom"/>
            <w:gridSpan w:val="2"/>
          </w:tcPr>
          <w:p>
            <w:pPr>
              <w:ind w:left="20"/>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20"/>
                <w:szCs w:val="20"/>
                <w:color w:val="auto"/>
              </w:rPr>
            </w:pPr>
          </w:p>
        </w:tc>
        <w:tc>
          <w:tcPr>
            <w:tcW w:w="5460" w:type="dxa"/>
            <w:vAlign w:val="bottom"/>
            <w:gridSpan w:val="9"/>
          </w:tcPr>
          <w:p>
            <w:pPr>
              <w:spacing w:after="0"/>
              <w:rPr>
                <w:sz w:val="20"/>
                <w:szCs w:val="20"/>
                <w:color w:val="auto"/>
              </w:rPr>
            </w:pPr>
            <w:r>
              <w:rPr>
                <w:rFonts w:ascii="Arial" w:cs="Arial" w:eastAsia="Arial" w:hAnsi="Arial"/>
                <w:sz w:val="14"/>
                <w:szCs w:val="14"/>
                <w:color w:val="auto"/>
              </w:rPr>
              <w:t>Inline XBRL Instance Document - the instance document does not appear in the</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60" w:type="dxa"/>
            <w:vAlign w:val="bottom"/>
            <w:gridSpan w:val="9"/>
          </w:tcPr>
          <w:p>
            <w:pPr>
              <w:spacing w:after="0" w:line="149" w:lineRule="exact"/>
              <w:rPr>
                <w:sz w:val="20"/>
                <w:szCs w:val="20"/>
                <w:color w:val="auto"/>
              </w:rPr>
            </w:pPr>
            <w:r>
              <w:rPr>
                <w:rFonts w:ascii="Arial" w:cs="Arial" w:eastAsia="Arial" w:hAnsi="Arial"/>
                <w:sz w:val="14"/>
                <w:szCs w:val="14"/>
                <w:color w:val="auto"/>
              </w:rPr>
              <w:t>Interactive Data File because its XBRL tags are embedded within the Inline XBRL</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60" w:type="dxa"/>
            <w:vAlign w:val="bottom"/>
            <w:gridSpan w:val="9"/>
          </w:tcPr>
          <w:p>
            <w:pPr>
              <w:spacing w:after="0"/>
              <w:rPr>
                <w:sz w:val="20"/>
                <w:szCs w:val="20"/>
                <w:color w:val="auto"/>
              </w:rPr>
            </w:pPr>
            <w:r>
              <w:rPr>
                <w:rFonts w:ascii="Arial" w:cs="Arial" w:eastAsia="Arial" w:hAnsi="Arial"/>
                <w:sz w:val="14"/>
                <w:szCs w:val="14"/>
                <w:color w:val="auto"/>
              </w:rPr>
              <w:t>document.</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4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22"/>
                <w:szCs w:val="22"/>
                <w:color w:val="auto"/>
              </w:rPr>
            </w:pPr>
          </w:p>
        </w:tc>
        <w:tc>
          <w:tcPr>
            <w:tcW w:w="5460" w:type="dxa"/>
            <w:vAlign w:val="bottom"/>
            <w:gridSpan w:val="9"/>
          </w:tcPr>
          <w:p>
            <w:pPr>
              <w:spacing w:after="0"/>
              <w:rPr>
                <w:sz w:val="20"/>
                <w:szCs w:val="20"/>
                <w:color w:val="auto"/>
              </w:rPr>
            </w:pPr>
            <w:r>
              <w:rPr>
                <w:rFonts w:ascii="Arial" w:cs="Arial" w:eastAsia="Arial" w:hAnsi="Arial"/>
                <w:sz w:val="14"/>
                <w:szCs w:val="14"/>
                <w:color w:val="auto"/>
              </w:rPr>
              <w:t>Inline XBRL Taxonomy Extension Schema Document</w:t>
            </w: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84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21"/>
                <w:szCs w:val="21"/>
                <w:color w:val="auto"/>
              </w:rPr>
            </w:pPr>
          </w:p>
        </w:tc>
        <w:tc>
          <w:tcPr>
            <w:tcW w:w="5460" w:type="dxa"/>
            <w:vAlign w:val="bottom"/>
            <w:gridSpan w:val="9"/>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84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21"/>
                <w:szCs w:val="21"/>
                <w:color w:val="auto"/>
              </w:rPr>
            </w:pPr>
          </w:p>
        </w:tc>
        <w:tc>
          <w:tcPr>
            <w:tcW w:w="5460" w:type="dxa"/>
            <w:vAlign w:val="bottom"/>
            <w:gridSpan w:val="9"/>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84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21"/>
                <w:szCs w:val="21"/>
                <w:color w:val="auto"/>
              </w:rPr>
            </w:pPr>
          </w:p>
        </w:tc>
        <w:tc>
          <w:tcPr>
            <w:tcW w:w="5460" w:type="dxa"/>
            <w:vAlign w:val="bottom"/>
            <w:gridSpan w:val="9"/>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84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21"/>
                <w:szCs w:val="21"/>
                <w:color w:val="auto"/>
              </w:rPr>
            </w:pPr>
          </w:p>
        </w:tc>
        <w:tc>
          <w:tcPr>
            <w:tcW w:w="5460" w:type="dxa"/>
            <w:vAlign w:val="bottom"/>
            <w:gridSpan w:val="9"/>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780" w:type="dxa"/>
            <w:vAlign w:val="bottom"/>
            <w:vMerge w:val="restart"/>
          </w:tcPr>
          <w:p>
            <w:pPr>
              <w:ind w:left="20"/>
              <w:spacing w:after="0"/>
              <w:rPr>
                <w:sz w:val="20"/>
                <w:szCs w:val="20"/>
                <w:color w:val="auto"/>
              </w:rPr>
            </w:pPr>
            <w:r>
              <w:rPr>
                <w:rFonts w:ascii="Arial" w:cs="Arial" w:eastAsia="Arial" w:hAnsi="Arial"/>
                <w:sz w:val="14"/>
                <w:szCs w:val="14"/>
                <w:color w:val="auto"/>
              </w:rPr>
              <w:t>104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9"/>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gridSpan w:val="2"/>
          </w:tcPr>
          <w:p>
            <w:pPr>
              <w:ind w:left="20"/>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18" w:right="359" w:bottom="1440" w:gutter="0" w:footer="0" w:header="0"/>
        </w:sectPr>
      </w:pPr>
    </w:p>
    <w:bookmarkStart w:id="100" w:name="page101"/>
    <w:bookmarkEnd w:id="100"/>
    <w:p>
      <w:pPr>
        <w:jc w:val="center"/>
        <w:ind w:right="-179"/>
        <w:spacing w:after="0"/>
        <w:rPr>
          <w:sz w:val="20"/>
          <w:szCs w:val="20"/>
          <w:color w:val="auto"/>
        </w:rPr>
      </w:pPr>
      <w:r>
        <w:rPr>
          <w:rFonts w:ascii="Arial" w:cs="Arial" w:eastAsia="Arial" w:hAnsi="Arial"/>
          <w:sz w:val="14"/>
          <w:szCs w:val="14"/>
          <w:b w:val="1"/>
          <w:bCs w:val="1"/>
          <w:color w:val="auto"/>
        </w:rPr>
        <w:t>SIGNATURES</w:t>
      </w:r>
    </w:p>
    <w:p>
      <w:pPr>
        <w:spacing w:after="0" w:line="94" w:lineRule="exact"/>
        <w:rPr>
          <w:sz w:val="20"/>
          <w:szCs w:val="20"/>
          <w:color w:val="auto"/>
        </w:rPr>
      </w:pPr>
    </w:p>
    <w:p>
      <w:pPr>
        <w:ind w:firstLine="382"/>
        <w:spacing w:after="0" w:line="290"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RENT THE RUNWAY, INC.</w:t>
      </w:r>
    </w:p>
    <w:p>
      <w:pPr>
        <w:spacing w:after="0" w:line="210" w:lineRule="exact"/>
        <w:rPr>
          <w:sz w:val="20"/>
          <w:szCs w:val="20"/>
          <w:color w:val="auto"/>
        </w:rPr>
      </w:pPr>
    </w:p>
    <w:p>
      <w:pPr>
        <w:ind w:left="20"/>
        <w:spacing w:after="0"/>
        <w:tabs>
          <w:tab w:leader="none" w:pos="5940" w:val="left"/>
          <w:tab w:leader="none" w:pos="6400" w:val="left"/>
        </w:tabs>
        <w:rPr>
          <w:sz w:val="20"/>
          <w:szCs w:val="20"/>
          <w:color w:val="auto"/>
        </w:rPr>
      </w:pPr>
      <w:r>
        <w:rPr>
          <w:rFonts w:ascii="Arial" w:cs="Arial" w:eastAsia="Arial" w:hAnsi="Arial"/>
          <w:sz w:val="14"/>
          <w:szCs w:val="14"/>
          <w:color w:val="auto"/>
        </w:rPr>
        <w:t>Date: December 6,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28575</wp:posOffset>
            </wp:positionV>
            <wp:extent cx="309943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3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Siddharth Thacker</w:t>
      </w:r>
    </w:p>
    <w:p>
      <w:pPr>
        <w:spacing w:after="0" w:line="4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Chief Financial Officer</w:t>
      </w:r>
    </w:p>
    <w:p>
      <w:pPr>
        <w:spacing w:after="0" w:line="4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100"/>
          </w:cols>
          <w:pgMar w:left="300" w:top="1016" w:right="499" w:bottom="1440"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4" w:name="page105"/>
    <w:bookmarkEnd w:id="104"/>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Jennifer Y. Hyman, certify that:</w:t>
      </w:r>
    </w:p>
    <w:p>
      <w:pPr>
        <w:spacing w:after="0" w:line="189" w:lineRule="exact"/>
        <w:rPr>
          <w:sz w:val="20"/>
          <w:szCs w:val="20"/>
          <w:color w:val="auto"/>
        </w:rPr>
      </w:pPr>
    </w:p>
    <w:p>
      <w:pPr>
        <w:ind w:left="540" w:hanging="280"/>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Rent the Runway, Inc.;</w:t>
      </w:r>
    </w:p>
    <w:p>
      <w:pPr>
        <w:spacing w:after="0" w:line="189" w:lineRule="exact"/>
        <w:rPr>
          <w:rFonts w:ascii="Arial" w:cs="Arial" w:eastAsia="Arial" w:hAnsi="Arial"/>
          <w:sz w:val="14"/>
          <w:szCs w:val="14"/>
          <w:color w:val="auto"/>
        </w:rPr>
      </w:pPr>
    </w:p>
    <w:p>
      <w:pPr>
        <w:ind w:left="520" w:right="20" w:hanging="260"/>
        <w:spacing w:after="0" w:line="274" w:lineRule="auto"/>
        <w:tabs>
          <w:tab w:leader="none" w:pos="511"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4"/>
          <w:szCs w:val="14"/>
          <w:color w:val="auto"/>
        </w:rPr>
      </w:pPr>
    </w:p>
    <w:p>
      <w:pPr>
        <w:ind w:left="520" w:right="80" w:hanging="260"/>
        <w:spacing w:after="0" w:line="274" w:lineRule="auto"/>
        <w:tabs>
          <w:tab w:leader="none" w:pos="511"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4"/>
          <w:szCs w:val="14"/>
          <w:color w:val="auto"/>
        </w:rPr>
      </w:pPr>
    </w:p>
    <w:p>
      <w:pPr>
        <w:ind w:left="520" w:right="280" w:hanging="260"/>
        <w:spacing w:after="0" w:line="274" w:lineRule="auto"/>
        <w:tabs>
          <w:tab w:leader="none" w:pos="511"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4"/>
          <w:szCs w:val="14"/>
          <w:color w:val="auto"/>
        </w:rPr>
      </w:pPr>
    </w:p>
    <w:p>
      <w:pPr>
        <w:ind w:left="1020" w:right="360" w:hanging="251"/>
        <w:spacing w:after="0" w:line="255" w:lineRule="auto"/>
        <w:tabs>
          <w:tab w:leader="none" w:pos="1011" w:val="left"/>
        </w:tabs>
        <w:numPr>
          <w:ilvl w:val="1"/>
          <w:numId w:val="4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4"/>
          <w:szCs w:val="14"/>
          <w:color w:val="auto"/>
        </w:rPr>
      </w:pPr>
    </w:p>
    <w:p>
      <w:pPr>
        <w:ind w:left="1020" w:right="180" w:hanging="251"/>
        <w:spacing w:after="0" w:line="255" w:lineRule="auto"/>
        <w:tabs>
          <w:tab w:leader="none" w:pos="1011" w:val="left"/>
        </w:tabs>
        <w:numPr>
          <w:ilvl w:val="1"/>
          <w:numId w:val="4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4"/>
          <w:szCs w:val="14"/>
          <w:color w:val="auto"/>
        </w:rPr>
      </w:pPr>
    </w:p>
    <w:p>
      <w:pPr>
        <w:ind w:left="1020" w:right="520" w:hanging="251"/>
        <w:spacing w:after="0" w:line="274" w:lineRule="auto"/>
        <w:tabs>
          <w:tab w:leader="none" w:pos="1013" w:val="left"/>
        </w:tabs>
        <w:numPr>
          <w:ilvl w:val="1"/>
          <w:numId w:val="4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4"/>
          <w:szCs w:val="14"/>
          <w:color w:val="auto"/>
        </w:rPr>
      </w:pPr>
    </w:p>
    <w:p>
      <w:pPr>
        <w:ind w:left="1020" w:right="20" w:hanging="251"/>
        <w:spacing w:after="0" w:line="255" w:lineRule="auto"/>
        <w:tabs>
          <w:tab w:leader="none" w:pos="1011" w:val="left"/>
        </w:tabs>
        <w:numPr>
          <w:ilvl w:val="1"/>
          <w:numId w:val="4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4"/>
          <w:szCs w:val="14"/>
          <w:color w:val="auto"/>
        </w:rPr>
      </w:pPr>
    </w:p>
    <w:p>
      <w:pPr>
        <w:ind w:left="520" w:right="160" w:hanging="260"/>
        <w:spacing w:after="0" w:line="274" w:lineRule="auto"/>
        <w:tabs>
          <w:tab w:leader="none" w:pos="511"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4"/>
          <w:szCs w:val="14"/>
          <w:color w:val="auto"/>
        </w:rPr>
      </w:pPr>
    </w:p>
    <w:p>
      <w:pPr>
        <w:ind w:left="1020" w:right="260" w:hanging="251"/>
        <w:spacing w:after="0" w:line="274" w:lineRule="auto"/>
        <w:tabs>
          <w:tab w:leader="none" w:pos="1011" w:val="left"/>
        </w:tabs>
        <w:numPr>
          <w:ilvl w:val="1"/>
          <w:numId w:val="4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020" w:right="500" w:hanging="251"/>
        <w:spacing w:after="0" w:line="274" w:lineRule="auto"/>
        <w:tabs>
          <w:tab w:leader="none" w:pos="1011" w:val="left"/>
        </w:tabs>
        <w:numPr>
          <w:ilvl w:val="1"/>
          <w:numId w:val="4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25" w:right="3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220" w:val="left"/>
          <w:tab w:leader="none" w:pos="6980" w:val="left"/>
        </w:tabs>
        <w:rPr>
          <w:sz w:val="20"/>
          <w:szCs w:val="20"/>
          <w:color w:val="auto"/>
        </w:rPr>
      </w:pPr>
      <w:r>
        <w:rPr>
          <w:rFonts w:ascii="Arial" w:cs="Arial" w:eastAsia="Arial" w:hAnsi="Arial"/>
          <w:sz w:val="14"/>
          <w:szCs w:val="14"/>
          <w:color w:val="auto"/>
        </w:rPr>
        <w:t>Date: December 6,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34925</wp:posOffset>
            </wp:positionV>
            <wp:extent cx="372554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42"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Jennifer Y. Hyman</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60"/>
          </w:cols>
          <w:pgMar w:left="320" w:top="125" w:right="3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Siddharth Thacker, certify that:</w:t>
      </w:r>
    </w:p>
    <w:p>
      <w:pPr>
        <w:spacing w:after="0" w:line="189" w:lineRule="exact"/>
        <w:rPr>
          <w:sz w:val="20"/>
          <w:szCs w:val="20"/>
          <w:color w:val="auto"/>
        </w:rPr>
      </w:pPr>
    </w:p>
    <w:p>
      <w:pPr>
        <w:ind w:left="540" w:hanging="280"/>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Rent the Runway, Inc.;</w:t>
      </w:r>
    </w:p>
    <w:p>
      <w:pPr>
        <w:spacing w:after="0" w:line="189" w:lineRule="exact"/>
        <w:rPr>
          <w:rFonts w:ascii="Arial" w:cs="Arial" w:eastAsia="Arial" w:hAnsi="Arial"/>
          <w:sz w:val="14"/>
          <w:szCs w:val="14"/>
          <w:color w:val="auto"/>
        </w:rPr>
      </w:pPr>
    </w:p>
    <w:p>
      <w:pPr>
        <w:ind w:left="520" w:right="20" w:hanging="260"/>
        <w:spacing w:after="0" w:line="274" w:lineRule="auto"/>
        <w:tabs>
          <w:tab w:leader="none" w:pos="511"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4"/>
          <w:szCs w:val="14"/>
          <w:color w:val="auto"/>
        </w:rPr>
      </w:pPr>
    </w:p>
    <w:p>
      <w:pPr>
        <w:ind w:left="520" w:right="80" w:hanging="260"/>
        <w:spacing w:after="0" w:line="274" w:lineRule="auto"/>
        <w:tabs>
          <w:tab w:leader="none" w:pos="511"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4"/>
          <w:szCs w:val="14"/>
          <w:color w:val="auto"/>
        </w:rPr>
      </w:pPr>
    </w:p>
    <w:p>
      <w:pPr>
        <w:ind w:left="520" w:right="280" w:hanging="260"/>
        <w:spacing w:after="0" w:line="274" w:lineRule="auto"/>
        <w:tabs>
          <w:tab w:leader="none" w:pos="511"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4"/>
          <w:szCs w:val="14"/>
          <w:color w:val="auto"/>
        </w:rPr>
      </w:pPr>
    </w:p>
    <w:p>
      <w:pPr>
        <w:ind w:left="1020" w:right="360" w:hanging="251"/>
        <w:spacing w:after="0" w:line="255"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4"/>
          <w:szCs w:val="14"/>
          <w:color w:val="auto"/>
        </w:rPr>
      </w:pPr>
    </w:p>
    <w:p>
      <w:pPr>
        <w:ind w:left="1020" w:right="180" w:hanging="251"/>
        <w:spacing w:after="0" w:line="255"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4"/>
          <w:szCs w:val="14"/>
          <w:color w:val="auto"/>
        </w:rPr>
      </w:pPr>
    </w:p>
    <w:p>
      <w:pPr>
        <w:ind w:left="1020" w:right="520" w:hanging="251"/>
        <w:spacing w:after="0" w:line="274" w:lineRule="auto"/>
        <w:tabs>
          <w:tab w:leader="none" w:pos="1013" w:val="left"/>
        </w:tabs>
        <w:numPr>
          <w:ilvl w:val="1"/>
          <w:numId w:val="4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4"/>
          <w:szCs w:val="14"/>
          <w:color w:val="auto"/>
        </w:rPr>
      </w:pPr>
    </w:p>
    <w:p>
      <w:pPr>
        <w:ind w:left="1020" w:right="20" w:hanging="251"/>
        <w:spacing w:after="0" w:line="255"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4"/>
          <w:szCs w:val="14"/>
          <w:color w:val="auto"/>
        </w:rPr>
      </w:pPr>
    </w:p>
    <w:p>
      <w:pPr>
        <w:ind w:left="520" w:right="160" w:hanging="260"/>
        <w:spacing w:after="0" w:line="274" w:lineRule="auto"/>
        <w:tabs>
          <w:tab w:leader="none" w:pos="511"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4"/>
          <w:szCs w:val="14"/>
          <w:color w:val="auto"/>
        </w:rPr>
      </w:pPr>
    </w:p>
    <w:p>
      <w:pPr>
        <w:ind w:left="1020" w:right="260" w:hanging="251"/>
        <w:spacing w:after="0" w:line="274"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020" w:right="500" w:hanging="251"/>
        <w:spacing w:after="0" w:line="274"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25" w:right="3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4220" w:val="left"/>
          <w:tab w:leader="none" w:pos="7040" w:val="left"/>
        </w:tabs>
        <w:rPr>
          <w:sz w:val="20"/>
          <w:szCs w:val="20"/>
          <w:color w:val="auto"/>
        </w:rPr>
      </w:pPr>
      <w:r>
        <w:rPr>
          <w:rFonts w:ascii="Arial" w:cs="Arial" w:eastAsia="Arial" w:hAnsi="Arial"/>
          <w:sz w:val="14"/>
          <w:szCs w:val="14"/>
          <w:color w:val="auto"/>
        </w:rPr>
        <w:t>Date: December 6,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28575</wp:posOffset>
            </wp:positionV>
            <wp:extent cx="372554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Siddharth Thacker</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60"/>
          </w:cols>
          <w:pgMar w:left="320" w:top="125" w:right="3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6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I, Jennifer Y. Hyman, the Chief Executive Officer of Rent the Runway, Inc., certify, pursuant to 18 U.S.C. Section 1350, as adopted pursuant to Section 906 of the Sarbanes-Oxley Act of 2002, that the Quarterly Report on Form 10-Q of Rent the Runway, Inc. for the quarterly period ended October 31, 2023,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355" w:lineRule="exact"/>
        <w:rPr>
          <w:sz w:val="20"/>
          <w:szCs w:val="20"/>
          <w:color w:val="auto"/>
        </w:rPr>
      </w:pPr>
    </w:p>
    <w:p>
      <w:pPr>
        <w:ind w:left="20"/>
        <w:spacing w:after="0"/>
        <w:tabs>
          <w:tab w:leader="none" w:pos="4240" w:val="left"/>
          <w:tab w:leader="none" w:pos="7100" w:val="left"/>
        </w:tabs>
        <w:rPr>
          <w:sz w:val="20"/>
          <w:szCs w:val="20"/>
          <w:color w:val="auto"/>
        </w:rPr>
      </w:pPr>
      <w:r>
        <w:rPr>
          <w:rFonts w:ascii="Times New Roman" w:cs="Times New Roman" w:eastAsia="Times New Roman" w:hAnsi="Times New Roman"/>
          <w:sz w:val="14"/>
          <w:szCs w:val="14"/>
          <w:color w:val="auto"/>
        </w:rPr>
        <w:t>Date: December 6, 2023</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28575</wp:posOffset>
            </wp:positionV>
            <wp:extent cx="372554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color w:val="auto"/>
        </w:rPr>
        <w:t>Jennifer Y. Hyman</w:t>
      </w:r>
    </w:p>
    <w:p>
      <w:pPr>
        <w:spacing w:after="0" w:line="4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80"/>
          </w:cols>
          <w:pgMar w:left="300" w:top="125" w:right="3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7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I, Siddharth Thacker, the Chief Financial Officer of Rent the Runway, Inc., certify, pursuant to 18 U.S.C. Section 1350, as adopted pursuant to Section 906 of the Sarbanes-Oxley Act of 2002, that the Quarterly Report on Form 10-Q of Rent the Runway, Inc. for the quarterly period ended October 31, 2023,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355" w:lineRule="exact"/>
        <w:rPr>
          <w:sz w:val="20"/>
          <w:szCs w:val="20"/>
          <w:color w:val="auto"/>
        </w:rPr>
      </w:pPr>
    </w:p>
    <w:p>
      <w:pPr>
        <w:ind w:left="20"/>
        <w:spacing w:after="0"/>
        <w:tabs>
          <w:tab w:leader="none" w:pos="4240" w:val="left"/>
          <w:tab w:leader="none" w:pos="7120" w:val="left"/>
        </w:tabs>
        <w:rPr>
          <w:sz w:val="20"/>
          <w:szCs w:val="20"/>
          <w:color w:val="auto"/>
        </w:rPr>
      </w:pPr>
      <w:r>
        <w:rPr>
          <w:rFonts w:ascii="Times New Roman" w:cs="Times New Roman" w:eastAsia="Times New Roman" w:hAnsi="Times New Roman"/>
          <w:sz w:val="14"/>
          <w:szCs w:val="14"/>
          <w:color w:val="auto"/>
        </w:rPr>
        <w:t>Date: December 6, 2023</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28575</wp:posOffset>
            </wp:positionV>
            <wp:extent cx="372554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color w:val="auto"/>
        </w:rPr>
        <w:t>Siddharth Thacker</w:t>
      </w:r>
    </w:p>
    <w:p>
      <w:pPr>
        <w:spacing w:after="0" w:line="4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color w:val="auto"/>
        </w:rPr>
        <w:t>Chief Financial Officer</w:t>
      </w:r>
    </w:p>
    <w:sectPr>
      <w:pgSz w:w="11900" w:h="16838" w:orient="portrait"/>
      <w:cols w:equalWidth="0" w:num="1">
        <w:col w:w="11280"/>
      </w:cols>
      <w:pgMar w:left="30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3"/>
    </w:lvl>
  </w:abstractNum>
  <w:abstractNum w:abstractNumId="6">
    <w:nsid w:val="71F32454"/>
    <w:multiLevelType w:val="hybridMultilevel"/>
    <w:lvl w:ilvl="0">
      <w:lvlJc w:val="left"/>
      <w:lvlText w:val="%1."/>
      <w:numFmt w:val="decimal"/>
      <w:start w:val="4"/>
    </w:lvl>
  </w:abstractNum>
  <w:abstractNum w:abstractNumId="7">
    <w:nsid w:val="2CA88611"/>
    <w:multiLevelType w:val="hybridMultilevel"/>
    <w:lvl w:ilvl="0">
      <w:lvlJc w:val="left"/>
      <w:lvlText w:val="%1."/>
      <w:numFmt w:val="decimal"/>
      <w:start w:val="6"/>
    </w:lvl>
  </w:abstractNum>
  <w:abstractNum w:abstractNumId="8">
    <w:nsid w:val="836C40E"/>
    <w:multiLevelType w:val="hybridMultilevel"/>
    <w:lvl w:ilvl="0">
      <w:lvlJc w:val="left"/>
      <w:lvlText w:val="%1."/>
      <w:numFmt w:val="decimal"/>
      <w:start w:val="7"/>
    </w:lvl>
  </w:abstractNum>
  <w:abstractNum w:abstractNumId="9">
    <w:nsid w:val="2901D82"/>
    <w:multiLevelType w:val="hybridMultilevel"/>
    <w:lvl w:ilvl="0">
      <w:lvlJc w:val="left"/>
      <w:lvlText w:val="%1."/>
      <w:numFmt w:val="decimal"/>
      <w:start w:val="8"/>
    </w:lvl>
  </w:abstractNum>
  <w:abstractNum w:abstractNumId="10">
    <w:nsid w:val="3A95F874"/>
    <w:multiLevelType w:val="hybridMultilevel"/>
    <w:lvl w:ilvl="0">
      <w:lvlJc w:val="left"/>
      <w:lvlText w:val="%1."/>
      <w:numFmt w:val="decimal"/>
      <w:start w:val="10"/>
    </w:lvl>
  </w:abstractNum>
  <w:abstractNum w:abstractNumId="11">
    <w:nsid w:val="8138641"/>
    <w:multiLevelType w:val="hybridMultilevel"/>
    <w:lvl w:ilvl="0">
      <w:lvlJc w:val="left"/>
      <w:lvlText w:val="%1."/>
      <w:numFmt w:val="decimal"/>
      <w:start w:val="11"/>
    </w:lvl>
  </w:abstractNum>
  <w:abstractNum w:abstractNumId="12">
    <w:nsid w:val="1E7FF521"/>
    <w:multiLevelType w:val="hybridMultilevel"/>
    <w:lvl w:ilvl="0">
      <w:lvlJc w:val="left"/>
      <w:lvlText w:val="%1."/>
      <w:numFmt w:val="decimal"/>
      <w:start w:val="12"/>
    </w:lvl>
  </w:abstractNum>
  <w:abstractNum w:abstractNumId="13">
    <w:nsid w:val="7C3DBD3D"/>
    <w:multiLevelType w:val="hybridMultilevel"/>
    <w:lvl w:ilvl="0">
      <w:lvlJc w:val="left"/>
      <w:lvlText w:val="%1."/>
      <w:numFmt w:val="decimal"/>
      <w:start w:val="13"/>
    </w:lvl>
  </w:abstractNum>
  <w:abstractNum w:abstractNumId="14">
    <w:nsid w:val="737B8DDC"/>
    <w:multiLevelType w:val="hybridMultilevel"/>
    <w:lvl w:ilvl="0">
      <w:lvlJc w:val="left"/>
      <w:lvlText w:val="%1."/>
      <w:numFmt w:val="decimal"/>
      <w:start w:val="14"/>
    </w:lvl>
  </w:abstractNum>
  <w:abstractNum w:abstractNumId="15">
    <w:nsid w:val="6CEAF087"/>
    <w:multiLevelType w:val="hybridMultilevel"/>
    <w:lvl w:ilvl="0">
      <w:lvlJc w:val="left"/>
      <w:lvlText w:val="%1."/>
      <w:numFmt w:val="decimal"/>
      <w:start w:val="15"/>
    </w:lvl>
  </w:abstractNum>
  <w:abstractNum w:abstractNumId="16">
    <w:nsid w:val="22221A70"/>
    <w:multiLevelType w:val="hybridMultilevel"/>
    <w:lvl w:ilvl="0">
      <w:lvlJc w:val="left"/>
      <w:lvlText w:val="1"/>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2"/>
      <w:numFmt w:val="bullet"/>
      <w:start w:val="1"/>
    </w:lvl>
  </w:abstractNum>
  <w:abstractNum w:abstractNumId="21">
    <w:nsid w:val="5577F8E1"/>
    <w:multiLevelType w:val="hybridMultilevel"/>
    <w:lvl w:ilvl="0">
      <w:lvlJc w:val="left"/>
      <w:lvlText w:val="3"/>
      <w:numFmt w:val="bullet"/>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lowerLetter"/>
      <w:start w:val="1"/>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55" Type="http://schemas.openxmlformats.org/officeDocument/2006/relationships/hyperlink" Target="https://www.sec.gov/Archives/edgar/data/0001468327/000119312521313321/d211519dex31.htm" TargetMode="External"/><Relationship Id="rId156" Type="http://schemas.openxmlformats.org/officeDocument/2006/relationships/hyperlink" Target="https://www.sec.gov/Archives/edgar/data/0001468327/000119312521313321/d21151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2023-12-06T15:27:30Z</dcterms:created>
  <dcterms:modified xsi:type="dcterms:W3CDTF">2023-12-06T15:27:30Z</dcterms:modified>
</cp:coreProperties>
</file>