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200" w:after="283"/>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quarterly period ended July 31, 2023</w:t>
      </w:r>
    </w:p>
    <w:p>
      <w:pPr>
        <w:pStyle w:val="TextBody"/>
        <w:bidi w:val="0"/>
        <w:spacing w:lineRule="auto" w:line="288" w:before="200" w:after="283"/>
        <w:jc w:val="center"/>
        <w:rPr>
          <w:rFonts w:ascii="Arial;sans-serif" w:hAnsi="Arial;sans-serif"/>
          <w:b/>
          <w:color w:val="000000"/>
          <w:sz w:val="16"/>
        </w:rPr>
      </w:pPr>
      <w:r>
        <w:rPr>
          <w:rFonts w:ascii="Arial;sans-serif" w:hAnsi="Arial;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transition period from _______ to ________</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Commission file number 001-40958</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200" w:after="283"/>
        <w:jc w:val="center"/>
        <w:rPr>
          <w:rFonts w:ascii="Arial;sans-serif" w:hAnsi="Arial;sans-serif"/>
          <w:b/>
          <w:color w:val="000000"/>
          <w:sz w:val="36"/>
          <w:shd w:fill="FFFFFF" w:val="clear"/>
        </w:rPr>
      </w:pPr>
      <w:r>
        <w:rPr>
          <w:rFonts w:ascii="Arial;sans-serif" w:hAnsi="Arial;sans-serif"/>
          <w:b/>
          <w:color w:val="000000"/>
          <w:sz w:val="36"/>
          <w:shd w:fill="FFFFFF" w:val="clear"/>
        </w:rPr>
        <w:t>RENT THE RUNWAY,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(Exact name of registrant as specified in its charter)</w:t>
      </w:r>
    </w:p>
    <w:tbl>
      <w:tblPr>
        <w:tblW w:w="5620" w:type="dxa"/>
        <w:jc w:val="left"/>
        <w:tblInd w:w="0" w:type="dxa"/>
        <w:tblLayout w:type="fixed"/>
        <w:tblCellMar>
          <w:top w:w="28" w:type="dxa"/>
          <w:left w:w="28" w:type="dxa"/>
          <w:bottom w:w="28" w:type="dxa"/>
          <w:right w:w="28" w:type="dxa"/>
        </w:tblCellMar>
      </w:tblPr>
      <w:tblGrid>
        <w:gridCol w:w="1307"/>
        <w:gridCol w:w="1148"/>
        <w:gridCol w:w="1159"/>
        <w:gridCol w:w="109"/>
        <w:gridCol w:w="109"/>
        <w:gridCol w:w="109"/>
        <w:gridCol w:w="490"/>
        <w:gridCol w:w="490"/>
        <w:gridCol w:w="699"/>
      </w:tblGrid>
      <w:tr>
        <w:trPr/>
        <w:tc>
          <w:tcPr>
            <w:tcW w:w="130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80-0376379</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40"/>
              <w:jc w:val="center"/>
              <w:rPr>
                <w:rFonts w:ascii="Arial;sans-serif" w:hAnsi="Arial;sans-serif"/>
                <w:b w:val="false"/>
                <w:color w:val="000000"/>
                <w:sz w:val="20"/>
              </w:rPr>
            </w:pPr>
            <w:r>
              <w:rPr>
                <w:rFonts w:ascii="Arial;sans-serif" w:hAnsi="Arial;sans-serif"/>
                <w:b w:val="false"/>
                <w:color w:val="000000"/>
                <w:sz w:val="20"/>
              </w:rPr>
              <w:t>(State or other jurisdiction of</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40"/>
              <w:jc w:val="center"/>
              <w:rPr>
                <w:rFonts w:ascii="Arial;sans-serif" w:hAnsi="Arial;sans-serif"/>
                <w:b w:val="false"/>
                <w:color w:val="000000"/>
                <w:sz w:val="20"/>
              </w:rPr>
            </w:pPr>
            <w:r>
              <w:rPr>
                <w:rFonts w:ascii="Arial;sans-serif" w:hAnsi="Arial;sans-serif"/>
                <w:b w:val="false"/>
                <w:color w:val="000000"/>
                <w:sz w:val="20"/>
              </w:rPr>
              <w:t>(I.R.S. Employer</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Identification No.)</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10 Jay Street</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Brooklyn, New York 11201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11201</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40"/>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(212) 524-6860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86"/>
        <w:gridCol w:w="1381"/>
        <w:gridCol w:w="1396"/>
        <w:gridCol w:w="590"/>
        <w:gridCol w:w="590"/>
        <w:gridCol w:w="592"/>
        <w:gridCol w:w="1189"/>
        <w:gridCol w:w="1189"/>
        <w:gridCol w:w="1692"/>
      </w:tblGrid>
      <w:tr>
        <w:trPr/>
        <w:tc>
          <w:tcPr>
            <w:tcW w:w="158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r>
      <w:tr>
        <w:trPr/>
        <w:tc>
          <w:tcPr>
            <w:tcW w:w="43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7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Symbol(s)</w:t>
            </w:r>
          </w:p>
        </w:tc>
        <w:tc>
          <w:tcPr>
            <w:tcW w:w="40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43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Class A common stock, par value $0.001 per share</w:t>
            </w:r>
          </w:p>
        </w:tc>
        <w:tc>
          <w:tcPr>
            <w:tcW w:w="177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RENT</w:t>
            </w:r>
          </w:p>
        </w:tc>
        <w:tc>
          <w:tcPr>
            <w:tcW w:w="407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bl>
    <w:p>
      <w:pPr>
        <w:pStyle w:val="TextBody"/>
        <w:bidi w:val="0"/>
        <w:spacing w:lineRule="auto" w:line="288" w:before="200" w:after="283"/>
        <w:jc w:val="left"/>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20"/>
        </w:rPr>
        <w:t>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050"/>
                <wp:effectExtent l="0" t="0" r="0" b="0"/>
                <wp:wrapNone/>
                <wp:docPr id="1"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20"/>
        </w:rPr>
        <w:t>No </w:t>
      </w:r>
      <w:r>
        <w:rPr>
          <w:color w:val="000000"/>
        </w:rPr>
        <w:t>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center"/>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jc w:val="left"/>
        <w:rPr/>
      </w:pPr>
      <w:r>
        <w:rPr>
          <w:rFonts w:ascii="Arial;sans-serif" w:hAnsi="Arial;sans-serif"/>
          <w:b w:val="false"/>
          <w:color w:val="000000"/>
          <w:sz w:val="20"/>
        </w:rPr>
        <w:t>Indicate by check mark whether the registrant is a shell company (as defined in Rule 12b-2 of the Exchange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200" w:after="283"/>
        <w:jc w:val="left"/>
        <w:rPr/>
      </w:pPr>
      <w:r>
        <w:rPr>
          <w:rFonts w:ascii="Arial;sans-serif" w:hAnsi="Arial;sans-serif"/>
          <w:b w:val="false"/>
          <w:color w:val="000000"/>
          <w:sz w:val="20"/>
        </w:rPr>
        <w:t>The registrant had outstandi</w:t>
      </w:r>
      <w:r>
        <w:rPr>
          <w:rFonts w:ascii="Arial;sans-serif" w:hAnsi="Arial;sans-serif"/>
          <w:b w:val="false"/>
          <w:color w:val="000000"/>
          <w:sz w:val="20"/>
          <w:shd w:fill="FFFFFF" w:val="clear"/>
        </w:rPr>
        <w:t>n</w:t>
      </w:r>
      <w:r>
        <w:rPr>
          <w:rFonts w:ascii="Arial;sans-serif" w:hAnsi="Arial;sans-serif"/>
          <w:b w:val="false"/>
          <w:color w:val="000000"/>
          <w:sz w:val="20"/>
        </w:rPr>
        <w:t>g 65,858,662 shares of Class A common stock and 3,091,873 shares of Class B common stock as of September 1,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8"/>
        <w:gridCol w:w="269"/>
        <w:gridCol w:w="272"/>
        <w:gridCol w:w="2918"/>
        <w:gridCol w:w="2905"/>
        <w:gridCol w:w="2913"/>
        <w:gridCol w:w="180"/>
        <w:gridCol w:w="180"/>
        <w:gridCol w:w="260"/>
      </w:tblGrid>
      <w:tr>
        <w:trPr/>
        <w:tc>
          <w:tcPr>
            <w:tcW w:w="30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9">
              <w:r>
                <w:rPr>
                  <w:rStyle w:val="InternetLink"/>
                  <w:rFonts w:ascii="Arial;sans-serif" w:hAnsi="Arial;sans-serif"/>
                  <w:b w:val="false"/>
                  <w:color w:val="0000FF"/>
                  <w:sz w:val="20"/>
                  <w:u w:val="single"/>
                </w:rPr>
                <w:t>Item 1.</w:t>
              </w:r>
            </w:hyperlink>
          </w:p>
        </w:tc>
        <w:tc>
          <w:tcPr>
            <w:tcW w:w="8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9">
              <w:r>
                <w:rPr>
                  <w:rStyle w:val="InternetLink"/>
                  <w:rFonts w:ascii="Arial;sans-serif" w:hAnsi="Arial;sans-serif"/>
                  <w:b w:val="false"/>
                  <w:color w:val="0000FF"/>
                  <w:sz w:val="20"/>
                  <w:u w:val="single"/>
                </w:rPr>
                <w:t>Financial Statements (Unaudited)</w:t>
              </w:r>
            </w:hyperlink>
            <w:r>
              <w:rPr>
                <w:color w:val="000000"/>
              </w:rPr>
              <w:t xml:space="preserve"> </w:t>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19">
              <w:r>
                <w:rPr>
                  <w:rStyle w:val="InternetLink"/>
                  <w:rFonts w:ascii="Arial;sans-serif" w:hAnsi="Arial;sans-serif"/>
                  <w:b w:val="false"/>
                  <w:strike w:val="false"/>
                  <w:dstrike w:val="false"/>
                  <w:color w:val="000000"/>
                  <w:sz w:val="20"/>
                  <w:u w:val="none"/>
                  <w:effect w:val="none"/>
                </w:rPr>
                <w:t>4</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82">
              <w:r>
                <w:rPr>
                  <w:rStyle w:val="InternetLink"/>
                  <w:rFonts w:ascii="Arial;sans-serif" w:hAnsi="Arial;sans-serif"/>
                  <w:b w:val="false"/>
                  <w:color w:val="0000FF"/>
                  <w:sz w:val="20"/>
                  <w:u w:val="single"/>
                </w:rPr>
                <w:t>Item 2.</w:t>
              </w:r>
            </w:hyperlink>
          </w:p>
        </w:tc>
        <w:tc>
          <w:tcPr>
            <w:tcW w:w="8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82">
              <w:r>
                <w:rPr>
                  <w:rStyle w:val="InternetLink"/>
                  <w:rFonts w:ascii="Arial;sans-serif" w:hAnsi="Arial;sans-serif"/>
                  <w:b w:val="false"/>
                  <w:color w:val="0000FF"/>
                  <w:sz w:val="20"/>
                  <w:u w:val="single"/>
                </w:rPr>
                <w:t>Management's Discussion and Analysis of Financial Condition and Results of Operations</w:t>
              </w:r>
            </w:hyperlink>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82">
              <w:r>
                <w:rPr>
                  <w:rStyle w:val="InternetLink"/>
                  <w:rFonts w:ascii="Arial;sans-serif" w:hAnsi="Arial;sans-serif"/>
                  <w:b w:val="false"/>
                  <w:strike w:val="false"/>
                  <w:dstrike w:val="false"/>
                  <w:color w:val="000000"/>
                  <w:sz w:val="20"/>
                  <w:u w:val="none"/>
                  <w:effect w:val="none"/>
                </w:rPr>
                <w:t>27</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24">
              <w:r>
                <w:rPr>
                  <w:rStyle w:val="InternetLink"/>
                  <w:rFonts w:ascii="Arial;sans-serif" w:hAnsi="Arial;sans-serif"/>
                  <w:b w:val="false"/>
                  <w:color w:val="0000FF"/>
                  <w:sz w:val="20"/>
                  <w:u w:val="single"/>
                </w:rPr>
                <w:t>Item 3.</w:t>
              </w:r>
            </w:hyperlink>
          </w:p>
        </w:tc>
        <w:tc>
          <w:tcPr>
            <w:tcW w:w="8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24">
              <w:r>
                <w:rPr>
                  <w:rStyle w:val="InternetLink"/>
                  <w:rFonts w:ascii="Arial;sans-serif" w:hAnsi="Arial;sans-serif"/>
                  <w:b w:val="false"/>
                  <w:color w:val="0000FF"/>
                  <w:sz w:val="20"/>
                  <w:u w:val="single"/>
                </w:rPr>
                <w:t>Quantitative and Qualitative Disclosures About Market Risk</w:t>
              </w:r>
            </w:hyperlink>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124">
              <w:r>
                <w:rPr>
                  <w:rStyle w:val="InternetLink"/>
                  <w:rFonts w:ascii="Arial;sans-serif" w:hAnsi="Arial;sans-serif"/>
                  <w:b w:val="false"/>
                  <w:strike w:val="false"/>
                  <w:dstrike w:val="false"/>
                  <w:color w:val="000000"/>
                  <w:sz w:val="20"/>
                  <w:u w:val="none"/>
                  <w:effect w:val="none"/>
                </w:rPr>
                <w:t>44</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27">
              <w:r>
                <w:rPr>
                  <w:rStyle w:val="InternetLink"/>
                  <w:rFonts w:ascii="Arial;sans-serif" w:hAnsi="Arial;sans-serif"/>
                  <w:b w:val="false"/>
                  <w:color w:val="0000FF"/>
                  <w:sz w:val="20"/>
                  <w:u w:val="single"/>
                </w:rPr>
                <w:t>Item 4.</w:t>
              </w:r>
            </w:hyperlink>
          </w:p>
        </w:tc>
        <w:tc>
          <w:tcPr>
            <w:tcW w:w="8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27">
              <w:r>
                <w:rPr>
                  <w:rStyle w:val="InternetLink"/>
                  <w:rFonts w:ascii="Arial;sans-serif" w:hAnsi="Arial;sans-serif"/>
                  <w:b w:val="false"/>
                  <w:color w:val="0000FF"/>
                  <w:sz w:val="20"/>
                  <w:u w:val="single"/>
                </w:rPr>
                <w:t>Controls and Procedures</w:t>
              </w:r>
            </w:hyperlink>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127">
              <w:r>
                <w:rPr>
                  <w:rStyle w:val="InternetLink"/>
                  <w:rFonts w:ascii="Arial;sans-serif" w:hAnsi="Arial;sans-serif"/>
                  <w:b w:val="false"/>
                  <w:strike w:val="false"/>
                  <w:dstrike w:val="false"/>
                  <w:color w:val="000000"/>
                  <w:sz w:val="20"/>
                  <w:u w:val="none"/>
                  <w:effect w:val="none"/>
                </w:rPr>
                <w:t>44</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33">
              <w:r>
                <w:rPr>
                  <w:rStyle w:val="InternetLink"/>
                  <w:rFonts w:ascii="Arial;sans-serif" w:hAnsi="Arial;sans-serif"/>
                  <w:b w:val="false"/>
                  <w:color w:val="0000FF"/>
                  <w:sz w:val="20"/>
                  <w:u w:val="single"/>
                </w:rPr>
                <w:t>Item 1.</w:t>
              </w:r>
            </w:hyperlink>
          </w:p>
        </w:tc>
        <w:tc>
          <w:tcPr>
            <w:tcW w:w="8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33">
              <w:r>
                <w:rPr>
                  <w:rStyle w:val="InternetLink"/>
                  <w:rFonts w:ascii="Arial;sans-serif" w:hAnsi="Arial;sans-serif"/>
                  <w:b w:val="false"/>
                  <w:color w:val="0000FF"/>
                  <w:sz w:val="20"/>
                  <w:u w:val="single"/>
                </w:rPr>
                <w:t>Legal Proceedings</w:t>
              </w:r>
            </w:hyperlink>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133">
              <w:r>
                <w:rPr>
                  <w:rStyle w:val="InternetLink"/>
                  <w:rFonts w:ascii="Arial;sans-serif" w:hAnsi="Arial;sans-serif"/>
                  <w:b w:val="false"/>
                  <w:strike w:val="false"/>
                  <w:dstrike w:val="false"/>
                  <w:color w:val="000000"/>
                  <w:sz w:val="20"/>
                  <w:u w:val="none"/>
                  <w:effect w:val="none"/>
                </w:rPr>
                <w:t>47</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36">
              <w:r>
                <w:rPr>
                  <w:rStyle w:val="InternetLink"/>
                  <w:rFonts w:ascii="Arial;sans-serif" w:hAnsi="Arial;sans-serif"/>
                  <w:b w:val="false"/>
                  <w:color w:val="0000FF"/>
                  <w:sz w:val="20"/>
                  <w:u w:val="single"/>
                </w:rPr>
                <w:t>Item 1A.</w:t>
              </w:r>
            </w:hyperlink>
          </w:p>
        </w:tc>
        <w:tc>
          <w:tcPr>
            <w:tcW w:w="8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36">
              <w:r>
                <w:rPr>
                  <w:rStyle w:val="InternetLink"/>
                  <w:rFonts w:ascii="Arial;sans-serif" w:hAnsi="Arial;sans-serif"/>
                  <w:b w:val="false"/>
                  <w:color w:val="0000FF"/>
                  <w:sz w:val="20"/>
                  <w:u w:val="single"/>
                </w:rPr>
                <w:t>Risk Factors</w:t>
              </w:r>
            </w:hyperlink>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136">
              <w:r>
                <w:rPr>
                  <w:rStyle w:val="InternetLink"/>
                  <w:rFonts w:ascii="Arial;sans-serif" w:hAnsi="Arial;sans-serif"/>
                  <w:b w:val="false"/>
                  <w:strike w:val="false"/>
                  <w:dstrike w:val="false"/>
                  <w:color w:val="000000"/>
                  <w:sz w:val="20"/>
                  <w:u w:val="none"/>
                  <w:effect w:val="none"/>
                </w:rPr>
                <w:t>47</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39">
              <w:r>
                <w:rPr>
                  <w:rStyle w:val="InternetLink"/>
                  <w:rFonts w:ascii="Arial;sans-serif" w:hAnsi="Arial;sans-serif"/>
                  <w:b w:val="false"/>
                  <w:color w:val="0000FF"/>
                  <w:sz w:val="20"/>
                  <w:u w:val="single"/>
                </w:rPr>
                <w:t>Item 2.</w:t>
              </w:r>
            </w:hyperlink>
          </w:p>
        </w:tc>
        <w:tc>
          <w:tcPr>
            <w:tcW w:w="8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39">
              <w:r>
                <w:rPr>
                  <w:rStyle w:val="InternetLink"/>
                  <w:rFonts w:ascii="Arial;sans-serif" w:hAnsi="Arial;sans-serif"/>
                  <w:b w:val="false"/>
                  <w:color w:val="0000FF"/>
                  <w:sz w:val="20"/>
                  <w:u w:val="single"/>
                </w:rPr>
                <w:t>Unregistered Sales of Equity Securities and Use of Proceeds and Issuer Purchases of Equity Securities</w:t>
              </w:r>
            </w:hyperlink>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139">
              <w:r>
                <w:rPr>
                  <w:rStyle w:val="InternetLink"/>
                  <w:rFonts w:ascii="Arial;sans-serif" w:hAnsi="Arial;sans-serif"/>
                  <w:b w:val="false"/>
                  <w:strike w:val="false"/>
                  <w:dstrike w:val="false"/>
                  <w:color w:val="000000"/>
                  <w:sz w:val="20"/>
                  <w:u w:val="none"/>
                  <w:effect w:val="none"/>
                </w:rPr>
                <w:t>89</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42">
              <w:r>
                <w:rPr>
                  <w:rStyle w:val="InternetLink"/>
                  <w:rFonts w:ascii="Arial;sans-serif" w:hAnsi="Arial;sans-serif"/>
                  <w:b w:val="false"/>
                  <w:color w:val="0000FF"/>
                  <w:sz w:val="20"/>
                  <w:u w:val="single"/>
                </w:rPr>
                <w:t>Item 3.</w:t>
              </w:r>
            </w:hyperlink>
          </w:p>
        </w:tc>
        <w:tc>
          <w:tcPr>
            <w:tcW w:w="8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42">
              <w:r>
                <w:rPr>
                  <w:rStyle w:val="InternetLink"/>
                  <w:rFonts w:ascii="Arial;sans-serif" w:hAnsi="Arial;sans-serif"/>
                  <w:b w:val="false"/>
                  <w:color w:val="0000FF"/>
                  <w:sz w:val="20"/>
                  <w:u w:val="single"/>
                </w:rPr>
                <w:t>Defaults Upon Senior Securities</w:t>
              </w:r>
            </w:hyperlink>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142">
              <w:r>
                <w:rPr>
                  <w:rStyle w:val="InternetLink"/>
                  <w:rFonts w:ascii="Arial;sans-serif" w:hAnsi="Arial;sans-serif"/>
                  <w:b w:val="false"/>
                  <w:strike w:val="false"/>
                  <w:dstrike w:val="false"/>
                  <w:color w:val="000000"/>
                  <w:sz w:val="20"/>
                  <w:u w:val="none"/>
                  <w:effect w:val="none"/>
                </w:rPr>
                <w:t>89</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45">
              <w:r>
                <w:rPr>
                  <w:rStyle w:val="InternetLink"/>
                  <w:rFonts w:ascii="Arial;sans-serif" w:hAnsi="Arial;sans-serif"/>
                  <w:b w:val="false"/>
                  <w:color w:val="0000FF"/>
                  <w:sz w:val="20"/>
                  <w:u w:val="single"/>
                </w:rPr>
                <w:t>Item 4.</w:t>
              </w:r>
            </w:hyperlink>
          </w:p>
        </w:tc>
        <w:tc>
          <w:tcPr>
            <w:tcW w:w="8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45">
              <w:r>
                <w:rPr>
                  <w:rStyle w:val="InternetLink"/>
                  <w:rFonts w:ascii="Arial;sans-serif" w:hAnsi="Arial;sans-serif"/>
                  <w:b w:val="false"/>
                  <w:color w:val="0000FF"/>
                  <w:sz w:val="20"/>
                  <w:u w:val="single"/>
                </w:rPr>
                <w:t>Mine Safety Disclosures</w:t>
              </w:r>
            </w:hyperlink>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145">
              <w:r>
                <w:rPr>
                  <w:rStyle w:val="InternetLink"/>
                  <w:rFonts w:ascii="Arial;sans-serif" w:hAnsi="Arial;sans-serif"/>
                  <w:b w:val="false"/>
                  <w:strike w:val="false"/>
                  <w:dstrike w:val="false"/>
                  <w:color w:val="000000"/>
                  <w:sz w:val="20"/>
                  <w:u w:val="none"/>
                  <w:effect w:val="none"/>
                </w:rPr>
                <w:t>89</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48">
              <w:r>
                <w:rPr>
                  <w:rStyle w:val="InternetLink"/>
                  <w:rFonts w:ascii="Arial;sans-serif" w:hAnsi="Arial;sans-serif"/>
                  <w:b w:val="false"/>
                  <w:color w:val="0000FF"/>
                  <w:sz w:val="20"/>
                  <w:u w:val="single"/>
                </w:rPr>
                <w:t>Item 5.</w:t>
              </w:r>
            </w:hyperlink>
          </w:p>
        </w:tc>
        <w:tc>
          <w:tcPr>
            <w:tcW w:w="8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48">
              <w:r>
                <w:rPr>
                  <w:rStyle w:val="InternetLink"/>
                  <w:rFonts w:ascii="Arial;sans-serif" w:hAnsi="Arial;sans-serif"/>
                  <w:b w:val="false"/>
                  <w:color w:val="0000FF"/>
                  <w:sz w:val="20"/>
                  <w:u w:val="single"/>
                </w:rPr>
                <w:t>Other Information</w:t>
              </w:r>
            </w:hyperlink>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148">
              <w:r>
                <w:rPr>
                  <w:rStyle w:val="InternetLink"/>
                  <w:rFonts w:ascii="Arial;sans-serif" w:hAnsi="Arial;sans-serif"/>
                  <w:b w:val="false"/>
                  <w:strike w:val="false"/>
                  <w:dstrike w:val="false"/>
                  <w:color w:val="000000"/>
                  <w:sz w:val="20"/>
                  <w:u w:val="none"/>
                  <w:effect w:val="none"/>
                </w:rPr>
                <w:t>89</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51">
              <w:r>
                <w:rPr>
                  <w:rStyle w:val="InternetLink"/>
                  <w:rFonts w:ascii="Arial;sans-serif" w:hAnsi="Arial;sans-serif"/>
                  <w:b w:val="false"/>
                  <w:color w:val="0000FF"/>
                  <w:sz w:val="20"/>
                  <w:u w:val="single"/>
                </w:rPr>
                <w:t>Item 6.</w:t>
              </w:r>
            </w:hyperlink>
          </w:p>
        </w:tc>
        <w:tc>
          <w:tcPr>
            <w:tcW w:w="8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51">
              <w:r>
                <w:rPr>
                  <w:rStyle w:val="InternetLink"/>
                  <w:rFonts w:ascii="Arial;sans-serif" w:hAnsi="Arial;sans-serif"/>
                  <w:b w:val="false"/>
                  <w:color w:val="0000FF"/>
                  <w:sz w:val="20"/>
                  <w:u w:val="single"/>
                </w:rPr>
                <w:t>Exhibits</w:t>
              </w:r>
            </w:hyperlink>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151">
              <w:r>
                <w:rPr>
                  <w:rStyle w:val="InternetLink"/>
                  <w:rFonts w:ascii="Arial;sans-serif" w:hAnsi="Arial;sans-serif"/>
                  <w:b w:val="false"/>
                  <w:strike w:val="false"/>
                  <w:dstrike w:val="false"/>
                  <w:color w:val="000000"/>
                  <w:sz w:val="20"/>
                  <w:u w:val="none"/>
                  <w:effect w:val="none"/>
                </w:rPr>
                <w:t>91</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154">
              <w:r>
                <w:rPr>
                  <w:rStyle w:val="InternetLink"/>
                  <w:rFonts w:ascii="Arial;sans-serif" w:hAnsi="Arial;sans-serif"/>
                  <w:b w:val="false"/>
                  <w:color w:val="0000FF"/>
                  <w:sz w:val="20"/>
                  <w:u w:val="single"/>
                </w:rPr>
                <w:t>Signatures</w:t>
              </w:r>
            </w:hyperlink>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154">
              <w:r>
                <w:rPr>
                  <w:rStyle w:val="InternetLink"/>
                  <w:rFonts w:ascii="Arial;sans-serif" w:hAnsi="Arial;sans-serif"/>
                  <w:b w:val="false"/>
                  <w:strike w:val="false"/>
                  <w:dstrike w:val="false"/>
                  <w:color w:val="000000"/>
                  <w:sz w:val="20"/>
                  <w:u w:val="none"/>
                  <w:effect w:val="none"/>
                </w:rPr>
                <w:t>92</w:t>
              </w:r>
            </w:hyperlink>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Unless the context otherwise requires, we use the terms the “Company,” “RTR,” “Rent the Runway,” “we,” “us” and “our” in this Quarterly Report on Form 10-Q, or Quarterly Report, to refer to Rent the Runway, Inc. and, where appropriate, our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i/>
          <w:color w:val="000000"/>
          <w:sz w:val="20"/>
        </w:rPr>
      </w:pPr>
      <w:r>
        <w:rPr>
          <w:rFonts w:ascii="Arial;sans-serif" w:hAnsi="Arial;sans-serif"/>
          <w:b/>
          <w:i/>
          <w:color w:val="000000"/>
          <w:sz w:val="20"/>
        </w:rPr>
        <w:t>Risk Factor Summary</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Investing in our Class A common stock involves numerous risks, including the risks described in Part II, Item 1A. “Risk Factors” in this Quarterly Report on Form 10-Q. You should carefully consider these risks before making an investment. Below are some of these risks, any one of which could materially adversely affect our business, financial condition, results of operations, and prospects.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have grown rapidly in recent years and have limited experience at our current scale of operations. If we are unable to manage our growth effectively, our brand, company culture, and financial performance may suffer.</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The global fashion industry is highly competitive and rapidly changing, and we may not be able to compete effectively.</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rely on consumer discretionary spending and have been, and may in the future be, adversely affected by economic downturns and other macroeconomic conditions or trends.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If we fail to retain customers, our business, financial condition, and results of operations would be harmed.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If we are unable to accurately forecast customer demand, manage our products effectively and plan for future expenses, our operating results could be adversely affected.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face risks arising from the restructuring of our operations, which could adversely affect our financial condition, results of operations, cash flows, or business reputation.</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rely heavily on the effective operation of our proprietary technology systems and software, as well as those of our third-party vendors and service providers, for our business to effectively operate and to safeguard confidential information.</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COVID-19 has, and future COVID-19 outbreaks may in the future have, a material adverse impact on our business. Other future pandemics or public health crises may have a similar adverse impact on our business.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Shipping and logistics are a critical part of our business and our supply chain and any changes or interruptions in shipping or logistics operations could adversely affect our operating results.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condensed consolidated financial statements or cause us to fail to meet our periodic reporting obligations, our ability to comply with applicable laws and regulations and our access to the capital markets to be impaired.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Our business is subject to a large number of U.S. and non-U.S. laws and regulations, many of which are evolving.</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Failure to adequately maintain and protect our intellectual property and proprietary rights could harm our brand, devalue our proprietary content, and adversely affect our ability to compete effectively.</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are subject to rapidly changing and increasingly stringent laws and industry standards relating to data privacy, data security, data protection, and consumer protection. The restrictions and costs imposed by these laws, or our actual or perceived failure to comply with them, could subject us to liabilities that adversely affect our business, operations, and financial performance.</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face risks associated with brand partners from whom our products are sourced or co-manufactured.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rely on third parties for elements of the payment processing infrastructure underlying our business. If these third-party elements become unavailable or unavailable on favorable terms, our business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face risks associated with our indebtedness and potential need for additional capital, including that restructuring or refinancing may not be available on acceptable terms or at all.</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Our share price may be volatile, and investors may be unable to sell their shares at or above the price they purchased them.</w:t>
      </w:r>
    </w:p>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If we are unable to adequately address these and other risks we face, our business may be harmed.</w:t>
      </w:r>
    </w:p>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share-based compensation, business strategy and initiatives, including rental product depth strategy, promotional and marketing strategy and onboarding initiatives, sustainability initiatives, business plans, impact from our September 2022 restructuring plan and other cost savings initiatives, anticipated cost savings from our new transportation deal with a major national carrier, product acquisition expectations, impacts from our five-item base subscription offering, market growth and our objectives for future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for the quarter ended July 31, 2023.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 Financial Statements</w:t>
      </w:r>
    </w:p>
    <w:tbl>
      <w:tblPr>
        <w:tblW w:w="10205" w:type="dxa"/>
        <w:jc w:val="left"/>
        <w:tblInd w:w="0" w:type="dxa"/>
        <w:tblLayout w:type="fixed"/>
        <w:tblCellMar>
          <w:top w:w="28" w:type="dxa"/>
          <w:left w:w="28" w:type="dxa"/>
          <w:bottom w:w="28" w:type="dxa"/>
          <w:right w:w="28" w:type="dxa"/>
        </w:tblCellMar>
      </w:tblPr>
      <w:tblGrid>
        <w:gridCol w:w="3504"/>
        <w:gridCol w:w="3038"/>
        <w:gridCol w:w="3046"/>
        <w:gridCol w:w="180"/>
        <w:gridCol w:w="180"/>
        <w:gridCol w:w="257"/>
      </w:tblGrid>
      <w:tr>
        <w:trPr/>
        <w:tc>
          <w:tcPr>
            <w:tcW w:w="3504"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22">
              <w:r>
                <w:rPr>
                  <w:rStyle w:val="InternetLink"/>
                  <w:rFonts w:ascii="Arial;sans-serif" w:hAnsi="Arial;sans-serif"/>
                  <w:b w:val="false"/>
                  <w:color w:val="0000FF"/>
                  <w:sz w:val="20"/>
                  <w:u w:val="single"/>
                </w:rPr>
                <w:t>Condensed Consolidated Balance Sheets - Unaudited as of July 31, 2023 and Audited as of January 31, 2023</w:t>
              </w:r>
            </w:hyperlink>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d36c0725fd11419882c6c1b1e16bb82c_22">
              <w:r>
                <w:rPr>
                  <w:rStyle w:val="InternetLink"/>
                  <w:rFonts w:ascii="Arial;sans-serif" w:hAnsi="Arial;sans-serif"/>
                  <w:b w:val="false"/>
                  <w:strike w:val="false"/>
                  <w:dstrike w:val="false"/>
                  <w:color w:val="000000"/>
                  <w:sz w:val="20"/>
                  <w:u w:val="none"/>
                  <w:effect w:val="none"/>
                </w:rPr>
                <w:t>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25">
              <w:r>
                <w:rPr>
                  <w:rStyle w:val="InternetLink"/>
                  <w:rFonts w:ascii="Arial;sans-serif" w:hAnsi="Arial;sans-serif"/>
                  <w:b w:val="false"/>
                  <w:color w:val="0000FF"/>
                  <w:sz w:val="20"/>
                  <w:u w:val="single"/>
                </w:rPr>
                <w:t>Condensed Consolidated Statements of Operations - Unaudited for the three and six months ended July 31, 2023 and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25">
              <w:r>
                <w:rPr>
                  <w:rStyle w:val="InternetLink"/>
                  <w:rFonts w:ascii="Arial;sans-serif" w:hAnsi="Arial;sans-serif"/>
                  <w:b w:val="false"/>
                  <w:strike w:val="false"/>
                  <w:dstrike w:val="false"/>
                  <w:color w:val="000000"/>
                  <w:sz w:val="20"/>
                  <w:u w:val="none"/>
                  <w:effect w:val="none"/>
                </w:rPr>
                <w:t>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28">
              <w:r>
                <w:rPr>
                  <w:rStyle w:val="InternetLink"/>
                  <w:rFonts w:ascii="Arial;sans-serif" w:hAnsi="Arial;sans-serif"/>
                  <w:b w:val="false"/>
                  <w:color w:val="0000FF"/>
                  <w:sz w:val="20"/>
                  <w:u w:val="single"/>
                </w:rPr>
                <w:t>Condensed Consolidated Statements of Changes in Stockholders’ Equity (Deficit) - Unaudited for the three and six months ended July 31, 2023 and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28">
              <w:r>
                <w:rPr>
                  <w:rStyle w:val="InternetLink"/>
                  <w:rFonts w:ascii="Arial;sans-serif" w:hAnsi="Arial;sans-serif"/>
                  <w:b w:val="false"/>
                  <w:strike w:val="false"/>
                  <w:dstrike w:val="false"/>
                  <w:color w:val="000000"/>
                  <w:sz w:val="20"/>
                  <w:u w:val="none"/>
                  <w:effect w:val="none"/>
                </w:rPr>
                <w:t>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34">
              <w:r>
                <w:rPr>
                  <w:rStyle w:val="InternetLink"/>
                  <w:rFonts w:ascii="Arial;sans-serif" w:hAnsi="Arial;sans-serif"/>
                  <w:b w:val="false"/>
                  <w:color w:val="0000FF"/>
                  <w:sz w:val="20"/>
                  <w:u w:val="single"/>
                </w:rPr>
                <w:t>Condensed Consolidated Statements of Cash Flows - Unaudited for the six months ended July 31, 2023 and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34">
              <w:r>
                <w:rPr>
                  <w:rStyle w:val="InternetLink"/>
                  <w:rFonts w:ascii="Arial;sans-serif" w:hAnsi="Arial;sans-serif"/>
                  <w:b w:val="false"/>
                  <w:strike w:val="false"/>
                  <w:dstrike w:val="false"/>
                  <w:color w:val="000000"/>
                  <w:sz w:val="20"/>
                  <w:u w:val="none"/>
                  <w:effect w:val="none"/>
                </w:rPr>
                <w:t>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Notes to Condensed Consolidated Financial Statements </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43">
              <w:r>
                <w:rPr>
                  <w:rStyle w:val="InternetLink"/>
                  <w:rFonts w:ascii="Arial;sans-serif" w:hAnsi="Arial;sans-serif"/>
                  <w:b w:val="false"/>
                  <w:color w:val="0000FF"/>
                  <w:sz w:val="20"/>
                  <w:u w:val="single"/>
                </w:rPr>
                <w:t>1. Business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43">
              <w:r>
                <w:rPr>
                  <w:rStyle w:val="InternetLink"/>
                  <w:rFonts w:ascii="Arial;sans-serif" w:hAnsi="Arial;sans-serif"/>
                  <w:b w:val="false"/>
                  <w:strike w:val="false"/>
                  <w:dstrike w:val="false"/>
                  <w:color w:val="000000"/>
                  <w:sz w:val="20"/>
                  <w:u w:val="none"/>
                  <w:effect w:val="none"/>
                </w:rPr>
                <w:t>11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46">
              <w:r>
                <w:rPr>
                  <w:rStyle w:val="InternetLink"/>
                  <w:rFonts w:ascii="Arial;sans-serif" w:hAnsi="Arial;sans-serif"/>
                  <w:b w:val="false"/>
                  <w:color w:val="0000FF"/>
                  <w:sz w:val="20"/>
                  <w:u w:val="single"/>
                </w:rPr>
                <w:t>2. Summary of Significant Accounting Policies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46">
              <w:r>
                <w:rPr>
                  <w:rStyle w:val="InternetLink"/>
                  <w:rFonts w:ascii="Arial;sans-serif" w:hAnsi="Arial;sans-serif"/>
                  <w:b w:val="false"/>
                  <w:strike w:val="false"/>
                  <w:dstrike w:val="false"/>
                  <w:color w:val="000000"/>
                  <w:sz w:val="20"/>
                  <w:u w:val="none"/>
                  <w:effect w:val="none"/>
                </w:rPr>
                <w:t>11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49">
              <w:r>
                <w:rPr>
                  <w:rStyle w:val="InternetLink"/>
                  <w:rFonts w:ascii="Arial;sans-serif" w:hAnsi="Arial;sans-serif"/>
                  <w:b w:val="false"/>
                  <w:color w:val="0000FF"/>
                  <w:sz w:val="20"/>
                  <w:u w:val="single"/>
                </w:rPr>
                <w:t>3. Liquidity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49">
              <w:r>
                <w:rPr>
                  <w:rStyle w:val="InternetLink"/>
                  <w:rFonts w:ascii="Arial;sans-serif" w:hAnsi="Arial;sans-serif"/>
                  <w:b w:val="false"/>
                  <w:strike w:val="false"/>
                  <w:dstrike w:val="false"/>
                  <w:color w:val="000000"/>
                  <w:sz w:val="20"/>
                  <w:u w:val="none"/>
                  <w:effect w:val="none"/>
                </w:rPr>
                <w:t>16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52">
              <w:r>
                <w:rPr>
                  <w:rStyle w:val="InternetLink"/>
                  <w:rFonts w:ascii="Arial;sans-serif" w:hAnsi="Arial;sans-serif"/>
                  <w:b w:val="false"/>
                  <w:color w:val="0000FF"/>
                  <w:sz w:val="20"/>
                  <w:u w:val="single"/>
                </w:rPr>
                <w:t>4. Leases - Lessee Accounting</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52">
              <w:r>
                <w:rPr>
                  <w:rStyle w:val="InternetLink"/>
                  <w:rFonts w:ascii="Arial;sans-serif" w:hAnsi="Arial;sans-serif"/>
                  <w:b w:val="false"/>
                  <w:strike w:val="false"/>
                  <w:dstrike w:val="false"/>
                  <w:color w:val="000000"/>
                  <w:sz w:val="20"/>
                  <w:u w:val="none"/>
                  <w:effect w:val="none"/>
                </w:rPr>
                <w:t>16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55">
              <w:r>
                <w:rPr>
                  <w:rStyle w:val="InternetLink"/>
                  <w:rFonts w:ascii="Arial;sans-serif" w:hAnsi="Arial;sans-serif"/>
                  <w:b w:val="false"/>
                  <w:color w:val="0000FF"/>
                  <w:sz w:val="20"/>
                  <w:u w:val="single"/>
                </w:rPr>
                <w:t>5. Rental Product, Net</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55">
              <w:r>
                <w:rPr>
                  <w:rStyle w:val="InternetLink"/>
                  <w:rFonts w:ascii="Arial;sans-serif" w:hAnsi="Arial;sans-serif"/>
                  <w:b w:val="false"/>
                  <w:strike w:val="false"/>
                  <w:dstrike w:val="false"/>
                  <w:color w:val="000000"/>
                  <w:sz w:val="20"/>
                  <w:u w:val="none"/>
                  <w:effect w:val="none"/>
                </w:rPr>
                <w:t>17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58">
              <w:r>
                <w:rPr>
                  <w:rStyle w:val="InternetLink"/>
                  <w:rFonts w:ascii="Arial;sans-serif" w:hAnsi="Arial;sans-serif"/>
                  <w:b w:val="false"/>
                  <w:color w:val="0000FF"/>
                  <w:sz w:val="20"/>
                  <w:u w:val="single"/>
                </w:rPr>
                <w:t>6. Long-Term Debt</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58">
              <w:r>
                <w:rPr>
                  <w:rStyle w:val="InternetLink"/>
                  <w:rFonts w:ascii="Arial;sans-serif" w:hAnsi="Arial;sans-serif"/>
                  <w:b w:val="false"/>
                  <w:strike w:val="false"/>
                  <w:dstrike w:val="false"/>
                  <w:color w:val="000000"/>
                  <w:sz w:val="20"/>
                  <w:u w:val="none"/>
                  <w:effect w:val="none"/>
                </w:rPr>
                <w:t>18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61">
              <w:r>
                <w:rPr>
                  <w:rStyle w:val="InternetLink"/>
                  <w:rFonts w:ascii="Arial;sans-serif" w:hAnsi="Arial;sans-serif"/>
                  <w:b w:val="false"/>
                  <w:color w:val="0000FF"/>
                  <w:sz w:val="20"/>
                  <w:u w:val="single"/>
                </w:rPr>
                <w:t>7. Income Taxes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61">
              <w:r>
                <w:rPr>
                  <w:rStyle w:val="InternetLink"/>
                  <w:rFonts w:ascii="Arial;sans-serif" w:hAnsi="Arial;sans-serif"/>
                  <w:b w:val="false"/>
                  <w:strike w:val="false"/>
                  <w:dstrike w:val="false"/>
                  <w:color w:val="000000"/>
                  <w:sz w:val="20"/>
                  <w:u w:val="none"/>
                  <w:effect w:val="none"/>
                </w:rPr>
                <w:t>20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64">
              <w:r>
                <w:rPr>
                  <w:rStyle w:val="InternetLink"/>
                  <w:rFonts w:ascii="Arial;sans-serif" w:hAnsi="Arial;sans-serif"/>
                  <w:b w:val="false"/>
                  <w:color w:val="0000FF"/>
                  <w:sz w:val="20"/>
                  <w:u w:val="single"/>
                </w:rPr>
                <w:t>8. Accrued Expenses and Other Current Liabilities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64">
              <w:r>
                <w:rPr>
                  <w:rStyle w:val="InternetLink"/>
                  <w:rFonts w:ascii="Arial;sans-serif" w:hAnsi="Arial;sans-serif"/>
                  <w:b w:val="false"/>
                  <w:strike w:val="false"/>
                  <w:dstrike w:val="false"/>
                  <w:color w:val="000000"/>
                  <w:sz w:val="20"/>
                  <w:u w:val="none"/>
                  <w:effect w:val="none"/>
                </w:rPr>
                <w:t>20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67">
              <w:r>
                <w:rPr>
                  <w:rStyle w:val="InternetLink"/>
                  <w:rFonts w:ascii="Arial;sans-serif" w:hAnsi="Arial;sans-serif"/>
                  <w:b w:val="false"/>
                  <w:color w:val="0000FF"/>
                  <w:sz w:val="20"/>
                  <w:u w:val="single"/>
                </w:rPr>
                <w:t>9. Fair Value Measurements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67">
              <w:r>
                <w:rPr>
                  <w:rStyle w:val="InternetLink"/>
                  <w:rFonts w:ascii="Arial;sans-serif" w:hAnsi="Arial;sans-serif"/>
                  <w:b w:val="false"/>
                  <w:strike w:val="false"/>
                  <w:dstrike w:val="false"/>
                  <w:color w:val="000000"/>
                  <w:sz w:val="20"/>
                  <w:u w:val="none"/>
                  <w:effect w:val="none"/>
                </w:rPr>
                <w:t>20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70">
              <w:r>
                <w:rPr>
                  <w:rStyle w:val="InternetLink"/>
                  <w:rFonts w:ascii="Arial;sans-serif" w:hAnsi="Arial;sans-serif"/>
                  <w:b w:val="false"/>
                  <w:color w:val="0000FF"/>
                  <w:sz w:val="20"/>
                  <w:u w:val="single"/>
                </w:rPr>
                <w:t>10. Stockholders’ Equity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70">
              <w:r>
                <w:rPr>
                  <w:rStyle w:val="InternetLink"/>
                  <w:rFonts w:ascii="Arial;sans-serif" w:hAnsi="Arial;sans-serif"/>
                  <w:b w:val="false"/>
                  <w:strike w:val="false"/>
                  <w:dstrike w:val="false"/>
                  <w:color w:val="000000"/>
                  <w:sz w:val="20"/>
                  <w:u w:val="none"/>
                  <w:effect w:val="none"/>
                </w:rPr>
                <w:t>21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73">
              <w:r>
                <w:rPr>
                  <w:rStyle w:val="InternetLink"/>
                  <w:rFonts w:ascii="Arial;sans-serif" w:hAnsi="Arial;sans-serif"/>
                  <w:b w:val="false"/>
                  <w:color w:val="0000FF"/>
                  <w:sz w:val="20"/>
                  <w:u w:val="single"/>
                </w:rPr>
                <w:t>11. Share-based Compensation Plans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73">
              <w:r>
                <w:rPr>
                  <w:rStyle w:val="InternetLink"/>
                  <w:rFonts w:ascii="Arial;sans-serif" w:hAnsi="Arial;sans-serif"/>
                  <w:b w:val="false"/>
                  <w:strike w:val="false"/>
                  <w:dstrike w:val="false"/>
                  <w:color w:val="000000"/>
                  <w:sz w:val="20"/>
                  <w:u w:val="none"/>
                  <w:effect w:val="none"/>
                </w:rPr>
                <w:t>22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76">
              <w:r>
                <w:rPr>
                  <w:rStyle w:val="InternetLink"/>
                  <w:rFonts w:ascii="Arial;sans-serif" w:hAnsi="Arial;sans-serif"/>
                  <w:b w:val="false"/>
                  <w:color w:val="0000FF"/>
                  <w:sz w:val="20"/>
                  <w:u w:val="single"/>
                </w:rPr>
                <w:t>12. Net Loss per Share Attributable to Common Stockholders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76">
              <w:r>
                <w:rPr>
                  <w:rStyle w:val="InternetLink"/>
                  <w:rFonts w:ascii="Arial;sans-serif" w:hAnsi="Arial;sans-serif"/>
                  <w:b w:val="false"/>
                  <w:strike w:val="false"/>
                  <w:dstrike w:val="false"/>
                  <w:color w:val="000000"/>
                  <w:sz w:val="20"/>
                  <w:u w:val="none"/>
                  <w:effect w:val="none"/>
                </w:rPr>
                <w:t>25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6c0725fd11419882c6c1b1e16bb82c_79">
              <w:r>
                <w:rPr>
                  <w:rStyle w:val="InternetLink"/>
                  <w:rFonts w:ascii="Arial;sans-serif" w:hAnsi="Arial;sans-serif"/>
                  <w:b w:val="false"/>
                  <w:color w:val="0000FF"/>
                  <w:sz w:val="20"/>
                  <w:u w:val="single"/>
                </w:rPr>
                <w:t>13. Commitments and Contingencies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6c0725fd11419882c6c1b1e16bb82c_79">
              <w:r>
                <w:rPr>
                  <w:rStyle w:val="InternetLink"/>
                  <w:rFonts w:ascii="Arial;sans-serif" w:hAnsi="Arial;sans-serif"/>
                  <w:b w:val="false"/>
                  <w:strike w:val="false"/>
                  <w:dstrike w:val="false"/>
                  <w:color w:val="000000"/>
                  <w:sz w:val="20"/>
                  <w:u w:val="none"/>
                  <w:effect w:val="none"/>
                </w:rPr>
                <w:t>26</w:t>
              </w:r>
            </w:hyperlink>
          </w:p>
        </w:tc>
      </w:tr>
    </w:tbl>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Arial;sans-serif" w:hAnsi="Arial;sans-serif"/>
            <w:b/>
            <w:color w:val="0000FF"/>
            <w:sz w:val="18"/>
            <w:u w:val="single"/>
          </w:rPr>
          <w:t>Table of Contents</w:t>
        </w:r>
      </w:hyperlink>
    </w:p>
    <w:tbl>
      <w:tblPr>
        <w:tblW w:w="3989" w:type="dxa"/>
        <w:jc w:val="left"/>
        <w:tblInd w:w="0" w:type="dxa"/>
        <w:tblLayout w:type="fixed"/>
        <w:tblCellMar>
          <w:top w:w="28" w:type="dxa"/>
          <w:left w:w="28" w:type="dxa"/>
          <w:bottom w:w="28" w:type="dxa"/>
          <w:right w:w="28" w:type="dxa"/>
        </w:tblCellMar>
      </w:tblPr>
      <w:tblGrid>
        <w:gridCol w:w="1277"/>
        <w:gridCol w:w="1123"/>
        <w:gridCol w:w="1589"/>
      </w:tblGrid>
      <w:tr>
        <w:trPr/>
        <w:tc>
          <w:tcPr>
            <w:tcW w:w="127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Condensed Consolidated Balance Sheets</w:t>
            </w:r>
          </w:p>
        </w:tc>
      </w:tr>
    </w:tbl>
    <w:p>
      <w:pPr>
        <w:pStyle w:val="TextBody"/>
        <w:bidi w:val="0"/>
        <w:spacing w:lineRule="auto" w:line="288" w:before="36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millions, except share and per share amounts, unaudited)</w:t>
      </w:r>
    </w:p>
    <w:tbl>
      <w:tblPr>
        <w:tblW w:w="10205" w:type="dxa"/>
        <w:jc w:val="left"/>
        <w:tblInd w:w="0" w:type="dxa"/>
        <w:tblLayout w:type="fixed"/>
        <w:tblCellMar>
          <w:top w:w="28" w:type="dxa"/>
          <w:left w:w="28" w:type="dxa"/>
          <w:bottom w:w="28" w:type="dxa"/>
          <w:right w:w="28" w:type="dxa"/>
        </w:tblCellMar>
      </w:tblPr>
      <w:tblGrid>
        <w:gridCol w:w="3238"/>
        <w:gridCol w:w="2476"/>
        <w:gridCol w:w="2336"/>
        <w:gridCol w:w="196"/>
        <w:gridCol w:w="556"/>
        <w:gridCol w:w="109"/>
        <w:gridCol w:w="109"/>
        <w:gridCol w:w="109"/>
        <w:gridCol w:w="109"/>
        <w:gridCol w:w="208"/>
        <w:gridCol w:w="592"/>
        <w:gridCol w:w="167"/>
      </w:tblGrid>
      <w:tr>
        <w:trPr/>
        <w:tc>
          <w:tcPr>
            <w:tcW w:w="3238"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8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16"/>
              </w:rPr>
            </w:pPr>
            <w:r>
              <w:rPr>
                <w:rFonts w:ascii="Arial;sans-serif" w:hAnsi="Arial;sans-serif"/>
                <w:b/>
                <w:color w:val="000000"/>
                <w:sz w:val="16"/>
              </w:rPr>
              <w:t>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Current assets: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current assets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Restricted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Rental product,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Fixed assets,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Intangible assets,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336.2 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16"/>
              </w:rPr>
            </w:pPr>
            <w:r>
              <w:rPr>
                <w:rFonts w:ascii="Arial;sans-serif" w:hAnsi="Arial;sans-serif"/>
                <w:b/>
                <w:color w:val="000000"/>
                <w:sz w:val="16"/>
              </w:rPr>
              <w:t>Liabilities and Stockholders’ Equity (Deficit)</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Current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Deferred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Customer credit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Long-term debt,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371.5 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Commitments and Contingencies (Note 13)</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Stockholders’ equity (deficit)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Class A common stock, $0.001 par value; 300,000,000 shares authorized as of July 31, 2023 and January 31, 2023; 65,361,755 and 61,956,536 shares issued and outstanding as of July 31, 2023 and January 31, 2023, respectively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Class B common stock, $0.001 par value; 50,000,000 shares authorized as of July 31, 2023 and January 31, 2023; 3,085,148 and 3,066,251 shares issued and outstanding as of July 31, 2023 and January 31, 2023, respectively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Preferred stock, $0.001 par value; 10,000,000 shares authorized as of July 31, 2023 and January 31, 2023; 0 shares issued and outstanding as of July 31, 2023 and January 31, 2023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Accumulated deficit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(939.9)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stockholders’ equity (deficit)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liabilities and stockholders’ equity (deficit)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336.2 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Arial;sans-serif" w:hAnsi="Arial;sans-serif"/>
            <w:b/>
            <w:color w:val="0000FF"/>
            <w:sz w:val="18"/>
            <w:u w:val="single"/>
          </w:rPr>
          <w:t>Table of Contents</w:t>
        </w:r>
      </w:hyperlink>
    </w:p>
    <w:tbl>
      <w:tblPr>
        <w:tblW w:w="4919" w:type="dxa"/>
        <w:jc w:val="left"/>
        <w:tblInd w:w="0" w:type="dxa"/>
        <w:tblLayout w:type="fixed"/>
        <w:tblCellMar>
          <w:top w:w="28" w:type="dxa"/>
          <w:left w:w="28" w:type="dxa"/>
          <w:bottom w:w="28" w:type="dxa"/>
          <w:right w:w="28" w:type="dxa"/>
        </w:tblCellMar>
      </w:tblPr>
      <w:tblGrid>
        <w:gridCol w:w="1575"/>
        <w:gridCol w:w="1385"/>
        <w:gridCol w:w="1959"/>
      </w:tblGrid>
      <w:tr>
        <w:trPr/>
        <w:tc>
          <w:tcPr>
            <w:tcW w:w="157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Condensed Consolidated Statements of Operations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millions, except share and per share amounts, unaudited)</w:t>
      </w:r>
    </w:p>
    <w:tbl>
      <w:tblPr>
        <w:tblW w:w="10205" w:type="dxa"/>
        <w:jc w:val="left"/>
        <w:tblInd w:w="0" w:type="dxa"/>
        <w:tblLayout w:type="fixed"/>
        <w:tblCellMar>
          <w:top w:w="28" w:type="dxa"/>
          <w:left w:w="28" w:type="dxa"/>
          <w:bottom w:w="28" w:type="dxa"/>
          <w:right w:w="28" w:type="dxa"/>
        </w:tblCellMar>
      </w:tblPr>
      <w:tblGrid>
        <w:gridCol w:w="1789"/>
        <w:gridCol w:w="1292"/>
        <w:gridCol w:w="1308"/>
        <w:gridCol w:w="309"/>
        <w:gridCol w:w="772"/>
        <w:gridCol w:w="114"/>
        <w:gridCol w:w="114"/>
        <w:gridCol w:w="114"/>
        <w:gridCol w:w="114"/>
        <w:gridCol w:w="309"/>
        <w:gridCol w:w="772"/>
        <w:gridCol w:w="114"/>
        <w:gridCol w:w="109"/>
        <w:gridCol w:w="109"/>
        <w:gridCol w:w="109"/>
        <w:gridCol w:w="275"/>
        <w:gridCol w:w="806"/>
        <w:gridCol w:w="109"/>
        <w:gridCol w:w="109"/>
        <w:gridCol w:w="109"/>
        <w:gridCol w:w="109"/>
        <w:gridCol w:w="275"/>
        <w:gridCol w:w="806"/>
        <w:gridCol w:w="159"/>
      </w:tblGrid>
      <w:tr>
        <w:trPr/>
        <w:tc>
          <w:tcPr>
            <w:tcW w:w="178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4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Revenue:</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Subscription and Reserve rental revenue</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revenue,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Costs and expenses:</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Fulfillment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Technology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Rental product depreciation and revenue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Operating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income /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 /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loss before income tax benefit / (expense)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tax benefit /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loss</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loss per share attributable to common stockholders, basic and diluted</w:t>
            </w:r>
          </w:p>
        </w:tc>
        <w:tc>
          <w:tcPr>
            <w:tcW w:w="3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(0.40)</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(0.53)</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Weighted-average shares used in computing net loss per share attributable to common stockholders, basic and diluted</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67,608,274 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64,074,681 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66,751,529 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63,758,256 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Arial;sans-serif" w:hAnsi="Arial;sans-serif"/>
            <w:b/>
            <w:color w:val="0000FF"/>
            <w:sz w:val="18"/>
            <w:u w:val="single"/>
          </w:rPr>
          <w:t>Table of Contents</w:t>
        </w:r>
      </w:hyperlink>
    </w:p>
    <w:tbl>
      <w:tblPr>
        <w:tblW w:w="6659" w:type="dxa"/>
        <w:jc w:val="left"/>
        <w:tblInd w:w="0" w:type="dxa"/>
        <w:tblLayout w:type="fixed"/>
        <w:tblCellMar>
          <w:top w:w="28" w:type="dxa"/>
          <w:left w:w="28" w:type="dxa"/>
          <w:bottom w:w="28" w:type="dxa"/>
          <w:right w:w="28" w:type="dxa"/>
        </w:tblCellMar>
      </w:tblPr>
      <w:tblGrid>
        <w:gridCol w:w="2133"/>
        <w:gridCol w:w="1874"/>
        <w:gridCol w:w="2652"/>
      </w:tblGrid>
      <w:tr>
        <w:trPr/>
        <w:tc>
          <w:tcPr>
            <w:tcW w:w="2133"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rPr>
            </w:pPr>
            <w:r>
              <w:rPr>
                <w:rFonts w:ascii="Arial;sans-serif" w:hAnsi="Arial;sans-serif"/>
                <w:b/>
                <w:color w:val="000000"/>
                <w:sz w:val="24"/>
              </w:rPr>
              <w:t>RENT THE RUNWAY, INC.</w:t>
            </w:r>
          </w:p>
          <w:p>
            <w:pPr>
              <w:pStyle w:val="TableContents"/>
              <w:bidi w:val="0"/>
              <w:spacing w:lineRule="auto" w:line="288" w:before="0" w:after="0"/>
              <w:jc w:val="left"/>
              <w:rPr>
                <w:rFonts w:ascii="Arial;sans-serif" w:hAnsi="Arial;sans-serif"/>
                <w:b/>
                <w:color w:val="000000"/>
                <w:sz w:val="17"/>
              </w:rPr>
            </w:pPr>
            <w:r>
              <w:rPr>
                <w:rFonts w:ascii="Arial;sans-serif" w:hAnsi="Arial;sans-serif"/>
                <w:b/>
                <w:color w:val="000000"/>
                <w:sz w:val="17"/>
              </w:rPr>
              <w:t>Condensed Consolidated Statements of Changes in Stockholders’ Equity (Deficit)</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millions, except share amounts, unaudited)</w:t>
      </w:r>
    </w:p>
    <w:tbl>
      <w:tblPr>
        <w:tblW w:w="8509"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420"/>
        <w:gridCol w:w="421"/>
        <w:gridCol w:w="161"/>
        <w:gridCol w:w="109"/>
        <w:gridCol w:w="109"/>
        <w:gridCol w:w="109"/>
        <w:gridCol w:w="181"/>
        <w:gridCol w:w="346"/>
        <w:gridCol w:w="109"/>
        <w:gridCol w:w="109"/>
        <w:gridCol w:w="109"/>
        <w:gridCol w:w="109"/>
        <w:gridCol w:w="181"/>
        <w:gridCol w:w="496"/>
        <w:gridCol w:w="109"/>
        <w:gridCol w:w="109"/>
        <w:gridCol w:w="109"/>
        <w:gridCol w:w="109"/>
        <w:gridCol w:w="193"/>
        <w:gridCol w:w="541"/>
        <w:gridCol w:w="118"/>
        <w:gridCol w:w="109"/>
        <w:gridCol w:w="109"/>
        <w:gridCol w:w="109"/>
        <w:gridCol w:w="236"/>
        <w:gridCol w:w="551"/>
        <w:gridCol w:w="202"/>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br/>
              <w:t>Stockholders’</w:t>
              <w:br/>
              <w:t>Equity (Deficit)</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as of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66,681,142 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(970.0)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(56.6)</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issued under stock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1,765,761 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Share-based compensation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Net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as of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68,446,903 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(996.8)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(76.0)</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48" w:type="dxa"/>
        <w:jc w:val="left"/>
        <w:tblInd w:w="0" w:type="dxa"/>
        <w:tblLayout w:type="fixed"/>
        <w:tblCellMar>
          <w:top w:w="28" w:type="dxa"/>
          <w:left w:w="28" w:type="dxa"/>
          <w:bottom w:w="28" w:type="dxa"/>
          <w:right w:w="28" w:type="dxa"/>
        </w:tblCellMar>
      </w:tblPr>
      <w:tblGrid>
        <w:gridCol w:w="960"/>
        <w:gridCol w:w="846"/>
        <w:gridCol w:w="848"/>
        <w:gridCol w:w="109"/>
        <w:gridCol w:w="109"/>
        <w:gridCol w:w="109"/>
        <w:gridCol w:w="420"/>
        <w:gridCol w:w="421"/>
        <w:gridCol w:w="109"/>
        <w:gridCol w:w="109"/>
        <w:gridCol w:w="109"/>
        <w:gridCol w:w="109"/>
        <w:gridCol w:w="181"/>
        <w:gridCol w:w="346"/>
        <w:gridCol w:w="109"/>
        <w:gridCol w:w="109"/>
        <w:gridCol w:w="109"/>
        <w:gridCol w:w="109"/>
        <w:gridCol w:w="181"/>
        <w:gridCol w:w="496"/>
        <w:gridCol w:w="109"/>
        <w:gridCol w:w="109"/>
        <w:gridCol w:w="109"/>
        <w:gridCol w:w="109"/>
        <w:gridCol w:w="181"/>
        <w:gridCol w:w="541"/>
        <w:gridCol w:w="109"/>
        <w:gridCol w:w="109"/>
        <w:gridCol w:w="109"/>
        <w:gridCol w:w="109"/>
        <w:gridCol w:w="181"/>
        <w:gridCol w:w="421"/>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as of April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63,930,902 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Stock issued under stock incentive plan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Share-based compensation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Net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as of July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64,084,818 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Arial;sans-serif" w:hAnsi="Arial;sans-serif"/>
            <w:b/>
            <w:color w:val="0000FF"/>
            <w:sz w:val="18"/>
            <w:u w:val="single"/>
          </w:rPr>
          <w:t>Table of Contents</w:t>
        </w:r>
      </w:hyperlink>
    </w:p>
    <w:tbl>
      <w:tblPr>
        <w:tblW w:w="6659" w:type="dxa"/>
        <w:jc w:val="center"/>
        <w:tblInd w:w="0" w:type="dxa"/>
        <w:tblLayout w:type="fixed"/>
        <w:tblCellMar>
          <w:top w:w="28" w:type="dxa"/>
          <w:left w:w="28" w:type="dxa"/>
          <w:bottom w:w="28" w:type="dxa"/>
          <w:right w:w="28" w:type="dxa"/>
        </w:tblCellMar>
      </w:tblPr>
      <w:tblGrid>
        <w:gridCol w:w="2133"/>
        <w:gridCol w:w="1874"/>
        <w:gridCol w:w="2652"/>
      </w:tblGrid>
      <w:tr>
        <w:trPr/>
        <w:tc>
          <w:tcPr>
            <w:tcW w:w="2133"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rPr>
            </w:pPr>
            <w:r>
              <w:rPr>
                <w:rFonts w:ascii="Arial;sans-serif" w:hAnsi="Arial;sans-serif"/>
                <w:b/>
                <w:color w:val="000000"/>
                <w:sz w:val="24"/>
              </w:rPr>
              <w:t>RENT THE RUNWAY, INC.</w:t>
            </w:r>
          </w:p>
          <w:p>
            <w:pPr>
              <w:pStyle w:val="TableContents"/>
              <w:bidi w:val="0"/>
              <w:spacing w:lineRule="auto" w:line="288" w:before="0" w:after="0"/>
              <w:jc w:val="left"/>
              <w:rPr>
                <w:rFonts w:ascii="Arial;sans-serif" w:hAnsi="Arial;sans-serif"/>
                <w:b/>
                <w:color w:val="000000"/>
                <w:sz w:val="17"/>
              </w:rPr>
            </w:pPr>
            <w:r>
              <w:rPr>
                <w:rFonts w:ascii="Arial;sans-serif" w:hAnsi="Arial;sans-serif"/>
                <w:b/>
                <w:color w:val="000000"/>
                <w:sz w:val="17"/>
              </w:rPr>
              <w:t>Condensed Consolidated Statements of Changes in Stockholders’ Equity (Deficit)</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millions, except share amounts, unaudited)</w:t>
      </w:r>
    </w:p>
    <w:tbl>
      <w:tblPr>
        <w:tblW w:w="8510" w:type="dxa"/>
        <w:jc w:val="left"/>
        <w:tblInd w:w="0" w:type="dxa"/>
        <w:tblLayout w:type="fixed"/>
        <w:tblCellMar>
          <w:top w:w="28" w:type="dxa"/>
          <w:left w:w="28" w:type="dxa"/>
          <w:bottom w:w="28" w:type="dxa"/>
          <w:right w:w="28" w:type="dxa"/>
        </w:tblCellMar>
      </w:tblPr>
      <w:tblGrid>
        <w:gridCol w:w="945"/>
        <w:gridCol w:w="831"/>
        <w:gridCol w:w="834"/>
        <w:gridCol w:w="109"/>
        <w:gridCol w:w="109"/>
        <w:gridCol w:w="109"/>
        <w:gridCol w:w="420"/>
        <w:gridCol w:w="421"/>
        <w:gridCol w:w="161"/>
        <w:gridCol w:w="109"/>
        <w:gridCol w:w="109"/>
        <w:gridCol w:w="109"/>
        <w:gridCol w:w="181"/>
        <w:gridCol w:w="346"/>
        <w:gridCol w:w="109"/>
        <w:gridCol w:w="109"/>
        <w:gridCol w:w="109"/>
        <w:gridCol w:w="109"/>
        <w:gridCol w:w="181"/>
        <w:gridCol w:w="496"/>
        <w:gridCol w:w="109"/>
        <w:gridCol w:w="109"/>
        <w:gridCol w:w="109"/>
        <w:gridCol w:w="109"/>
        <w:gridCol w:w="193"/>
        <w:gridCol w:w="541"/>
        <w:gridCol w:w="118"/>
        <w:gridCol w:w="109"/>
        <w:gridCol w:w="109"/>
        <w:gridCol w:w="109"/>
        <w:gridCol w:w="236"/>
        <w:gridCol w:w="551"/>
        <w:gridCol w:w="202"/>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br/>
              <w:t>Stockholders’</w:t>
              <w:br/>
              <w:t>Equity (Deficit)</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as of January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65,022,787 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(939.9)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(35.3)</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issued under stock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3,424,116 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as of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68,446,903 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(996.8)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(76.0)</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04" w:type="dxa"/>
        <w:jc w:val="left"/>
        <w:tblInd w:w="0" w:type="dxa"/>
        <w:tblLayout w:type="fixed"/>
        <w:tblCellMar>
          <w:top w:w="28" w:type="dxa"/>
          <w:left w:w="28" w:type="dxa"/>
          <w:bottom w:w="28" w:type="dxa"/>
          <w:right w:w="28" w:type="dxa"/>
        </w:tblCellMar>
      </w:tblPr>
      <w:tblGrid>
        <w:gridCol w:w="945"/>
        <w:gridCol w:w="831"/>
        <w:gridCol w:w="834"/>
        <w:gridCol w:w="109"/>
        <w:gridCol w:w="109"/>
        <w:gridCol w:w="109"/>
        <w:gridCol w:w="420"/>
        <w:gridCol w:w="421"/>
        <w:gridCol w:w="109"/>
        <w:gridCol w:w="109"/>
        <w:gridCol w:w="109"/>
        <w:gridCol w:w="109"/>
        <w:gridCol w:w="181"/>
        <w:gridCol w:w="346"/>
        <w:gridCol w:w="109"/>
        <w:gridCol w:w="109"/>
        <w:gridCol w:w="109"/>
        <w:gridCol w:w="109"/>
        <w:gridCol w:w="181"/>
        <w:gridCol w:w="496"/>
        <w:gridCol w:w="109"/>
        <w:gridCol w:w="109"/>
        <w:gridCol w:w="109"/>
        <w:gridCol w:w="109"/>
        <w:gridCol w:w="181"/>
        <w:gridCol w:w="541"/>
        <w:gridCol w:w="109"/>
        <w:gridCol w:w="109"/>
        <w:gridCol w:w="109"/>
        <w:gridCol w:w="109"/>
        <w:gridCol w:w="181"/>
        <w:gridCol w:w="421"/>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as of January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63,036,797 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issued under stock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1,048,021 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as of July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64,084,818 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Arial;sans-serif" w:hAnsi="Arial;sans-serif"/>
            <w:b/>
            <w:color w:val="0000FF"/>
            <w:sz w:val="18"/>
            <w:u w:val="single"/>
          </w:rPr>
          <w:t>Table of Contents</w:t>
        </w:r>
      </w:hyperlink>
    </w:p>
    <w:p>
      <w:pPr>
        <w:pStyle w:val="TextBody"/>
        <w:bidi w:val="0"/>
        <w:spacing w:before="0" w:after="0"/>
        <w:jc w:val="left"/>
        <w:rPr/>
      </w:pPr>
      <w:r>
        <w:rPr/>
      </w:r>
    </w:p>
    <w:tbl>
      <w:tblPr>
        <w:tblW w:w="4979" w:type="dxa"/>
        <w:jc w:val="left"/>
        <w:tblInd w:w="0" w:type="dxa"/>
        <w:tblLayout w:type="fixed"/>
        <w:tblCellMar>
          <w:top w:w="28" w:type="dxa"/>
          <w:left w:w="28" w:type="dxa"/>
          <w:bottom w:w="28" w:type="dxa"/>
          <w:right w:w="28" w:type="dxa"/>
        </w:tblCellMar>
      </w:tblPr>
      <w:tblGrid>
        <w:gridCol w:w="1594"/>
        <w:gridCol w:w="1402"/>
        <w:gridCol w:w="1983"/>
      </w:tblGrid>
      <w:tr>
        <w:trPr/>
        <w:tc>
          <w:tcPr>
            <w:tcW w:w="159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rPr>
            </w:pPr>
            <w:r>
              <w:rPr>
                <w:rFonts w:ascii="Arial;sans-serif" w:hAnsi="Arial;sans-serif"/>
                <w:b/>
                <w:color w:val="000000"/>
                <w:sz w:val="24"/>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Cash Flows</w:t>
            </w:r>
          </w:p>
        </w:tc>
      </w:tr>
    </w:tbl>
    <w:p>
      <w:pPr>
        <w:pStyle w:val="TextBody"/>
        <w:bidi w:val="0"/>
        <w:spacing w:lineRule="auto" w:line="288" w:before="120" w:after="283"/>
        <w:jc w:val="left"/>
        <w:rPr/>
      </w:pPr>
      <w:r>
        <w:rPr>
          <w:rFonts w:ascii="Arial;sans-serif" w:hAnsi="Arial;sans-serif"/>
          <w:b w:val="false"/>
          <w:i/>
          <w:color w:val="000000"/>
          <w:sz w:val="20"/>
          <w:shd w:fill="FFFFFF" w:val="clear"/>
        </w:rPr>
        <w:t>(In millions, unaudited)</w:t>
      </w:r>
      <w:r>
        <w:rPr>
          <w:color w:val="000000"/>
          <w:shd w:fill="FFFFFF" w:val="clear"/>
        </w:rPr>
        <w:t> </w:t>
      </w:r>
    </w:p>
    <w:tbl>
      <w:tblPr>
        <w:tblW w:w="9353" w:type="dxa"/>
        <w:jc w:val="left"/>
        <w:tblInd w:w="0" w:type="dxa"/>
        <w:tblLayout w:type="fixed"/>
        <w:tblCellMar>
          <w:top w:w="28" w:type="dxa"/>
          <w:left w:w="28" w:type="dxa"/>
          <w:bottom w:w="28" w:type="dxa"/>
          <w:right w:w="28" w:type="dxa"/>
        </w:tblCellMar>
      </w:tblPr>
      <w:tblGrid>
        <w:gridCol w:w="2577"/>
        <w:gridCol w:w="2261"/>
        <w:gridCol w:w="2271"/>
        <w:gridCol w:w="211"/>
        <w:gridCol w:w="616"/>
        <w:gridCol w:w="109"/>
        <w:gridCol w:w="109"/>
        <w:gridCol w:w="109"/>
        <w:gridCol w:w="109"/>
        <w:gridCol w:w="211"/>
        <w:gridCol w:w="616"/>
        <w:gridCol w:w="154"/>
      </w:tblGrid>
      <w:tr>
        <w:trPr/>
        <w:tc>
          <w:tcPr>
            <w:tcW w:w="2577"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 xml:space="preserve">July 31, </w:t>
            </w:r>
          </w:p>
        </w:tc>
      </w:tr>
      <w:tr>
        <w:trPr/>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2022</w:t>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Adjustments to reconcile net loss to net cash (used in)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Rental product depreciation and write-offs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Write-off of rental product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 loss from lease termination and write-off of fixed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rental product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(Gain) / loss from liquidation of rental product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Accrual of paid-in-kind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debt discount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payable, accrued expenses and 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Deferred revenue and customer credit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cash (used in)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Purchases of rental product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liquidation of rental product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sale of rental product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Purchases of fixed and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cash (used in) provided by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(decrease) increase in cash and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 and restricted cash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Arial;sans-serif" w:hAnsi="Arial;sans-serif"/>
            <w:b/>
            <w:color w:val="0000FF"/>
            <w:sz w:val="18"/>
            <w:u w:val="single"/>
          </w:rPr>
          <w:t>Table of Contents</w:t>
        </w:r>
      </w:hyperlink>
    </w:p>
    <w:p>
      <w:pPr>
        <w:pStyle w:val="TextBody"/>
        <w:bidi w:val="0"/>
        <w:spacing w:before="0" w:after="0"/>
        <w:jc w:val="left"/>
        <w:rPr/>
      </w:pPr>
      <w:r>
        <w:rPr/>
      </w:r>
    </w:p>
    <w:tbl>
      <w:tblPr>
        <w:tblW w:w="4979" w:type="dxa"/>
        <w:jc w:val="left"/>
        <w:tblInd w:w="0" w:type="dxa"/>
        <w:tblLayout w:type="fixed"/>
        <w:tblCellMar>
          <w:top w:w="28" w:type="dxa"/>
          <w:left w:w="28" w:type="dxa"/>
          <w:bottom w:w="28" w:type="dxa"/>
          <w:right w:w="28" w:type="dxa"/>
        </w:tblCellMar>
      </w:tblPr>
      <w:tblGrid>
        <w:gridCol w:w="1594"/>
        <w:gridCol w:w="1402"/>
        <w:gridCol w:w="1983"/>
      </w:tblGrid>
      <w:tr>
        <w:trPr/>
        <w:tc>
          <w:tcPr>
            <w:tcW w:w="159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rPr>
            </w:pPr>
            <w:r>
              <w:rPr>
                <w:rFonts w:ascii="Arial;sans-serif" w:hAnsi="Arial;sans-serif"/>
                <w:b/>
                <w:color w:val="000000"/>
                <w:sz w:val="24"/>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Cash Flows</w:t>
            </w:r>
          </w:p>
        </w:tc>
      </w:tr>
    </w:tbl>
    <w:p>
      <w:pPr>
        <w:pStyle w:val="TextBody"/>
        <w:bidi w:val="0"/>
        <w:spacing w:lineRule="auto" w:line="288" w:before="360" w:after="283"/>
        <w:jc w:val="left"/>
        <w:rPr/>
      </w:pPr>
      <w:r>
        <w:rPr>
          <w:rFonts w:ascii="Arial;sans-serif" w:hAnsi="Arial;sans-serif"/>
          <w:b w:val="false"/>
          <w:i/>
          <w:color w:val="000000"/>
          <w:sz w:val="20"/>
        </w:rPr>
        <w:t>(In millions, 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993"/>
        <w:gridCol w:w="2478"/>
        <w:gridCol w:w="2489"/>
        <w:gridCol w:w="211"/>
        <w:gridCol w:w="616"/>
        <w:gridCol w:w="109"/>
        <w:gridCol w:w="109"/>
        <w:gridCol w:w="109"/>
        <w:gridCol w:w="109"/>
        <w:gridCol w:w="211"/>
        <w:gridCol w:w="616"/>
        <w:gridCol w:w="155"/>
      </w:tblGrid>
      <w:tr>
        <w:trPr/>
        <w:tc>
          <w:tcPr>
            <w:tcW w:w="2993"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br/>
              <w:t xml:space="preserve">July 31, </w:t>
            </w:r>
          </w:p>
        </w:tc>
      </w:tr>
      <w:tr>
        <w:trPr/>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40"/>
              <w:jc w:val="center"/>
              <w:rPr>
                <w:rFonts w:ascii="Arial;sans-serif" w:hAnsi="Arial;sans-serif"/>
                <w:b/>
                <w:color w:val="000000"/>
                <w:sz w:val="18"/>
              </w:rPr>
            </w:pPr>
            <w:r>
              <w:rPr>
                <w:rFonts w:ascii="Arial;sans-serif" w:hAnsi="Arial;sans-serif"/>
                <w:b/>
                <w:color w:val="000000"/>
                <w:sz w:val="18"/>
              </w:rPr>
              <w:t>2022</w:t>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Reconciliation of Cash and Cash Equivalents and Restricted Cash to the Condensed Consolidated Balance Sheets: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Restricted cash, 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Restricted cash, noncurrent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8"/>
              </w:rPr>
            </w:pPr>
            <w:r>
              <w:rPr>
                <w:rFonts w:ascii="Arial;sans-serif" w:hAnsi="Arial;sans-serif"/>
                <w:b w:val="false"/>
                <w:color w:val="000000"/>
                <w:sz w:val="18"/>
              </w:rPr>
              <w:t>Total cash and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Supplemental Cash Flow Information: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8"/>
              </w:rPr>
            </w:pPr>
            <w:r>
              <w:rPr>
                <w:rFonts w:ascii="Arial;sans-serif" w:hAnsi="Arial;sans-serif"/>
                <w:b w:val="false"/>
                <w:color w:val="000000"/>
                <w:sz w:val="18"/>
              </w:rPr>
              <w:t>Cash payments (receipts) for: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Fixed operating lease payments, net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assets and intangibles received in the prior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product received in the prior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financing and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lease right-of-use asset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ROU assets obtained in exchange for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Purchases of fixed assets and intangibles not yet settled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rental product not yet settled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Times New Roman;sans-serif" w:hAnsi="Times New Roman;sans-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(Dollars in millions,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ind w:left="0" w:right="0" w:hanging="540"/>
        <w:jc w:val="left"/>
        <w:rPr>
          <w:rFonts w:ascii="Arial;sans-serif" w:hAnsi="Arial;sans-serif"/>
          <w:b/>
          <w:color w:val="000000"/>
          <w:sz w:val="20"/>
        </w:rPr>
      </w:pPr>
      <w:r>
        <w:rPr>
          <w:rFonts w:ascii="Arial;sans-serif" w:hAnsi="Arial;sans-serif"/>
          <w:b/>
          <w:color w:val="000000"/>
          <w:sz w:val="20"/>
        </w:rPr>
        <w:t>1.Business</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Description of Business</w:t>
      </w:r>
    </w:p>
    <w:p>
      <w:pPr>
        <w:pStyle w:val="TextBody"/>
        <w:bidi w:val="0"/>
        <w:spacing w:lineRule="auto" w:line="288" w:before="120" w:after="283"/>
        <w:jc w:val="left"/>
        <w:rPr/>
      </w:pPr>
      <w:r>
        <w:rPr>
          <w:rFonts w:ascii="Arial;sans-serif" w:hAnsi="Arial;sans-serif"/>
          <w:b w:val="false"/>
          <w:color w:val="000000"/>
          <w:sz w:val="20"/>
          <w:shd w:fill="FFFFFF" w:val="clear"/>
        </w:rPr>
        <w:t>Rent the Runway, Inc.’s (the “Company”) mission is to power women to feel their best every day. Launched in November 2009, the Company has built the world’s first and largest shared designer closet wit</w:t>
      </w:r>
      <w:r>
        <w:rPr>
          <w:rFonts w:ascii="Arial;sans-serif" w:hAnsi="Arial;sans-serif"/>
          <w:b w:val="false"/>
          <w:color w:val="000000"/>
          <w:sz w:val="20"/>
        </w:rPr>
        <w:t xml:space="preserve">h thousands of styles by hundreds of brand partners. </w:t>
      </w:r>
      <w:r>
        <w:rPr>
          <w:rFonts w:ascii="Arial;sans-serif" w:hAnsi="Arial;sans-serif"/>
          <w:b w:val="false"/>
          <w:color w:val="000000"/>
          <w:sz w:val="20"/>
          <w:shd w:fill="FFFFFF" w:val="clear"/>
        </w:rPr>
        <w:t xml:space="preserve">The Company gives customers access to its “unlimited closet” through its subscription offering (“Subscription”) or the ability to rent a-la-carte through its reserve offering (“Reserve”). The Company’s corporate headquarters is located in Brooklyn, New York and the operational facilities are located in Secaucus, New Jersey, and Arlington, Texas. Its wholly-owned subsidiary, Rent the Runway Limited, is located in Galway, Ireland, and is focused on software development and support activities. </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All revenue is currently generated in the United States. Substantially all revenue is derived from rental subscription fees and a-la-carte rental fees, with a portion derived from the sale of apparel and accessories and other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2.Summary of Significant Accounting Policies</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Basis of Presentation</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unaudited condensed consolidated financial statements include the accounts of the Company and its subsidiary. All intercompany accounts and transactions have been eliminated in consolidation. The Company’s condensed consolidated financial statements were prepared in accordance with generally accepted accounting principles in the United States (“U.S. GAAP”).</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unaudited interim condensed consolidated financial statements and related disclosures have been prepared by management on a basis consistent with the annual consolidated financial statements and, in the opinion of management, include all adjustments necessary for a fair statement of the results for the interim periods presented.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results for the three and six months ended July 31, 2023 are not necessarily indicative of the operating results expected for the year ending January 31, 2024 or any future period. The condensed consolidated balance sheet as of January 31, 2023 is derived from the audited consolidated financial statements. Certain information and notes normally included in financial statements prepared in accordance with U.S. GAAP have been condensed or omitted under the Securities and Exchange Commission’s (the “SEC”) rules and regulations. Accordingly, the unaudited condensed consolidated financial statements and notes included herein should be read in conjunction with the Company’s audited consolidated financial statements and notes for the year ended January 31, 2023, which can be found in the Company’s Annual Report on Form 10-K filed with the SEC on April 13, 2023.</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Fiscal Year</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operates on a fiscal calendar ending January 31. All references to fiscal year 2022 reflect the results of the 12-month period ended January 31, 2023. All references to fiscal year 2023 reflect the results of the 12-month period ending January 31, 2024. </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Segment Information</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Times New Roman;sans-serif" w:hAnsi="Times New Roman;sans-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(Dollars in millions, except share and per share amounts)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Use of Estimates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and the valuation of share-based compensation and warrants.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of July 31, 2023, the effects of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Concentrations of Credit Risks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 single customer accounted for more than 5% of the Company’s revenue during the three or six months ended July 31, 2023 and 2022.</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Fair Value Measurements and Financial Instruments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Fair value accounting is applied for all financial assets and liabilities and non-financial assets and liabilities that are recognized or disclosed at fair value in the condensed consolidated financial statements on a recurring basis, at least annually. Fair value is defined as the price that would be received to sell an asset or paid to transfer a liability in an orderly transaction between market participants at the measurement date. </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Assets and liabilities recorded at fair value in the condensed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pStyle w:val="TextBody"/>
        <w:bidi w:val="0"/>
        <w:spacing w:lineRule="auto" w:line="288" w:before="240" w:after="283"/>
        <w:ind w:left="0" w:right="0" w:hanging="900"/>
        <w:jc w:val="left"/>
        <w:rPr>
          <w:rFonts w:ascii="Arial;sans-serif" w:hAnsi="Arial;sans-serif"/>
          <w:b w:val="false"/>
          <w:color w:val="000000"/>
          <w:sz w:val="20"/>
        </w:rPr>
      </w:pPr>
      <w:r>
        <w:rPr>
          <w:rFonts w:ascii="Arial;sans-serif" w:hAnsi="Arial;sans-serif"/>
          <w:b w:val="false"/>
          <w:color w:val="000000"/>
          <w:sz w:val="20"/>
        </w:rPr>
        <w:t>Level 1:    Observable inputs, such as quoted prices in active markets for identical assets and liabilities.</w:t>
      </w:r>
    </w:p>
    <w:p>
      <w:pPr>
        <w:pStyle w:val="TextBody"/>
        <w:bidi w:val="0"/>
        <w:spacing w:lineRule="auto" w:line="288" w:before="240" w:after="283"/>
        <w:ind w:left="0" w:right="0" w:hanging="900"/>
        <w:jc w:val="left"/>
        <w:rPr>
          <w:rFonts w:ascii="Arial;sans-serif" w:hAnsi="Arial;sans-serif"/>
          <w:b w:val="false"/>
          <w:color w:val="000000"/>
          <w:sz w:val="20"/>
        </w:rPr>
      </w:pPr>
      <w:r>
        <w:rPr>
          <w:rFonts w:ascii="Arial;sans-serif" w:hAnsi="Arial;sans-serif"/>
          <w:b w:val="false"/>
          <w:color w:val="000000"/>
          <w:sz w:val="20"/>
        </w:rPr>
        <w:t>Level 2:    Inputs other than the quoted prices in active markets that are observable either directly or indirectly.</w:t>
      </w:r>
    </w:p>
    <w:p>
      <w:pPr>
        <w:pStyle w:val="TextBody"/>
        <w:bidi w:val="0"/>
        <w:spacing w:lineRule="auto" w:line="288" w:before="240" w:after="283"/>
        <w:ind w:left="0" w:right="0" w:hanging="900"/>
        <w:jc w:val="left"/>
        <w:rPr>
          <w:rFonts w:ascii="Arial;sans-serif" w:hAnsi="Arial;sans-serif"/>
          <w:b w:val="false"/>
          <w:color w:val="000000"/>
          <w:sz w:val="20"/>
        </w:rPr>
      </w:pPr>
      <w:r>
        <w:rPr>
          <w:rFonts w:ascii="Arial;sans-serif" w:hAnsi="Arial;sans-serif"/>
          <w:b w:val="false"/>
          <w:color w:val="000000"/>
          <w:sz w:val="20"/>
        </w:rPr>
        <w:t>Level 3:    Unobservable inputs, in which there is little or no market data which require the Company to develop its own assumptions.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Times New Roman;sans-serif" w:hAnsi="Times New Roman;sans-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Prepaid Expenses and Other Current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 consist primarily of accounts receivable, net, interest receivable, prepaid insurance, prepaid technology expenses and prepaid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Accounts receivable, net consists primarily of amounts due from third party liquidation and Exclusive Design wholesale partners that do not bear interest. The Company records an allowance for doubtful accounts taking into consideration historical losses adjusted for current market conditions, the financial condition of the customer, the amount of receivables in dispute, and the current receivables aging and payment patterns. Accounts receivable, net was immaterial and $4.0 million as of July 31, 2023 and January 31, 2023, respectively. The allowance for doubtful accounts was immaterial as of January 31, 2023. As of January 31, 2023, one third party partner represented the majority of the Company’s accounts receivable balance.</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Rental Product, Net</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considers rental product to be a long-term productive asset and, as such, classifies it as a noncurrent asset on the condensed consolidated balance sheets.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 </w:t>
      </w:r>
    </w:p>
    <w:tbl>
      <w:tblPr>
        <w:tblW w:w="3735" w:type="dxa"/>
        <w:jc w:val="left"/>
        <w:tblInd w:w="0" w:type="dxa"/>
        <w:tblLayout w:type="fixed"/>
        <w:tblCellMar>
          <w:top w:w="28" w:type="dxa"/>
          <w:left w:w="28" w:type="dxa"/>
          <w:bottom w:w="28" w:type="dxa"/>
          <w:right w:w="28" w:type="dxa"/>
        </w:tblCellMar>
      </w:tblPr>
      <w:tblGrid>
        <w:gridCol w:w="435"/>
        <w:gridCol w:w="381"/>
        <w:gridCol w:w="385"/>
        <w:gridCol w:w="320"/>
        <w:gridCol w:w="320"/>
        <w:gridCol w:w="321"/>
        <w:gridCol w:w="109"/>
        <w:gridCol w:w="109"/>
        <w:gridCol w:w="109"/>
        <w:gridCol w:w="247"/>
        <w:gridCol w:w="247"/>
        <w:gridCol w:w="752"/>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Salvage Value</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Apparel</w:t>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Accessories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accordance with its policy, the Company reviews the estimated useful lives and salvage values of rental product on an ongoing basis. </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offers its customers an opportunity to purchase items prior to the end of their useful life. In such instances, the Company considers the disposal of rental product to be a sale and, as such, records the proceeds as other revenue and the net book value of the items at the time of sale as rental product depreciation in the condensed consolidated statements of operations within rental product depreciation and revenue share. Write-offs for losses on lost, damaged, and unreturned apparel and accessories are also recorded within rental product depreciation and revenue share.</w:t>
      </w:r>
    </w:p>
    <w:p>
      <w:pPr>
        <w:pStyle w:val="TextBody"/>
        <w:bidi w:val="0"/>
        <w:spacing w:lineRule="auto" w:line="288" w:before="240" w:after="283"/>
        <w:jc w:val="left"/>
        <w:rPr/>
      </w:pPr>
      <w:r>
        <w:rPr>
          <w:rFonts w:ascii="Arial;sans-serif" w:hAnsi="Arial;sans-serif"/>
          <w:b w:val="false"/>
          <w:color w:val="000000"/>
          <w:sz w:val="20"/>
          <w:shd w:fill="FFFFFF" w:val="clear"/>
        </w:rPr>
        <w:t xml:space="preserve">Once it is no longer considered rentable, rental product in a sellable condition is classified as held for sale and written down to salvage value. The value of rental product held for sale as of July 31, 2023 and January 31, 2023 was </w:t>
      </w:r>
      <w:r>
        <w:rPr>
          <w:rFonts w:ascii="Arial;sans-serif" w:hAnsi="Arial;sans-serif"/>
          <w:b w:val="false"/>
          <w:color w:val="000000"/>
          <w:sz w:val="20"/>
        </w:rPr>
        <w:t>$3.1 million</w:t>
      </w:r>
      <w:r>
        <w:rPr>
          <w:color w:val="000000"/>
          <w:shd w:fill="FFFFFF" w:val="clear"/>
        </w:rPr>
        <w:t xml:space="preserve"> </w:t>
      </w:r>
      <w:r>
        <w:rPr>
          <w:rFonts w:ascii="Arial;sans-serif" w:hAnsi="Arial;sans-serif"/>
          <w:b w:val="false"/>
          <w:color w:val="000000"/>
          <w:sz w:val="20"/>
          <w:shd w:fill="FFFFFF" w:val="clear"/>
        </w:rPr>
        <w:t xml:space="preserve">and $3.0 million, respectively. The accelerated depreciation related to rental product held for sale was </w:t>
      </w:r>
      <w:r>
        <w:rPr>
          <w:rFonts w:ascii="Arial;sans-serif" w:hAnsi="Arial;sans-serif"/>
          <w:b w:val="false"/>
          <w:color w:val="000000"/>
          <w:sz w:val="20"/>
        </w:rPr>
        <w:t>$1.1 million</w:t>
      </w:r>
      <w:r>
        <w:rPr>
          <w:color w:val="000000"/>
          <w:shd w:fill="FFFFFF" w:val="clear"/>
        </w:rPr>
        <w:t xml:space="preserve"> </w:t>
      </w:r>
      <w:r>
        <w:rPr>
          <w:rFonts w:ascii="Arial;sans-serif" w:hAnsi="Arial;sans-serif"/>
          <w:b w:val="false"/>
          <w:color w:val="000000"/>
          <w:sz w:val="20"/>
          <w:shd w:fill="FFFFFF" w:val="clear"/>
        </w:rPr>
        <w:t xml:space="preserve">and $2.1 million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 xml:space="preserve">July 31, 2023 and </w:t>
      </w:r>
      <w:r>
        <w:rPr>
          <w:rFonts w:ascii="Arial;sans-serif" w:hAnsi="Arial;sans-serif"/>
          <w:b w:val="false"/>
          <w:color w:val="000000"/>
          <w:sz w:val="20"/>
        </w:rPr>
        <w:t>2022</w:t>
      </w:r>
      <w:r>
        <w:rPr>
          <w:rFonts w:ascii="Arial;sans-serif" w:hAnsi="Arial;sans-serif"/>
          <w:b w:val="false"/>
          <w:color w:val="000000"/>
          <w:sz w:val="20"/>
          <w:shd w:fill="FFFFFF" w:val="clear"/>
        </w:rPr>
        <w:t xml:space="preserve">, respectively, and </w:t>
      </w:r>
      <w:r>
        <w:rPr>
          <w:rFonts w:ascii="Arial;sans-serif" w:hAnsi="Arial;sans-serif"/>
          <w:b w:val="false"/>
          <w:color w:val="000000"/>
          <w:sz w:val="20"/>
        </w:rPr>
        <w:t>$2.0 million</w:t>
      </w:r>
      <w:r>
        <w:rPr>
          <w:color w:val="000000"/>
          <w:shd w:fill="FFFFFF" w:val="clear"/>
        </w:rPr>
        <w:t xml:space="preserve"> </w:t>
      </w:r>
      <w:r>
        <w:rPr>
          <w:rFonts w:ascii="Arial;sans-serif" w:hAnsi="Arial;sans-serif"/>
          <w:b w:val="false"/>
          <w:color w:val="000000"/>
          <w:sz w:val="20"/>
          <w:shd w:fill="FFFFFF" w:val="clear"/>
        </w:rPr>
        <w:t xml:space="preserve">and $3.4 million, for the six months ended July 31, 2023 and </w:t>
      </w:r>
      <w:r>
        <w:rPr>
          <w:rFonts w:ascii="Arial;sans-serif" w:hAnsi="Arial;sans-serif"/>
          <w:b w:val="false"/>
          <w:color w:val="000000"/>
          <w:sz w:val="20"/>
        </w:rPr>
        <w:t>2022</w:t>
      </w:r>
      <w:r>
        <w:rPr>
          <w:rFonts w:ascii="Arial;sans-serif" w:hAnsi="Arial;sans-serif"/>
          <w:b w:val="false"/>
          <w:color w:val="000000"/>
          <w:sz w:val="20"/>
          <w:shd w:fill="FFFFFF" w:val="clear"/>
        </w:rPr>
        <w:t xml:space="preserve">, respectively. The accelerated depreciation is presented on the condensed consolidated statements of operations within rental product depreciation and revenue share.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When rental product is liquidated, the Company records the gain or loss calculated as proceeds, net of the remaining salvage value and costs to sell, within general and administrative expenses on the condensed consolidated statement of operations. The gain or loss from the liquidation of rental product is included as an adjustment to reconcile net loss to net cash used by operating activities in the condensed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Times New Roman;sans-serif" w:hAnsi="Times New Roman;sans-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(Dollars in millions, except share and per share amounts)</w:t>
      </w:r>
    </w:p>
    <w:p>
      <w:pPr>
        <w:pStyle w:val="TextBody"/>
        <w:bidi w:val="0"/>
        <w:spacing w:lineRule="auto" w:line="288" w:before="240" w:after="283"/>
        <w:jc w:val="left"/>
        <w:rPr/>
      </w:pPr>
      <w:r>
        <w:rPr>
          <w:rFonts w:ascii="Arial;sans-serif" w:hAnsi="Arial;sans-serif"/>
          <w:b w:val="false"/>
          <w:color w:val="000000"/>
          <w:sz w:val="20"/>
          <w:shd w:fill="FFFFFF" w:val="clear"/>
        </w:rPr>
        <w:t xml:space="preserve">The purchases of rental product, as well as the proceeds from the sale and liquidation of rental product, are classified as cash flows from investing activities on the condensed consolidated statements of cash flows because the predominant activity of the rental product purchased is to generate rental revenue and such classification is consistent with the classification of long-term asset activity. Proceeds from the sale of rental product were </w:t>
      </w:r>
      <w:r>
        <w:rPr>
          <w:rFonts w:ascii="Arial;sans-serif" w:hAnsi="Arial;sans-serif"/>
          <w:b w:val="false"/>
          <w:color w:val="000000"/>
          <w:sz w:val="20"/>
        </w:rPr>
        <w:t>$10.8 million</w:t>
      </w:r>
      <w:r>
        <w:rPr>
          <w:color w:val="000000"/>
          <w:shd w:fill="FFFFFF" w:val="clear"/>
        </w:rPr>
        <w:t xml:space="preserve"> </w:t>
      </w:r>
      <w:r>
        <w:rPr>
          <w:rFonts w:ascii="Arial;sans-serif" w:hAnsi="Arial;sans-serif"/>
          <w:b w:val="false"/>
          <w:color w:val="000000"/>
          <w:sz w:val="20"/>
          <w:shd w:fill="FFFFFF" w:val="clear"/>
        </w:rPr>
        <w:t xml:space="preserve">and $8.8 million for the six months ended July 31, 2023 and </w:t>
      </w:r>
      <w:r>
        <w:rPr>
          <w:rFonts w:ascii="Arial;sans-serif" w:hAnsi="Arial;sans-serif"/>
          <w:b w:val="false"/>
          <w:color w:val="000000"/>
          <w:sz w:val="20"/>
        </w:rPr>
        <w:t xml:space="preserve">2022, </w:t>
      </w:r>
      <w:r>
        <w:rPr>
          <w:rFonts w:ascii="Arial;sans-serif" w:hAnsi="Arial;sans-serif"/>
          <w:b w:val="false"/>
          <w:color w:val="000000"/>
          <w:sz w:val="20"/>
          <w:shd w:fill="FFFFFF" w:val="clear"/>
        </w:rPr>
        <w:t>respectively.</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Revenue Recognition</w:t>
      </w:r>
    </w:p>
    <w:p>
      <w:pPr>
        <w:pStyle w:val="TextBody"/>
        <w:bidi w:val="0"/>
        <w:spacing w:lineRule="auto" w:line="288" w:before="120" w:after="283"/>
        <w:jc w:val="left"/>
        <w:rPr/>
      </w:pPr>
      <w:r>
        <w:rPr>
          <w:rFonts w:ascii="Arial;sans-serif" w:hAnsi="Arial;sans-serif"/>
          <w:b w:val="false"/>
          <w:color w:val="000000"/>
          <w:sz w:val="20"/>
          <w:shd w:fill="FFFFFF" w:val="clear"/>
        </w:rPr>
        <w:t>Subscription and a-la-carte rental fees (“Subscription and Reserve rental revenue”) are recognized in accordance with Accounting Standard Update (“ASU”) 2016-02</w:t>
      </w:r>
      <w:r>
        <w:rPr>
          <w:rFonts w:ascii="Arial;sans-serif" w:hAnsi="Arial;sans-serif"/>
          <w:b w:val="false"/>
          <w:i/>
          <w:color w:val="000000"/>
          <w:sz w:val="20"/>
          <w:shd w:fill="FFFFFF" w:val="clear"/>
        </w:rPr>
        <w:t>, Leases, Topic 842</w:t>
      </w:r>
      <w:r>
        <w:rPr>
          <w:color w:val="000000"/>
          <w:shd w:fill="FFFFFF" w:val="clear"/>
        </w:rPr>
        <w:t> </w:t>
      </w:r>
      <w:r>
        <w:rPr>
          <w:rFonts w:ascii="Arial;sans-serif" w:hAnsi="Arial;sans-serif"/>
          <w:b w:val="false"/>
          <w:color w:val="000000"/>
          <w:sz w:val="20"/>
          <w:shd w:fill="FFFFFF" w:val="clear"/>
        </w:rPr>
        <w:t>(“ASC 842”). Other revenue, primarily related to the sale of rental product, is recognized under ASU 2014-09, </w:t>
      </w:r>
      <w:r>
        <w:rPr>
          <w:rFonts w:ascii="Arial;sans-serif" w:hAnsi="Arial;sans-serif"/>
          <w:b w:val="false"/>
          <w:i/>
          <w:color w:val="000000"/>
          <w:sz w:val="20"/>
          <w:shd w:fill="FFFFFF" w:val="clear"/>
        </w:rPr>
        <w:t>Revenue from Contracts with Customers, Topic 606</w:t>
      </w:r>
      <w:r>
        <w:rPr>
          <w:color w:val="000000"/>
          <w:shd w:fill="FFFFFF" w:val="clear"/>
        </w:rPr>
        <w:t> </w:t>
      </w:r>
      <w:r>
        <w:rPr>
          <w:rFonts w:ascii="Arial;sans-serif" w:hAnsi="Arial;sans-serif"/>
          <w:b w:val="false"/>
          <w:color w:val="000000"/>
          <w:sz w:val="20"/>
          <w:shd w:fill="FFFFFF" w:val="clear"/>
        </w:rPr>
        <w:t xml:space="preserve">(“ASC 606”) at the date of delivery of the product to the customer. Other revenue represented </w:t>
      </w:r>
      <w:r>
        <w:rPr>
          <w:rFonts w:ascii="Arial;sans-serif" w:hAnsi="Arial;sans-serif"/>
          <w:b w:val="false"/>
          <w:color w:val="000000"/>
          <w:sz w:val="20"/>
        </w:rPr>
        <w:t>10%</w:t>
      </w:r>
      <w:r>
        <w:rPr>
          <w:color w:val="000000"/>
          <w:shd w:fill="FFFFFF" w:val="clear"/>
        </w:rPr>
        <w:t xml:space="preserve"> </w:t>
      </w:r>
      <w:r>
        <w:rPr>
          <w:rFonts w:ascii="Arial;sans-serif" w:hAnsi="Arial;sans-serif"/>
          <w:b w:val="false"/>
          <w:color w:val="000000"/>
          <w:sz w:val="20"/>
          <w:shd w:fill="FFFFFF" w:val="clear"/>
        </w:rPr>
        <w:t xml:space="preserve">and 8% of total revenue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 xml:space="preserve">July 31, 2023 and </w:t>
      </w:r>
      <w:r>
        <w:rPr>
          <w:rFonts w:ascii="Arial;sans-serif" w:hAnsi="Arial;sans-serif"/>
          <w:b w:val="false"/>
          <w:color w:val="000000"/>
          <w:sz w:val="20"/>
        </w:rPr>
        <w:t>2022</w:t>
      </w:r>
      <w:r>
        <w:rPr>
          <w:rFonts w:ascii="Arial;sans-serif" w:hAnsi="Arial;sans-serif"/>
          <w:b w:val="false"/>
          <w:color w:val="000000"/>
          <w:sz w:val="20"/>
          <w:shd w:fill="FFFFFF" w:val="clear"/>
        </w:rPr>
        <w:t xml:space="preserve">, respectively, and </w:t>
      </w:r>
      <w:r>
        <w:rPr>
          <w:rFonts w:ascii="Arial;sans-serif" w:hAnsi="Arial;sans-serif"/>
          <w:b w:val="false"/>
          <w:color w:val="000000"/>
          <w:sz w:val="20"/>
        </w:rPr>
        <w:t>10%</w:t>
      </w:r>
      <w:r>
        <w:rPr>
          <w:color w:val="000000"/>
          <w:shd w:fill="FFFFFF" w:val="clear"/>
        </w:rPr>
        <w:t xml:space="preserve"> </w:t>
      </w:r>
      <w:r>
        <w:rPr>
          <w:rFonts w:ascii="Arial;sans-serif" w:hAnsi="Arial;sans-serif"/>
          <w:b w:val="false"/>
          <w:color w:val="000000"/>
          <w:sz w:val="20"/>
          <w:shd w:fill="FFFFFF" w:val="clear"/>
        </w:rPr>
        <w:t xml:space="preserve">and 8% of total revenue for the six months ended July 31, 2023 and </w:t>
      </w:r>
      <w:r>
        <w:rPr>
          <w:rFonts w:ascii="Arial;sans-serif" w:hAnsi="Arial;sans-serif"/>
          <w:b w:val="false"/>
          <w:color w:val="000000"/>
          <w:sz w:val="20"/>
        </w:rPr>
        <w:t>2022</w:t>
      </w:r>
      <w:r>
        <w:rPr>
          <w:rFonts w:ascii="Arial;sans-serif" w:hAnsi="Arial;sans-serif"/>
          <w:b w:val="false"/>
          <w:color w:val="000000"/>
          <w:sz w:val="20"/>
          <w:shd w:fill="FFFFFF" w:val="clear"/>
        </w:rPr>
        <w:t>, respectively.</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The Company recognizes a liability at the time a customer credit or a gift card is issued, and revenue is recognized upon redemption of the credit or gift card. The Company’s customer credit liability is presented on the condensed consolidated balance sheets. During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 xml:space="preserve">July 31, 2023 and </w:t>
      </w:r>
      <w:r>
        <w:rPr>
          <w:rFonts w:ascii="Arial;sans-serif" w:hAnsi="Arial;sans-serif"/>
          <w:b w:val="false"/>
          <w:color w:val="000000"/>
          <w:sz w:val="20"/>
        </w:rPr>
        <w:t>2022</w:t>
      </w:r>
      <w:r>
        <w:rPr>
          <w:rFonts w:ascii="Arial;sans-serif" w:hAnsi="Arial;sans-serif"/>
          <w:b w:val="false"/>
          <w:color w:val="000000"/>
          <w:sz w:val="20"/>
          <w:shd w:fill="FFFFFF" w:val="clear"/>
        </w:rPr>
        <w:t xml:space="preserve">, </w:t>
      </w:r>
      <w:r>
        <w:rPr>
          <w:rFonts w:ascii="Arial;sans-serif" w:hAnsi="Arial;sans-serif"/>
          <w:b w:val="false"/>
          <w:color w:val="000000"/>
          <w:sz w:val="20"/>
        </w:rPr>
        <w:t>$0.4 million</w:t>
      </w:r>
      <w:r>
        <w:rPr>
          <w:color w:val="000000"/>
          <w:shd w:fill="FFFFFF" w:val="clear"/>
        </w:rPr>
        <w:t xml:space="preserve"> </w:t>
      </w:r>
      <w:r>
        <w:rPr>
          <w:rFonts w:ascii="Arial;sans-serif" w:hAnsi="Arial;sans-serif"/>
          <w:b w:val="false"/>
          <w:color w:val="000000"/>
          <w:sz w:val="20"/>
          <w:shd w:fill="FFFFFF" w:val="clear"/>
        </w:rPr>
        <w:t xml:space="preserve">and $0.5 million of credits included in the customer credit liability as of April 30, 2023 and </w:t>
      </w:r>
      <w:r>
        <w:rPr>
          <w:rFonts w:ascii="Arial;sans-serif" w:hAnsi="Arial;sans-serif"/>
          <w:b w:val="false"/>
          <w:color w:val="000000"/>
          <w:sz w:val="20"/>
        </w:rPr>
        <w:t>2022</w:t>
      </w:r>
      <w:r>
        <w:rPr>
          <w:rFonts w:ascii="Arial;sans-serif" w:hAnsi="Arial;sans-serif"/>
          <w:b w:val="false"/>
          <w:color w:val="000000"/>
          <w:sz w:val="20"/>
          <w:shd w:fill="FFFFFF" w:val="clear"/>
        </w:rPr>
        <w:t xml:space="preserve">, respectively, were redeemed. During the six months ended July 31, 2023 and </w:t>
      </w:r>
      <w:r>
        <w:rPr>
          <w:rFonts w:ascii="Arial;sans-serif" w:hAnsi="Arial;sans-serif"/>
          <w:b w:val="false"/>
          <w:color w:val="000000"/>
          <w:sz w:val="20"/>
        </w:rPr>
        <w:t>2022</w:t>
      </w:r>
      <w:r>
        <w:rPr>
          <w:rFonts w:ascii="Arial;sans-serif" w:hAnsi="Arial;sans-serif"/>
          <w:b w:val="false"/>
          <w:color w:val="000000"/>
          <w:sz w:val="20"/>
          <w:shd w:fill="FFFFFF" w:val="clear"/>
        </w:rPr>
        <w:t xml:space="preserve">, </w:t>
      </w:r>
      <w:r>
        <w:rPr>
          <w:rFonts w:ascii="Arial;sans-serif" w:hAnsi="Arial;sans-serif"/>
          <w:b w:val="false"/>
          <w:color w:val="000000"/>
          <w:sz w:val="20"/>
        </w:rPr>
        <w:t>$1.0 million</w:t>
      </w:r>
      <w:r>
        <w:rPr>
          <w:color w:val="000000"/>
          <w:shd w:fill="FFFFFF" w:val="clear"/>
        </w:rPr>
        <w:t xml:space="preserve"> </w:t>
      </w:r>
      <w:r>
        <w:rPr>
          <w:rFonts w:ascii="Arial;sans-serif" w:hAnsi="Arial;sans-serif"/>
          <w:b w:val="false"/>
          <w:color w:val="000000"/>
          <w:sz w:val="20"/>
          <w:shd w:fill="FFFFFF" w:val="clear"/>
        </w:rPr>
        <w:t xml:space="preserve">and $1.3 million of credits included in the customer credit liability as of January 31, 2023 and </w:t>
      </w:r>
      <w:r>
        <w:rPr>
          <w:rFonts w:ascii="Arial;sans-serif" w:hAnsi="Arial;sans-serif"/>
          <w:b w:val="false"/>
          <w:color w:val="000000"/>
          <w:sz w:val="20"/>
        </w:rPr>
        <w:t>2022</w:t>
      </w:r>
      <w:r>
        <w:rPr>
          <w:rFonts w:ascii="Arial;sans-serif" w:hAnsi="Arial;sans-serif"/>
          <w:b w:val="false"/>
          <w:color w:val="000000"/>
          <w:sz w:val="20"/>
          <w:shd w:fill="FFFFFF" w:val="clear"/>
        </w:rPr>
        <w:t>, respectively, were redeemed. Customer credits and gift cards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credits and gift cards when the Company has any legal obligation to remit such credits to government authorities in relevant jurisdictions.</w:t>
      </w:r>
    </w:p>
    <w:p>
      <w:pPr>
        <w:pStyle w:val="TextBody"/>
        <w:bidi w:val="0"/>
        <w:spacing w:lineRule="auto" w:line="288" w:before="36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Subscription and Reserve Rental Revenue</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recognizes fees for a-la-carte rentals ratably over the rental period, which starts with the date of delivery of rental product to the customer. A-la-carte rental orders can be placed up to four months prior to the rental start date and the customer’s payment form is charged upon order confirmation. The Company defers recognizing the fees and any related promotions for a-la-carte rentals until the date of delivery, and then recognizes those fees ratably over the four- or eight-day rental period.</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accrues for credits and refunds issued subsequent to the balance sheet date that relate to rentals prior to the balance sheet date. These amounts were not material as of July 31, 2023 and January 31,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Times New Roman;sans-serif" w:hAnsi="Times New Roman;sans-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(Dollars in millions, except share and per share amounts)</w:t>
      </w:r>
    </w:p>
    <w:p>
      <w:pPr>
        <w:pStyle w:val="TextBody"/>
        <w:bidi w:val="0"/>
        <w:spacing w:lineRule="auto" w:line="288" w:before="0" w:after="0"/>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Other Revenue</w:t>
      </w:r>
    </w:p>
    <w:p>
      <w:pPr>
        <w:pStyle w:val="TextBody"/>
        <w:bidi w:val="0"/>
        <w:spacing w:lineRule="auto" w:line="288" w:before="120" w:after="283"/>
        <w:jc w:val="left"/>
        <w:rPr/>
      </w:pPr>
      <w:r>
        <w:rPr>
          <w:rFonts w:ascii="Arial;sans-serif" w:hAnsi="Arial;sans-serif"/>
          <w:b w:val="false"/>
          <w:color w:val="000000"/>
          <w:sz w:val="20"/>
          <w:shd w:fill="FFFFFF" w:val="clear"/>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w:t>
      </w:r>
      <w:r>
        <w:rPr>
          <w:color w:val="000000"/>
        </w:rPr>
        <w:t xml:space="preserve"> </w:t>
      </w:r>
      <w:r>
        <w:rPr>
          <w:rFonts w:ascii="Arial;sans-serif" w:hAnsi="Arial;sans-serif"/>
          <w:b w:val="false"/>
          <w:color w:val="000000"/>
          <w:sz w:val="20"/>
        </w:rPr>
        <w:t>The Company does not have any material contractual assets or liabilities with respect to other revenue as of July 31, 2023 and January 31,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From time to time, Other revenue may include revenue generated from pilots and other growth initiatives which may cause quarterly fluctuations in the Other revenue line.</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Share-Based Compensation</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recognizes all employee share-based compensation as an expense in the condensed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is based on the closing price of the common stock on the date of grant as reported on the Nasdaq Stock Market. Upon grant of awards, the Company also estimates an amount of forfeitures that will occur prior to vesting.</w:t>
      </w:r>
    </w:p>
    <w:p>
      <w:pPr>
        <w:pStyle w:val="TextBody"/>
        <w:bidi w:val="0"/>
        <w:spacing w:lineRule="auto" w:line="288" w:before="240" w:after="283"/>
        <w:jc w:val="left"/>
        <w:rPr/>
      </w:pPr>
      <w:r>
        <w:rPr>
          <w:rFonts w:ascii="Arial;sans-serif" w:hAnsi="Arial;sans-serif"/>
          <w:b w:val="false"/>
          <w:color w:val="000000"/>
          <w:sz w:val="20"/>
          <w:shd w:fill="FFFFFF" w:val="clear"/>
        </w:rPr>
        <w:t>The Company has granted two types of restricted stock units (“RSUs”). Prior to the effectiveness of the Company’s initial public offering (“IPO”), the Company granted RSUs which vest only upon satisfaction of both time-based service and liquidity-based conditions. The Company records share-based compensation expense for such RSUs on an accelerated attribution method over the requisite service period and only once the liquidity-based condition is satisfied. The</w:t>
      </w:r>
      <w:r>
        <w:rPr>
          <w:color w:val="000000"/>
        </w:rPr>
        <w:t xml:space="preserve"> </w:t>
      </w:r>
      <w:r>
        <w:rPr>
          <w:rFonts w:ascii="Arial;sans-serif" w:hAnsi="Arial;sans-serif"/>
          <w:b w:val="false"/>
          <w:color w:val="000000"/>
          <w:sz w:val="20"/>
        </w:rPr>
        <w:t>liquidity-based vesting condition was satisfied upon the effectiveness of the Company’s IPO</w:t>
      </w:r>
      <w:r>
        <w:rPr>
          <w:rFonts w:ascii="Arial;sans-serif" w:hAnsi="Arial;sans-serif"/>
          <w:b w:val="false"/>
          <w:color w:val="000000"/>
          <w:sz w:val="20"/>
          <w:shd w:fill="FFFFFF" w:val="clear"/>
        </w:rPr>
        <w:t xml:space="preserve">. Share-based compensation related to any remaining time-based service for these RSUs after the liquidity-based event is recorded over the remaining requisite service period. Post IPO, the Company has granted RSUs which vest upon satisfaction of a single time-based service condition. The Company records share-based compensation expense for these RSUs on a straight-line basis over the requisite service period. See Note 11 - </w:t>
      </w:r>
      <w:r>
        <w:rPr>
          <w:rFonts w:ascii="Arial;sans-serif" w:hAnsi="Arial;sans-serif"/>
          <w:b w:val="false"/>
          <w:color w:val="000000"/>
          <w:sz w:val="20"/>
        </w:rPr>
        <w:t>Share-based Compensation Plans</w:t>
      </w:r>
      <w:r>
        <w:rPr>
          <w:color w:val="000000"/>
          <w:shd w:fill="FFFFFF" w:val="clear"/>
        </w:rPr>
        <w:t xml:space="preserve"> </w:t>
      </w:r>
      <w:r>
        <w:rPr>
          <w:rFonts w:ascii="Arial;sans-serif" w:hAnsi="Arial;sans-serif"/>
          <w:b w:val="false"/>
          <w:color w:val="000000"/>
          <w:sz w:val="20"/>
          <w:shd w:fill="FFFFFF" w:val="clear"/>
        </w:rPr>
        <w:t>for a description of the accounting for share-based awards.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Recently Issued and Adopted Accounting Pronouncements</w:t>
      </w:r>
    </w:p>
    <w:p>
      <w:pPr>
        <w:pStyle w:val="TextBody"/>
        <w:bidi w:val="0"/>
        <w:spacing w:lineRule="auto" w:line="288" w:before="12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 xml:space="preserve">Recently Adopted Accounting Pronouncements </w:t>
      </w:r>
    </w:p>
    <w:p>
      <w:pPr>
        <w:pStyle w:val="TextBody"/>
        <w:bidi w:val="0"/>
        <w:spacing w:lineRule="auto" w:line="288" w:before="12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Financial Instruments – Credit Losses</w:t>
      </w:r>
    </w:p>
    <w:p>
      <w:pPr>
        <w:pStyle w:val="TextBody"/>
        <w:bidi w:val="0"/>
        <w:spacing w:lineRule="auto" w:line="288" w:before="120" w:after="283"/>
        <w:jc w:val="left"/>
        <w:rPr/>
      </w:pPr>
      <w:r>
        <w:rPr>
          <w:rFonts w:ascii="Arial;sans-serif" w:hAnsi="Arial;sans-serif"/>
          <w:b w:val="false"/>
          <w:color w:val="000000"/>
          <w:sz w:val="20"/>
          <w:shd w:fill="FFFFFF" w:val="clear"/>
        </w:rPr>
        <w:t>In June 2016, the FASB issued ASU 2016-13, </w:t>
      </w:r>
      <w:r>
        <w:rPr>
          <w:rFonts w:ascii="Arial;sans-serif" w:hAnsi="Arial;sans-serif"/>
          <w:b w:val="false"/>
          <w:i/>
          <w:color w:val="000000"/>
          <w:sz w:val="20"/>
          <w:shd w:fill="FFFFFF" w:val="clear"/>
        </w:rPr>
        <w:t>Financial Instruments – Credit Losses (Topic 326): Measurement of Credit Losses on Financial Instruments</w:t>
      </w:r>
      <w:r>
        <w:rPr>
          <w:rFonts w:ascii="Arial;sans-serif" w:hAnsi="Arial;sans-serif"/>
          <w:b w:val="false"/>
          <w:color w:val="000000"/>
          <w:sz w:val="20"/>
          <w:shd w:fill="FFFFFF" w:val="clear"/>
        </w:rPr>
        <w:t>, which 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Company adopted this standard on February 1, 2023, and the adoption of this standard did not have a material impact on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Times New Roman;sans-serif" w:hAnsi="Times New Roman;sans-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(Dollars in millions, except share and per share amounts)</w:t>
      </w:r>
    </w:p>
    <w:p>
      <w:pPr>
        <w:pStyle w:val="TextBody"/>
        <w:bidi w:val="0"/>
        <w:spacing w:lineRule="auto" w:line="288" w:before="12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Recently Issued Accounting Pronouncements</w:t>
      </w:r>
    </w:p>
    <w:p>
      <w:pPr>
        <w:pStyle w:val="TextBody"/>
        <w:bidi w:val="0"/>
        <w:spacing w:lineRule="auto" w:line="288" w:before="12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Debt - Debt with Conversion and Other Options and Derivatives and Hedging</w:t>
      </w:r>
    </w:p>
    <w:p>
      <w:pPr>
        <w:pStyle w:val="TextBody"/>
        <w:bidi w:val="0"/>
        <w:spacing w:lineRule="auto" w:line="288" w:before="120" w:after="283"/>
        <w:jc w:val="left"/>
        <w:rPr/>
      </w:pPr>
      <w:r>
        <w:rPr>
          <w:rFonts w:ascii="Arial;sans-serif" w:hAnsi="Arial;sans-serif"/>
          <w:b w:val="false"/>
          <w:color w:val="000000"/>
          <w:sz w:val="20"/>
          <w:shd w:fill="FFFFFF" w:val="clear"/>
        </w:rPr>
        <w:t>In August 2020, the FASB issued ASU 2020-06,</w:t>
      </w:r>
      <w:r>
        <w:rPr>
          <w:color w:val="000000"/>
          <w:shd w:fill="FFFFFF" w:val="clear"/>
        </w:rPr>
        <w:t> </w:t>
      </w:r>
      <w:r>
        <w:rPr>
          <w:rFonts w:ascii="Arial;sans-serif" w:hAnsi="Arial;sans-serif"/>
          <w:b w:val="false"/>
          <w:i/>
          <w:color w:val="000000"/>
          <w:sz w:val="20"/>
          <w:shd w:fill="FFFFFF" w:val="clear"/>
        </w:rPr>
        <w:t xml:space="preserve">Debt-Debt with Conversion and Other Options (Subtopic 470-20) and Derivatives and Hedging-Contracts in Entity’s Own Equity (Subtopic 815-40): Accounting for Convertible Instruments and Contracts in an Entity’s Own Equity. </w:t>
      </w:r>
      <w:r>
        <w:rPr>
          <w:rFonts w:ascii="Arial;sans-serif" w:hAnsi="Arial;sans-serif"/>
          <w:b w:val="false"/>
          <w:color w:val="000000"/>
          <w:sz w:val="20"/>
          <w:shd w:fill="FFFFFF" w:val="clear"/>
        </w:rPr>
        <w:t>The new guidance reduces complexity and improves comparability of financial reporting associated with accounting for convertible instruments and contracts in an entity’s own equity. This standard is effective for annual reporting periods beginning after December 15, 2023, and interim periods within those years, and early adoption is permitted. The adoption of this standard is not expected to have a material impact on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3.Liquidity</w:t>
      </w:r>
    </w:p>
    <w:p>
      <w:pPr>
        <w:pStyle w:val="TextBody"/>
        <w:bidi w:val="0"/>
        <w:spacing w:lineRule="auto" w:line="288" w:before="120" w:after="283"/>
        <w:jc w:val="left"/>
        <w:rPr/>
      </w:pPr>
      <w:r>
        <w:rPr>
          <w:rFonts w:ascii="Arial;sans-serif" w:hAnsi="Arial;sans-serif"/>
          <w:b w:val="false"/>
          <w:color w:val="000000"/>
          <w:sz w:val="20"/>
          <w:shd w:fill="FFFFFF" w:val="clear"/>
        </w:rPr>
        <w:t>T</w:t>
      </w:r>
      <w:r>
        <w:rPr>
          <w:rFonts w:ascii="Arial;sans-serif" w:hAnsi="Arial;sans-serif"/>
          <w:b w:val="false"/>
          <w:color w:val="000000"/>
          <w:sz w:val="20"/>
        </w:rPr>
        <w:t>he Company has incurred a net loss from operations since inception and has historically relied upon debt and equity financing to fund its operations. While the Company experienced year-over-year revenue and subscriber growth in fiscal year 2022 and in the six months ended July 31, 2023, revenue decreased year-over-year in the three months ended July 31, 2023. To the extent the Company is impacted by macroeconomic trends, or other factors the Company has established plans to preserve existing cash liquidity, which includes additional reductions to labor, operating expenses, and/or capital expenditures.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September 2022, the Company announced a restructuring plan that is expected to generate annual operating expense savings of approximately $25 million (relative to the second quarter of fiscal year 2022 run rate) in fiscal year 2023. Actual savings may differ from these estimates.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As of July 31, 2023 and January 31, 2023, the Company held cash and cash equivalents of $123.7 million and $154.5 million, respectively, and long-term debt of $290.6 million and $272.5 million, respectively, with a maturity date of October 2026. In the event that the Company fails to comply with the covenants specified in the 2022 Amended Temasek Facility, the lender has the right to declare all borrowings outstanding, together with accrued and unpaid interest and fees, to be immediately due and payable. The Company believes that it will have sufficient liquidity from cash on-hand and future operations to sustain its business operations and to satisfy its debt service obligations and the $50 million minimum liquidity maintenance covenant for at least the next twelve months from the date these financial statements are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4.Leases - Lessee Accounting</w:t>
      </w:r>
    </w:p>
    <w:p>
      <w:pPr>
        <w:pStyle w:val="TextBody"/>
        <w:bidi w:val="0"/>
        <w:spacing w:lineRule="auto" w:line="268" w:before="0" w:after="0"/>
        <w:jc w:val="left"/>
        <w:rPr/>
      </w:pPr>
      <w:r>
        <w:rPr>
          <w:rFonts w:ascii="Arial;sans-serif" w:hAnsi="Arial;sans-serif"/>
          <w:b w:val="false"/>
          <w:color w:val="000000"/>
          <w:sz w:val="20"/>
          <w:shd w:fill="FFFFFF" w:val="clear"/>
        </w:rPr>
        <w:t xml:space="preserve">During the </w:t>
      </w:r>
      <w:r>
        <w:rPr>
          <w:rFonts w:ascii="Arial;sans-serif" w:hAnsi="Arial;sans-serif"/>
          <w:b w:val="false"/>
          <w:color w:val="000000"/>
          <w:sz w:val="20"/>
        </w:rPr>
        <w:t>six months ended July 31, 2022</w:t>
      </w:r>
      <w:r>
        <w:rPr>
          <w:rFonts w:ascii="Arial;sans-serif" w:hAnsi="Arial;sans-serif"/>
          <w:b w:val="false"/>
          <w:color w:val="000000"/>
          <w:sz w:val="20"/>
          <w:shd w:fill="FFFFFF" w:val="clear"/>
        </w:rPr>
        <w:t>, the Company amended the operating lease for its corporate headquarters in Brooklyn, NY, the terms of which terminated one floor of the leased space</w:t>
      </w:r>
      <w:r>
        <w:rPr>
          <w:rFonts w:ascii="Arial;sans-serif" w:hAnsi="Arial;sans-serif"/>
          <w:b w:val="false"/>
          <w:color w:val="000000"/>
          <w:sz w:val="20"/>
        </w:rPr>
        <w:t xml:space="preserve">. The partial lease termination of the corporate headquarters leased space resulted in a reduction of $10.6 million in the Company’s future minimum fixed lease obligations as of the lease modification date. The Company treated the partial lease termination amendment as a lease modification as of the effective date which resulted in an adjustment of $3.7 million and $1.4 million to the related lease liabilities and right-of-use assets, respectively. The Company recorded a gain on the partial termination of $1.8 million and a loss on surrender of the related fixed assets, primarily leasehold improvements, of $1.9 million, both of which are recorded </w:t>
      </w:r>
      <w:r>
        <w:rPr>
          <w:rFonts w:ascii="Arial;sans-serif" w:hAnsi="Arial;sans-serif"/>
          <w:b w:val="false"/>
          <w:color w:val="000000"/>
          <w:sz w:val="20"/>
          <w:shd w:fill="FFFFFF" w:val="clear"/>
        </w:rPr>
        <w:t>on the condensed consolidated statements of operations within general and administrative expenses in the six months ended July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Times New Roman;sans-serif" w:hAnsi="Times New Roman;sans-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(Dollars in millions, except share and per share amounts)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the Company’s minimum fixed lease obligations under existing agreements as a lessee, excluding variable payments and short-term lease payments, as of July 31, 2023:</w:t>
      </w:r>
    </w:p>
    <w:p>
      <w:pPr>
        <w:pStyle w:val="TextBody"/>
        <w:bidi w:val="0"/>
        <w:spacing w:before="0" w:after="0"/>
        <w:jc w:val="left"/>
        <w:rPr/>
      </w:pPr>
      <w:r>
        <w:rPr/>
      </w:r>
    </w:p>
    <w:tbl>
      <w:tblPr>
        <w:tblW w:w="5354" w:type="dxa"/>
        <w:jc w:val="left"/>
        <w:tblInd w:w="0" w:type="dxa"/>
        <w:tblLayout w:type="fixed"/>
        <w:tblCellMar>
          <w:top w:w="28" w:type="dxa"/>
          <w:left w:w="28" w:type="dxa"/>
          <w:bottom w:w="28" w:type="dxa"/>
          <w:right w:w="28" w:type="dxa"/>
        </w:tblCellMar>
      </w:tblPr>
      <w:tblGrid>
        <w:gridCol w:w="1152"/>
        <w:gridCol w:w="1010"/>
        <w:gridCol w:w="1018"/>
        <w:gridCol w:w="220"/>
        <w:gridCol w:w="566"/>
        <w:gridCol w:w="115"/>
        <w:gridCol w:w="109"/>
        <w:gridCol w:w="109"/>
        <w:gridCol w:w="109"/>
        <w:gridCol w:w="249"/>
        <w:gridCol w:w="514"/>
        <w:gridCol w:w="183"/>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Financing</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Fiscal year:</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minimum lease payments</w:t>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Imputed interest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liabilities as of July 31, 2023</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5.Rental Product, Net</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Rental product, net consisted of the following:</w:t>
      </w:r>
    </w:p>
    <w:tbl>
      <w:tblPr>
        <w:tblW w:w="5222" w:type="dxa"/>
        <w:jc w:val="left"/>
        <w:tblInd w:w="0" w:type="dxa"/>
        <w:tblLayout w:type="fixed"/>
        <w:tblCellMar>
          <w:top w:w="28" w:type="dxa"/>
          <w:left w:w="28" w:type="dxa"/>
          <w:bottom w:w="28" w:type="dxa"/>
          <w:right w:w="28" w:type="dxa"/>
        </w:tblCellMar>
      </w:tblPr>
      <w:tblGrid>
        <w:gridCol w:w="1043"/>
        <w:gridCol w:w="913"/>
        <w:gridCol w:w="923"/>
        <w:gridCol w:w="211"/>
        <w:gridCol w:w="646"/>
        <w:gridCol w:w="109"/>
        <w:gridCol w:w="109"/>
        <w:gridCol w:w="109"/>
        <w:gridCol w:w="109"/>
        <w:gridCol w:w="219"/>
        <w:gridCol w:w="671"/>
        <w:gridCol w:w="160"/>
      </w:tblGrid>
      <w:tr>
        <w:trPr/>
        <w:tc>
          <w:tcPr>
            <w:tcW w:w="10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Apparel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Accessories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Rental product,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shd w:fill="FFFFFF" w:val="clear"/>
        </w:rPr>
        <w:t xml:space="preserve">Depreciation and write-offs related to rental product, including write-offs of rental products sold, </w:t>
      </w:r>
      <w:r>
        <w:rPr>
          <w:rFonts w:ascii="Arial;sans-serif" w:hAnsi="Arial;sans-serif"/>
          <w:b w:val="false"/>
          <w:color w:val="000000"/>
          <w:sz w:val="20"/>
        </w:rPr>
        <w:t>was $12.8 million and $13.5 million for the three months ended July 31, 2023 and 2022, respectively, and $24.9</w:t>
      </w:r>
      <w:r>
        <w:rPr>
          <w:color w:val="000000"/>
          <w:shd w:fill="FFFFFF" w:val="clear"/>
        </w:rPr>
        <w:t xml:space="preserve"> </w:t>
      </w:r>
      <w:r>
        <w:rPr>
          <w:rFonts w:ascii="Arial;sans-serif" w:hAnsi="Arial;sans-serif"/>
          <w:b w:val="false"/>
          <w:color w:val="000000"/>
          <w:sz w:val="20"/>
          <w:shd w:fill="FFFFFF" w:val="clear"/>
        </w:rPr>
        <w:t>million and $27.1 million for the six months ended July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Times New Roman;sans-serif" w:hAnsi="Times New Roman;sans-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(Dollars in millions, except share and per share amounts)</w:t>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6.Long-Term Debt</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Summary</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the Company’s long-term debt outstanding as of July 31, 2023 and January 31, 2023:</w:t>
      </w:r>
    </w:p>
    <w:tbl>
      <w:tblPr>
        <w:tblW w:w="5807" w:type="dxa"/>
        <w:jc w:val="left"/>
        <w:tblInd w:w="0" w:type="dxa"/>
        <w:tblLayout w:type="fixed"/>
        <w:tblCellMar>
          <w:top w:w="28" w:type="dxa"/>
          <w:left w:w="28" w:type="dxa"/>
          <w:bottom w:w="28" w:type="dxa"/>
          <w:right w:w="28" w:type="dxa"/>
        </w:tblCellMar>
      </w:tblPr>
      <w:tblGrid>
        <w:gridCol w:w="1255"/>
        <w:gridCol w:w="1101"/>
        <w:gridCol w:w="1108"/>
        <w:gridCol w:w="211"/>
        <w:gridCol w:w="646"/>
        <w:gridCol w:w="109"/>
        <w:gridCol w:w="109"/>
        <w:gridCol w:w="109"/>
        <w:gridCol w:w="109"/>
        <w:gridCol w:w="219"/>
        <w:gridCol w:w="671"/>
        <w:gridCol w:w="160"/>
      </w:tblGrid>
      <w:tr>
        <w:trPr/>
        <w:tc>
          <w:tcPr>
            <w:tcW w:w="125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Temasek Facility principal outstanding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 payment-in-kind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Less: unamortized debt discount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Temasek Facility, net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Less: current portion of long-term debt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noncurrent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Temasek Facility</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July 2018, the Company entered into a subordinated, junior lien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November 2019, the Company drew an additional $50.0 million of the Initial Temasek Commitments and amended the Temasek Facility to include an additional $30.0 million of committed availability (the “Subsequent Temasek Commitments”). In March 2020, the Company drew the remaining $50.0 million of the Initial Temasek Commitments and the $30.0 million of the Subsequent Temasek Commitments. </w:t>
      </w:r>
    </w:p>
    <w:p>
      <w:pPr>
        <w:pStyle w:val="TextBody"/>
        <w:bidi w:val="0"/>
        <w:spacing w:lineRule="auto" w:line="288" w:before="240" w:after="283"/>
        <w:jc w:val="left"/>
        <w:rPr/>
      </w:pPr>
      <w:r>
        <w:rPr>
          <w:rFonts w:ascii="Arial;sans-serif" w:hAnsi="Arial;sans-serif"/>
          <w:b w:val="false"/>
          <w:color w:val="000000"/>
          <w:sz w:val="20"/>
          <w:shd w:fill="FFFFFF" w:val="clear"/>
        </w:rPr>
        <w:t xml:space="preserve">The Initial Temasek Commitments had an interest rate of 15% per annum that accrued as noncash interest. The Subsequent Temasek Commitments had a cash interest rate of 13% per annum, payable quarterly. The Temasek Facility required mandatory prepayment upon certain defined triggering events as well as optional prepayments, but such mandatory prepayments were not required to be made while the Company’s </w:t>
      </w:r>
      <w:r>
        <w:rPr>
          <w:rFonts w:ascii="Arial;sans-serif" w:hAnsi="Arial;sans-serif"/>
          <w:b w:val="false"/>
          <w:color w:val="000000"/>
          <w:sz w:val="20"/>
        </w:rPr>
        <w:t>senior secured term loan with Ares Corporate Opportunities Fund V, L.P.</w:t>
      </w:r>
      <w:r>
        <w:rPr>
          <w:color w:val="000000"/>
          <w:shd w:fill="FFFFFF" w:val="clear"/>
        </w:rPr>
        <w:t xml:space="preserve"> </w:t>
      </w:r>
      <w:r>
        <w:rPr>
          <w:rFonts w:ascii="Arial;sans-serif" w:hAnsi="Arial;sans-serif"/>
          <w:b w:val="false"/>
          <w:color w:val="000000"/>
          <w:sz w:val="20"/>
          <w:shd w:fill="FFFFFF" w:val="clear"/>
        </w:rPr>
        <w:t>was outstanding.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October 2021, the Company used proceeds from the IPO to pay down the Subsequent Temasek Commitments of $30.0 million outstanding principal and interest in full. Concurrently, the Company entered into an amendment to the Temasek Facility (the “2021 Temasek Facility Amendment”). The Temasek Facility as amended by the 2021 Temasek Facility Amendment is referred to as the “2021 Amended Temasek Facility”. This transaction was accounted for as a debt modification. The terms of the 2021 Temasek Facility Amendment provide for, among other things, (i) an extension of the maturity to October 2024, (ii) an outstanding principal under the 2021 Amended Temasek Facility of $271.6 million (with no additional debt proceeds having been funded and after giving effect to the repayment described below), and (iii) an amended interest rate of 12% with up to 5% payable in kind. On the effective date of the 2021 Temasek Facility Amendment, the Company paid down an additional $30.0 million of the outstanding principal of the 2021 Amended Temasek Facility, for a total of $60.0 million principal paydown on the Temasek Facility and 2021 Amended Temasek Facility.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effective interest rate for the Temasek Facility for the period from the date of issuance through the date of the 2021 Temasek Facility Amendment was 15.95%. The debt discount associated with the Initial Temasek Commitments was fully accreted when the Company entered into the 2021 Temasek Facility Amendment.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Times New Roman;sans-serif" w:hAnsi="Times New Roman;sans-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(Dollars in millions, except share and per share amounts)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 xml:space="preserve">In October 2021, in connection with the 2021 Amended Temasek Facility, the Company recorded a debt discount of $15.3 million, of which $0.2 million related to lender fees, $5.3 million related to the allocation of proceeds to warrants issued in relation to the 2021 Amended Temasek Facility, $1.0 million related to the extension of the term of warrants issued in relation to the Temasek Facility, and $8.8 million </w:t>
      </w:r>
      <w:r>
        <w:rPr>
          <w:rFonts w:ascii="Arial;sans-serif" w:hAnsi="Arial;sans-serif"/>
          <w:b w:val="false"/>
          <w:color w:val="000000"/>
          <w:sz w:val="20"/>
        </w:rPr>
        <w:t>related to fees incurred to amend the 2021 Amended Temasek Facility</w:t>
      </w:r>
      <w:r>
        <w:rPr>
          <w:rFonts w:ascii="Arial;sans-serif" w:hAnsi="Arial;sans-serif"/>
          <w:b w:val="false"/>
          <w:color w:val="000000"/>
          <w:sz w:val="20"/>
          <w:shd w:fill="FFFFFF" w:val="clear"/>
        </w:rPr>
        <w:t>. These amounts are being accreted to the principal amount of the 2021 Amended Temasek Facility through the recognition of noncash interest expense.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In January 2023, the Company entered into an amendment to the 2021 Amended Temasek Facility (“2022 Temasek Facility Amendment”). </w:t>
      </w:r>
      <w:r>
        <w:rPr>
          <w:rFonts w:ascii="Arial;sans-serif" w:hAnsi="Arial;sans-serif"/>
          <w:b w:val="false"/>
          <w:color w:val="000000"/>
          <w:sz w:val="20"/>
          <w:shd w:fill="FFFFFF" w:val="clear"/>
        </w:rPr>
        <w:t xml:space="preserve">The 2021 Amended Temasek Facility as further amended by the 2022 Temasek Facility Amendment is referred to as the “2022 Amended Temasek Facility”. </w:t>
      </w:r>
      <w:r>
        <w:rPr>
          <w:rFonts w:ascii="Arial;sans-serif" w:hAnsi="Arial;sans-serif"/>
          <w:b w:val="false"/>
          <w:color w:val="000000"/>
          <w:sz w:val="20"/>
        </w:rPr>
        <w:t>This transaction was accounted for as a debt modification. The terms of the amendment provide for, (i) an extension of the maturity to October 2026, (ii) a reduction of the cash portion of the interest rate to 2% per year through July 2024, increasing to 5% thereafter for the duration of the 2022 Amended Temasek Facility, and (iii) a 1% increase in the total interest rate in February 2024 from 12% to 13% and annual rate increases of 1% thereafter for the duration of the 2022 Amended Temasek Facility. In connection with the 2022 Temasek Facility Amendment, the Company granted a warrant to purchase up to 2 million shares of the Company’s Class A common stock at an exercise price of $5.00 per share. The warrant will expire on January 31, 2030. The effective interest rate for the 2021 Amended Temasek Facility for the period from the date of issuance through the date of the 2022 Amended Temasek Facility was 14.29%. The effective interest rate for the 2022 Amended Temasek Facility as of January 31, 2023 was 15.15%.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January 2023, in connection with the 2022 Amended Temasek Facility, the Company recorded a debt discount of $6.9 million related to the allocation of proceeds to warrants issued. These amounts are being accreted to the principal amount of the 2022 Amended Temasek Facility through the recognition of noncash interest expense.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The 2022 Amended Temasek Facility did not change the covenants under the 2021 Amended Temasek Facility, which require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Additionally, the 2022 Amended Temasek Facility includes a minimum liquidity maintenance covenant of $50.0 million. The 2022 Amended Temasek Facility also contains various events of default, including failure to comply with the minimum liquidity maintenance covenant, the occurrence of which c</w:t>
      </w:r>
      <w:r>
        <w:rPr>
          <w:rFonts w:ascii="Arial;sans-serif" w:hAnsi="Arial;sans-serif"/>
          <w:b w:val="false"/>
          <w:color w:val="000000"/>
          <w:sz w:val="20"/>
        </w:rPr>
        <w:t xml:space="preserve">ould result in the acceleration of obligations for the Company. </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determined that all of the embedded features of the Temasek Facility, 2021 Amended Temasek Facility, and 2022 Amended Temasek Facility were clearly and closely related to the debt host and did not require bifurcation as a derivative liability, or the fair value of the feature was immaterial to the Company’s condensed consolidated financial statements.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Covenants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was in compliance with all applicable financial and nonfinancial covenants as of July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Times New Roman;sans-serif" w:hAnsi="Times New Roman;sans-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(Dollars in millions, except share and per share amounts)</w:t>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7.Income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provision or benefit from income taxes in interim periods is determined using an estimate of the annual effective tax rate, adjusted for discrete items, if any, that are taken into account in the relevant period. Each quarter the Company updates its estimate of the annual effective tax rate, and if its estimated tax rate changes, the Company makes a cumulative adjustment. The estimate of the annual effective income tax rate for the full year is applied to the respective interim period, taking into account year-to-date amounts and projected results for the full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continues to maintain a full valuation allowance on all United States net deferred tax assets for all periods presented.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amount of unrecognized tax benefits as of July 31, 2023 and January 31, 2023 was $1.0 million and $0.9 million, respectively. The Company recognizes interest and penalties related to unrecognized tax benefits in income tax expense. 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r>
        <w:rPr>
          <w:rFonts w:ascii="Arial;sans-serif" w:hAnsi="Arial;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shd w:fill="FFFFFF" w:val="clear"/>
        </w:rPr>
      </w:pPr>
      <w:r>
        <w:rPr>
          <w:rFonts w:ascii="Arial;sans-serif" w:hAnsi="Arial;sans-serif"/>
          <w:b/>
          <w:color w:val="000000"/>
          <w:sz w:val="20"/>
          <w:shd w:fill="FFFFFF" w:val="clear"/>
        </w:rPr>
        <w:t>8.Accrued Expenses and Other Current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 consisted of the following:</w:t>
      </w:r>
    </w:p>
    <w:tbl>
      <w:tblPr>
        <w:tblW w:w="6316" w:type="dxa"/>
        <w:jc w:val="left"/>
        <w:tblInd w:w="0" w:type="dxa"/>
        <w:tblLayout w:type="fixed"/>
        <w:tblCellMar>
          <w:top w:w="28" w:type="dxa"/>
          <w:left w:w="28" w:type="dxa"/>
          <w:bottom w:w="28" w:type="dxa"/>
          <w:right w:w="28" w:type="dxa"/>
        </w:tblCellMar>
      </w:tblPr>
      <w:tblGrid>
        <w:gridCol w:w="1477"/>
        <w:gridCol w:w="1299"/>
        <w:gridCol w:w="1303"/>
        <w:gridCol w:w="211"/>
        <w:gridCol w:w="541"/>
        <w:gridCol w:w="109"/>
        <w:gridCol w:w="109"/>
        <w:gridCol w:w="109"/>
        <w:gridCol w:w="109"/>
        <w:gridCol w:w="244"/>
        <w:gridCol w:w="627"/>
        <w:gridCol w:w="178"/>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operating and general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 share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payroll related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other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Gift card liability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9.Fair Value Measurements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of July 31, 2023 and January 31, 2023,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val="false"/>
          <w:color w:val="000000"/>
          <w:sz w:val="20"/>
          <w:shd w:fill="FFFFFF" w:val="clear"/>
        </w:rPr>
        <w:t>The Company’s long-term debt is reported at carrying value o</w:t>
      </w:r>
      <w:r>
        <w:rPr>
          <w:rFonts w:ascii="Arial;sans-serif" w:hAnsi="Arial;sans-serif"/>
          <w:b w:val="false"/>
          <w:color w:val="000000"/>
          <w:sz w:val="20"/>
        </w:rPr>
        <w:t xml:space="preserve">n the Company’s condensed consolidated balance sheet. Refer to Note 6 — Long-Term Debt. The Company estimates the fair value of its long-term debt based on recently reported market transactions for similar financial instruments by companies with similar credit ratings and, as such, are classified as Level 2 within the fair value hierarchy. As of </w:t>
      </w:r>
      <w:r>
        <w:rPr>
          <w:rFonts w:ascii="Arial;sans-serif" w:hAnsi="Arial;sans-serif"/>
          <w:b w:val="false"/>
          <w:color w:val="000000"/>
          <w:sz w:val="20"/>
          <w:shd w:fill="FFFFFF" w:val="clear"/>
        </w:rPr>
        <w:t xml:space="preserve">July 31, 2023, the estimated fair value of the Company’s long-term debt was </w:t>
      </w:r>
      <w:r>
        <w:rPr>
          <w:rFonts w:ascii="Arial;sans-serif" w:hAnsi="Arial;sans-serif"/>
          <w:b w:val="false"/>
          <w:color w:val="000000"/>
          <w:sz w:val="20"/>
        </w:rPr>
        <w:t>$284.3</w:t>
      </w:r>
      <w:r>
        <w:rPr>
          <w:color w:val="000000"/>
          <w:shd w:fill="FFFFFF" w:val="clear"/>
        </w:rPr>
        <w:t xml:space="preserve"> </w:t>
      </w:r>
      <w:r>
        <w:rPr>
          <w:rFonts w:ascii="Arial;sans-serif" w:hAnsi="Arial;sans-serif"/>
          <w:b w:val="false"/>
          <w:color w:val="000000"/>
          <w:sz w:val="20"/>
          <w:shd w:fill="FFFFFF" w:val="clear"/>
        </w:rPr>
        <w:t>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Times New Roman;sans-serif" w:hAnsi="Times New Roman;sans-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(Dollars in millions, except share and per share amounts)</w:t>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10.Stockholders’ Equity</w:t>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Common Stock</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Holders of Class A common stock are entitled to one vote per share and holders of Class B common stock are entitled to twenty votes per share, as well as dividends if and when declared by the Board of Directors and, upon liquidation, dissolution, winding up or other liquidation event of the Company, all assets available for distribution to common stockholders. There are no redemption provisions with respect to common stock. </w:t>
      </w:r>
    </w:p>
    <w:p>
      <w:pPr>
        <w:pStyle w:val="TextBody"/>
        <w:bidi w:val="0"/>
        <w:spacing w:before="0" w:after="0"/>
        <w:jc w:val="left"/>
        <w:rPr/>
      </w:pPr>
      <w:r>
        <w:rPr/>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Preferred Stock</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Upon the IPO, the Company authorized 10,000,000 shares of preferred stock, with a par value of $0.001 per share. No shares were issued or outstanding as of July 31, 2023.</w:t>
      </w:r>
    </w:p>
    <w:p>
      <w:pPr>
        <w:pStyle w:val="TextBody"/>
        <w:bidi w:val="0"/>
        <w:spacing w:before="0" w:after="0"/>
        <w:jc w:val="left"/>
        <w:rPr/>
      </w:pPr>
      <w:r>
        <w:rPr/>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Warrants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of July 31, 2023 and January 31, 2023, the Company had the following outstanding warrants:</w:t>
      </w:r>
    </w:p>
    <w:tbl>
      <w:tblPr>
        <w:tblW w:w="9081" w:type="dxa"/>
        <w:jc w:val="left"/>
        <w:tblInd w:w="0" w:type="dxa"/>
        <w:tblLayout w:type="fixed"/>
        <w:tblCellMar>
          <w:top w:w="28" w:type="dxa"/>
          <w:left w:w="28" w:type="dxa"/>
          <w:bottom w:w="28" w:type="dxa"/>
          <w:right w:w="28" w:type="dxa"/>
        </w:tblCellMar>
      </w:tblPr>
      <w:tblGrid>
        <w:gridCol w:w="799"/>
        <w:gridCol w:w="701"/>
        <w:gridCol w:w="705"/>
        <w:gridCol w:w="239"/>
        <w:gridCol w:w="239"/>
        <w:gridCol w:w="241"/>
        <w:gridCol w:w="109"/>
        <w:gridCol w:w="109"/>
        <w:gridCol w:w="109"/>
        <w:gridCol w:w="509"/>
        <w:gridCol w:w="512"/>
        <w:gridCol w:w="316"/>
        <w:gridCol w:w="109"/>
        <w:gridCol w:w="109"/>
        <w:gridCol w:w="109"/>
        <w:gridCol w:w="294"/>
        <w:gridCol w:w="294"/>
        <w:gridCol w:w="298"/>
        <w:gridCol w:w="109"/>
        <w:gridCol w:w="109"/>
        <w:gridCol w:w="109"/>
        <w:gridCol w:w="386"/>
        <w:gridCol w:w="990"/>
        <w:gridCol w:w="199"/>
        <w:gridCol w:w="109"/>
        <w:gridCol w:w="109"/>
        <w:gridCol w:w="109"/>
        <w:gridCol w:w="244"/>
        <w:gridCol w:w="627"/>
        <w:gridCol w:w="180"/>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6"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July 31, 2023</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 Warrants</w:t>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Date</w:t>
              <w:b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Class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Exercise</w:t>
              <w:br/>
              <w:t>Price (Per Warrant)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br/>
              <w:t>at Issuance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color w:val="000000"/>
                <w:sz w:val="20"/>
              </w:rPr>
            </w:pPr>
            <w:r>
              <w:rPr>
                <w:rFonts w:ascii="Arial;sans-serif" w:hAnsi="Arial;sans-serif"/>
                <w:b/>
                <w:color w:val="000000"/>
                <w:sz w:val="20"/>
              </w:rPr>
              <w:t>Equity classified:</w:t>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Nov-16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82,891 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Jun-17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Sep-17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Jan-18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16,578 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Apr-18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16,578 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Nov-15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Jun-16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28,172 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17.04 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Sep-16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Double Helix (Temasek)</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Oct-21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394,343 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Double Helix (Temasek)</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Jan-23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2,000,000 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2,631,583 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warrant for 730,000 shares of common stock issued to Double Helix (Temasek) in July 2018 with an exercise price of $27.40 per share expired unexercised during the six months ended July 31, 2022. See Note 6 - Long-Term Debt for details of the warrants issued to Temasek in January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Times New Roman;sans-serif" w:hAnsi="Times New Roman;sans-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(Dollars in millions, except share and per share amounts)</w:t>
      </w:r>
    </w:p>
    <w:tbl>
      <w:tblPr>
        <w:tblW w:w="9081" w:type="dxa"/>
        <w:jc w:val="left"/>
        <w:tblInd w:w="0" w:type="dxa"/>
        <w:tblLayout w:type="fixed"/>
        <w:tblCellMar>
          <w:top w:w="28" w:type="dxa"/>
          <w:left w:w="28" w:type="dxa"/>
          <w:bottom w:w="28" w:type="dxa"/>
          <w:right w:w="28" w:type="dxa"/>
        </w:tblCellMar>
      </w:tblPr>
      <w:tblGrid>
        <w:gridCol w:w="799"/>
        <w:gridCol w:w="701"/>
        <w:gridCol w:w="705"/>
        <w:gridCol w:w="239"/>
        <w:gridCol w:w="239"/>
        <w:gridCol w:w="241"/>
        <w:gridCol w:w="109"/>
        <w:gridCol w:w="109"/>
        <w:gridCol w:w="109"/>
        <w:gridCol w:w="509"/>
        <w:gridCol w:w="512"/>
        <w:gridCol w:w="316"/>
        <w:gridCol w:w="109"/>
        <w:gridCol w:w="109"/>
        <w:gridCol w:w="109"/>
        <w:gridCol w:w="294"/>
        <w:gridCol w:w="294"/>
        <w:gridCol w:w="298"/>
        <w:gridCol w:w="109"/>
        <w:gridCol w:w="109"/>
        <w:gridCol w:w="109"/>
        <w:gridCol w:w="386"/>
        <w:gridCol w:w="990"/>
        <w:gridCol w:w="199"/>
        <w:gridCol w:w="109"/>
        <w:gridCol w:w="109"/>
        <w:gridCol w:w="109"/>
        <w:gridCol w:w="244"/>
        <w:gridCol w:w="627"/>
        <w:gridCol w:w="180"/>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76"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January 31, 2023</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Outstanding Warrants</w:t>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Date</w:t>
              <w:b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Class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Exercise</w:t>
              <w:br/>
              <w:t>Price (Per Warrant)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br/>
              <w:t>at Issuance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color w:val="000000"/>
                <w:sz w:val="20"/>
              </w:rPr>
            </w:pPr>
            <w:r>
              <w:rPr>
                <w:rFonts w:ascii="Arial;sans-serif" w:hAnsi="Arial;sans-serif"/>
                <w:b/>
                <w:color w:val="000000"/>
                <w:sz w:val="20"/>
              </w:rPr>
              <w:t>Equity classified:</w:t>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Nov-16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82,891 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Jun-17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Sep-17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Jan-18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16,578 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Apr-18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16,578 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Nov-15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Jun-16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Sep-16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Double Helix (Temasek)</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Oct-21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394,343 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Double Helix (Temasek)</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Jan-23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2,000,000 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2,631,583 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As of July 31, 2023 and January 31, 2023, all outstanding warrants were equity-classified and recorded as additional paid-in capital. Equity-classified contracts are not subsequently remeasured unless reclassification is required from equity to liability classification.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the U.S. Treasury yield curves.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 xml:space="preserve">11.Share-based Compensation Plans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i/>
          <w:color w:val="000000"/>
          <w:sz w:val="20"/>
          <w:u w:val="single"/>
        </w:rPr>
      </w:pPr>
      <w:r>
        <w:rPr>
          <w:rFonts w:ascii="Arial;sans-serif" w:hAnsi="Arial;sans-serif"/>
          <w:b w:val="false"/>
          <w:i/>
          <w:color w:val="000000"/>
          <w:sz w:val="20"/>
          <w:u w:val="single"/>
        </w:rPr>
        <w:t xml:space="preserve">2009 Stock Incentive Plan and 2019 Stock Incentive Plan </w:t>
      </w:r>
    </w:p>
    <w:p>
      <w:pPr>
        <w:pStyle w:val="TextBody"/>
        <w:bidi w:val="0"/>
        <w:spacing w:before="0" w:after="0"/>
        <w:ind w:left="0" w:right="0" w:firstLine="54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w:t>
      </w:r>
      <w:r>
        <w:rPr>
          <w:rFonts w:ascii="Arial;sans-serif" w:hAnsi="Arial;sans-serif"/>
          <w:b w:val="false"/>
          <w:color w:val="000000"/>
          <w:sz w:val="20"/>
        </w:rPr>
        <w:t>four</w:t>
      </w:r>
      <w:r>
        <w:rPr>
          <w:color w:val="000000"/>
          <w:shd w:fill="FFFFFF" w:val="clear"/>
        </w:rPr>
        <w:t xml:space="preserve"> </w:t>
      </w:r>
      <w:r>
        <w:rPr>
          <w:rFonts w:ascii="Arial;sans-serif" w:hAnsi="Arial;sans-serif"/>
          <w:b w:val="false"/>
          <w:color w:val="000000"/>
          <w:sz w:val="20"/>
          <w:shd w:fill="FFFFFF" w:val="clear"/>
        </w:rPr>
        <w:t>years of service. RSU awards have both service-based and liquidity-based vesting conditions. The liquidity-based vesting condition was satisfied in connection with the effectiveness of the Company’s IPO. The service-based requirement of RSUs was typically satisfied ove</w:t>
      </w:r>
      <w:r>
        <w:rPr>
          <w:rFonts w:ascii="Arial;sans-serif" w:hAnsi="Arial;sans-serif"/>
          <w:b w:val="false"/>
          <w:color w:val="000000"/>
          <w:sz w:val="20"/>
        </w:rPr>
        <w:t>r four</w:t>
      </w:r>
      <w:r>
        <w:rPr>
          <w:color w:val="000000"/>
          <w:shd w:fill="FFFFFF" w:val="clear"/>
        </w:rPr>
        <w:t xml:space="preserve"> </w:t>
      </w:r>
      <w:r>
        <w:rPr>
          <w:rFonts w:ascii="Arial;sans-serif" w:hAnsi="Arial;sans-serif"/>
          <w:b w:val="false"/>
          <w:color w:val="000000"/>
          <w:sz w:val="20"/>
          <w:shd w:fill="FFFFFF" w:val="clear"/>
        </w:rPr>
        <w:t>years.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or, if approved by the board of directors, shares of Class B common stock.</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Times New Roman;sans-serif" w:hAnsi="Times New Roman;sans-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(Dollars in millions, except share and per share amounts)</w:t>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Amended and Restated 2021 Incentive Award Plan</w:t>
      </w:r>
    </w:p>
    <w:p>
      <w:pPr>
        <w:pStyle w:val="TextBody"/>
        <w:bidi w:val="0"/>
        <w:spacing w:before="0" w:after="0"/>
        <w:ind w:left="0" w:right="0" w:firstLine="54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The Company's Amended and Restated 2021 Incentive Award Plan (the "2021 Plan") was adopted by its board of directors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year ended January 31, 2023 and </w:t>
      </w:r>
      <w:r>
        <w:rPr>
          <w:rFonts w:ascii="Arial;sans-serif" w:hAnsi="Arial;sans-serif"/>
          <w:b w:val="false"/>
          <w:color w:val="000000"/>
          <w:sz w:val="20"/>
        </w:rPr>
        <w:t>six months ended</w:t>
      </w:r>
      <w:r>
        <w:rPr>
          <w:color w:val="000000"/>
          <w:shd w:fill="FFFFFF" w:val="clear"/>
        </w:rPr>
        <w:t xml:space="preserve"> </w:t>
      </w:r>
      <w:r>
        <w:rPr>
          <w:rFonts w:ascii="Arial;sans-serif" w:hAnsi="Arial;sans-serif"/>
          <w:b w:val="false"/>
          <w:color w:val="000000"/>
          <w:sz w:val="20"/>
          <w:shd w:fill="FFFFFF" w:val="clear"/>
        </w:rPr>
        <w:t xml:space="preserve">July 31, 2023 have a shorter vesting period of one to two years. As of July 31, 2023, there were </w:t>
      </w:r>
      <w:r>
        <w:rPr>
          <w:rFonts w:ascii="Arial;sans-serif" w:hAnsi="Arial;sans-serif"/>
          <w:b w:val="false"/>
          <w:color w:val="000000"/>
          <w:sz w:val="20"/>
        </w:rPr>
        <w:t>6,154,811</w:t>
      </w:r>
      <w:r>
        <w:rPr>
          <w:color w:val="000000"/>
          <w:shd w:fill="FFFFFF" w:val="clear"/>
        </w:rPr>
        <w:t xml:space="preserve"> </w:t>
      </w:r>
      <w:r>
        <w:rPr>
          <w:rFonts w:ascii="Arial;sans-serif" w:hAnsi="Arial;sans-serif"/>
          <w:b w:val="false"/>
          <w:color w:val="000000"/>
          <w:sz w:val="20"/>
          <w:shd w:fill="FFFFFF" w:val="clear"/>
        </w:rPr>
        <w:t>shares of Class A common stock available for issuance under the 2021 Plan. There will not be any further equity grants of Class B common stock.</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The grant date fair value of each option award is estimated on the date of grant using the Black-Scholes option pricing model. The option pricing model considers several variables and assumptions in estimating the fair value of share-based awards. Because the Company’s shares are only recently publicly traded and there is a lack of historical company-specific data available,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 There were no stock options granted during the year ended </w:t>
      </w:r>
      <w:r>
        <w:rPr>
          <w:rFonts w:ascii="Arial;sans-serif" w:hAnsi="Arial;sans-serif"/>
          <w:b w:val="false"/>
          <w:color w:val="000000"/>
          <w:sz w:val="20"/>
        </w:rPr>
        <w:t>January 31, 2023</w:t>
      </w:r>
      <w:r>
        <w:rPr>
          <w:color w:val="000000"/>
          <w:shd w:fill="FFFFFF" w:val="clear"/>
        </w:rPr>
        <w:t xml:space="preserve"> </w:t>
      </w:r>
      <w:r>
        <w:rPr>
          <w:rFonts w:ascii="Arial;sans-serif" w:hAnsi="Arial;sans-serif"/>
          <w:b w:val="false"/>
          <w:color w:val="000000"/>
          <w:sz w:val="20"/>
          <w:shd w:fill="FFFFFF" w:val="clear"/>
        </w:rPr>
        <w:t xml:space="preserve">or the </w:t>
      </w:r>
      <w:r>
        <w:rPr>
          <w:rFonts w:ascii="Arial;sans-serif" w:hAnsi="Arial;sans-serif"/>
          <w:b w:val="false"/>
          <w:color w:val="000000"/>
          <w:sz w:val="20"/>
        </w:rPr>
        <w:t>six months ended</w:t>
      </w:r>
      <w:r>
        <w:rPr>
          <w:color w:val="000000"/>
          <w:shd w:fill="FFFFFF" w:val="clear"/>
        </w:rPr>
        <w:t xml:space="preserve"> </w:t>
      </w:r>
      <w:r>
        <w:rPr>
          <w:rFonts w:ascii="Arial;sans-serif" w:hAnsi="Arial;sans-serif"/>
          <w:b w:val="false"/>
          <w:color w:val="000000"/>
          <w:sz w:val="20"/>
          <w:shd w:fill="FFFFFF" w:val="clear"/>
        </w:rPr>
        <w:t>July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Times New Roman;sans-serif" w:hAnsi="Times New Roman;sans-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(Dollars in millions, except share and per share amounts)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Stock Options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Stock option activity during the period indicated is as follows:</w:t>
      </w:r>
    </w:p>
    <w:tbl>
      <w:tblPr>
        <w:tblW w:w="7843" w:type="dxa"/>
        <w:jc w:val="left"/>
        <w:tblInd w:w="0" w:type="dxa"/>
        <w:tblLayout w:type="fixed"/>
        <w:tblCellMar>
          <w:top w:w="28" w:type="dxa"/>
          <w:left w:w="28" w:type="dxa"/>
          <w:bottom w:w="28" w:type="dxa"/>
          <w:right w:w="28" w:type="dxa"/>
        </w:tblCellMar>
      </w:tblPr>
      <w:tblGrid>
        <w:gridCol w:w="1080"/>
        <w:gridCol w:w="951"/>
        <w:gridCol w:w="954"/>
        <w:gridCol w:w="357"/>
        <w:gridCol w:w="357"/>
        <w:gridCol w:w="365"/>
        <w:gridCol w:w="109"/>
        <w:gridCol w:w="109"/>
        <w:gridCol w:w="109"/>
        <w:gridCol w:w="211"/>
        <w:gridCol w:w="541"/>
        <w:gridCol w:w="109"/>
        <w:gridCol w:w="109"/>
        <w:gridCol w:w="109"/>
        <w:gridCol w:w="109"/>
        <w:gridCol w:w="320"/>
        <w:gridCol w:w="320"/>
        <w:gridCol w:w="321"/>
        <w:gridCol w:w="109"/>
        <w:gridCol w:w="109"/>
        <w:gridCol w:w="109"/>
        <w:gridCol w:w="257"/>
        <w:gridCol w:w="531"/>
        <w:gridCol w:w="188"/>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Remaining</w:t>
              <w:br/>
              <w:t>Contract</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Balances as of January 31, 2023</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8,060,647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Granted</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Exercised</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Forfeited</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(6,983,981)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Balances as of July 31, 2023</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1,076,666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Exercisable as of July 31, 2023</w:t>
            </w:r>
          </w:p>
        </w:tc>
        <w:tc>
          <w:tcPr>
            <w:tcW w:w="107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937,558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left"/>
        <w:rPr/>
      </w:pPr>
      <w:r>
        <w:rPr>
          <w:rFonts w:ascii="Arial;sans-serif" w:hAnsi="Arial;sans-serif"/>
          <w:b w:val="false"/>
          <w:color w:val="000000"/>
          <w:sz w:val="20"/>
        </w:rPr>
        <w:t>As of July 31, 2023, there was $0.7 million of unrecognized compensation cost related to stock options granted that is expected to be recognized o</w:t>
      </w:r>
      <w:r>
        <w:rPr>
          <w:rFonts w:ascii="Arial;sans-serif" w:hAnsi="Arial;sans-serif"/>
          <w:b w:val="false"/>
          <w:color w:val="000000"/>
          <w:sz w:val="20"/>
          <w:shd w:fill="FFFFFF" w:val="clear"/>
        </w:rPr>
        <w:t xml:space="preserve">ver a weighted average period of </w:t>
      </w:r>
      <w:r>
        <w:rPr>
          <w:rFonts w:ascii="Arial;sans-serif" w:hAnsi="Arial;sans-serif"/>
          <w:b w:val="false"/>
          <w:color w:val="000000"/>
          <w:sz w:val="20"/>
        </w:rPr>
        <w:t>2</w:t>
      </w:r>
      <w:r>
        <w:rPr>
          <w:color w:val="000000"/>
          <w:shd w:fill="FFFFFF" w:val="clear"/>
        </w:rPr>
        <w:t xml:space="preserve"> </w:t>
      </w:r>
      <w:r>
        <w:rPr>
          <w:rFonts w:ascii="Arial;sans-serif" w:hAnsi="Arial;sans-serif"/>
          <w:b w:val="false"/>
          <w:color w:val="000000"/>
          <w:sz w:val="20"/>
          <w:shd w:fill="FFFFFF" w:val="clear"/>
        </w:rPr>
        <w:t>years.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During the three and six months ended July 31, 2023, the Company completed an option exchange designed to incentivize and retain employees, directors and other service providers by providing the ability to exchange outstanding stock options for RSUs representing the right to receive Class A common stock. Stock options relating to 6,627,411 shares of Class A and Class B common stock were forfeited in exchange for 2,650,930 RSUs which generally vest over two years. The Company will recognize $0.8 million of incremental stock compensation expense from the RSUs granted as a result of the option exchange which will be recognized over the two years vesting period. </w:t>
      </w:r>
      <w:r>
        <w:rPr>
          <w:rFonts w:ascii="Arial;sans-serif" w:hAnsi="Arial;sans-serif"/>
          <w:b w:val="false"/>
          <w:color w:val="000000"/>
          <w:sz w:val="20"/>
          <w:shd w:fill="FFFFFF" w:val="clear"/>
        </w:rPr>
        <w:t>The Company currently uses authorized and unissued shares to satisfy the exercise of stock option awards.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RSUs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RSUs activity during the period indicated is as follows:</w:t>
      </w:r>
    </w:p>
    <w:tbl>
      <w:tblPr>
        <w:tblW w:w="7229" w:type="dxa"/>
        <w:jc w:val="left"/>
        <w:tblInd w:w="0" w:type="dxa"/>
        <w:tblLayout w:type="fixed"/>
        <w:tblCellMar>
          <w:top w:w="28" w:type="dxa"/>
          <w:left w:w="28" w:type="dxa"/>
          <w:bottom w:w="28" w:type="dxa"/>
          <w:right w:w="28" w:type="dxa"/>
        </w:tblCellMar>
      </w:tblPr>
      <w:tblGrid>
        <w:gridCol w:w="1606"/>
        <w:gridCol w:w="1414"/>
        <w:gridCol w:w="1419"/>
        <w:gridCol w:w="562"/>
        <w:gridCol w:w="564"/>
        <w:gridCol w:w="316"/>
        <w:gridCol w:w="109"/>
        <w:gridCol w:w="109"/>
        <w:gridCol w:w="109"/>
        <w:gridCol w:w="237"/>
        <w:gridCol w:w="609"/>
        <w:gridCol w:w="175"/>
      </w:tblGrid>
      <w:tr>
        <w:trPr/>
        <w:tc>
          <w:tcPr>
            <w:tcW w:w="16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Grant-Date</w:t>
              <w:br/>
              <w:t>Fair Value</w:t>
              <w:br/>
              <w:t>per Share</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Unvested and outstanding as of January 31, 2023</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5,976,121 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8,452,575 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Vested/Released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(3,424,116)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Forfeited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(398,453)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and outstanding as of July 31, 2023</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10,606,127 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shd w:fill="FFFFFF" w:val="clear"/>
        </w:rPr>
        <w:t>As of July 31, 2023, there wa</w:t>
      </w:r>
      <w:r>
        <w:rPr>
          <w:rFonts w:ascii="Arial;sans-serif" w:hAnsi="Arial;sans-serif"/>
          <w:b w:val="false"/>
          <w:color w:val="000000"/>
          <w:sz w:val="20"/>
        </w:rPr>
        <w:t xml:space="preserve">s $22.0 </w:t>
      </w:r>
      <w:r>
        <w:rPr>
          <w:rFonts w:ascii="Arial;sans-serif" w:hAnsi="Arial;sans-serif"/>
          <w:b w:val="false"/>
          <w:color w:val="000000"/>
          <w:sz w:val="20"/>
          <w:shd w:fill="FFFFFF" w:val="clear"/>
        </w:rPr>
        <w:t xml:space="preserve">million of unrecognized compensation cost related to RSUs granted that is expected to be recognized over a weighted average period of </w:t>
      </w:r>
      <w:r>
        <w:rPr>
          <w:rFonts w:ascii="Arial;sans-serif" w:hAnsi="Arial;sans-serif"/>
          <w:b w:val="false"/>
          <w:color w:val="000000"/>
          <w:sz w:val="20"/>
        </w:rPr>
        <w:t>1.7</w:t>
      </w:r>
      <w:r>
        <w:rPr>
          <w:color w:val="000000"/>
          <w:shd w:fill="FFFFFF" w:val="clear"/>
        </w:rPr>
        <w:t xml:space="preserve"> </w:t>
      </w:r>
      <w:r>
        <w:rPr>
          <w:rFonts w:ascii="Arial;sans-serif" w:hAnsi="Arial;sans-serif"/>
          <w:b w:val="false"/>
          <w:color w:val="000000"/>
          <w:sz w:val="20"/>
          <w:shd w:fill="FFFFFF" w:val="clear"/>
        </w:rPr>
        <w:t>years. Of the total unrecognized compensation cost,</w:t>
      </w:r>
      <w:r>
        <w:rPr>
          <w:color w:val="000000"/>
        </w:rPr>
        <w:t xml:space="preserve"> </w:t>
      </w:r>
      <w:r>
        <w:rPr>
          <w:rFonts w:ascii="Arial;sans-serif" w:hAnsi="Arial;sans-serif"/>
          <w:b w:val="false"/>
          <w:color w:val="000000"/>
          <w:sz w:val="20"/>
        </w:rPr>
        <w:t>$3.6 million related to RSUs granted as a result of the option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Times New Roman;sans-serif" w:hAnsi="Times New Roman;sans-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(Dollars in millions, except share and per share amounts)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Share-Based Compensation Summary</w:t>
      </w:r>
    </w:p>
    <w:p>
      <w:pPr>
        <w:pStyle w:val="TextBody"/>
        <w:bidi w:val="0"/>
        <w:spacing w:lineRule="auto" w:line="288" w:before="120" w:after="283"/>
        <w:jc w:val="left"/>
        <w:rPr/>
      </w:pPr>
      <w:r>
        <w:rPr>
          <w:rFonts w:ascii="Arial;sans-serif" w:hAnsi="Arial;sans-serif"/>
          <w:b w:val="false"/>
          <w:color w:val="000000"/>
          <w:sz w:val="20"/>
          <w:shd w:fill="FFFFFF" w:val="clear"/>
        </w:rPr>
        <w:t>The classification of share-based compensation for the three and six</w:t>
      </w:r>
      <w:r>
        <w:rPr>
          <w:color w:val="000000"/>
        </w:rPr>
        <w:t xml:space="preserve"> </w:t>
      </w:r>
      <w:r>
        <w:rPr>
          <w:rFonts w:ascii="Arial;sans-serif" w:hAnsi="Arial;sans-serif"/>
          <w:b w:val="false"/>
          <w:color w:val="000000"/>
          <w:sz w:val="20"/>
        </w:rPr>
        <w:t>months ended</w:t>
      </w:r>
      <w:r>
        <w:rPr>
          <w:color w:val="000000"/>
        </w:rPr>
        <w:t xml:space="preserve"> </w:t>
      </w:r>
      <w:r>
        <w:rPr>
          <w:rFonts w:ascii="Arial;sans-serif" w:hAnsi="Arial;sans-serif"/>
          <w:b w:val="false"/>
          <w:color w:val="000000"/>
          <w:sz w:val="20"/>
        </w:rPr>
        <w:t xml:space="preserve">July 31, 2023 and 2022, respectively, presented within each </w:t>
      </w:r>
      <w:r>
        <w:rPr>
          <w:rFonts w:ascii="Arial;sans-serif" w:hAnsi="Arial;sans-serif"/>
          <w:b w:val="false"/>
          <w:color w:val="000000"/>
          <w:sz w:val="20"/>
          <w:shd w:fill="FFFFFF" w:val="clear"/>
        </w:rPr>
        <w:t>line item of the condensed consolidated statements of operations is as follows:</w:t>
      </w:r>
    </w:p>
    <w:tbl>
      <w:tblPr>
        <w:tblW w:w="7995" w:type="dxa"/>
        <w:jc w:val="left"/>
        <w:tblInd w:w="0" w:type="dxa"/>
        <w:tblLayout w:type="fixed"/>
        <w:tblCellMar>
          <w:top w:w="28" w:type="dxa"/>
          <w:left w:w="28" w:type="dxa"/>
          <w:bottom w:w="28" w:type="dxa"/>
          <w:right w:w="28" w:type="dxa"/>
        </w:tblCellMar>
      </w:tblPr>
      <w:tblGrid>
        <w:gridCol w:w="1071"/>
        <w:gridCol w:w="938"/>
        <w:gridCol w:w="946"/>
        <w:gridCol w:w="280"/>
        <w:gridCol w:w="579"/>
        <w:gridCol w:w="144"/>
        <w:gridCol w:w="144"/>
        <w:gridCol w:w="144"/>
        <w:gridCol w:w="144"/>
        <w:gridCol w:w="280"/>
        <w:gridCol w:w="579"/>
        <w:gridCol w:w="144"/>
        <w:gridCol w:w="109"/>
        <w:gridCol w:w="109"/>
        <w:gridCol w:w="109"/>
        <w:gridCol w:w="229"/>
        <w:gridCol w:w="589"/>
        <w:gridCol w:w="118"/>
        <w:gridCol w:w="118"/>
        <w:gridCol w:w="118"/>
        <w:gridCol w:w="118"/>
        <w:gridCol w:w="229"/>
        <w:gridCol w:w="589"/>
        <w:gridCol w:w="167"/>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share-based compensation</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 recognized $0.5 million and $2.4 million of incremental share-based compensation expense in General and administrative expenses during the three and six months ended July 31, 2023, respectively, due to equity award modifications related to the transition of the Chief Financial Officer role.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 recognized $0.1 million of incremental share-based compensation expense during the three and six months ended July 31, 2023 as a result of the option exchange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12.Net Loss per Share Attributable to Common Stockholders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sets forth the computation of basic and diluted net loss per share attributable to common stockholders:</w:t>
      </w:r>
    </w:p>
    <w:tbl>
      <w:tblPr>
        <w:tblW w:w="10205" w:type="dxa"/>
        <w:jc w:val="left"/>
        <w:tblInd w:w="0" w:type="dxa"/>
        <w:tblLayout w:type="fixed"/>
        <w:tblCellMar>
          <w:top w:w="28" w:type="dxa"/>
          <w:left w:w="28" w:type="dxa"/>
          <w:bottom w:w="28" w:type="dxa"/>
          <w:right w:w="28" w:type="dxa"/>
        </w:tblCellMar>
      </w:tblPr>
      <w:tblGrid>
        <w:gridCol w:w="1764"/>
        <w:gridCol w:w="1228"/>
        <w:gridCol w:w="1220"/>
        <w:gridCol w:w="315"/>
        <w:gridCol w:w="811"/>
        <w:gridCol w:w="113"/>
        <w:gridCol w:w="113"/>
        <w:gridCol w:w="113"/>
        <w:gridCol w:w="113"/>
        <w:gridCol w:w="315"/>
        <w:gridCol w:w="811"/>
        <w:gridCol w:w="113"/>
        <w:gridCol w:w="109"/>
        <w:gridCol w:w="109"/>
        <w:gridCol w:w="109"/>
        <w:gridCol w:w="315"/>
        <w:gridCol w:w="811"/>
        <w:gridCol w:w="109"/>
        <w:gridCol w:w="109"/>
        <w:gridCol w:w="109"/>
        <w:gridCol w:w="109"/>
        <w:gridCol w:w="315"/>
        <w:gridCol w:w="811"/>
        <w:gridCol w:w="161"/>
      </w:tblGrid>
      <w:tr>
        <w:trPr/>
        <w:tc>
          <w:tcPr>
            <w:tcW w:w="176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21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color w:val="000000"/>
                <w:sz w:val="20"/>
              </w:rPr>
            </w:pPr>
            <w:r>
              <w:rPr>
                <w:rFonts w:ascii="Arial;sans-serif" w:hAnsi="Arial;sans-serif"/>
                <w:b/>
                <w:color w:val="000000"/>
                <w:sz w:val="20"/>
              </w:rPr>
              <w:t>Numerator:</w:t>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Net loss attributable to common stockholders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color w:val="000000"/>
                <w:sz w:val="20"/>
              </w:rPr>
            </w:pPr>
            <w:r>
              <w:rPr>
                <w:rFonts w:ascii="Arial;sans-serif" w:hAnsi="Arial;sans-serif"/>
                <w:b/>
                <w:color w:val="000000"/>
                <w:sz w:val="20"/>
              </w:rPr>
              <w:t>Denominator:</w:t>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Weighted-average shares used in computing net loss per share attributable to common stockholders, basic and diluted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67,608,274 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64,074,681 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66,751,529 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63,758,256 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Net loss per share attributable to common stockholders, basic and diluted</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(0.40)</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(0.53)</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Fonts w:ascii="Times New Roman;sans-serif" w:hAnsi="Times New Roman;sans-serif"/>
            <w:b/>
            <w:color w:val="0000FF"/>
            <w:sz w:val="20"/>
            <w:u w:val="single"/>
            <w:shd w:fill="FFFFFF" w:val="clear"/>
          </w:rPr>
          <w:t>Table of Contents</w:t>
        </w:r>
      </w:hyperlink>
    </w:p>
    <w:tbl>
      <w:tblPr>
        <w:tblW w:w="5340" w:type="dxa"/>
        <w:jc w:val="left"/>
        <w:tblInd w:w="0" w:type="dxa"/>
        <w:tblLayout w:type="fixed"/>
        <w:tblCellMar>
          <w:top w:w="28" w:type="dxa"/>
          <w:left w:w="28" w:type="dxa"/>
          <w:bottom w:w="28" w:type="dxa"/>
          <w:right w:w="28" w:type="dxa"/>
        </w:tblCellMar>
      </w:tblPr>
      <w:tblGrid>
        <w:gridCol w:w="1710"/>
        <w:gridCol w:w="1503"/>
        <w:gridCol w:w="2127"/>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Notes to Condensed Consolidated Financial Statements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(Dollars in millions, except share and per share amounts)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potentially dilutive outstanding securities based on amounts outstanding at each period end were excluded from the computation of diluted loss per share attributable to common stockholders because including them would have been anti-dilutive:</w:t>
      </w:r>
    </w:p>
    <w:tbl>
      <w:tblPr>
        <w:tblW w:w="5797" w:type="dxa"/>
        <w:jc w:val="left"/>
        <w:tblInd w:w="0" w:type="dxa"/>
        <w:tblLayout w:type="fixed"/>
        <w:tblCellMar>
          <w:top w:w="28" w:type="dxa"/>
          <w:left w:w="28" w:type="dxa"/>
          <w:bottom w:w="28" w:type="dxa"/>
          <w:right w:w="28" w:type="dxa"/>
        </w:tblCellMar>
      </w:tblPr>
      <w:tblGrid>
        <w:gridCol w:w="810"/>
        <w:gridCol w:w="708"/>
        <w:gridCol w:w="717"/>
        <w:gridCol w:w="763"/>
        <w:gridCol w:w="363"/>
        <w:gridCol w:w="242"/>
        <w:gridCol w:w="242"/>
        <w:gridCol w:w="242"/>
        <w:gridCol w:w="242"/>
        <w:gridCol w:w="763"/>
        <w:gridCol w:w="363"/>
        <w:gridCol w:w="342"/>
      </w:tblGrid>
      <w:tr>
        <w:trPr/>
        <w:tc>
          <w:tcPr>
            <w:tcW w:w="81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1,076,666 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8,893,048 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Common stock warrants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2,631,583 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631,583 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10,606,127 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6,099,481 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Total</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14,314,376 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15,624,112 </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13.Commitments and Contingencies</w:t>
      </w:r>
    </w:p>
    <w:p>
      <w:pPr>
        <w:pStyle w:val="TextBody"/>
        <w:bidi w:val="0"/>
        <w:spacing w:lineRule="auto" w:line="288" w:before="120" w:after="283"/>
        <w:jc w:val="left"/>
        <w:rPr/>
      </w:pPr>
      <w:r>
        <w:rPr>
          <w:rFonts w:ascii="Arial;sans-serif" w:hAnsi="Arial;sans-serif"/>
          <w:b w:val="false"/>
          <w:color w:val="000000"/>
          <w:sz w:val="20"/>
          <w:shd w:fill="FFFFFF" w:val="clear"/>
        </w:rPr>
        <w:t>The Company had restricted cas</w:t>
      </w:r>
      <w:r>
        <w:rPr>
          <w:rFonts w:ascii="Arial;sans-serif" w:hAnsi="Arial;sans-serif"/>
          <w:b w:val="false"/>
          <w:color w:val="000000"/>
          <w:sz w:val="20"/>
        </w:rPr>
        <w:t xml:space="preserve">h balances for cash collateralized standby letters of credit as of </w:t>
      </w:r>
      <w:r>
        <w:rPr>
          <w:rFonts w:ascii="Arial;sans-serif" w:hAnsi="Arial;sans-serif"/>
          <w:b w:val="false"/>
          <w:color w:val="000000"/>
          <w:sz w:val="20"/>
          <w:shd w:fill="FFFFFF" w:val="clear"/>
        </w:rPr>
        <w:t xml:space="preserve">July 31, 2023 and January 31, 2023 </w:t>
      </w:r>
      <w:r>
        <w:rPr>
          <w:rFonts w:ascii="Arial;sans-serif" w:hAnsi="Arial;sans-serif"/>
          <w:b w:val="false"/>
          <w:color w:val="000000"/>
          <w:sz w:val="20"/>
        </w:rPr>
        <w:t xml:space="preserve">of $10.0 million and $9.1 million, respectively, primarily to satisfy security deposit requirements on its leases. </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20"/>
          <w:shd w:fill="FFFFFF" w:val="clear"/>
        </w:rPr>
      </w:pPr>
      <w:r>
        <w:rPr>
          <w:rFonts w:ascii="Arial;sans-serif" w:hAnsi="Arial;sans-serif"/>
          <w:b/>
          <w:i/>
          <w:color w:val="000000"/>
          <w:sz w:val="20"/>
          <w:shd w:fill="FFFFFF" w:val="clear"/>
        </w:rPr>
        <w:t>Legal Proceedings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On November 14, 2022, a purported stockholder of the Company filed a putative class action lawsuit in the Eastern District of New York against the Company, certain of its officers and directors, and the underwriters of its IPO, entitled Rajat Sharma v. Rent the Runway, Inc., et al. 22-cv-6935.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w:t>
      </w:r>
      <w:r>
        <w:rPr>
          <w:rFonts w:ascii="Arial;sans-serif" w:hAnsi="Arial;sans-serif"/>
          <w:b w:val="false"/>
          <w:i/>
          <w:color w:val="000000"/>
          <w:sz w:val="20"/>
        </w:rPr>
        <w:t>inter alia</w:t>
      </w:r>
      <w:r>
        <w:rPr>
          <w:rFonts w:ascii="Arial;sans-serif" w:hAnsi="Arial;sans-serif"/>
          <w:b w:val="false"/>
          <w:color w:val="000000"/>
          <w:sz w:val="20"/>
        </w:rPr>
        <w:t>, the Company’s growth at the time of the IPO. The lawsuit seeks, among other things, compensatory damages, an award of attorneys’ fees and costs and such other relief as deemed just and proper by the court. On June 8, 2023, the court appointed Delaware Public Employees’ Retirement System and Denver Employees Retirement Plan as lead plaintiffs. On August 21, 2023, lead plaintiffs filed an amended complaint against the Company, certain of its officers and directors, and the underwriters of its IPO. The amended complaint alleges that defendants violated Sections 11, 12(a)(2) and 15 of the Securities Act by allegedly making certain false and misleading statements, and by omitting material facts necessary to make the statements made therein not misleading, concerning, among other things, the Company’s growth prospects and fulfillment costs at the time of the IPO. The lawsuit seeks an award of damages, attorney’s fees and costs, and such other relief as the court deems just and proper. The Company intends to vigorously defend itself against these claims. The Company believes it has meritorious defenses to the claims asserted in the amended complaint and any liability for such claims is not currently probable and the potential loss or range of loss is not reasonably estimable.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pPr>
      <w:r>
        <w:rPr>
          <w:rFonts w:ascii="Arial;sans-serif" w:hAnsi="Arial;sans-serif"/>
          <w:b/>
          <w:color w:val="000000"/>
          <w:sz w:val="20"/>
          <w:shd w:fill="FFFFFF" w:val="clear"/>
        </w:rPr>
        <w:t xml:space="preserve">Item 2. </w:t>
      </w:r>
      <w:r>
        <w:rPr>
          <w:rFonts w:ascii="Arial;sans-serif" w:hAnsi="Arial;sans-serif"/>
          <w:b/>
          <w:color w:val="000000"/>
          <w:sz w:val="20"/>
        </w:rPr>
        <w:t>Management’s Discussion and Analysis of Financial Condition and Results of Operations</w:t>
      </w:r>
    </w:p>
    <w:p>
      <w:pPr>
        <w:pStyle w:val="TextBody"/>
        <w:bidi w:val="0"/>
        <w:spacing w:lineRule="auto" w:line="276"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The following discussion of our financial condition and results of operations should be read in conjunction with our unaudited condensed consolidated financial statements and the related notes included elsewhere in this Quarterly Report on Form 10-Q and the audited financial statements and notes thereto as of and for the year ended January 31, 2023 and the related Management’s Discussion and Analysis of Financial Condition and Results of Operations in our Annual Report on Form 10-K for the fiscal year ended January 31, 2023 (the “2022 Annual Report on Form 10-K”).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Quarterly Report on Form 10-Q, particularly in Part II, Item 1A, “Risk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Overview</w:t>
      </w:r>
    </w:p>
    <w:p>
      <w:pPr>
        <w:pStyle w:val="TextBody"/>
        <w:bidi w:val="0"/>
        <w:spacing w:lineRule="auto" w:line="288" w:before="120" w:after="283"/>
        <w:jc w:val="left"/>
        <w:rPr/>
      </w:pPr>
      <w:r>
        <w:rPr>
          <w:rFonts w:ascii="Arial;sans-serif" w:hAnsi="Arial;sans-serif"/>
          <w:b w:val="false"/>
          <w:color w:val="000000"/>
          <w:sz w:val="20"/>
          <w:shd w:fill="FFFFFF" w:val="clear"/>
        </w:rPr>
        <w:t>W</w:t>
      </w:r>
      <w:r>
        <w:rPr>
          <w:rFonts w:ascii="Arial;sans-serif" w:hAnsi="Arial;sans-serif"/>
          <w:b w:val="false"/>
          <w:color w:val="000000"/>
          <w:sz w:val="20"/>
        </w:rPr>
        <w:t>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 million lifetime customers across all of our offerings and we had 184,389 ending total subscribers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(active and paused) as of July 31, 2023. The majority of our revenue is highly recurring and is generated by our subscribers. For the six months ended July 31, 2023 and 2022, respectively, 88% and 87% of our total revenue (including Reserve and Resale revenue) was generated by subscribers while they were active or paused. </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items at a fraction of their retail or comparable value, creating an attractive price and value proposition for our subscribers and customers.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source virtually all of our products, which includes apparel and accessories, directly from, or in partnership with,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pStyle w:val="TextBody"/>
        <w:bidi w:val="0"/>
        <w:spacing w:lineRule="auto" w:line="288" w:before="0" w:after="0"/>
        <w:jc w:val="left"/>
        <w:rPr/>
      </w:pPr>
      <w:r>
        <w:rPr>
          <w:rFonts w:ascii="Arial;sans-serif" w:hAnsi="Arial;sans-serif"/>
          <w:b w:val="false"/>
          <w:color w:val="000000"/>
          <w:sz w:val="16"/>
        </w:rPr>
        <w:t>1</w:t>
      </w:r>
      <w:r>
        <w:rPr>
          <w:color w:val="000000"/>
        </w:rPr>
        <w:t xml:space="preserve"> </w:t>
      </w:r>
      <w:r>
        <w:rPr>
          <w:rFonts w:ascii="Arial;sans-serif" w:hAnsi="Arial;sans-serif"/>
          <w:b w:val="false"/>
          <w:color w:val="000000"/>
          <w:sz w:val="16"/>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Recent Developments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 xml:space="preserve">5 Item Plan. </w:t>
      </w:r>
      <w:r>
        <w:rPr>
          <w:rFonts w:ascii="Arial;sans-serif" w:hAnsi="Arial;sans-serif"/>
          <w:b w:val="false"/>
          <w:color w:val="000000"/>
          <w:sz w:val="20"/>
        </w:rPr>
        <w:t>Beginning in March 2023, we permanently added an extra item to every shipment of our rental subscription programs to deliver greater value to subscribers. We expect this program change to improve retention and acquisition rates and increase fulfillment and product depreciation and revenue share expenses with minimal impact on gross margin in fiscal year 2023.</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 xml:space="preserve">Debt Restructuring. </w:t>
      </w:r>
      <w:r>
        <w:rPr>
          <w:rFonts w:ascii="Arial;sans-serif" w:hAnsi="Arial;sans-serif"/>
          <w:b w:val="false"/>
          <w:color w:val="000000"/>
          <w:sz w:val="20"/>
        </w:rPr>
        <w:t xml:space="preserve">On January 31, 2023, we completed an amendment to our Temasek Facility (“2022 Amended Temasek Facility”). The 2022 Amended Temasek Facility extended the maturity date of our credit facility from October 2024 to October 2026, reduced cash interest payments by over $20 million in the next two fiscal years while the total interest rate remains unchanged during this period, with subsequent increases thereafter. In connection with the 2022 Amended Temasek Facility, we also granted warrants to Temasek to purchase two million shares of Class A Common Stock at an exercise price of $5.00 per share and made other clarifications and updates. See Note 6, “Long-Term Debt” </w:t>
      </w:r>
      <w:r>
        <w:rPr>
          <w:rFonts w:ascii="Arial;sans-serif" w:hAnsi="Arial;sans-serif"/>
          <w:b w:val="false"/>
          <w:color w:val="000000"/>
          <w:sz w:val="20"/>
          <w:shd w:fill="FFFFFF" w:val="clear"/>
        </w:rPr>
        <w:t>in the Notes to the Condensed Consolidated Financial Statements</w:t>
      </w:r>
      <w:r>
        <w:rPr>
          <w:color w:val="000000"/>
          <w:shd w:fill="FFFFFF" w:val="clear"/>
        </w:rPr>
        <w:t xml:space="preserve"> </w:t>
      </w:r>
      <w:r>
        <w:rPr>
          <w:rFonts w:ascii="Arial;sans-serif" w:hAnsi="Arial;sans-serif"/>
          <w:b w:val="false"/>
          <w:color w:val="000000"/>
          <w:sz w:val="20"/>
        </w:rPr>
        <w:t>for more details.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Corporate Restructuring Plan</w:t>
      </w:r>
      <w:r>
        <w:rPr>
          <w:rFonts w:ascii="Arial;sans-serif" w:hAnsi="Arial;sans-serif"/>
          <w:b w:val="false"/>
          <w:color w:val="000000"/>
          <w:sz w:val="20"/>
        </w:rPr>
        <w:t xml:space="preserve">. On September 12, 2022, we announced a restructuring plan to reduce costs, streamline our organizational structure and drive operational efficiencies. The plan primarily included total workforce reductions of approximately 24% of corporate employees (primarily a reduction in force, with some open role closures/reduced backfills), reorganizing certain functions and reallocating resources to continue to focus on customer experience and growth initiatives.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Restructuring charges of $2.4 million for severance and related costs were recognized during the year ended January 31, 2023 and were reflected in Restructuring charges on our Condensed Consolidated Statements of Operations. We recorded asset impairment charges of $5.3 million during the year ended January 31, 2023 related to discontinuing two warehouse operations projects during the third and fourth quarters of fiscal year 2022 in connection with the restructuring plan. The charges were reflected in Loss on asset impairment related to restructuring on our Condensed Consolidated Statements of Operations. There were no restructuring charges or asset impairment charges recognized during the six months ended</w:t>
      </w:r>
      <w:r>
        <w:rPr>
          <w:color w:val="000000"/>
          <w:shd w:fill="FFFFFF" w:val="clear"/>
        </w:rPr>
        <w:t xml:space="preserve"> </w:t>
      </w:r>
      <w:r>
        <w:rPr>
          <w:rFonts w:ascii="Arial;sans-serif" w:hAnsi="Arial;sans-serif"/>
          <w:b w:val="false"/>
          <w:color w:val="000000"/>
          <w:sz w:val="20"/>
          <w:shd w:fill="FFFFFF" w:val="clear"/>
        </w:rPr>
        <w:t>July 31, 2023</w:t>
      </w:r>
      <w:r>
        <w:rPr>
          <w:rFonts w:ascii="Arial;sans-serif" w:hAnsi="Arial;sans-serif"/>
          <w:b w:val="false"/>
          <w:color w:val="000000"/>
          <w:sz w:val="20"/>
        </w:rPr>
        <w:t>. We may incur additional restructuring charges in the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expect the September 2022 restructuring plan to generate total annual operating expense savings of approximately $25 million (relative to the second quarter of fiscal year 2022 run rate) in fiscal year 2023. Approximately $17 million of the total annualized savings reflect the portion related to personnel expenses, which was substantially completed by the end of the fourth quarter of fiscal year 2022, and we expect approximately $8 million of technology and general and administrative expense savings to be realized in fiscal year 2023.</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Option Exchange</w:t>
      </w:r>
      <w:r>
        <w:rPr>
          <w:rFonts w:ascii="Arial;sans-serif" w:hAnsi="Arial;sans-serif"/>
          <w:b w:val="false"/>
          <w:color w:val="000000"/>
          <w:sz w:val="20"/>
        </w:rPr>
        <w:t xml:space="preserve">. In April 2023, we announced a proposed option exchange designed to incentivize and retain employees, directors and other service providers by providing the ability to exchange outstanding stock options for RSUs. This option exchange was approved by shareholders on June 7, 2023 and was completed during the second quarter of fiscal year 2023. The option exchange resulted in minimal incremental share-based compensation expense over the life of the replacement RSUs, in addition to certain administrative expenses in fiscal year 2023.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Additional Key Fiscal Second Quarter and Recent Business Highlights: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20"/>
        </w:rPr>
        <w:t>Implemented Rental Product Depth Strategy:</w:t>
      </w:r>
      <w:r>
        <w:rPr>
          <w:color w:val="000000"/>
        </w:rPr>
        <w:t xml:space="preserve"> </w:t>
      </w:r>
      <w:r>
        <w:rPr>
          <w:rFonts w:ascii="Arial;sans-serif" w:hAnsi="Arial;sans-serif"/>
          <w:b w:val="false"/>
          <w:color w:val="000000"/>
          <w:sz w:val="20"/>
        </w:rPr>
        <w:t>laid important groundwork designed to meaningfully improve in-stock rates by increasing new rental product depth at approximately 1.7 times the depths of our buys in the first half of 2023, which is expected to drive a positive customer experience in the second half of 2023 and beyond. We have further expanded our depth plans for 2024 and expect to see continued improvement on in-stock rates in the first half of 2024 as a result.</w:t>
      </w:r>
    </w:p>
    <w:p>
      <w:pPr>
        <w:pStyle w:val="TextBody"/>
        <w:bidi w:val="0"/>
        <w:spacing w:lineRule="auto" w:line="288" w:before="0" w:after="0"/>
        <w:ind w:left="0" w:right="0" w:hanging="540"/>
        <w:jc w:val="left"/>
        <w:rPr/>
      </w:pPr>
      <w:r>
        <w:rPr>
          <w:color w:val="000000"/>
        </w:rPr>
        <w:t>•</w:t>
      </w:r>
      <w:r>
        <w:rPr>
          <w:rFonts w:ascii="Arial;sans-serif" w:hAnsi="Arial;sans-serif"/>
          <w:b/>
          <w:color w:val="000000"/>
          <w:sz w:val="20"/>
        </w:rPr>
        <w:t xml:space="preserve">Further improved operating efficiencies: </w:t>
      </w:r>
      <w:r>
        <w:rPr>
          <w:rFonts w:ascii="Arial;sans-serif" w:hAnsi="Arial;sans-serif"/>
          <w:b w:val="false"/>
          <w:color w:val="000000"/>
          <w:sz w:val="20"/>
        </w:rPr>
        <w:t>In August, completed a new transportation deal with a major national carrier to lock in competitive rates and consolidate the vast majority of our shipping needs. We believe this partnership will enable us to continue serving our customers with premium delivery and return service, and to further expand our elevated returns and delivery experience like At-Home Pick Up and Saturday Delivery. As of July 31, 2023, At-Home Pick Up was available to 62% of subscribers with 45% adoption among those subscribers.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0" w:after="0"/>
        <w:ind w:left="0" w:right="0" w:hanging="540"/>
        <w:jc w:val="left"/>
        <w:rPr/>
      </w:pPr>
      <w:r>
        <w:rPr>
          <w:color w:val="000000"/>
        </w:rPr>
        <w:t>•</w:t>
      </w:r>
      <w:r>
        <w:rPr>
          <w:rFonts w:ascii="Arial;sans-serif" w:hAnsi="Arial;sans-serif"/>
          <w:b/>
          <w:color w:val="000000"/>
          <w:sz w:val="20"/>
        </w:rPr>
        <w:t>Introduced new site and discovery features</w:t>
      </w:r>
      <w:r>
        <w:rPr>
          <w:rFonts w:ascii="Arial;sans-serif" w:hAnsi="Arial;sans-serif"/>
          <w:b w:val="false"/>
          <w:color w:val="000000"/>
          <w:sz w:val="20"/>
        </w:rPr>
        <w:t>, launched elevated product detail pages (PDP), improved site filtering, and more rapidly refreshed editorial curations; also rolled out AI search beta to 20% of the RTR customer base. These features, on the whole, have driven reductions in time to select shipments for our customers.</w:t>
      </w:r>
    </w:p>
    <w:p>
      <w:pPr>
        <w:pStyle w:val="TextBody"/>
        <w:bidi w:val="0"/>
        <w:spacing w:lineRule="auto" w:line="288" w:before="0" w:after="0"/>
        <w:ind w:left="0" w:right="0" w:hanging="540"/>
        <w:jc w:val="left"/>
        <w:rPr/>
      </w:pPr>
      <w:r>
        <w:rPr>
          <w:color w:val="000000"/>
        </w:rPr>
        <w:t>•</w:t>
      </w:r>
      <w:r>
        <w:rPr>
          <w:rFonts w:ascii="Arial;sans-serif" w:hAnsi="Arial;sans-serif"/>
          <w:b/>
          <w:color w:val="000000"/>
          <w:sz w:val="20"/>
        </w:rPr>
        <w:t>Continued to enhance the onboarding experience:</w:t>
      </w:r>
      <w:r>
        <w:rPr>
          <w:color w:val="000000"/>
        </w:rPr>
        <w:t xml:space="preserve"> </w:t>
      </w:r>
      <w:r>
        <w:rPr>
          <w:rFonts w:ascii="Arial;sans-serif" w:hAnsi="Arial;sans-serif"/>
          <w:b w:val="false"/>
          <w:color w:val="000000"/>
          <w:sz w:val="20"/>
        </w:rPr>
        <w:t>Launched in September 2023 a new subscriber onboarding experience to help lead customers to inventory they love quickly and pick their first shipment. Intended to drive engagement and retention, the new experience also includes the creation of an interactive customer styling profile and encourages sign up into our concierge program to aid with live, one:one assistance.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shd w:fill="FFFFFF" w:val="clear"/>
        </w:rPr>
        <w:t xml:space="preserve">Key Operating and Financial Results. </w:t>
      </w:r>
      <w:r>
        <w:rPr>
          <w:rFonts w:ascii="Arial;sans-serif" w:hAnsi="Arial;sans-serif"/>
          <w:b w:val="false"/>
          <w:color w:val="000000"/>
          <w:sz w:val="20"/>
          <w:shd w:fill="FFFFFF" w:val="clear"/>
        </w:rPr>
        <w:t xml:space="preserve">We have achieved the following operating and financial results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July 31, 2023 and 2022, respectively:</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Revenue was $75.7 million and $76.5 million, respectively, representing a (1.0)% decline year-over-year;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137,566 and 124,131 ending Active Subscribers</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(excluding paused subscribers), respectively, representing 11% growth year-over-year;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141,393 and 129,565 Average Active Subscribers</w:t>
      </w:r>
      <w:r>
        <w:rPr>
          <w:rFonts w:ascii="Arial;sans-serif" w:hAnsi="Arial;sans-serif"/>
          <w:b w:val="false"/>
          <w:color w:val="000000"/>
          <w:sz w:val="13"/>
        </w:rPr>
        <w:t>3</w:t>
      </w:r>
      <w:r>
        <w:rPr>
          <w:rFonts w:ascii="Arial;sans-serif" w:hAnsi="Arial;sans-serif"/>
          <w:b w:val="false"/>
          <w:color w:val="000000"/>
          <w:sz w:val="20"/>
        </w:rPr>
        <w:t>, respectively, representing 9% growth year-over-year;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184,389 and 173,321 ending Total Subscribers (including paused subscribers), respectively, representing 6% growth year-over-year;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Gross Profit was $33.2 million and $32.4 million, respectively, representing a gross margin of 43.9% and 42.4%, respectively;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Loss was $(26.8) million and $(33.9) million, respectively. Net Loss as a percentage of revenue was (35.4)% and (44.3)%, respectively;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Adjusted EBITDA was $7.7 million and $1.8 million, respectively, representing an Adjusted EBITDA margin of 10.2% and 2.4%, respectively.</w:t>
      </w:r>
    </w:p>
    <w:p>
      <w:pPr>
        <w:pStyle w:val="TextBody"/>
        <w:bidi w:val="0"/>
        <w:spacing w:before="0" w:after="0"/>
        <w:ind w:left="0" w:right="0" w:firstLine="90"/>
        <w:jc w:val="left"/>
        <w:rPr/>
      </w:pPr>
      <w:r>
        <w:rPr/>
      </w:r>
    </w:p>
    <w:p>
      <w:pPr>
        <w:pStyle w:val="TextBody"/>
        <w:bidi w:val="0"/>
        <w:spacing w:lineRule="auto" w:line="288" w:before="0" w:after="0"/>
        <w:jc w:val="left"/>
        <w:rPr/>
      </w:pPr>
      <w:r>
        <w:rPr>
          <w:rFonts w:ascii="Arial;sans-serif" w:hAnsi="Arial;sans-serif"/>
          <w:b w:val="false"/>
          <w:color w:val="000000"/>
          <w:sz w:val="20"/>
        </w:rPr>
        <w:t xml:space="preserve">We </w:t>
      </w:r>
      <w:r>
        <w:rPr>
          <w:rFonts w:ascii="Arial;sans-serif" w:hAnsi="Arial;sans-serif"/>
          <w:b w:val="false"/>
          <w:color w:val="000000"/>
          <w:sz w:val="20"/>
          <w:shd w:fill="FFFFFF" w:val="clear"/>
        </w:rPr>
        <w:t>have achieved the following operating and financial results for the six months ended July 31, 2023 and 2022, respectively:</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Revenue was $149.9 million and $143.6 million, respectively, representing 4.4% growth year-over-year;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Gross Profit was $64.6 million and $54.9 million, respectively, representing a gross margin of 43.1% and 38.2%, respectively;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Loss was $(56.9) million and $(76.4) million, respectively. Net Loss as a percentage of revenue was (38.0)% and (53.2)%, respectively;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Adjusted EBITDA was $12.2 million and $(7.0) million, respectively, representing an Adjusted EBITDA margin of 8.1% and (4.9)%, respectively;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cash used in operating activities plus net cash used in investing activities was $(29.6) million and $(53.8) million, respectively;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cash used in operating activities plus net cash used in investing activities as a percentage of revenue was (19.7)% and (37.5)%, respectively;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Cash and Cash Equivalents was $123.7 million and $192.3 million, respectively.</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Active Subscribers is defined as ending total subscribers as of period end, excluding paused subscribers.</w:t>
      </w:r>
    </w:p>
    <w:p>
      <w:pPr>
        <w:pStyle w:val="TextBody"/>
        <w:bidi w:val="0"/>
        <w:spacing w:lineRule="auto" w:line="28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Average Active Subscribers represents the mean of the beginning of quarter and end of quarter Active Subscribers for a quarterly period; and for other periods, represents the mean of the Average Active Subscribers of every quarter within that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Our Product Acquisition Strategy</w:t>
      </w:r>
    </w:p>
    <w:p>
      <w:pPr>
        <w:pStyle w:val="TextBody"/>
        <w:bidi w:val="0"/>
        <w:spacing w:lineRule="auto" w:line="288" w:before="120" w:after="283"/>
        <w:jc w:val="left"/>
        <w:rPr/>
      </w:pPr>
      <w:r>
        <w:rPr>
          <w:rFonts w:ascii="Arial;sans-serif" w:hAnsi="Arial;sans-serif"/>
          <w:b w:val="false"/>
          <w:color w:val="000000"/>
          <w:sz w:val="20"/>
          <w:shd w:fill="FFFFFF" w:val="clear"/>
        </w:rPr>
        <w:t xml:space="preserve">We acquire and monetize products in three ways: Wholesale, Share by RTR and Exclusive Designs. </w:t>
      </w:r>
      <w:r>
        <w:rPr>
          <w:rFonts w:ascii="Arial;sans-serif" w:hAnsi="Arial;sans-serif"/>
          <w:b w:val="false"/>
          <w:color w:val="000000"/>
          <w:sz w:val="20"/>
        </w:rPr>
        <w:t xml:space="preserve">Wholesale items are acquired directly from brand partners, typically at a discount to Wholesale price. Share by RTR items are acquired directly from brand partners on consignment, at zero to low upfront cost with performance-based revenue share payments to our brand partners over time. Exclusive Designs items are designed using our data in collaboration with our brand partners. These units are manufactured through third-party partners with a low upfront fee and minimal revenue share payments to our brand partners over time. </w:t>
      </w:r>
    </w:p>
    <w:p>
      <w:pPr>
        <w:pStyle w:val="TextBody"/>
        <w:bidi w:val="0"/>
        <w:spacing w:lineRule="auto" w:line="288" w:before="240" w:after="283"/>
        <w:jc w:val="left"/>
        <w:rPr/>
      </w:pPr>
      <w:r>
        <w:rPr>
          <w:rFonts w:ascii="Arial;sans-serif" w:hAnsi="Arial;sans-serif"/>
          <w:b w:val="false"/>
          <w:color w:val="000000"/>
          <w:sz w:val="20"/>
          <w:shd w:fill="FFFFFF" w:val="clear"/>
        </w:rPr>
        <w:t>Our three product acquisition methods are strategic levers to manage our capital efficiency, profitability and product risk. Our Exclusive Designs channel uses data insights to acquire items at a lower cost, which are designed to generate higher profitability over time. Share by RTR meaningfully reduces our purchases of rental product and de-risks our investment since we pay brands primarily based on item performance. Our Share by RTR arrangements with brands target deliverin</w:t>
      </w:r>
      <w:r>
        <w:rPr>
          <w:rFonts w:ascii="Arial;sans-serif" w:hAnsi="Arial;sans-serif"/>
          <w:b w:val="false"/>
          <w:color w:val="000000"/>
          <w:sz w:val="20"/>
        </w:rPr>
        <w:t>g 75% to 100% o</w:t>
      </w:r>
      <w:r>
        <w:rPr>
          <w:rFonts w:ascii="Arial;sans-serif" w:hAnsi="Arial;sans-serif"/>
          <w:b w:val="false"/>
          <w:color w:val="000000"/>
          <w:sz w:val="20"/>
          <w:shd w:fill="FFFFFF" w:val="clear"/>
        </w:rPr>
        <w:t xml:space="preserve">f comparable Wholesale cost to the brand in the first year; however there is no minimum commitment other than the upfront payment if applicable. Nearly all Share by RTR deals consummated after September 2020 include a cap on total potential payments to the brand partner. </w:t>
      </w:r>
    </w:p>
    <w:p>
      <w:pPr>
        <w:pStyle w:val="TextBody"/>
        <w:bidi w:val="0"/>
        <w:spacing w:lineRule="auto" w:line="288" w:before="240" w:after="283"/>
        <w:jc w:val="left"/>
        <w:rPr/>
      </w:pPr>
      <w:r>
        <w:rPr>
          <w:rFonts w:ascii="Arial;sans-serif" w:hAnsi="Arial;sans-serif"/>
          <w:b w:val="false"/>
          <w:color w:val="000000"/>
          <w:sz w:val="20"/>
        </w:rPr>
        <w:t xml:space="preserve">In fiscal year 2022, 42% of new items were acquired through Wholesale, 27% through Share by RTR and 31% through Exclusive Designs, compared to 45% Wholesale, 33% Share by RTR and 22% Exclusive Designs in fiscal year 2021. In total, approximately 58% of new items were acquired through the more capital-efficient channels in fiscal year 2022 and approximately 55% in fiscal year 2021. </w:t>
      </w:r>
      <w:r>
        <w:rPr>
          <w:rFonts w:ascii="Arial;sans-serif" w:hAnsi="Arial;sans-serif"/>
          <w:b w:val="false"/>
          <w:color w:val="000000"/>
          <w:sz w:val="20"/>
          <w:shd w:fill="FFFFFF" w:val="clear"/>
        </w:rPr>
        <w:t>Both our purchasing power and the diversification into Share by RTR and Exclusive Designs have led to a decrease in rental product capital expenditures (or Purchases of Rental Product as presented in the Condensed Consolidated Statement of Cash Flows) as a percentage of revenue over time. We plan to further decrease the percentage of units acquired through Wholesale and increase the percentage of units acquired through our more capital-efficient channels, Exclusive Designs and Share by RTR over time</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additional details about our business model and our product acquisition strategy, see our 2022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Key Factors Affecting Our Performance</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that our performance and future success depend on a variety of factors that present significant opportunities for our business, but also present risks and challenges that could adversely impact our growth and profitability.</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Subscribers and Customers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 xml:space="preserve">Ability to Attract and Retain Subscribers and Customers. </w:t>
      </w:r>
      <w:r>
        <w:rPr>
          <w:rFonts w:ascii="Arial;sans-serif" w:hAnsi="Arial;sans-serif"/>
          <w:b w:val="false"/>
          <w:color w:val="000000"/>
          <w:sz w:val="20"/>
        </w:rPr>
        <w:t>We believe that we have a significant market opportunity to increase our base of subscribers and customers, and that our long-term growth depends in large part on our continued ability to acquire and retain subscribers and customers. We provide a flexible offering that allows our subscribers to customize their subscription as their everyday life changes, choosing to pause and reactivate their membership as needed. We have also historically seen that many subscribers who cancel their subscription will return and resubscribe when membership again makes sense for their everyday life. Our strategies in fiscal year 2023 are focused on investing in and improving the customer experience to drive growth, including improving rental product in-stock levels, which we believe impacted subscriber growth in the second quarter of 2023. Our data indicate that newer subscribers were most negatively impacted by lower rental product in-stock levels. We have already made plans designed to address these lower in-stock levels through higher levels of rental product depth per style in future inventory purchases, and expect those changes to have a positive impact on retention, in particular during fiscal 2024. We believe that improving retention in the first 90 days of a subscription, which is when the majority of subscriber churn typically occurs, can increase loyalty and subscriber growth. Further, in the second quarter of 2023, we experimented with changes to our initial promotion prices for Subscription, which impacted subscriber acquisition. However, we believe that being less promotional going forward will have improved effects on retention and the overall health of the business over the longer-term and enable us to invest these resources into the customer experience. Accordingly, we expect our promotional activities to be below historical averages in the near to medium term, which is anticipated to reduce subscriber acquisition in the near term.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Brands and Products</w:t>
      </w:r>
    </w:p>
    <w:p>
      <w:pPr>
        <w:pStyle w:val="TextBody"/>
        <w:bidi w:val="0"/>
        <w:spacing w:lineRule="auto" w:line="288" w:before="180" w:after="283"/>
        <w:jc w:val="left"/>
        <w:rPr/>
      </w:pPr>
      <w:r>
        <w:rPr>
          <w:rFonts w:ascii="Arial;sans-serif" w:hAnsi="Arial;sans-serif"/>
          <w:b/>
          <w:i/>
          <w:color w:val="000000"/>
          <w:sz w:val="20"/>
        </w:rPr>
        <w:t xml:space="preserve">Ability to Acquire, Manage and Monetize Products Efficiently. </w:t>
      </w:r>
      <w:r>
        <w:rPr>
          <w:rFonts w:ascii="Arial;sans-serif" w:hAnsi="Arial;sans-serif"/>
          <w:b w:val="false"/>
          <w:color w:val="000000"/>
          <w:sz w:val="20"/>
        </w:rPr>
        <w:t>Our ability to deliver an elevated experience for our subscribers and</w:t>
      </w:r>
      <w:r>
        <w:rPr>
          <w:color w:val="000000"/>
        </w:rPr>
        <w:t xml:space="preserve"> </w:t>
      </w:r>
      <w:r>
        <w:rPr>
          <w:rFonts w:ascii="Arial;sans-serif" w:hAnsi="Arial;sans-serif"/>
          <w:b w:val="false"/>
          <w:color w:val="000000"/>
          <w:sz w:val="20"/>
        </w:rPr>
        <w:t>customers that keeps them loyal to RTR depends on us having the right assortment. For example, in fiscal year 2023 we are focused on enhancing the availability of the items on our site and increasing the depth of our buys (i.e., purchasing more units of particular styles). Due to our deep partnerships with brands, flexibility in our buying timelines and ability to react to advantageous retail purchasing environments, we can acquire products directly from brands in multiple cost effective ways.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In fiscal year 2022, approximately 58% of new items were acquired through our more capital efficient non-Wholesale channels, compared to 55% in fiscal year 2021. We plan to further increase the percentage of units acquired through Exclusive Designs and Share by RTR in fiscal year 2023. We continuously evaluate our product acquisition mix to maximize our strategic priorities.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Purchases of rental product includes the cost of wholesale products acquired in the period and other ancillary costs such as freight, where applicable. Many factors impact the purchases of rental product including our acquisition mix strategy, the proportion of subscribers to total customers, timing of when those subscribers are acquired, the formality of styles, brand assortment, opportunities in the market and timing of when the rental product is received and paid for. Purchases of rental product as a percentage of revenue in fiscal year 2022 was 21% as compared to 15% in fiscal year 2021. We anticipate this percentage to increase in fiscal year 2023 compared with fiscal year 2022 due to lower sales projections, anticipated reallocation of marketing dollars to rental product purchases and opportunistic purchases of attractively priced product beginning in the first quarter of fiscal year 2023. Due to seasonality factors, we track our progress on purchases of rental product as a percentage of revenue on a full year basis, as quarterly expenditures are not necessarily reflective of full year trends.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Ability to Achieve Leverage in our Cost Structure. </w:t>
      </w:r>
      <w:r>
        <w:rPr>
          <w:rFonts w:ascii="Arial;sans-serif" w:hAnsi="Arial;sans-serif"/>
          <w:b w:val="false"/>
          <w:color w:val="000000"/>
          <w:sz w:val="20"/>
        </w:rPr>
        <w:t>Improving operational efficiency of our platform is imperative to increasing profitability. We expect certain of our operating costs to increase as order volume increases and as we make investments to grow subscribers and revenue and to enhance the customer experience. In September 2022, we announced a restructuring plan that we expect to reduce operating expenses by approximately $25 million in fiscal year 2023 compared to the annualized run rate for the second quarter of fiscal year 2022. Though we anticipate quarterly fluctuations in operating leverage, with these reductions we expect our fixed costs to decrease as a percentage of total revenue in fiscal year 2023, and over time we anticipate that our operating costs will grow more slowly than our total revenue on an annual basis.</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Over time, we have improved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 </w:t>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 The 2022 Amended Temasek Facility reduces our cash interest payments during fiscal years 2023 and 2024 relative to the original agreement, which we expect to improve our overall liquidity.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Seasonality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experience seasonality in our business, which has been impacted and may in the future change due to the effects of COVID-19, the macro environment, and business decisions.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In fiscal year 2022, our active subscriber count increased sequentially in the first and third quarters and decreased sequentially in the second and fourth quarters. The third quarter increase and the fourth quarter decrease are generally consistent with more recent historical seasonality. Our second quarter historically has seen a moderate increase in active subscriber count compared to the first quarter (except in fiscal year 2021 which saw a significant increase post-Omicron variant), however the second quarter active subscriber count of fiscal year 2022 was further impacted by the price increase of our Subscription programs in April 2022. In the second quarter of 2023 we believe revenue and subscriber count was negatively impacted by rental product in-stock levels. As a result, our future seasonality may not resemble historical trends.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also experience seasonality in the timing of expenses and capital outlays. Transportation expense, and therefore fulfillment cost, is typically highest in the fourth fiscal quarter, given typical timing of carrier rate increases, higher service levels, such as more costly and expedited shipping, and competition during holidays. Our most significant product capital expenditures typically occur in the first fiscal quarter and the third fiscal quarter, when we acquire product for the upcoming fall and spring seasons. However, the impact on cash is typically dependent on timing of receipt of product.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Arial;sans-serif" w:hAnsi="Arial;sans-serif"/>
          <w:b/>
          <w:i/>
          <w:color w:val="000000"/>
          <w:sz w:val="20"/>
          <w:shd w:fill="FFFFFF" w:val="clear"/>
        </w:rPr>
        <w:t>Impact of </w:t>
      </w:r>
      <w:r>
        <w:rPr>
          <w:rFonts w:ascii="Arial;sans-serif" w:hAnsi="Arial;sans-serif"/>
          <w:b/>
          <w:i/>
          <w:color w:val="000000"/>
          <w:sz w:val="20"/>
        </w:rPr>
        <w:t>Macro and Consumer Environment on Our Business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There remains significant uncertainty in the current macroeconomic and consumer environment, driven by several factors, including inflationary pressures, potential risk of recession, ongoing industry-wide supply chain issues, instability in the financial system, the war in Ukraine and the COVID-19 pandemic. These factors have impacted, and are expected to continue to impact, consumer discretionary spending and purchasing behavior, price sensitivity, wage rates, transportation costs, and other costs associated with our business.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continue to review and learn how changes in customer behavior post COVID-19 pandemic may impact our business and demand, particularly in a challenging macro environment. We believe that Active Subscriber levels have been impacted by seasonal changes in consumer behavior and macro factors, such as higher levels of remote work and evolving demand for work wear, inflationary pressures and sensitivity to increased pricing, or other factors, particularly in the second quarter of fiscal year 2022, and may continue to be impacted by these factors in the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continue to take actions to adjust to the changing business environment and related inflationary pressure. For example, in light of potential pricing sensitivity in the current macro-economic environment, we are focused on investing in our customer and delivering even more value to her and emphasizing the value proposition of our offering in our marketing materials. In addition, we increased wage rates throughout fiscal year 2022 and during the first quarter of 2023 to attract and retain talent at our fulfillment centers and we expect to continue to be impacted by rising labor costs in the future. We also expect transportation costs to decrease in fiscal year 2023 due to transportation efficiencies and the impact of our new transportation contract with a major national carrier. While we expect to be able to reduce transportation costs in fiscal year 2023, we plan to continue to mitigate longer-term rising costs by seeking to optimize shipping methods and improve contractual and pricing terms. Although we continue to face a challenging environment, we plan to invest in our customers, manage our staffing and further leverage our transportation partners to help to drive growth and efficiencies in our business.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The </w:t>
      </w:r>
      <w:r>
        <w:rPr>
          <w:rFonts w:ascii="Arial;sans-serif" w:hAnsi="Arial;sans-serif"/>
          <w:b w:val="false"/>
          <w:color w:val="000000"/>
          <w:sz w:val="20"/>
        </w:rPr>
        <w:t>full extent to which the macro environment will directly or indirectly impact our business, results of operations, growth rates, and financial condition will depend on future developments that are highly uncertain and cannot be accurately predicted. Given this uncertainty, we cannot estimate the financial impact of the macro environment on our future results of operations, cash flows, or financial condition</w:t>
      </w:r>
      <w:r>
        <w:rPr>
          <w:rFonts w:ascii="Arial;sans-serif" w:hAnsi="Arial;sans-serif"/>
          <w:b w:val="false"/>
          <w:color w:val="000000"/>
          <w:sz w:val="20"/>
          <w:shd w:fill="FFFFFF" w:val="clear"/>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additional details about key factors affecting our performance, see our 2022 Annual Report on Form 10-K and Part II, Item 1A, “Risk Factors”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Key Business and Financial Metrics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to the measures presented in our condensed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generally accepted accounting principles in the United States (“U.S. GAAP”) and should be considered in conjunction with other metrics and components of our results of operations, such as each of the other key business and financial metrics, and our revenue and net loss.</w:t>
      </w:r>
    </w:p>
    <w:tbl>
      <w:tblPr>
        <w:tblW w:w="7669" w:type="dxa"/>
        <w:jc w:val="left"/>
        <w:tblInd w:w="0" w:type="dxa"/>
        <w:tblLayout w:type="fixed"/>
        <w:tblCellMar>
          <w:top w:w="28" w:type="dxa"/>
          <w:left w:w="28" w:type="dxa"/>
          <w:bottom w:w="28" w:type="dxa"/>
          <w:right w:w="28" w:type="dxa"/>
        </w:tblCellMar>
      </w:tblPr>
      <w:tblGrid>
        <w:gridCol w:w="924"/>
        <w:gridCol w:w="811"/>
        <w:gridCol w:w="814"/>
        <w:gridCol w:w="251"/>
        <w:gridCol w:w="645"/>
        <w:gridCol w:w="130"/>
        <w:gridCol w:w="130"/>
        <w:gridCol w:w="130"/>
        <w:gridCol w:w="130"/>
        <w:gridCol w:w="251"/>
        <w:gridCol w:w="645"/>
        <w:gridCol w:w="130"/>
        <w:gridCol w:w="109"/>
        <w:gridCol w:w="109"/>
        <w:gridCol w:w="109"/>
        <w:gridCol w:w="240"/>
        <w:gridCol w:w="616"/>
        <w:gridCol w:w="118"/>
        <w:gridCol w:w="118"/>
        <w:gridCol w:w="118"/>
        <w:gridCol w:w="118"/>
        <w:gridCol w:w="240"/>
        <w:gridCol w:w="616"/>
        <w:gridCol w:w="167"/>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in millions)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Active Subscribers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Active Subscribers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(1)</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120"/>
        <w:ind w:left="0" w:right="0" w:hanging="360"/>
        <w:jc w:val="left"/>
        <w:rPr>
          <w:rFonts w:ascii="Arial;sans-serif" w:hAnsi="Arial;sans-serif"/>
          <w:b w:val="false"/>
          <w:color w:val="000000"/>
          <w:sz w:val="16"/>
        </w:rPr>
      </w:pPr>
      <w:r>
        <w:rPr>
          <w:rFonts w:ascii="Arial;sans-serif" w:hAnsi="Arial;sans-serif"/>
          <w:b w:val="false"/>
          <w:color w:val="000000"/>
          <w:sz w:val="16"/>
        </w:rPr>
        <w:t>(1)Adjusted EBITDA is a non-GAAP financial measure; for a reconciliation to the most directly comparable U.S. GAAP financial measure, net loss, and why we consider Adjusted EBITDA to be a useful metric, see “—Non-GAAP Financial Metrics” below.</w:t>
      </w:r>
    </w:p>
    <w:p>
      <w:pPr>
        <w:pStyle w:val="TextBody"/>
        <w:bidi w:val="0"/>
        <w:spacing w:lineRule="auto" w:line="288" w:before="120" w:after="283"/>
        <w:jc w:val="left"/>
        <w:rPr/>
      </w:pPr>
      <w:r>
        <w:rPr>
          <w:rFonts w:ascii="Arial;sans-serif" w:hAnsi="Arial;sans-serif"/>
          <w:b/>
          <w:color w:val="000000"/>
          <w:sz w:val="20"/>
          <w:shd w:fill="FFFFFF" w:val="clear"/>
        </w:rPr>
        <w:t>Active Subscribers</w:t>
      </w:r>
      <w:r>
        <w:rPr>
          <w:rFonts w:ascii="Arial;sans-serif" w:hAnsi="Arial;sans-serif"/>
          <w:b w:val="false"/>
          <w:color w:val="000000"/>
          <w:sz w:val="20"/>
          <w:shd w:fill="FFFFFF" w:val="clear"/>
        </w:rPr>
        <w:t>: Active Subscribers represents the number of subscribers with an active membership as of the last day of any given pe</w:t>
      </w:r>
      <w:r>
        <w:rPr>
          <w:rFonts w:ascii="Arial;sans-serif" w:hAnsi="Arial;sans-serif"/>
          <w:b w:val="false"/>
          <w:color w:val="000000"/>
          <w:sz w:val="20"/>
        </w:rPr>
        <w:t xml:space="preserve">riod and excludes paused subscribers. As of July 31, 2023, we had 137,566 Active Subscribers, up 11% year-over-year. Our Active Subscribers increased primarily due to improvements in the customer experience, partially offset by the impact of lower rental product in-stock levels.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Average Active Subscribers: </w:t>
      </w:r>
      <w:r>
        <w:rPr>
          <w:rFonts w:ascii="Arial;sans-serif" w:hAnsi="Arial;sans-serif"/>
          <w:b w:val="false"/>
          <w:color w:val="000000"/>
          <w:sz w:val="20"/>
        </w:rPr>
        <w:t>Average Active Subscribers represents the mean of the beginning of quarter and end of quarter Active Subscribers for a quarterly period; and for other periods, represents the mean of the Average Active Subscribers of every quarter within that period. As of July 31, 2023, we had 141,393 Average Active Subscribers, up from 129,565 as of July 31, 2022, or a 9% increase year-over-year. Average Active Subscribers align to revenue levels in the period, while Active Subscribers are measured as of a specific day.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68" w:before="0" w:after="0"/>
        <w:jc w:val="left"/>
        <w:rPr/>
      </w:pPr>
      <w:r>
        <w:rPr>
          <w:rFonts w:ascii="Arial;sans-serif" w:hAnsi="Arial;sans-serif"/>
          <w:b/>
          <w:color w:val="000000"/>
          <w:sz w:val="20"/>
        </w:rPr>
        <w:t xml:space="preserve">Gross Profit and Gross Margin: </w:t>
      </w:r>
      <w:r>
        <w:rPr>
          <w:rFonts w:ascii="Arial;sans-serif" w:hAnsi="Arial;sans-serif"/>
          <w:b w:val="false"/>
          <w:color w:val="000000"/>
          <w:sz w:val="20"/>
        </w:rPr>
        <w:t>We define Gross Profit as total revenue less costs related to activities to fulfill customer orders and rental product acquisition costs, presented as fulfillment and rental product depreciation and revenue share, respectively, on the condensed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condensed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 Gross Profit was $33.2 million for the three months ended July 31, 2023 compared to $32.4 million for the three months ended July 31, 2022 representing Gross Margins of 43.9% and 42.4%, respectively. Gross Profit was $64.6 million for the six months ended July 31, 2023 compared to $54.9 million for the six months ended July 31, 2022 representing Gross Margins of 43.1% and 38.2%, respectively. The significant increase in Gross Profit and Gross Margin for the three and six months ended July 31, 2023 was driven by efficiencies in fulfillment costs and lower rental product depreciation costs. Rental product depreciation decreased due to the lower proportion of Wholesale items relative to prior year. The impact of our April 2022 price increase also drove the increase in Gross Profit and Gross Margin for the six months ended July 31, 2023. While we previously anticipated that Gross Margin may be lower in fiscal year 2023 compared to fiscal year 2022 due to the extra items in our subscription plans and decrease in our Reserve business, we now anticipate being able to offset those drivers with transportation efficiencies and the impact of our new transportation contract. We will seek to continue to drive fulfillment and operational efficiency gains over time and strategically evolve our mix of product acquisition to offset cost increases and/or higher units processed per shipment.</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Adjusted EBITDA and Adjusted EBITDA Margin: </w:t>
      </w:r>
      <w:r>
        <w:rPr>
          <w:rFonts w:ascii="Arial;sans-serif" w:hAnsi="Arial;sans-serif"/>
          <w:b w:val="false"/>
          <w:color w:val="000000"/>
          <w:sz w:val="20"/>
        </w:rPr>
        <w:t>We define Adjusted EBITDA as net loss, adjusted to exclude interest expense, rental product depreciation, other depreciation and amortization, share-based compensation expense, write-off of liquidated rental product assets, certain non-recurring or one-time costs (see below footnotes to the reconciliation table), income tax (benefit) expense, other income and expense, and other gains / losses. We define Adjusted EBITDA Margin as Adjusted EBITDA as a percentage of total revenue, net for a period. Adjusted EBITDA was $7.7 million for the three months ended July 31, 2023 compared to $1.8 million for the three months ended July 31, 2022, representing margins of 10.2% and 2.4%, respectively. Adjusted EBITDA was $12.2 million for the six months ended July 31, 2023 compared to $(7.0) million for the six months ended July 31, 2022, representing margins of 8.1% and (4.9)%, respectively. Adjusted EBITDA Margin significantly improved for the three and six months ended July 31, 2023 due to the improvement in Gross Profit and Gross Margin, impact of the restructuring plan, and improved operating leverage across technology, marketing and general and administrative expenses even with additional strategic investments.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we have the opportunity to improve Adjusted EBITDA and offset cost increases and/or higher units processed per shipment as we increase revenue and drive fulfillment and operational efficiency gains and operating expense leverage. In particular, we continue to expect our September 2022 restructuring plan to significantly reduce fixed costs and improve operating expense leverage in fiscal year 2023 compared to fiscal year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Total Revenue,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total revenue, net consists of Subscription and Reserve rental revenue and Other revenue. Total revenue is presented net of promotional discounts, credits and refunds and taxes. In fiscal year 2022, our revenue growth rate benefited from COVID recovery and the April 2022 price increase compared to fiscal year 2021. We anticipate our total revenue growth rate to decelerate due to an anticipated lower growth rate of Average Active Subscribers in fiscal year 2023 relative to fiscal year 2022 and in part due to an anticipated decrease in Reserve revenue in fiscal year 2023 compared to fiscal year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pPr>
      <w:r>
        <w:rPr>
          <w:rFonts w:ascii="Arial;sans-serif" w:hAnsi="Arial;sans-serif"/>
          <w:b/>
          <w:i/>
          <w:color w:val="000000"/>
          <w:sz w:val="20"/>
        </w:rPr>
        <w:t>Subscription and Reserve Rental Revenue.</w:t>
      </w:r>
      <w:r>
        <w:rPr>
          <w:color w:val="000000"/>
        </w:rPr>
        <w:t>    </w:t>
      </w:r>
      <w:r>
        <w:rPr>
          <w:rFonts w:ascii="Arial;sans-serif" w:hAnsi="Arial;sans-serif"/>
          <w:b w:val="false"/>
          <w:color w:val="000000"/>
          <w:sz w:val="20"/>
        </w:rPr>
        <w:t>We generate Subscription and Reserve rental revenue from subscription and Reserve rental fees.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announced a price increase in April 2022 for our subscription plans, which has since increased revenue per subscriber. We recognize Reserve fees over the rental period, which starts on the date of delivery of the product to the customer. Reserve orders can be placed up to four months prior to the rental start date and the customer’s payment form is charged upon order confirmation. We defer recognizing the rental fees and any related promotions for Reserve rentals until the date of delivery, and then recognize those fees evenly over the four- or eight-day rental period.</w:t>
      </w:r>
    </w:p>
    <w:p>
      <w:pPr>
        <w:pStyle w:val="TextBody"/>
        <w:bidi w:val="0"/>
        <w:spacing w:lineRule="auto" w:line="288" w:before="240" w:after="283"/>
        <w:jc w:val="left"/>
        <w:rPr/>
      </w:pPr>
      <w:r>
        <w:rPr>
          <w:rFonts w:ascii="Arial;sans-serif" w:hAnsi="Arial;sans-serif"/>
          <w:b/>
          <w:i/>
          <w:color w:val="000000"/>
          <w:sz w:val="20"/>
        </w:rPr>
        <w:t>Other Revenue.</w:t>
      </w:r>
      <w:r>
        <w:rPr>
          <w:color w:val="000000"/>
        </w:rPr>
        <w:t>    </w:t>
      </w:r>
      <w:r>
        <w:rPr>
          <w:rFonts w:ascii="Arial;sans-serif" w:hAnsi="Arial;sans-serif"/>
          <w:b w:val="false"/>
          <w:color w:val="000000"/>
          <w:sz w:val="20"/>
        </w:rPr>
        <w:t>We generate Other revenue primarily from the sale of products while they are in rental condition. We offer the ability for subscribers and customers to purchase 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initiatives which may cause quarterly fluctuations in the Other revenue line.</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Costs and Expenses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Fulfillment.    </w:t>
      </w:r>
      <w:r>
        <w:rPr>
          <w:rFonts w:ascii="Arial;sans-serif" w:hAnsi="Arial;sans-serif"/>
          <w:b w:val="false"/>
          <w:color w:val="000000"/>
          <w:sz w:val="20"/>
        </w:rPr>
        <w:t>Fulfillment expenses consist of all costs to receive, process and fulfill customer orders. This primarily includes shipping costs to/from customers and personnel and 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costs to increase as order volume increases. In fiscal year 2022 costs to ship orders increased due to increasing prices in the transportation market. Fulfillment expense may fluctuate due to various factors including commercial terms and market trends. Fulfillment expense may also increase due to competitive pressures in the labor market which could lead to continued higher wage rates. We increased warehouse wage rates during fiscal year 2022 and expect to continue to be impacted by rising wage rates in the future. During the first and second quarters of fiscal year 2023, we realized efficiencies that offset fulfillment cost increases. For fiscal year 2023, we expect to offset fulfillment expense increases with transportation efficiencies and the impact of our new transportation contract. We expect to continue to invest in automation, other process improvements to support and drive efficiencies in our operations and negotiate better pricing where possible. To the extent we are successful in becoming more efficient in fulfilling orders, and at a magnitude that is able to offset long-term increases in shipping costs, wage rates and cleaning/packing supply price increases, we would expect these expenses to decrease as a percentage of total revenue over the longer term.</w:t>
      </w:r>
    </w:p>
    <w:p>
      <w:pPr>
        <w:pStyle w:val="TextBody"/>
        <w:bidi w:val="0"/>
        <w:spacing w:lineRule="auto" w:line="288" w:before="240" w:after="283"/>
        <w:jc w:val="left"/>
        <w:rPr/>
      </w:pPr>
      <w:r>
        <w:rPr>
          <w:rFonts w:ascii="Arial;sans-serif" w:hAnsi="Arial;sans-serif"/>
          <w:b/>
          <w:i/>
          <w:color w:val="000000"/>
          <w:sz w:val="20"/>
        </w:rPr>
        <w:t>Technology.</w:t>
      </w:r>
      <w:r>
        <w:rPr>
          <w:color w:val="000000"/>
        </w:rPr>
        <w:t>    </w:t>
      </w:r>
      <w:r>
        <w:rPr>
          <w:rFonts w:ascii="Arial;sans-serif" w:hAnsi="Arial;sans-serif"/>
          <w:b w:val="false"/>
          <w:color w:val="000000"/>
          <w:sz w:val="20"/>
        </w:rPr>
        <w:t>Technology expenses consist of personnel and related costs for employees engaged in software development and engineering, quality assurance, product, 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We expect these expenses to decrease in dollars and as a percentage of total revenue compared to fiscal year 2022 as a result of our restructuring plan. Over the medium to long term, these expenses may increase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pStyle w:val="TextBody"/>
        <w:bidi w:val="0"/>
        <w:spacing w:lineRule="auto" w:line="288" w:before="240" w:after="283"/>
        <w:jc w:val="left"/>
        <w:rPr/>
      </w:pPr>
      <w:r>
        <w:rPr>
          <w:rFonts w:ascii="Arial;sans-serif" w:hAnsi="Arial;sans-serif"/>
          <w:b/>
          <w:i/>
          <w:color w:val="000000"/>
          <w:sz w:val="20"/>
        </w:rPr>
        <w:t>Marketing.</w:t>
      </w:r>
      <w:r>
        <w:rPr>
          <w:color w:val="000000"/>
        </w:rPr>
        <w:t>    </w:t>
      </w:r>
      <w:r>
        <w:rPr>
          <w:rFonts w:ascii="Arial;sans-serif" w:hAnsi="Arial;sans-serif"/>
          <w:b w:val="false"/>
          <w:color w:val="000000"/>
          <w:sz w:val="20"/>
        </w:rPr>
        <w:t>Marketing expenses include online and mobile marketing, search engine optimization and email costs, marketing personnel and related costs, agency fees, brand marketing, printed collateral, consumer research, and other related costs. Marketing expenses unrelated to personnel costs may increase if we increase marketing spend to drive the growth of our business and increase our brand awareness. Marketing expenses in the third and fourth quarter of fiscal 2023 are expected to decrease as compared to the prior year as we plan to reallocate a portion of our budgeted marketing expenses to rental product purchases, which is anticipated to reduce subscriber acquisition in the near term. The trend and timing of our marketing expenses will depend in part on the timing of marketing campaigns.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pPr>
      <w:r>
        <w:rPr>
          <w:rFonts w:ascii="Arial;sans-serif" w:hAnsi="Arial;sans-serif"/>
          <w:b/>
          <w:i/>
          <w:color w:val="000000"/>
          <w:sz w:val="20"/>
        </w:rPr>
        <w:t>General and Administrative.</w:t>
      </w:r>
      <w:r>
        <w:rPr>
          <w:color w:val="000000"/>
        </w:rPr>
        <w:t>    </w:t>
      </w:r>
      <w:r>
        <w:rPr>
          <w:rFonts w:ascii="Arial;sans-serif" w:hAnsi="Arial;sans-serif"/>
          <w:b w:val="false"/>
          <w:color w:val="000000"/>
          <w:sz w:val="20"/>
        </w:rPr>
        <w:t>General and administrative (“G&amp;A”) expenses consist of all other personnel and related costs for customer service, finance, tax, legal, human resources, fashion and photography and fixed operations costs. General and administrative expenses also includes occupancy costs (including warehouse-related), professional services, credit card fees, general corporate and warehouse expenses, other administrative costs, and gains and losses associated with asset disposals and operating lease terminations. In fiscal year 2023, we expect these expenses to decrease significantly in dollars and as a percentage of total revenue compared to fiscal year 2022 as a result of our September 2022 restructuring plan while over the medium to long term, we expect these expenses to increase as we grow our infrastructure to support the overall growth of the business. Rent expense and other facilities-related costs may increase in the future due to inflation or to support overall business growth and fulfillment efficiencies. While these expenses may vary from period to period as a percentage of total revenue, we expect them to decrease as a percentage of total revenue over the longer term.</w:t>
      </w:r>
    </w:p>
    <w:p>
      <w:pPr>
        <w:pStyle w:val="TextBody"/>
        <w:bidi w:val="0"/>
        <w:spacing w:lineRule="auto" w:line="288" w:before="240" w:after="283"/>
        <w:jc w:val="left"/>
        <w:rPr/>
      </w:pPr>
      <w:r>
        <w:rPr>
          <w:rFonts w:ascii="Arial;sans-serif" w:hAnsi="Arial;sans-serif"/>
          <w:b/>
          <w:i/>
          <w:color w:val="000000"/>
          <w:sz w:val="20"/>
        </w:rPr>
        <w:t>Rental Product Depreciation and Revenue Share.</w:t>
      </w:r>
      <w:r>
        <w:rPr>
          <w:color w:val="000000"/>
        </w:rPr>
        <w:t>    </w:t>
      </w:r>
      <w:r>
        <w:rPr>
          <w:rFonts w:ascii="Arial;sans-serif" w:hAnsi="Arial;sans-serif"/>
          <w:b w:val="false"/>
          <w:color w:val="000000"/>
          <w:sz w:val="20"/>
        </w:rPr>
        <w:t>Rental product depreciation and revenue share expenses consist of depreciation and 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and when we acquire items as well as the mix of our rental product base.</w:t>
      </w:r>
    </w:p>
    <w:p>
      <w:pPr>
        <w:pStyle w:val="TextBody"/>
        <w:bidi w:val="0"/>
        <w:spacing w:lineRule="auto" w:line="288" w:before="240" w:after="283"/>
        <w:jc w:val="left"/>
        <w:rPr/>
      </w:pPr>
      <w:r>
        <w:rPr>
          <w:rFonts w:ascii="Arial;sans-serif" w:hAnsi="Arial;sans-serif"/>
          <w:b/>
          <w:i/>
          <w:color w:val="000000"/>
          <w:sz w:val="20"/>
        </w:rPr>
        <w:t>Other Depreciation and Amortization.</w:t>
      </w:r>
      <w:r>
        <w:rPr>
          <w:color w:val="000000"/>
        </w:rPr>
        <w:t>    </w:t>
      </w:r>
      <w:r>
        <w:rPr>
          <w:rFonts w:ascii="Arial;sans-serif" w:hAnsi="Arial;sans-serif"/>
          <w:b w:val="false"/>
          <w:color w:val="000000"/>
          <w:sz w:val="20"/>
        </w:rPr>
        <w:t>Other depreciation and amortization expenses consist of depreciation and amortization amounts for fixed assets, intangible assets including capitalized software, and financing right-of-use assets.</w:t>
      </w:r>
    </w:p>
    <w:p>
      <w:pPr>
        <w:pStyle w:val="TextBody"/>
        <w:bidi w:val="0"/>
        <w:spacing w:lineRule="auto" w:line="288" w:before="360" w:after="283"/>
        <w:jc w:val="left"/>
        <w:rPr/>
      </w:pPr>
      <w:r>
        <w:rPr>
          <w:rFonts w:ascii="Arial;sans-serif" w:hAnsi="Arial;sans-serif"/>
          <w:b/>
          <w:i/>
          <w:color w:val="000000"/>
          <w:sz w:val="20"/>
        </w:rPr>
        <w:t xml:space="preserve">Interest Income / (Expense). </w:t>
      </w:r>
      <w:r>
        <w:rPr>
          <w:rFonts w:ascii="Arial;sans-serif" w:hAnsi="Arial;sans-serif"/>
          <w:b w:val="false"/>
          <w:color w:val="000000"/>
          <w:sz w:val="20"/>
        </w:rPr>
        <w:t xml:space="preserve">Interest income / (expense) consists primarily of accrued paid-in-kind interest, cash and cash equivalents interest and debt issuance cost amortization associated with our 2022 Amended Temasek Facility going forward.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Other Income / (Expense).</w:t>
      </w:r>
      <w:r>
        <w:rPr>
          <w:color w:val="000000"/>
        </w:rPr>
        <w:t xml:space="preserve"> </w:t>
      </w:r>
      <w:r>
        <w:rPr>
          <w:rFonts w:ascii="Arial;sans-serif" w:hAnsi="Arial;sans-serif"/>
          <w:b w:val="false"/>
          <w:color w:val="000000"/>
          <w:sz w:val="20"/>
        </w:rPr>
        <w:t>Other income / (expense) consists primarily of proceeds from monetizing tax credits associated with growth.</w:t>
      </w:r>
    </w:p>
    <w:p>
      <w:pPr>
        <w:pStyle w:val="TextBody"/>
        <w:bidi w:val="0"/>
        <w:spacing w:lineRule="auto" w:line="288" w:before="360" w:after="283"/>
        <w:jc w:val="left"/>
        <w:rPr/>
      </w:pPr>
      <w:r>
        <w:rPr>
          <w:rFonts w:ascii="Arial;sans-serif" w:hAnsi="Arial;sans-serif"/>
          <w:b/>
          <w:i/>
          <w:color w:val="000000"/>
          <w:sz w:val="20"/>
        </w:rPr>
        <w:t xml:space="preserve">Income Tax Benefit / (Expense). </w:t>
      </w:r>
      <w:r>
        <w:rPr>
          <w:rFonts w:ascii="Arial;sans-serif" w:hAnsi="Arial;sans-serif"/>
          <w:b w:val="false"/>
          <w:color w:val="000000"/>
          <w:sz w:val="20"/>
        </w:rPr>
        <w:t>Income taxes consist primarily of state minimum taxes and Irish refundable tax credits. We have established a valuation allowance for our U.S. federal and state 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Results of Operations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results of operations presented below should be reviewed in conjunction with the condensed consolidated financial statements and notes included elsewhere in this Quarterly Report on Form 10-Q. The following tables set forth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483"/>
        <w:gridCol w:w="1299"/>
        <w:gridCol w:w="1305"/>
        <w:gridCol w:w="236"/>
        <w:gridCol w:w="673"/>
        <w:gridCol w:w="121"/>
        <w:gridCol w:w="121"/>
        <w:gridCol w:w="121"/>
        <w:gridCol w:w="121"/>
        <w:gridCol w:w="236"/>
        <w:gridCol w:w="673"/>
        <w:gridCol w:w="121"/>
        <w:gridCol w:w="109"/>
        <w:gridCol w:w="109"/>
        <w:gridCol w:w="109"/>
        <w:gridCol w:w="211"/>
        <w:gridCol w:w="646"/>
        <w:gridCol w:w="109"/>
        <w:gridCol w:w="109"/>
        <w:gridCol w:w="109"/>
        <w:gridCol w:w="109"/>
        <w:gridCol w:w="211"/>
        <w:gridCol w:w="646"/>
        <w:gridCol w:w="1218"/>
      </w:tblGrid>
      <w:tr>
        <w:trPr/>
        <w:tc>
          <w:tcPr>
            <w:tcW w:w="148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and Reserve rental revenue</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218"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 net</w:t>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143.6 </w:t>
            </w:r>
          </w:p>
        </w:tc>
        <w:tc>
          <w:tcPr>
            <w:tcW w:w="1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and expenses:</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Fulfillment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218"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2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Rental product depreciation and revenue share</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121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depreciation and amortization</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218"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202.4 </w:t>
            </w:r>
          </w:p>
        </w:tc>
        <w:tc>
          <w:tcPr>
            <w:tcW w:w="1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w:t>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 (expense), net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 (expense), net</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2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before income tax benefit / (expense)</w:t>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w:t>
            </w:r>
          </w:p>
        </w:tc>
        <w:tc>
          <w:tcPr>
            <w:tcW w:w="1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8" w:type="dxa"/>
            <w:tcBorders/>
            <w:shd w:fill="CCEE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w:t>
            </w:r>
          </w:p>
        </w:tc>
        <w:tc>
          <w:tcPr>
            <w:tcW w:w="1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pPr>
      <w:r>
        <w:rPr>
          <w:rFonts w:ascii="Arial;sans-serif" w:hAnsi="Arial;sans-serif"/>
          <w:b/>
          <w:i/>
          <w:color w:val="000000"/>
          <w:sz w:val="20"/>
          <w:shd w:fill="FFFFFF" w:val="clear"/>
        </w:rPr>
        <w:t xml:space="preserve">Comparison of the </w:t>
      </w:r>
      <w:r>
        <w:rPr>
          <w:rFonts w:ascii="Arial;sans-serif" w:hAnsi="Arial;sans-serif"/>
          <w:b/>
          <w:i/>
          <w:color w:val="000000"/>
          <w:sz w:val="20"/>
        </w:rPr>
        <w:t>three months ended July 31, 2023</w:t>
      </w:r>
      <w:r>
        <w:rPr>
          <w:color w:val="000000"/>
          <w:shd w:fill="FFFFFF" w:val="clear"/>
        </w:rPr>
        <w:t xml:space="preserve"> </w:t>
      </w:r>
      <w:r>
        <w:rPr>
          <w:rFonts w:ascii="Arial;sans-serif" w:hAnsi="Arial;sans-serif"/>
          <w:b/>
          <w:i/>
          <w:color w:val="000000"/>
          <w:sz w:val="20"/>
          <w:shd w:fill="FFFFFF" w:val="clear"/>
        </w:rPr>
        <w:t>and 2022</w:t>
      </w:r>
    </w:p>
    <w:p>
      <w:pPr>
        <w:pStyle w:val="TextBody"/>
        <w:bidi w:val="0"/>
        <w:spacing w:lineRule="auto" w:line="288" w:before="120" w:after="283"/>
        <w:jc w:val="left"/>
        <w:rPr/>
      </w:pPr>
      <w:r>
        <w:rPr>
          <w:rFonts w:ascii="Arial;sans-serif" w:hAnsi="Arial;sans-serif"/>
          <w:b/>
          <w:i/>
          <w:color w:val="000000"/>
          <w:sz w:val="20"/>
          <w:shd w:fill="FFFFFF" w:val="clear"/>
        </w:rPr>
        <w:t>Total Revenue, Net.</w:t>
      </w:r>
      <w:r>
        <w:rPr>
          <w:color w:val="000000"/>
          <w:shd w:fill="FFFFFF" w:val="clear"/>
        </w:rPr>
        <w:t>    </w:t>
      </w:r>
      <w:r>
        <w:rPr>
          <w:rFonts w:ascii="Arial;sans-serif" w:hAnsi="Arial;sans-serif"/>
          <w:b w:val="false"/>
          <w:color w:val="000000"/>
          <w:sz w:val="20"/>
          <w:shd w:fill="FFFFFF" w:val="clear"/>
        </w:rPr>
        <w:t>Total revenue, net was $</w:t>
      </w:r>
      <w:r>
        <w:rPr>
          <w:rFonts w:ascii="Arial;sans-serif" w:hAnsi="Arial;sans-serif"/>
          <w:b w:val="false"/>
          <w:color w:val="000000"/>
          <w:sz w:val="20"/>
        </w:rPr>
        <w:t>75.7</w:t>
      </w:r>
      <w:r>
        <w:rPr>
          <w:color w:val="000000"/>
          <w:shd w:fill="FFFFFF" w:val="clear"/>
        </w:rPr>
        <w:t> </w:t>
      </w:r>
      <w:r>
        <w:rPr>
          <w:rFonts w:ascii="Arial;sans-serif" w:hAnsi="Arial;sans-serif"/>
          <w:b w:val="false"/>
          <w:color w:val="000000"/>
          <w:sz w:val="20"/>
          <w:shd w:fill="FFFFFF" w:val="clear"/>
        </w:rPr>
        <w:t xml:space="preserve">million for the </w:t>
      </w:r>
      <w:r>
        <w:rPr>
          <w:rFonts w:ascii="Arial;sans-serif" w:hAnsi="Arial;sans-serif"/>
          <w:b w:val="false"/>
          <w:color w:val="000000"/>
          <w:sz w:val="20"/>
        </w:rPr>
        <w:t>three months ended July 31, 2023</w:t>
      </w:r>
      <w:r>
        <w:rPr>
          <w:rFonts w:ascii="Arial;sans-serif" w:hAnsi="Arial;sans-serif"/>
          <w:b w:val="false"/>
          <w:color w:val="000000"/>
          <w:sz w:val="20"/>
          <w:shd w:fill="FFFFFF" w:val="clear"/>
        </w:rPr>
        <w:t xml:space="preserve">, a decrease of $(0.8) million, or (1.0)%, compared to $76.5 million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July 31, 2022. This decrease was primarily driven by</w:t>
      </w:r>
      <w:r>
        <w:rPr>
          <w:color w:val="000000"/>
        </w:rPr>
        <w:t xml:space="preserve"> </w:t>
      </w:r>
      <w:r>
        <w:rPr>
          <w:rFonts w:ascii="Arial;sans-serif" w:hAnsi="Arial;sans-serif"/>
          <w:b w:val="false"/>
          <w:color w:val="000000"/>
          <w:sz w:val="20"/>
        </w:rPr>
        <w:t>lo</w:t>
      </w:r>
      <w:r>
        <w:rPr>
          <w:rFonts w:ascii="Arial;sans-serif" w:hAnsi="Arial;sans-serif"/>
          <w:b w:val="false"/>
          <w:color w:val="000000"/>
          <w:sz w:val="20"/>
          <w:shd w:fill="FFFFFF" w:val="clear"/>
        </w:rPr>
        <w:t>wer reserve revenue and lower revenue per subscriber which was offset by higher Average Active Subscribers. Other revenue increased because of an increase in total items sold.</w:t>
      </w:r>
    </w:p>
    <w:p>
      <w:pPr>
        <w:pStyle w:val="TextBody"/>
        <w:bidi w:val="0"/>
        <w:spacing w:lineRule="auto" w:line="288" w:before="240" w:after="283"/>
        <w:jc w:val="left"/>
        <w:rPr/>
      </w:pPr>
      <w:r>
        <w:rPr>
          <w:rFonts w:ascii="Arial;sans-serif" w:hAnsi="Arial;sans-serif"/>
          <w:b/>
          <w:i/>
          <w:color w:val="000000"/>
          <w:sz w:val="20"/>
          <w:shd w:fill="FFFFFF" w:val="clear"/>
        </w:rPr>
        <w:t>Subscription and Reserve Rental Revenue.</w:t>
      </w:r>
      <w:r>
        <w:rPr>
          <w:color w:val="000000"/>
          <w:shd w:fill="FFFFFF" w:val="clear"/>
        </w:rPr>
        <w:t>    </w:t>
      </w:r>
      <w:r>
        <w:rPr>
          <w:rFonts w:ascii="Arial;sans-serif" w:hAnsi="Arial;sans-serif"/>
          <w:b w:val="false"/>
          <w:color w:val="000000"/>
          <w:sz w:val="20"/>
          <w:shd w:fill="FFFFFF" w:val="clear"/>
        </w:rPr>
        <w:t xml:space="preserve">Subscription and Reserve rental revenue was $68.0 million for the </w:t>
      </w:r>
      <w:r>
        <w:rPr>
          <w:rFonts w:ascii="Arial;sans-serif" w:hAnsi="Arial;sans-serif"/>
          <w:b w:val="false"/>
          <w:color w:val="000000"/>
          <w:sz w:val="20"/>
        </w:rPr>
        <w:t>three months ended July 31, 2023</w:t>
      </w:r>
      <w:r>
        <w:rPr>
          <w:rFonts w:ascii="Arial;sans-serif" w:hAnsi="Arial;sans-serif"/>
          <w:b w:val="false"/>
          <w:color w:val="000000"/>
          <w:sz w:val="20"/>
          <w:shd w:fill="FFFFFF" w:val="clear"/>
        </w:rPr>
        <w:t xml:space="preserve">, a decrease of $(2.0) million, or (2.9)%, compared to $70.0 million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 xml:space="preserve">July 31, 2022. This decrease was </w:t>
      </w:r>
      <w:r>
        <w:rPr>
          <w:rFonts w:ascii="Arial;sans-serif" w:hAnsi="Arial;sans-serif"/>
          <w:b w:val="false"/>
          <w:color w:val="000000"/>
          <w:sz w:val="20"/>
        </w:rPr>
        <w:t>driven by lower reserve revenue and lower revenue per subscriber which was driven by lower add-on rates, the impact of our promotion strategy that influenced timing of subscribers and changes in subscription program mix and was offset by higher Average Active Subscribers.</w:t>
      </w:r>
    </w:p>
    <w:p>
      <w:pPr>
        <w:pStyle w:val="TextBody"/>
        <w:bidi w:val="0"/>
        <w:spacing w:lineRule="auto" w:line="288" w:before="240" w:after="283"/>
        <w:jc w:val="left"/>
        <w:rPr/>
      </w:pPr>
      <w:r>
        <w:rPr>
          <w:rFonts w:ascii="Arial;sans-serif" w:hAnsi="Arial;sans-serif"/>
          <w:b/>
          <w:i/>
          <w:color w:val="000000"/>
          <w:sz w:val="20"/>
          <w:shd w:fill="FFFFFF" w:val="clear"/>
        </w:rPr>
        <w:t>Other Revenue.</w:t>
      </w:r>
      <w:r>
        <w:rPr>
          <w:color w:val="000000"/>
          <w:shd w:fill="FFFFFF" w:val="clear"/>
        </w:rPr>
        <w:t>    </w:t>
      </w:r>
      <w:r>
        <w:rPr>
          <w:rFonts w:ascii="Arial;sans-serif" w:hAnsi="Arial;sans-serif"/>
          <w:b w:val="false"/>
          <w:color w:val="000000"/>
          <w:sz w:val="20"/>
          <w:shd w:fill="FFFFFF" w:val="clear"/>
        </w:rPr>
        <w:t xml:space="preserve">Other revenue was $7.7 million for the </w:t>
      </w:r>
      <w:r>
        <w:rPr>
          <w:rFonts w:ascii="Arial;sans-serif" w:hAnsi="Arial;sans-serif"/>
          <w:b w:val="false"/>
          <w:color w:val="000000"/>
          <w:sz w:val="20"/>
        </w:rPr>
        <w:t>three months ended July 31, 2023</w:t>
      </w:r>
      <w:r>
        <w:rPr>
          <w:rFonts w:ascii="Arial;sans-serif" w:hAnsi="Arial;sans-serif"/>
          <w:b w:val="false"/>
          <w:color w:val="000000"/>
          <w:sz w:val="20"/>
          <w:shd w:fill="FFFFFF" w:val="clear"/>
        </w:rPr>
        <w:t xml:space="preserve">, an increase of $1.2 million, or 18.5%, compared to $6.5 million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 xml:space="preserve">July 31, 2022. This increase was primarily driven by an increase in total items sold as well as an increase in Average Active Subscribers and the items purchased per subscriber. Other revenue represented 10.2% of total revenue, up from 8.5% in the same period of fiscal year </w:t>
      </w:r>
      <w:r>
        <w:rPr>
          <w:rFonts w:ascii="Arial;sans-serif" w:hAnsi="Arial;sans-serif"/>
          <w:b w:val="false"/>
          <w:color w:val="000000"/>
          <w:sz w:val="20"/>
        </w:rPr>
        <w:t>2022.</w:t>
      </w:r>
    </w:p>
    <w:p>
      <w:pPr>
        <w:pStyle w:val="TextBody"/>
        <w:bidi w:val="0"/>
        <w:spacing w:lineRule="auto" w:line="288" w:before="240" w:after="283"/>
        <w:jc w:val="left"/>
        <w:rPr/>
      </w:pPr>
      <w:r>
        <w:rPr>
          <w:rFonts w:ascii="Arial;sans-serif" w:hAnsi="Arial;sans-serif"/>
          <w:b/>
          <w:i/>
          <w:color w:val="000000"/>
          <w:sz w:val="20"/>
          <w:shd w:fill="FFFFFF" w:val="clear"/>
        </w:rPr>
        <w:t>Costs and Expenses.</w:t>
      </w:r>
      <w:r>
        <w:rPr>
          <w:color w:val="000000"/>
          <w:shd w:fill="FFFFFF" w:val="clear"/>
        </w:rPr>
        <w:t>    </w:t>
      </w:r>
      <w:r>
        <w:rPr>
          <w:rFonts w:ascii="Arial;sans-serif" w:hAnsi="Arial;sans-serif"/>
          <w:b w:val="false"/>
          <w:color w:val="000000"/>
          <w:sz w:val="20"/>
          <w:shd w:fill="FFFFFF" w:val="clear"/>
        </w:rPr>
        <w:t xml:space="preserve">Total costs and expenses were $93.2 million for the </w:t>
      </w:r>
      <w:r>
        <w:rPr>
          <w:rFonts w:ascii="Arial;sans-serif" w:hAnsi="Arial;sans-serif"/>
          <w:b w:val="false"/>
          <w:color w:val="000000"/>
          <w:sz w:val="20"/>
        </w:rPr>
        <w:t>three months ended July 31, 2023</w:t>
      </w:r>
      <w:r>
        <w:rPr>
          <w:rFonts w:ascii="Arial;sans-serif" w:hAnsi="Arial;sans-serif"/>
          <w:b w:val="false"/>
          <w:color w:val="000000"/>
          <w:sz w:val="20"/>
          <w:shd w:fill="FFFFFF" w:val="clear"/>
        </w:rPr>
        <w:t>, a decrease</w:t>
      </w:r>
      <w:r>
        <w:rPr>
          <w:color w:val="000000"/>
        </w:rPr>
        <w:t xml:space="preserve"> </w:t>
      </w:r>
      <w:r>
        <w:rPr>
          <w:rFonts w:ascii="Arial;sans-serif" w:hAnsi="Arial;sans-serif"/>
          <w:b w:val="false"/>
          <w:color w:val="000000"/>
          <w:sz w:val="20"/>
        </w:rPr>
        <w:t>of $(8.9) million, or (8.7)%, comp</w:t>
      </w:r>
      <w:r>
        <w:rPr>
          <w:rFonts w:ascii="Arial;sans-serif" w:hAnsi="Arial;sans-serif"/>
          <w:b w:val="false"/>
          <w:color w:val="000000"/>
          <w:sz w:val="20"/>
          <w:shd w:fill="FFFFFF" w:val="clear"/>
        </w:rPr>
        <w:t xml:space="preserve">ared to $102.1 million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 xml:space="preserve">July 31, 2022. This decrease was </w:t>
      </w:r>
      <w:r>
        <w:rPr>
          <w:rFonts w:ascii="Arial;sans-serif" w:hAnsi="Arial;sans-serif"/>
          <w:b w:val="false"/>
          <w:color w:val="000000"/>
          <w:sz w:val="20"/>
        </w:rPr>
        <w:t xml:space="preserve">primarily </w:t>
      </w:r>
      <w:r>
        <w:rPr>
          <w:rFonts w:ascii="Arial;sans-serif" w:hAnsi="Arial;sans-serif"/>
          <w:b w:val="false"/>
          <w:color w:val="000000"/>
          <w:sz w:val="20"/>
          <w:shd w:fill="FFFFFF" w:val="clear"/>
        </w:rPr>
        <w:t>driven</w:t>
      </w:r>
      <w:r>
        <w:rPr>
          <w:color w:val="000000"/>
        </w:rPr>
        <w:t xml:space="preserve"> </w:t>
      </w:r>
      <w:r>
        <w:rPr>
          <w:rFonts w:ascii="Arial;sans-serif" w:hAnsi="Arial;sans-serif"/>
          <w:b w:val="false"/>
          <w:color w:val="000000"/>
          <w:sz w:val="20"/>
        </w:rPr>
        <w:t xml:space="preserve">by cost savings from the September 2022 restructuring plan which reduced costs compared to the same quarter last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pPr>
      <w:r>
        <w:rPr>
          <w:rFonts w:ascii="Arial;sans-serif" w:hAnsi="Arial;sans-serif"/>
          <w:b/>
          <w:i/>
          <w:color w:val="000000"/>
          <w:sz w:val="20"/>
          <w:shd w:fill="FFFFFF" w:val="clear"/>
        </w:rPr>
        <w:t>Fulfillment.</w:t>
      </w:r>
      <w:r>
        <w:rPr>
          <w:color w:val="000000"/>
          <w:shd w:fill="FFFFFF" w:val="clear"/>
        </w:rPr>
        <w:t>    </w:t>
      </w:r>
      <w:r>
        <w:rPr>
          <w:rFonts w:ascii="Arial;sans-serif" w:hAnsi="Arial;sans-serif"/>
          <w:b w:val="false"/>
          <w:color w:val="000000"/>
          <w:sz w:val="20"/>
          <w:shd w:fill="FFFFFF" w:val="clear"/>
        </w:rPr>
        <w:t xml:space="preserve">Fulfillment expenses were $22.5 million for the </w:t>
      </w:r>
      <w:r>
        <w:rPr>
          <w:rFonts w:ascii="Arial;sans-serif" w:hAnsi="Arial;sans-serif"/>
          <w:b w:val="false"/>
          <w:color w:val="000000"/>
          <w:sz w:val="20"/>
        </w:rPr>
        <w:t>three months ended July 31, 2023</w:t>
      </w:r>
      <w:r>
        <w:rPr>
          <w:rFonts w:ascii="Arial;sans-serif" w:hAnsi="Arial;sans-serif"/>
          <w:b w:val="false"/>
          <w:color w:val="000000"/>
          <w:sz w:val="20"/>
          <w:shd w:fill="FFFFFF" w:val="clear"/>
        </w:rPr>
        <w:t xml:space="preserve">, a decrease of $(0.9) million, or (3.8)%, representing 29.7% of revenue, compared to $23.4 million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July 31, 2022</w:t>
      </w:r>
      <w:r>
        <w:rPr>
          <w:rFonts w:ascii="Arial;sans-serif" w:hAnsi="Arial;sans-serif"/>
          <w:b w:val="false"/>
          <w:color w:val="000000"/>
          <w:sz w:val="20"/>
        </w:rPr>
        <w:t>, representing 30.6% of revenue</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The decrease in fulfillment dollars and as a percentage of revenue was primarily driven by fulfillment process and transportation network improvements which offset an increase in units per shipment due to the 5 Item plan and higher transportation pricing and wage rates. </w:t>
      </w:r>
    </w:p>
    <w:p>
      <w:pPr>
        <w:pStyle w:val="TextBody"/>
        <w:bidi w:val="0"/>
        <w:spacing w:lineRule="auto" w:line="288" w:before="240" w:after="283"/>
        <w:jc w:val="left"/>
        <w:rPr/>
      </w:pPr>
      <w:r>
        <w:rPr>
          <w:rFonts w:ascii="Arial;sans-serif" w:hAnsi="Arial;sans-serif"/>
          <w:b/>
          <w:i/>
          <w:color w:val="000000"/>
          <w:sz w:val="20"/>
          <w:shd w:fill="FFFFFF" w:val="clear"/>
        </w:rPr>
        <w:t>Technology.</w:t>
      </w:r>
      <w:r>
        <w:rPr>
          <w:color w:val="000000"/>
          <w:shd w:fill="FFFFFF" w:val="clear"/>
        </w:rPr>
        <w:t>    </w:t>
      </w:r>
      <w:r>
        <w:rPr>
          <w:rFonts w:ascii="Arial;sans-serif" w:hAnsi="Arial;sans-serif"/>
          <w:b w:val="false"/>
          <w:color w:val="000000"/>
          <w:sz w:val="20"/>
          <w:shd w:fill="FFFFFF" w:val="clear"/>
        </w:rPr>
        <w:t xml:space="preserve">Technology expenses were $12.9 million for the </w:t>
      </w:r>
      <w:r>
        <w:rPr>
          <w:rFonts w:ascii="Arial;sans-serif" w:hAnsi="Arial;sans-serif"/>
          <w:b w:val="false"/>
          <w:color w:val="000000"/>
          <w:sz w:val="20"/>
        </w:rPr>
        <w:t>three months ended July 31, 2023</w:t>
      </w:r>
      <w:r>
        <w:rPr>
          <w:rFonts w:ascii="Arial;sans-serif" w:hAnsi="Arial;sans-serif"/>
          <w:b w:val="false"/>
          <w:color w:val="000000"/>
          <w:sz w:val="20"/>
          <w:shd w:fill="FFFFFF" w:val="clear"/>
        </w:rPr>
        <w:t>, a decrease of </w:t>
      </w:r>
      <w:r>
        <w:rPr>
          <w:rFonts w:ascii="Arial;sans-serif" w:hAnsi="Arial;sans-serif"/>
          <w:b w:val="false"/>
          <w:color w:val="000000"/>
          <w:sz w:val="20"/>
        </w:rPr>
        <w:t xml:space="preserve">$(2.0) </w:t>
      </w:r>
      <w:r>
        <w:rPr>
          <w:rFonts w:ascii="Arial;sans-serif" w:hAnsi="Arial;sans-serif"/>
          <w:b w:val="false"/>
          <w:color w:val="000000"/>
          <w:sz w:val="20"/>
          <w:shd w:fill="FFFFFF" w:val="clear"/>
        </w:rPr>
        <w:t xml:space="preserve">million, or (13.4)%, compared to $14.9 million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July 31, 2022</w:t>
      </w:r>
      <w:r>
        <w:rPr>
          <w:rFonts w:ascii="Arial;sans-serif" w:hAnsi="Arial;sans-serif"/>
          <w:b w:val="false"/>
          <w:color w:val="000000"/>
          <w:sz w:val="20"/>
        </w:rPr>
        <w:t>. This decrease was driven by cost savings from the September 2022 restructuring plan. We were able to realize these benefits while supporting growth initiatives including enhanced search, fit and discovery experience for the consumer. Technology expenses were 17.0% of revenue for the three months ended July 31, 2023 compared to 19.5% last year as we saw increased operating leverage despite lower revenue. Technology related share-based compensation expense was $1.8 million for the three months ended July 31, 2023 and was $1.6 million for the same period last year.</w:t>
      </w:r>
    </w:p>
    <w:p>
      <w:pPr>
        <w:pStyle w:val="TextBody"/>
        <w:bidi w:val="0"/>
        <w:spacing w:lineRule="auto" w:line="288" w:before="240" w:after="283"/>
        <w:jc w:val="left"/>
        <w:rPr/>
      </w:pPr>
      <w:r>
        <w:rPr>
          <w:rFonts w:ascii="Arial;sans-serif" w:hAnsi="Arial;sans-serif"/>
          <w:b/>
          <w:i/>
          <w:color w:val="000000"/>
          <w:sz w:val="20"/>
        </w:rPr>
        <w:t>Marketing.</w:t>
      </w:r>
      <w:r>
        <w:rPr>
          <w:color w:val="000000"/>
        </w:rPr>
        <w:t>    </w:t>
      </w:r>
      <w:r>
        <w:rPr>
          <w:rFonts w:ascii="Arial;sans-serif" w:hAnsi="Arial;sans-serif"/>
          <w:b w:val="false"/>
          <w:color w:val="000000"/>
          <w:sz w:val="20"/>
        </w:rPr>
        <w:t>Marketing expenses were $8.2 million for the three months ended July 31, 2023, a decrease of $(0.8) million, or (8.9)%, compared to $9.0 million for the three months ended</w:t>
      </w:r>
      <w:r>
        <w:rPr>
          <w:color w:val="000000"/>
          <w:shd w:fill="FFFFFF" w:val="clear"/>
        </w:rPr>
        <w:t xml:space="preserve"> </w:t>
      </w:r>
      <w:r>
        <w:rPr>
          <w:rFonts w:ascii="Arial;sans-serif" w:hAnsi="Arial;sans-serif"/>
          <w:b w:val="false"/>
          <w:color w:val="000000"/>
          <w:sz w:val="20"/>
          <w:shd w:fill="FFFFFF" w:val="clear"/>
        </w:rPr>
        <w:t>July 31, 2022</w:t>
      </w:r>
      <w:r>
        <w:rPr>
          <w:rFonts w:ascii="Arial;sans-serif" w:hAnsi="Arial;sans-serif"/>
          <w:b w:val="false"/>
          <w:color w:val="000000"/>
          <w:sz w:val="20"/>
        </w:rPr>
        <w:t xml:space="preserve">. This decrease was driven by timing of marketing spend to support customer initiatives. Marketing expenses unrelated to personnel costs were $7.5 million in the three months ended July 31, 2023 and 9.9% of revenue, compared to $7.8 million and 10.2% of total revenue last year.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General and Administrative.</w:t>
      </w:r>
      <w:r>
        <w:rPr>
          <w:color w:val="000000"/>
        </w:rPr>
        <w:t>    </w:t>
      </w:r>
      <w:r>
        <w:rPr>
          <w:rFonts w:ascii="Arial;sans-serif" w:hAnsi="Arial;sans-serif"/>
          <w:b w:val="false"/>
          <w:color w:val="000000"/>
          <w:sz w:val="20"/>
        </w:rPr>
        <w:t>General and administrative (“G&amp;A”) expenses were $25.9 million for the three months ended July 31, 2023, a decrease of $(3.7) million, or (12.5)%, compared to $29.6 million for the three months ended</w:t>
      </w:r>
      <w:r>
        <w:rPr>
          <w:color w:val="000000"/>
          <w:shd w:fill="FFFFFF" w:val="clear"/>
        </w:rPr>
        <w:t xml:space="preserve"> </w:t>
      </w:r>
      <w:r>
        <w:rPr>
          <w:rFonts w:ascii="Arial;sans-serif" w:hAnsi="Arial;sans-serif"/>
          <w:b w:val="false"/>
          <w:color w:val="000000"/>
          <w:sz w:val="20"/>
          <w:shd w:fill="FFFFFF" w:val="clear"/>
        </w:rPr>
        <w:t>July 31, 2022</w:t>
      </w:r>
      <w:r>
        <w:rPr>
          <w:rFonts w:ascii="Arial;sans-serif" w:hAnsi="Arial;sans-serif"/>
          <w:b w:val="false"/>
          <w:color w:val="000000"/>
          <w:sz w:val="20"/>
        </w:rPr>
        <w:t>. This decrease was driven by cost savings from the September 2022 restructuring plan. G&amp;A expenses as a percentage of revenue were 34.2% compared to 38.7% last year as we saw increased operating leverage despite lower revenue and a lower cost base post-restructuring. G&amp;A related share-based compensation expense was $5.6 million for the three months ended July 31, 2023 and was $5.2 million for the three months ended</w:t>
      </w:r>
      <w:r>
        <w:rPr>
          <w:color w:val="000000"/>
          <w:shd w:fill="FFFFFF" w:val="clear"/>
        </w:rPr>
        <w:t xml:space="preserve"> </w:t>
      </w:r>
      <w:r>
        <w:rPr>
          <w:rFonts w:ascii="Arial;sans-serif" w:hAnsi="Arial;sans-serif"/>
          <w:b w:val="false"/>
          <w:color w:val="000000"/>
          <w:sz w:val="20"/>
          <w:shd w:fill="FFFFFF" w:val="clear"/>
        </w:rPr>
        <w:t>July 31, 2022</w:t>
      </w:r>
      <w:r>
        <w:rPr>
          <w:rFonts w:ascii="Arial;sans-serif" w:hAnsi="Arial;sans-serif"/>
          <w:b w:val="false"/>
          <w:color w:val="000000"/>
          <w:sz w:val="20"/>
        </w:rPr>
        <w:t>. The increase was primarily due to incremental share-based compensation expense due to equity award modifications related to the transition of the Chief Financial Officer role. We generally expect G&amp;A expenses to decrease in fiscal year 2023, compared with fiscal year 2022, as a result of the aforementioned restructuring; however, share-based compensation expense is expected to increase in fiscal year 2023.</w:t>
      </w:r>
    </w:p>
    <w:p>
      <w:pPr>
        <w:pStyle w:val="TextBody"/>
        <w:bidi w:val="0"/>
        <w:spacing w:lineRule="auto" w:line="288" w:before="240" w:after="283"/>
        <w:jc w:val="left"/>
        <w:rPr/>
      </w:pPr>
      <w:r>
        <w:rPr>
          <w:rFonts w:ascii="Arial;sans-serif" w:hAnsi="Arial;sans-serif"/>
          <w:b/>
          <w:i/>
          <w:color w:val="000000"/>
          <w:sz w:val="20"/>
          <w:shd w:fill="FFFFFF" w:val="clear"/>
        </w:rPr>
        <w:t>Rental Product Depreciation and Revenue Share.</w:t>
      </w:r>
      <w:r>
        <w:rPr>
          <w:color w:val="000000"/>
          <w:shd w:fill="FFFFFF" w:val="clear"/>
        </w:rPr>
        <w:t>    </w:t>
      </w:r>
      <w:r>
        <w:rPr>
          <w:rFonts w:ascii="Arial;sans-serif" w:hAnsi="Arial;sans-serif"/>
          <w:b w:val="false"/>
          <w:color w:val="000000"/>
          <w:sz w:val="20"/>
          <w:shd w:fill="FFFFFF" w:val="clear"/>
        </w:rPr>
        <w:t xml:space="preserve">Rental product depreciation and revenue share was $20.0 million for the </w:t>
      </w:r>
      <w:r>
        <w:rPr>
          <w:rFonts w:ascii="Arial;sans-serif" w:hAnsi="Arial;sans-serif"/>
          <w:b w:val="false"/>
          <w:color w:val="000000"/>
          <w:sz w:val="20"/>
        </w:rPr>
        <w:t>three months ended July 31, 2023</w:t>
      </w:r>
      <w:r>
        <w:rPr>
          <w:rFonts w:ascii="Arial;sans-serif" w:hAnsi="Arial;sans-serif"/>
          <w:b w:val="false"/>
          <w:color w:val="000000"/>
          <w:sz w:val="20"/>
          <w:shd w:fill="FFFFFF" w:val="clear"/>
        </w:rPr>
        <w:t xml:space="preserve">, a decrease of $(0.7) million, or (3.4)%, compared to $20.7 million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July 31, 2022</w:t>
      </w:r>
      <w:r>
        <w:rPr>
          <w:rFonts w:ascii="Arial;sans-serif" w:hAnsi="Arial;sans-serif"/>
          <w:b w:val="false"/>
          <w:color w:val="000000"/>
          <w:sz w:val="20"/>
        </w:rPr>
        <w:t xml:space="preserve">. </w:t>
      </w:r>
      <w:r>
        <w:rPr>
          <w:rFonts w:ascii="Arial;sans-serif" w:hAnsi="Arial;sans-serif"/>
          <w:b w:val="false"/>
          <w:color w:val="000000"/>
          <w:sz w:val="20"/>
          <w:shd w:fill="FFFFFF" w:val="clear"/>
        </w:rPr>
        <w:t xml:space="preserve">The decrease was driven by a decrease in rental product depreciation. </w:t>
      </w:r>
      <w:r>
        <w:rPr>
          <w:rFonts w:ascii="Arial;sans-serif" w:hAnsi="Arial;sans-serif"/>
          <w:b w:val="false"/>
          <w:color w:val="000000"/>
          <w:sz w:val="20"/>
        </w:rPr>
        <w:t>Rental p</w:t>
      </w:r>
      <w:r>
        <w:rPr>
          <w:rFonts w:ascii="Arial;sans-serif" w:hAnsi="Arial;sans-serif"/>
          <w:b w:val="false"/>
          <w:color w:val="000000"/>
          <w:sz w:val="20"/>
          <w:shd w:fill="FFFFFF" w:val="clear"/>
        </w:rPr>
        <w:t xml:space="preserve">roduct depreciation and revenue share was </w:t>
      </w:r>
      <w:r>
        <w:rPr>
          <w:rFonts w:ascii="Arial;sans-serif" w:hAnsi="Arial;sans-serif"/>
          <w:b w:val="false"/>
          <w:color w:val="000000"/>
          <w:sz w:val="20"/>
        </w:rPr>
        <w:t>26.4% of revenue in the three months ended July 31, 2023, down from 27.1%</w:t>
      </w:r>
      <w:r>
        <w:rPr>
          <w:color w:val="000000"/>
          <w:shd w:fill="FFFFFF" w:val="clear"/>
        </w:rPr>
        <w:t xml:space="preserve"> </w:t>
      </w:r>
      <w:r>
        <w:rPr>
          <w:rFonts w:ascii="Arial;sans-serif" w:hAnsi="Arial;sans-serif"/>
          <w:b w:val="false"/>
          <w:color w:val="000000"/>
          <w:sz w:val="20"/>
          <w:shd w:fill="FFFFFF" w:val="clear"/>
        </w:rPr>
        <w:t xml:space="preserve">in the same period last year primarily due to the shift towards more cost efficient product acquisition channels. </w:t>
      </w:r>
    </w:p>
    <w:p>
      <w:pPr>
        <w:pStyle w:val="TextBody"/>
        <w:bidi w:val="0"/>
        <w:spacing w:lineRule="auto" w:line="288" w:before="240" w:after="283"/>
        <w:jc w:val="left"/>
        <w:rPr/>
      </w:pPr>
      <w:r>
        <w:rPr>
          <w:rFonts w:ascii="Arial;sans-serif" w:hAnsi="Arial;sans-serif"/>
          <w:b/>
          <w:i/>
          <w:color w:val="000000"/>
          <w:sz w:val="20"/>
          <w:shd w:fill="FFFFFF" w:val="clear"/>
        </w:rPr>
        <w:t>Other Depreciation and Amortization.</w:t>
      </w:r>
      <w:r>
        <w:rPr>
          <w:color w:val="000000"/>
          <w:shd w:fill="FFFFFF" w:val="clear"/>
        </w:rPr>
        <w:t>    </w:t>
      </w:r>
      <w:r>
        <w:rPr>
          <w:rFonts w:ascii="Arial;sans-serif" w:hAnsi="Arial;sans-serif"/>
          <w:b w:val="false"/>
          <w:color w:val="000000"/>
          <w:sz w:val="20"/>
          <w:shd w:fill="FFFFFF" w:val="clear"/>
        </w:rPr>
        <w:t xml:space="preserve">Other depreciation and amortization was $3.7 million for the </w:t>
      </w:r>
      <w:r>
        <w:rPr>
          <w:rFonts w:ascii="Arial;sans-serif" w:hAnsi="Arial;sans-serif"/>
          <w:b w:val="false"/>
          <w:color w:val="000000"/>
          <w:sz w:val="20"/>
        </w:rPr>
        <w:t>three months ended July 31, 2023</w:t>
      </w:r>
      <w:r>
        <w:rPr>
          <w:rFonts w:ascii="Arial;sans-serif" w:hAnsi="Arial;sans-serif"/>
          <w:b w:val="false"/>
          <w:color w:val="000000"/>
          <w:sz w:val="20"/>
          <w:shd w:fill="FFFFFF" w:val="clear"/>
        </w:rPr>
        <w:t>, a decrease of $(0.8) million, or (17.8)%, compared to $4.5 </w:t>
      </w:r>
      <w:r>
        <w:rPr>
          <w:rFonts w:ascii="Arial;sans-serif" w:hAnsi="Arial;sans-serif"/>
          <w:b w:val="false"/>
          <w:color w:val="000000"/>
          <w:sz w:val="20"/>
        </w:rPr>
        <w:t>million for the three months ended</w:t>
      </w:r>
      <w:r>
        <w:rPr>
          <w:color w:val="000000"/>
          <w:shd w:fill="FFFFFF" w:val="clear"/>
        </w:rPr>
        <w:t xml:space="preserve"> </w:t>
      </w:r>
      <w:r>
        <w:rPr>
          <w:rFonts w:ascii="Arial;sans-serif" w:hAnsi="Arial;sans-serif"/>
          <w:b w:val="false"/>
          <w:color w:val="000000"/>
          <w:sz w:val="20"/>
          <w:shd w:fill="FFFFFF" w:val="clear"/>
        </w:rPr>
        <w:t>July 31, 2022</w:t>
      </w:r>
      <w:r>
        <w:rPr>
          <w:rFonts w:ascii="Arial;sans-serif" w:hAnsi="Arial;sans-serif"/>
          <w:b w:val="false"/>
          <w:color w:val="000000"/>
          <w:sz w:val="20"/>
        </w:rPr>
        <w:t>. This decrease was primarily driven by lower depreciation associated with computers and equipment and reusable packaging.</w:t>
      </w:r>
    </w:p>
    <w:p>
      <w:pPr>
        <w:pStyle w:val="TextBody"/>
        <w:bidi w:val="0"/>
        <w:spacing w:lineRule="auto" w:line="288" w:before="240" w:after="283"/>
        <w:jc w:val="left"/>
        <w:rPr/>
      </w:pPr>
      <w:r>
        <w:rPr>
          <w:rFonts w:ascii="Arial;sans-serif" w:hAnsi="Arial;sans-serif"/>
          <w:b/>
          <w:i/>
          <w:color w:val="000000"/>
          <w:sz w:val="20"/>
          <w:shd w:fill="FFFFFF" w:val="clear"/>
        </w:rPr>
        <w:t>Interest Income / (Expense), Net.</w:t>
      </w:r>
      <w:r>
        <w:rPr>
          <w:color w:val="000000"/>
          <w:shd w:fill="FFFFFF" w:val="clear"/>
        </w:rPr>
        <w:t>    </w:t>
      </w:r>
      <w:r>
        <w:rPr>
          <w:rFonts w:ascii="Arial;sans-serif" w:hAnsi="Arial;sans-serif"/>
          <w:b w:val="false"/>
          <w:color w:val="000000"/>
          <w:sz w:val="20"/>
          <w:shd w:fill="FFFFFF" w:val="clear"/>
        </w:rPr>
        <w:t xml:space="preserve">Interest expense, net was $9.5 million for the </w:t>
      </w:r>
      <w:r>
        <w:rPr>
          <w:rFonts w:ascii="Arial;sans-serif" w:hAnsi="Arial;sans-serif"/>
          <w:b w:val="false"/>
          <w:color w:val="000000"/>
          <w:sz w:val="20"/>
        </w:rPr>
        <w:t>three months ended July 31, 2023</w:t>
      </w:r>
      <w:r>
        <w:rPr>
          <w:rFonts w:ascii="Arial;sans-serif" w:hAnsi="Arial;sans-serif"/>
          <w:b w:val="false"/>
          <w:color w:val="000000"/>
          <w:sz w:val="20"/>
          <w:shd w:fill="FFFFFF" w:val="clear"/>
        </w:rPr>
        <w:t xml:space="preserve">, a decrease in expense of $(0.1) million, or (1.0)%, compared to $9.6 million for the </w:t>
      </w:r>
      <w:r>
        <w:rPr>
          <w:rFonts w:ascii="Arial;sans-serif" w:hAnsi="Arial;sans-serif"/>
          <w:b w:val="false"/>
          <w:color w:val="000000"/>
          <w:sz w:val="20"/>
        </w:rPr>
        <w:t>three months ended</w:t>
      </w:r>
      <w:r>
        <w:rPr>
          <w:color w:val="000000"/>
          <w:shd w:fill="FFFFFF" w:val="clear"/>
        </w:rPr>
        <w:t xml:space="preserve"> </w:t>
      </w:r>
      <w:r>
        <w:rPr>
          <w:rFonts w:ascii="Arial;sans-serif" w:hAnsi="Arial;sans-serif"/>
          <w:b w:val="false"/>
          <w:color w:val="000000"/>
          <w:sz w:val="20"/>
          <w:shd w:fill="FFFFFF" w:val="clear"/>
        </w:rPr>
        <w:t>July 31, 2022</w:t>
      </w:r>
      <w:r>
        <w:rPr>
          <w:rFonts w:ascii="Arial;sans-serif" w:hAnsi="Arial;sans-serif"/>
          <w:b w:val="false"/>
          <w:color w:val="000000"/>
          <w:sz w:val="20"/>
        </w:rPr>
        <w:t>. This decrease was driven by lower cash interest as a result of the 2022 Amended Temasek Facility and higher cash interest earned, offset by higher paid-in-kind (“PIK”) interest from the 2022 Amended Temasek Facility. Of the $9.5 million total interest expense in the three months ended July 31, 2023, $7.6 million was the accrual of PIK interest, $0.1 million was the net of cash interest, interest earned and financing lease interest and other interest and $1.8 million was debt discount amortization, compared to $3.6 million of PIK interest, $5.0 million of cash interest, financing lease interest and other interest and $1.0 million of debt discount amortization in the three months ended</w:t>
      </w:r>
      <w:r>
        <w:rPr>
          <w:color w:val="000000"/>
          <w:shd w:fill="FFFFFF" w:val="clear"/>
        </w:rPr>
        <w:t xml:space="preserve"> </w:t>
      </w:r>
      <w:r>
        <w:rPr>
          <w:rFonts w:ascii="Arial;sans-serif" w:hAnsi="Arial;sans-serif"/>
          <w:b w:val="false"/>
          <w:color w:val="000000"/>
          <w:sz w:val="20"/>
          <w:shd w:fill="FFFFFF" w:val="clear"/>
        </w:rPr>
        <w:t>July 31, 2022</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Other Income / (Expense), Net. </w:t>
      </w:r>
      <w:r>
        <w:rPr>
          <w:rFonts w:ascii="Arial;sans-serif" w:hAnsi="Arial;sans-serif"/>
          <w:b w:val="false"/>
          <w:color w:val="000000"/>
          <w:sz w:val="20"/>
        </w:rPr>
        <w:t xml:space="preserve">Other income / (expense) was $0.1 million for the three months ended July 31, 2023, a decrease of $(1.2) million, compared to $1.3 million for the three months ended </w:t>
      </w:r>
      <w:r>
        <w:rPr>
          <w:rFonts w:ascii="Arial;sans-serif" w:hAnsi="Arial;sans-serif"/>
          <w:b w:val="false"/>
          <w:color w:val="000000"/>
          <w:sz w:val="20"/>
          <w:shd w:fill="FFFFFF" w:val="clear"/>
        </w:rPr>
        <w:t>July 31, 2022</w:t>
      </w:r>
      <w:r>
        <w:rPr>
          <w:rFonts w:ascii="Arial;sans-serif" w:hAnsi="Arial;sans-serif"/>
          <w:b w:val="false"/>
          <w:color w:val="000000"/>
          <w:sz w:val="20"/>
        </w:rPr>
        <w:t xml:space="preserve">. This decrease was primarily driven by $1.3 million of monetization of tax credits during the three months ended </w:t>
      </w:r>
      <w:r>
        <w:rPr>
          <w:rFonts w:ascii="Arial;sans-serif" w:hAnsi="Arial;sans-serif"/>
          <w:b w:val="false"/>
          <w:color w:val="000000"/>
          <w:sz w:val="20"/>
          <w:shd w:fill="FFFFFF" w:val="clear"/>
        </w:rPr>
        <w:t>July 31, 2022</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pPr>
      <w:r>
        <w:rPr>
          <w:rFonts w:ascii="Arial;sans-serif" w:hAnsi="Arial;sans-serif"/>
          <w:b/>
          <w:i/>
          <w:color w:val="000000"/>
          <w:sz w:val="20"/>
          <w:shd w:fill="FFFFFF" w:val="clear"/>
        </w:rPr>
        <w:t>Comparison of the six months ended</w:t>
      </w:r>
      <w:r>
        <w:rPr>
          <w:color w:val="000000"/>
        </w:rPr>
        <w:t xml:space="preserve"> </w:t>
      </w:r>
      <w:r>
        <w:rPr>
          <w:rFonts w:ascii="Arial;sans-serif" w:hAnsi="Arial;sans-serif"/>
          <w:b/>
          <w:i/>
          <w:color w:val="000000"/>
          <w:sz w:val="20"/>
        </w:rPr>
        <w:t>July 31, 2023</w:t>
      </w:r>
      <w:r>
        <w:rPr>
          <w:color w:val="000000"/>
          <w:shd w:fill="FFFFFF" w:val="clear"/>
        </w:rPr>
        <w:t xml:space="preserve"> </w:t>
      </w:r>
      <w:r>
        <w:rPr>
          <w:rFonts w:ascii="Arial;sans-serif" w:hAnsi="Arial;sans-serif"/>
          <w:b/>
          <w:i/>
          <w:color w:val="000000"/>
          <w:sz w:val="20"/>
          <w:shd w:fill="FFFFFF" w:val="clear"/>
        </w:rPr>
        <w:t>and 2022</w:t>
      </w:r>
    </w:p>
    <w:p>
      <w:pPr>
        <w:pStyle w:val="TextBody"/>
        <w:bidi w:val="0"/>
        <w:spacing w:lineRule="auto" w:line="288" w:before="120" w:after="283"/>
        <w:jc w:val="left"/>
        <w:rPr/>
      </w:pPr>
      <w:r>
        <w:rPr>
          <w:rFonts w:ascii="Arial;sans-serif" w:hAnsi="Arial;sans-serif"/>
          <w:b/>
          <w:i/>
          <w:color w:val="000000"/>
          <w:sz w:val="20"/>
          <w:shd w:fill="FFFFFF" w:val="clear"/>
        </w:rPr>
        <w:t>Total Revenue, Net.</w:t>
      </w:r>
      <w:r>
        <w:rPr>
          <w:color w:val="000000"/>
          <w:shd w:fill="FFFFFF" w:val="clear"/>
        </w:rPr>
        <w:t>    </w:t>
      </w:r>
      <w:r>
        <w:rPr>
          <w:rFonts w:ascii="Arial;sans-serif" w:hAnsi="Arial;sans-serif"/>
          <w:b w:val="false"/>
          <w:color w:val="000000"/>
          <w:sz w:val="20"/>
          <w:shd w:fill="FFFFFF" w:val="clear"/>
        </w:rPr>
        <w:t xml:space="preserve">Total revenue, net was $149.9 million for the </w:t>
      </w:r>
      <w:r>
        <w:rPr>
          <w:rFonts w:ascii="Arial;sans-serif" w:hAnsi="Arial;sans-serif"/>
          <w:b w:val="false"/>
          <w:color w:val="000000"/>
          <w:sz w:val="20"/>
        </w:rPr>
        <w:t>six months ended July 31, 2023</w:t>
      </w:r>
      <w:r>
        <w:rPr>
          <w:rFonts w:ascii="Arial;sans-serif" w:hAnsi="Arial;sans-serif"/>
          <w:b w:val="false"/>
          <w:color w:val="000000"/>
          <w:sz w:val="20"/>
          <w:shd w:fill="FFFFFF" w:val="clear"/>
        </w:rPr>
        <w:t xml:space="preserve">, an increase of $6.3 million, or 4.4%, compared to $143.6 million for the six months ended July 31, 2022. </w:t>
      </w:r>
      <w:r>
        <w:rPr>
          <w:rFonts w:ascii="Arial;sans-serif" w:hAnsi="Arial;sans-serif"/>
          <w:b w:val="false"/>
          <w:color w:val="000000"/>
          <w:sz w:val="20"/>
        </w:rPr>
        <w:t>This increase was primarily driven by the increase in Average Active Subscribers and an increase in revenue per subscriber, primarily due to the April 2022 subscription price increase.</w:t>
      </w:r>
    </w:p>
    <w:p>
      <w:pPr>
        <w:pStyle w:val="TextBody"/>
        <w:bidi w:val="0"/>
        <w:spacing w:lineRule="auto" w:line="288" w:before="240" w:after="283"/>
        <w:jc w:val="left"/>
        <w:rPr/>
      </w:pPr>
      <w:r>
        <w:rPr>
          <w:rFonts w:ascii="Arial;sans-serif" w:hAnsi="Arial;sans-serif"/>
          <w:b/>
          <w:i/>
          <w:color w:val="000000"/>
          <w:sz w:val="20"/>
          <w:shd w:fill="FFFFFF" w:val="clear"/>
        </w:rPr>
        <w:t>Subscription and Reserve Rental Revenue.</w:t>
      </w:r>
      <w:r>
        <w:rPr>
          <w:color w:val="000000"/>
          <w:shd w:fill="FFFFFF" w:val="clear"/>
        </w:rPr>
        <w:t>    </w:t>
      </w:r>
      <w:r>
        <w:rPr>
          <w:rFonts w:ascii="Arial;sans-serif" w:hAnsi="Arial;sans-serif"/>
          <w:b w:val="false"/>
          <w:color w:val="000000"/>
          <w:sz w:val="20"/>
          <w:shd w:fill="FFFFFF" w:val="clear"/>
        </w:rPr>
        <w:t xml:space="preserve">Subscription and Reserve rental revenue was $134.8 million for the </w:t>
      </w:r>
      <w:r>
        <w:rPr>
          <w:rFonts w:ascii="Arial;sans-serif" w:hAnsi="Arial;sans-serif"/>
          <w:b w:val="false"/>
          <w:color w:val="000000"/>
          <w:sz w:val="20"/>
        </w:rPr>
        <w:t>six months ended July 31, 2023</w:t>
      </w:r>
      <w:r>
        <w:rPr>
          <w:rFonts w:ascii="Arial;sans-serif" w:hAnsi="Arial;sans-serif"/>
          <w:b w:val="false"/>
          <w:color w:val="000000"/>
          <w:sz w:val="20"/>
          <w:shd w:fill="FFFFFF" w:val="clear"/>
        </w:rPr>
        <w:t xml:space="preserve">, an increase of $3.4 million, or 2.6%, compared to $131.4 million for the six months ended July 31, 2022. </w:t>
      </w:r>
      <w:r>
        <w:rPr>
          <w:rFonts w:ascii="Arial;sans-serif" w:hAnsi="Arial;sans-serif"/>
          <w:b w:val="false"/>
          <w:color w:val="000000"/>
          <w:sz w:val="20"/>
        </w:rPr>
        <w:t>This increase was driven by an increase in Average Active Subscribers year-over-year and an increase in revenue per subscriber, primarily due to the price increase announced in April 2022, partially offset by changes in subscriber program mix, lower add-on rates, and lower Reserve revenue compared to the same period in fiscal year 2022.</w:t>
      </w:r>
    </w:p>
    <w:p>
      <w:pPr>
        <w:pStyle w:val="TextBody"/>
        <w:bidi w:val="0"/>
        <w:spacing w:lineRule="auto" w:line="288" w:before="240" w:after="283"/>
        <w:jc w:val="left"/>
        <w:rPr/>
      </w:pPr>
      <w:r>
        <w:rPr>
          <w:rFonts w:ascii="Arial;sans-serif" w:hAnsi="Arial;sans-serif"/>
          <w:b/>
          <w:i/>
          <w:color w:val="000000"/>
          <w:sz w:val="20"/>
          <w:shd w:fill="FFFFFF" w:val="clear"/>
        </w:rPr>
        <w:t>Other Revenue.</w:t>
      </w:r>
      <w:r>
        <w:rPr>
          <w:color w:val="000000"/>
          <w:shd w:fill="FFFFFF" w:val="clear"/>
        </w:rPr>
        <w:t>    </w:t>
      </w:r>
      <w:r>
        <w:rPr>
          <w:rFonts w:ascii="Arial;sans-serif" w:hAnsi="Arial;sans-serif"/>
          <w:b w:val="false"/>
          <w:color w:val="000000"/>
          <w:sz w:val="20"/>
          <w:shd w:fill="FFFFFF" w:val="clear"/>
        </w:rPr>
        <w:t>Other revenue was $15.1 million for the six months ended</w:t>
      </w:r>
      <w:r>
        <w:rPr>
          <w:color w:val="000000"/>
        </w:rPr>
        <w:t xml:space="preserve"> </w:t>
      </w:r>
      <w:r>
        <w:rPr>
          <w:rFonts w:ascii="Arial;sans-serif" w:hAnsi="Arial;sans-serif"/>
          <w:b w:val="false"/>
          <w:color w:val="000000"/>
          <w:sz w:val="20"/>
        </w:rPr>
        <w:t>July 31, 2023</w:t>
      </w:r>
      <w:r>
        <w:rPr>
          <w:rFonts w:ascii="Arial;sans-serif" w:hAnsi="Arial;sans-serif"/>
          <w:b w:val="false"/>
          <w:color w:val="000000"/>
          <w:sz w:val="20"/>
          <w:shd w:fill="FFFFFF" w:val="clear"/>
        </w:rPr>
        <w:t>, an increase of $2.9 million,</w:t>
      </w:r>
      <w:r>
        <w:rPr>
          <w:color w:val="000000"/>
        </w:rPr>
        <w:t xml:space="preserve"> </w:t>
      </w:r>
      <w:r>
        <w:rPr>
          <w:rFonts w:ascii="Arial;sans-serif" w:hAnsi="Arial;sans-serif"/>
          <w:b w:val="false"/>
          <w:color w:val="000000"/>
          <w:sz w:val="20"/>
        </w:rPr>
        <w:t>or 23.8%, c</w:t>
      </w:r>
      <w:r>
        <w:rPr>
          <w:rFonts w:ascii="Arial;sans-serif" w:hAnsi="Arial;sans-serif"/>
          <w:b w:val="false"/>
          <w:color w:val="000000"/>
          <w:sz w:val="20"/>
          <w:shd w:fill="FFFFFF" w:val="clear"/>
        </w:rPr>
        <w:t xml:space="preserve">ompared to $12.2 million for the six months ended July 31, 2022. This increase was primarily driven by an increase in total items sold as well as an increase in Average Active Subscribers and the items purchased per subscriber. Other revenue represented 10.1% of total revenue, up from 8.5% in the same period of fiscal year </w:t>
      </w:r>
      <w:r>
        <w:rPr>
          <w:rFonts w:ascii="Arial;sans-serif" w:hAnsi="Arial;sans-serif"/>
          <w:b w:val="false"/>
          <w:color w:val="000000"/>
          <w:sz w:val="20"/>
        </w:rPr>
        <w:t>2022.</w:t>
      </w:r>
    </w:p>
    <w:p>
      <w:pPr>
        <w:pStyle w:val="TextBody"/>
        <w:bidi w:val="0"/>
        <w:spacing w:lineRule="auto" w:line="288" w:before="240" w:after="283"/>
        <w:jc w:val="left"/>
        <w:rPr/>
      </w:pPr>
      <w:r>
        <w:rPr>
          <w:rFonts w:ascii="Arial;sans-serif" w:hAnsi="Arial;sans-serif"/>
          <w:b/>
          <w:i/>
          <w:color w:val="000000"/>
          <w:sz w:val="20"/>
          <w:shd w:fill="FFFFFF" w:val="clear"/>
        </w:rPr>
        <w:t>Costs and Expenses.</w:t>
      </w:r>
      <w:r>
        <w:rPr>
          <w:color w:val="000000"/>
          <w:shd w:fill="FFFFFF" w:val="clear"/>
        </w:rPr>
        <w:t>    </w:t>
      </w:r>
      <w:r>
        <w:rPr>
          <w:rFonts w:ascii="Arial;sans-serif" w:hAnsi="Arial;sans-serif"/>
          <w:b w:val="false"/>
          <w:color w:val="000000"/>
          <w:sz w:val="20"/>
          <w:shd w:fill="FFFFFF" w:val="clear"/>
        </w:rPr>
        <w:t xml:space="preserve">Total costs and expenses were $188.7 million for the </w:t>
      </w:r>
      <w:r>
        <w:rPr>
          <w:rFonts w:ascii="Arial;sans-serif" w:hAnsi="Arial;sans-serif"/>
          <w:b w:val="false"/>
          <w:color w:val="000000"/>
          <w:sz w:val="20"/>
        </w:rPr>
        <w:t>six months ended July 31, 2023</w:t>
      </w:r>
      <w:r>
        <w:rPr>
          <w:rFonts w:ascii="Arial;sans-serif" w:hAnsi="Arial;sans-serif"/>
          <w:b w:val="false"/>
          <w:color w:val="000000"/>
          <w:sz w:val="20"/>
          <w:shd w:fill="FFFFFF" w:val="clear"/>
        </w:rPr>
        <w:t>, a decrease</w:t>
      </w:r>
      <w:r>
        <w:rPr>
          <w:color w:val="000000"/>
        </w:rPr>
        <w:t xml:space="preserve"> </w:t>
      </w:r>
      <w:r>
        <w:rPr>
          <w:rFonts w:ascii="Arial;sans-serif" w:hAnsi="Arial;sans-serif"/>
          <w:b w:val="false"/>
          <w:color w:val="000000"/>
          <w:sz w:val="20"/>
        </w:rPr>
        <w:t>of $(13.7) million, or (6.8)%, comp</w:t>
      </w:r>
      <w:r>
        <w:rPr>
          <w:rFonts w:ascii="Arial;sans-serif" w:hAnsi="Arial;sans-serif"/>
          <w:b w:val="false"/>
          <w:color w:val="000000"/>
          <w:sz w:val="20"/>
          <w:shd w:fill="FFFFFF" w:val="clear"/>
        </w:rPr>
        <w:t xml:space="preserve">ared to $202.4 million for the six months ended July 31, 2022. This decrease was </w:t>
      </w:r>
      <w:r>
        <w:rPr>
          <w:rFonts w:ascii="Arial;sans-serif" w:hAnsi="Arial;sans-serif"/>
          <w:b w:val="false"/>
          <w:color w:val="000000"/>
          <w:sz w:val="20"/>
        </w:rPr>
        <w:t xml:space="preserve">primarily </w:t>
      </w:r>
      <w:r>
        <w:rPr>
          <w:rFonts w:ascii="Arial;sans-serif" w:hAnsi="Arial;sans-serif"/>
          <w:b w:val="false"/>
          <w:color w:val="000000"/>
          <w:sz w:val="20"/>
          <w:shd w:fill="FFFFFF" w:val="clear"/>
        </w:rPr>
        <w:t>driven</w:t>
      </w:r>
      <w:r>
        <w:rPr>
          <w:color w:val="000000"/>
        </w:rPr>
        <w:t xml:space="preserve"> </w:t>
      </w:r>
      <w:r>
        <w:rPr>
          <w:rFonts w:ascii="Arial;sans-serif" w:hAnsi="Arial;sans-serif"/>
          <w:b w:val="false"/>
          <w:color w:val="000000"/>
          <w:sz w:val="20"/>
        </w:rPr>
        <w:t xml:space="preserve">by cost savings from the September 2022 restructuring plan which reduced costs compared to the same period last year. </w:t>
      </w:r>
    </w:p>
    <w:p>
      <w:pPr>
        <w:pStyle w:val="TextBody"/>
        <w:bidi w:val="0"/>
        <w:spacing w:lineRule="auto" w:line="288" w:before="240" w:after="283"/>
        <w:jc w:val="left"/>
        <w:rPr/>
      </w:pPr>
      <w:r>
        <w:rPr>
          <w:rFonts w:ascii="Arial;sans-serif" w:hAnsi="Arial;sans-serif"/>
          <w:b/>
          <w:i/>
          <w:color w:val="000000"/>
          <w:sz w:val="20"/>
          <w:shd w:fill="FFFFFF" w:val="clear"/>
        </w:rPr>
        <w:t>Fulfillment.</w:t>
      </w:r>
      <w:r>
        <w:rPr>
          <w:color w:val="000000"/>
          <w:shd w:fill="FFFFFF" w:val="clear"/>
        </w:rPr>
        <w:t>    </w:t>
      </w:r>
      <w:r>
        <w:rPr>
          <w:rFonts w:ascii="Arial;sans-serif" w:hAnsi="Arial;sans-serif"/>
          <w:b w:val="false"/>
          <w:color w:val="000000"/>
          <w:sz w:val="20"/>
          <w:shd w:fill="FFFFFF" w:val="clear"/>
        </w:rPr>
        <w:t>Fulfillment expenses were $44.4 million for the six months ended</w:t>
      </w:r>
      <w:r>
        <w:rPr>
          <w:color w:val="000000"/>
        </w:rPr>
        <w:t xml:space="preserve"> </w:t>
      </w:r>
      <w:r>
        <w:rPr>
          <w:rFonts w:ascii="Arial;sans-serif" w:hAnsi="Arial;sans-serif"/>
          <w:b w:val="false"/>
          <w:color w:val="000000"/>
          <w:sz w:val="20"/>
        </w:rPr>
        <w:t>July 31, 2023</w:t>
      </w:r>
      <w:r>
        <w:rPr>
          <w:rFonts w:ascii="Arial;sans-serif" w:hAnsi="Arial;sans-serif"/>
          <w:b w:val="false"/>
          <w:color w:val="000000"/>
          <w:sz w:val="20"/>
          <w:shd w:fill="FFFFFF" w:val="clear"/>
        </w:rPr>
        <w:t>, a decrease of $(1.9) million, or (4.1)%, representing 29.6% of revenue, compared to $46.3 million for the six months ended July 31, 2022</w:t>
      </w:r>
      <w:r>
        <w:rPr>
          <w:rFonts w:ascii="Arial;sans-serif" w:hAnsi="Arial;sans-serif"/>
          <w:b w:val="false"/>
          <w:color w:val="000000"/>
          <w:sz w:val="20"/>
        </w:rPr>
        <w:t>, representing 32.2% of revenue</w:t>
      </w:r>
      <w:r>
        <w:rPr>
          <w:rFonts w:ascii="Arial;sans-serif" w:hAnsi="Arial;sans-serif"/>
          <w:b w:val="false"/>
          <w:color w:val="000000"/>
          <w:sz w:val="20"/>
          <w:shd w:fill="FFFFFF" w:val="clear"/>
        </w:rPr>
        <w:t xml:space="preserve">. The decrease in fulfillment </w:t>
      </w:r>
      <w:r>
        <w:rPr>
          <w:rFonts w:ascii="Arial;sans-serif" w:hAnsi="Arial;sans-serif"/>
          <w:b w:val="false"/>
          <w:color w:val="000000"/>
          <w:sz w:val="20"/>
        </w:rPr>
        <w:t xml:space="preserve">dollars and as a percentage of revenue was primarily driven by transportation network improvements, fulfillment process and higher revenue per shipment which offset an increase in units per shipment due to the 5 Item plan and higher transportation pricing and wage rates. </w:t>
      </w:r>
    </w:p>
    <w:p>
      <w:pPr>
        <w:pStyle w:val="TextBody"/>
        <w:bidi w:val="0"/>
        <w:spacing w:lineRule="auto" w:line="288" w:before="240" w:after="283"/>
        <w:jc w:val="left"/>
        <w:rPr/>
      </w:pPr>
      <w:r>
        <w:rPr>
          <w:rFonts w:ascii="Arial;sans-serif" w:hAnsi="Arial;sans-serif"/>
          <w:b/>
          <w:i/>
          <w:color w:val="000000"/>
          <w:sz w:val="20"/>
          <w:shd w:fill="FFFFFF" w:val="clear"/>
        </w:rPr>
        <w:t>Technology.</w:t>
      </w:r>
      <w:r>
        <w:rPr>
          <w:color w:val="000000"/>
          <w:shd w:fill="FFFFFF" w:val="clear"/>
        </w:rPr>
        <w:t>    </w:t>
      </w:r>
      <w:r>
        <w:rPr>
          <w:rFonts w:ascii="Arial;sans-serif" w:hAnsi="Arial;sans-serif"/>
          <w:b w:val="false"/>
          <w:color w:val="000000"/>
          <w:sz w:val="20"/>
          <w:shd w:fill="FFFFFF" w:val="clear"/>
        </w:rPr>
        <w:t xml:space="preserve">Technology expenses were $26.0 million for the </w:t>
      </w:r>
      <w:r>
        <w:rPr>
          <w:rFonts w:ascii="Arial;sans-serif" w:hAnsi="Arial;sans-serif"/>
          <w:b w:val="false"/>
          <w:color w:val="000000"/>
          <w:sz w:val="20"/>
        </w:rPr>
        <w:t>six months ended July 31, 2023</w:t>
      </w:r>
      <w:r>
        <w:rPr>
          <w:rFonts w:ascii="Arial;sans-serif" w:hAnsi="Arial;sans-serif"/>
          <w:b w:val="false"/>
          <w:color w:val="000000"/>
          <w:sz w:val="20"/>
          <w:shd w:fill="FFFFFF" w:val="clear"/>
        </w:rPr>
        <w:t>, a decrease of $(2.5)</w:t>
      </w:r>
      <w:r>
        <w:rPr>
          <w:color w:val="000000"/>
        </w:rPr>
        <w:t xml:space="preserve"> </w:t>
      </w:r>
      <w:r>
        <w:rPr>
          <w:rFonts w:ascii="Arial;sans-serif" w:hAnsi="Arial;sans-serif"/>
          <w:b w:val="false"/>
          <w:color w:val="000000"/>
          <w:sz w:val="20"/>
          <w:shd w:fill="FFFFFF" w:val="clear"/>
        </w:rPr>
        <w:t>million, o</w:t>
      </w:r>
      <w:r>
        <w:rPr>
          <w:rFonts w:ascii="Arial;sans-serif" w:hAnsi="Arial;sans-serif"/>
          <w:b w:val="false"/>
          <w:color w:val="000000"/>
          <w:sz w:val="20"/>
        </w:rPr>
        <w:t>r (8.8)%,</w:t>
      </w:r>
      <w:r>
        <w:rPr>
          <w:color w:val="000000"/>
          <w:shd w:fill="FFFFFF" w:val="clear"/>
        </w:rPr>
        <w:t xml:space="preserve"> </w:t>
      </w:r>
      <w:r>
        <w:rPr>
          <w:rFonts w:ascii="Arial;sans-serif" w:hAnsi="Arial;sans-serif"/>
          <w:b w:val="false"/>
          <w:color w:val="000000"/>
          <w:sz w:val="20"/>
          <w:shd w:fill="FFFFFF" w:val="clear"/>
        </w:rPr>
        <w:t>compared to $28.5 million for the six months ended July 31, 2022</w:t>
      </w:r>
      <w:r>
        <w:rPr>
          <w:rFonts w:ascii="Arial;sans-serif" w:hAnsi="Arial;sans-serif"/>
          <w:b w:val="false"/>
          <w:color w:val="000000"/>
          <w:sz w:val="20"/>
        </w:rPr>
        <w:t>. This decrease was driven by cost savings from the September 2022 restructuring plan. We were able to realize these benefits while supporting growth initiatives including enhanced search, fit and discovery experience for the consumer. Technology expenses were 17.3% of revenue for the six months ended July 31, 2023 compared to 19.8% last year as we saw increased operating leverage with higher revenue and a lower cost base post-restructuring. Technology related share-based compensation expense was $3.7 million for the six months ended July 31, 2023 and was $2.8 million for the same period last year.</w:t>
      </w:r>
    </w:p>
    <w:p>
      <w:pPr>
        <w:pStyle w:val="TextBody"/>
        <w:bidi w:val="0"/>
        <w:spacing w:lineRule="auto" w:line="288" w:before="240" w:after="283"/>
        <w:jc w:val="left"/>
        <w:rPr/>
      </w:pPr>
      <w:r>
        <w:rPr>
          <w:rFonts w:ascii="Arial;sans-serif" w:hAnsi="Arial;sans-serif"/>
          <w:b/>
          <w:i/>
          <w:color w:val="000000"/>
          <w:sz w:val="20"/>
        </w:rPr>
        <w:t>Marketing.</w:t>
      </w:r>
      <w:r>
        <w:rPr>
          <w:color w:val="000000"/>
        </w:rPr>
        <w:t>    </w:t>
      </w:r>
      <w:r>
        <w:rPr>
          <w:rFonts w:ascii="Arial;sans-serif" w:hAnsi="Arial;sans-serif"/>
          <w:b w:val="false"/>
          <w:color w:val="000000"/>
          <w:sz w:val="20"/>
        </w:rPr>
        <w:t>Marketing expenses were $17.5 million for the six months ended July 31, 2023, a decrease of $(0.2) million, or (1.1)%, compared to $17.7 million for the six months ended</w:t>
      </w:r>
      <w:r>
        <w:rPr>
          <w:color w:val="000000"/>
          <w:shd w:fill="FFFFFF" w:val="clear"/>
        </w:rPr>
        <w:t xml:space="preserve"> </w:t>
      </w:r>
      <w:r>
        <w:rPr>
          <w:rFonts w:ascii="Arial;sans-serif" w:hAnsi="Arial;sans-serif"/>
          <w:b w:val="false"/>
          <w:color w:val="000000"/>
          <w:sz w:val="20"/>
          <w:shd w:fill="FFFFFF" w:val="clear"/>
        </w:rPr>
        <w:t>July 31, 2022</w:t>
      </w:r>
      <w:r>
        <w:rPr>
          <w:rFonts w:ascii="Arial;sans-serif" w:hAnsi="Arial;sans-serif"/>
          <w:b w:val="false"/>
          <w:color w:val="000000"/>
          <w:sz w:val="20"/>
        </w:rPr>
        <w:t xml:space="preserve">. This decrease was driven by timing of marketing spend to support customer initiatives. Marketing expenses unrelated to personnel costs were $16.0 million in the six months ended July 31, 2023 and 10.7% of revenue, compared to $15.2 million and 10.6% of total revenue last year.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General and Administrative.</w:t>
      </w:r>
      <w:r>
        <w:rPr>
          <w:color w:val="000000"/>
        </w:rPr>
        <w:t>    </w:t>
      </w:r>
      <w:r>
        <w:rPr>
          <w:rFonts w:ascii="Arial;sans-serif" w:hAnsi="Arial;sans-serif"/>
          <w:b w:val="false"/>
          <w:color w:val="000000"/>
          <w:sz w:val="20"/>
        </w:rPr>
        <w:t>General and administrative (“G&amp;A”) expenses were $52.4 million for the six months ended July 31, 2023, a decrease of $(6.4) million, or (10.9)%, compared to $58.8 million for the six months ended</w:t>
      </w:r>
      <w:r>
        <w:rPr>
          <w:color w:val="000000"/>
          <w:shd w:fill="FFFFFF" w:val="clear"/>
        </w:rPr>
        <w:t xml:space="preserve"> </w:t>
      </w:r>
      <w:r>
        <w:rPr>
          <w:rFonts w:ascii="Arial;sans-serif" w:hAnsi="Arial;sans-serif"/>
          <w:b w:val="false"/>
          <w:color w:val="000000"/>
          <w:sz w:val="20"/>
          <w:shd w:fill="FFFFFF" w:val="clear"/>
        </w:rPr>
        <w:t>July 31, 2022</w:t>
      </w:r>
      <w:r>
        <w:rPr>
          <w:rFonts w:ascii="Arial;sans-serif" w:hAnsi="Arial;sans-serif"/>
          <w:b w:val="false"/>
          <w:color w:val="000000"/>
          <w:sz w:val="20"/>
        </w:rPr>
        <w:t>. This decrease was driven by cost savings from the September 2022 restructuring plan. G&amp;A expenses as a percentage of revenue were 35.0% compared to 40.9% last year as we saw increased operating leverage with higher revenue and a lower cost base post-restructuring. G&amp;A related share-based compensation expense was $12.4 million for the six months ended July 31, 2023 and was $9.3 million for the six months ended</w:t>
      </w:r>
      <w:r>
        <w:rPr>
          <w:color w:val="000000"/>
          <w:shd w:fill="FFFFFF" w:val="clear"/>
        </w:rPr>
        <w:t xml:space="preserve"> </w:t>
      </w:r>
      <w:r>
        <w:rPr>
          <w:rFonts w:ascii="Arial;sans-serif" w:hAnsi="Arial;sans-serif"/>
          <w:b w:val="false"/>
          <w:color w:val="000000"/>
          <w:sz w:val="20"/>
          <w:shd w:fill="FFFFFF" w:val="clear"/>
        </w:rPr>
        <w:t>July 31, 2022</w:t>
      </w:r>
      <w:r>
        <w:rPr>
          <w:rFonts w:ascii="Arial;sans-serif" w:hAnsi="Arial;sans-serif"/>
          <w:b w:val="false"/>
          <w:color w:val="000000"/>
          <w:sz w:val="20"/>
        </w:rPr>
        <w:t>. The increase was primarily due to incremental share-based compensation expense due to equity award modifications related to the transition of the Chief Financial Officer role. We generally expect G&amp;A expenses to decrease in fiscal year 2023, compared with fiscal year 2022, as a result of the aforementioned restructuring; however, share-based compensation expense is expected to increase in fiscal year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pPr>
      <w:r>
        <w:rPr>
          <w:rFonts w:ascii="Arial;sans-serif" w:hAnsi="Arial;sans-serif"/>
          <w:b/>
          <w:i/>
          <w:color w:val="000000"/>
          <w:sz w:val="20"/>
          <w:shd w:fill="FFFFFF" w:val="clear"/>
        </w:rPr>
        <w:t>Rental Product Depreciation and Revenue Share.</w:t>
      </w:r>
      <w:r>
        <w:rPr>
          <w:color w:val="000000"/>
          <w:shd w:fill="FFFFFF" w:val="clear"/>
        </w:rPr>
        <w:t>    </w:t>
      </w:r>
      <w:r>
        <w:rPr>
          <w:rFonts w:ascii="Arial;sans-serif" w:hAnsi="Arial;sans-serif"/>
          <w:b w:val="false"/>
          <w:color w:val="000000"/>
          <w:sz w:val="20"/>
          <w:shd w:fill="FFFFFF" w:val="clear"/>
        </w:rPr>
        <w:t>Rental product depreciation and revenue share was $40.9 million for the six months ended</w:t>
      </w:r>
      <w:r>
        <w:rPr>
          <w:color w:val="000000"/>
        </w:rPr>
        <w:t xml:space="preserve"> </w:t>
      </w:r>
      <w:r>
        <w:rPr>
          <w:rFonts w:ascii="Arial;sans-serif" w:hAnsi="Arial;sans-serif"/>
          <w:b w:val="false"/>
          <w:color w:val="000000"/>
          <w:sz w:val="20"/>
        </w:rPr>
        <w:t>July 31, 2023</w:t>
      </w:r>
      <w:r>
        <w:rPr>
          <w:rFonts w:ascii="Arial;sans-serif" w:hAnsi="Arial;sans-serif"/>
          <w:b w:val="false"/>
          <w:color w:val="000000"/>
          <w:sz w:val="20"/>
          <w:shd w:fill="FFFFFF" w:val="clear"/>
        </w:rPr>
        <w:t>, an decrease of $(1.5) million, or (3.5)%, compared to $42.4 million for the six months ended July 31, 2022</w:t>
      </w:r>
      <w:r>
        <w:rPr>
          <w:rFonts w:ascii="Arial;sans-serif" w:hAnsi="Arial;sans-serif"/>
          <w:b w:val="false"/>
          <w:color w:val="000000"/>
          <w:sz w:val="20"/>
        </w:rPr>
        <w:t xml:space="preserve">. </w:t>
      </w:r>
      <w:r>
        <w:rPr>
          <w:rFonts w:ascii="Arial;sans-serif" w:hAnsi="Arial;sans-serif"/>
          <w:b w:val="false"/>
          <w:color w:val="000000"/>
          <w:sz w:val="20"/>
          <w:shd w:fill="FFFFFF" w:val="clear"/>
        </w:rPr>
        <w:t xml:space="preserve">The decrease was driven by a decrease in rental product depreciation, offset by an increase in revenue share. </w:t>
      </w:r>
      <w:r>
        <w:rPr>
          <w:rFonts w:ascii="Arial;sans-serif" w:hAnsi="Arial;sans-serif"/>
          <w:b w:val="false"/>
          <w:color w:val="000000"/>
          <w:sz w:val="20"/>
        </w:rPr>
        <w:t>Rental p</w:t>
      </w:r>
      <w:r>
        <w:rPr>
          <w:rFonts w:ascii="Arial;sans-serif" w:hAnsi="Arial;sans-serif"/>
          <w:b w:val="false"/>
          <w:color w:val="000000"/>
          <w:sz w:val="20"/>
          <w:shd w:fill="FFFFFF" w:val="clear"/>
        </w:rPr>
        <w:t>roduct depreciation and revenue share was 27.3%</w:t>
      </w:r>
      <w:r>
        <w:rPr>
          <w:color w:val="000000"/>
        </w:rPr>
        <w:t xml:space="preserve"> </w:t>
      </w:r>
      <w:r>
        <w:rPr>
          <w:rFonts w:ascii="Arial;sans-serif" w:hAnsi="Arial;sans-serif"/>
          <w:b w:val="false"/>
          <w:color w:val="000000"/>
          <w:sz w:val="20"/>
        </w:rPr>
        <w:t>of revenue in the six months ended July 31, 2023, down from 29.5%</w:t>
      </w:r>
      <w:r>
        <w:rPr>
          <w:color w:val="000000"/>
          <w:shd w:fill="FFFFFF" w:val="clear"/>
        </w:rPr>
        <w:t xml:space="preserve"> </w:t>
      </w:r>
      <w:r>
        <w:rPr>
          <w:rFonts w:ascii="Arial;sans-serif" w:hAnsi="Arial;sans-serif"/>
          <w:b w:val="false"/>
          <w:color w:val="000000"/>
          <w:sz w:val="20"/>
          <w:shd w:fill="FFFFFF" w:val="clear"/>
        </w:rPr>
        <w:t xml:space="preserve">in the same period last year primarily due to both the impact of the April 2022 price increase as well as the shift towards more cost efficient product acquisition channels. </w:t>
      </w:r>
    </w:p>
    <w:p>
      <w:pPr>
        <w:pStyle w:val="TextBody"/>
        <w:bidi w:val="0"/>
        <w:spacing w:lineRule="auto" w:line="288" w:before="240" w:after="283"/>
        <w:jc w:val="left"/>
        <w:rPr/>
      </w:pPr>
      <w:r>
        <w:rPr>
          <w:rFonts w:ascii="Arial;sans-serif" w:hAnsi="Arial;sans-serif"/>
          <w:b/>
          <w:i/>
          <w:color w:val="000000"/>
          <w:sz w:val="20"/>
          <w:shd w:fill="FFFFFF" w:val="clear"/>
        </w:rPr>
        <w:t>Other Depreciation and Amortization.</w:t>
      </w:r>
      <w:r>
        <w:rPr>
          <w:color w:val="000000"/>
          <w:shd w:fill="FFFFFF" w:val="clear"/>
        </w:rPr>
        <w:t>    </w:t>
      </w:r>
      <w:r>
        <w:rPr>
          <w:rFonts w:ascii="Arial;sans-serif" w:hAnsi="Arial;sans-serif"/>
          <w:b w:val="false"/>
          <w:color w:val="000000"/>
          <w:sz w:val="20"/>
          <w:shd w:fill="FFFFFF" w:val="clear"/>
        </w:rPr>
        <w:t>Other depreciation and amortization was $7.5 million for the six months ended</w:t>
      </w:r>
      <w:r>
        <w:rPr>
          <w:color w:val="000000"/>
        </w:rPr>
        <w:t xml:space="preserve"> </w:t>
      </w:r>
      <w:r>
        <w:rPr>
          <w:rFonts w:ascii="Arial;sans-serif" w:hAnsi="Arial;sans-serif"/>
          <w:b w:val="false"/>
          <w:color w:val="000000"/>
          <w:sz w:val="20"/>
        </w:rPr>
        <w:t>July 31, 2023</w:t>
      </w:r>
      <w:r>
        <w:rPr>
          <w:rFonts w:ascii="Arial;sans-serif" w:hAnsi="Arial;sans-serif"/>
          <w:b w:val="false"/>
          <w:color w:val="000000"/>
          <w:sz w:val="20"/>
          <w:shd w:fill="FFFFFF" w:val="clear"/>
        </w:rPr>
        <w:t>, a decrease of $(1.2) million, or (13.8)%, compared to $8.7 </w:t>
      </w:r>
      <w:r>
        <w:rPr>
          <w:rFonts w:ascii="Arial;sans-serif" w:hAnsi="Arial;sans-serif"/>
          <w:b w:val="false"/>
          <w:color w:val="000000"/>
          <w:sz w:val="20"/>
        </w:rPr>
        <w:t>million for the six months ended</w:t>
      </w:r>
      <w:r>
        <w:rPr>
          <w:color w:val="000000"/>
          <w:shd w:fill="FFFFFF" w:val="clear"/>
        </w:rPr>
        <w:t xml:space="preserve"> </w:t>
      </w:r>
      <w:r>
        <w:rPr>
          <w:rFonts w:ascii="Arial;sans-serif" w:hAnsi="Arial;sans-serif"/>
          <w:b w:val="false"/>
          <w:color w:val="000000"/>
          <w:sz w:val="20"/>
          <w:shd w:fill="FFFFFF" w:val="clear"/>
        </w:rPr>
        <w:t>July 31, 2022</w:t>
      </w:r>
      <w:r>
        <w:rPr>
          <w:rFonts w:ascii="Arial;sans-serif" w:hAnsi="Arial;sans-serif"/>
          <w:b w:val="false"/>
          <w:color w:val="000000"/>
          <w:sz w:val="20"/>
        </w:rPr>
        <w:t>. This decrease was primarily driven by lower depreciation associated with computers and equipment and software.</w:t>
      </w:r>
    </w:p>
    <w:p>
      <w:pPr>
        <w:pStyle w:val="TextBody"/>
        <w:bidi w:val="0"/>
        <w:spacing w:lineRule="auto" w:line="288" w:before="240" w:after="283"/>
        <w:jc w:val="left"/>
        <w:rPr/>
      </w:pPr>
      <w:r>
        <w:rPr>
          <w:rFonts w:ascii="Arial;sans-serif" w:hAnsi="Arial;sans-serif"/>
          <w:b/>
          <w:i/>
          <w:color w:val="000000"/>
          <w:sz w:val="20"/>
          <w:shd w:fill="FFFFFF" w:val="clear"/>
        </w:rPr>
        <w:t>Interest Income / (Expense), Net.</w:t>
      </w:r>
      <w:r>
        <w:rPr>
          <w:color w:val="000000"/>
          <w:shd w:fill="FFFFFF" w:val="clear"/>
        </w:rPr>
        <w:t>    </w:t>
      </w:r>
      <w:r>
        <w:rPr>
          <w:rFonts w:ascii="Arial;sans-serif" w:hAnsi="Arial;sans-serif"/>
          <w:b w:val="false"/>
          <w:color w:val="000000"/>
          <w:sz w:val="20"/>
          <w:shd w:fill="FFFFFF" w:val="clear"/>
        </w:rPr>
        <w:t>Interest expense, net was $18.3 million for the six months ended</w:t>
      </w:r>
      <w:r>
        <w:rPr>
          <w:color w:val="000000"/>
        </w:rPr>
        <w:t xml:space="preserve"> </w:t>
      </w:r>
      <w:r>
        <w:rPr>
          <w:rFonts w:ascii="Arial;sans-serif" w:hAnsi="Arial;sans-serif"/>
          <w:b w:val="false"/>
          <w:color w:val="000000"/>
          <w:sz w:val="20"/>
        </w:rPr>
        <w:t>July 31, 2023</w:t>
      </w:r>
      <w:r>
        <w:rPr>
          <w:rFonts w:ascii="Arial;sans-serif" w:hAnsi="Arial;sans-serif"/>
          <w:b w:val="false"/>
          <w:color w:val="000000"/>
          <w:sz w:val="20"/>
          <w:shd w:fill="FFFFFF" w:val="clear"/>
        </w:rPr>
        <w:t>, a decrease in expense of $(0.6) million, or (3.2)%, compared to $18.9 million for the six months ended July 31, 2022</w:t>
      </w:r>
      <w:r>
        <w:rPr>
          <w:rFonts w:ascii="Arial;sans-serif" w:hAnsi="Arial;sans-serif"/>
          <w:b w:val="false"/>
          <w:color w:val="000000"/>
          <w:sz w:val="20"/>
        </w:rPr>
        <w:t>. This decrease was driven by lower cash interest as a result of the 2022 Amended Temasek Facility and higher cash interest earned partially offset by higher paid-in-kind (“PIK”) interest from the 2022 Amended Temasek Facility. Of the $18.3 million total interest expense in the six months ended July 31, 2023, $14.7 million was the accrual of PIK interest, $0.2 million was the net of cash interest, interest earned and financing lease interest and other interest and $3.4 million was debt discount amortization, compared to $7.0 million of PIK interest, $9.9 million of cash interest, financing lease interest and other interest and $2.0 million of debt discount amortization in the six months ended</w:t>
      </w:r>
      <w:r>
        <w:rPr>
          <w:color w:val="000000"/>
          <w:shd w:fill="FFFFFF" w:val="clear"/>
        </w:rPr>
        <w:t xml:space="preserve"> </w:t>
      </w:r>
      <w:r>
        <w:rPr>
          <w:rFonts w:ascii="Arial;sans-serif" w:hAnsi="Arial;sans-serif"/>
          <w:b w:val="false"/>
          <w:color w:val="000000"/>
          <w:sz w:val="20"/>
          <w:shd w:fill="FFFFFF" w:val="clear"/>
        </w:rPr>
        <w:t>July 31, 2022</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Other Income / (Expense), Net</w:t>
      </w:r>
      <w:r>
        <w:rPr>
          <w:rFonts w:ascii="Arial;sans-serif" w:hAnsi="Arial;sans-serif"/>
          <w:b w:val="false"/>
          <w:color w:val="000000"/>
          <w:sz w:val="20"/>
        </w:rPr>
        <w:t xml:space="preserve">. Other income / (expense) was $0.1 million for the </w:t>
      </w:r>
      <w:r>
        <w:rPr>
          <w:rFonts w:ascii="Arial;sans-serif" w:hAnsi="Arial;sans-serif"/>
          <w:b w:val="false"/>
          <w:color w:val="000000"/>
          <w:sz w:val="20"/>
          <w:shd w:fill="FFFFFF" w:val="clear"/>
        </w:rPr>
        <w:t>six months ended</w:t>
      </w:r>
      <w:r>
        <w:rPr>
          <w:color w:val="000000"/>
        </w:rPr>
        <w:t xml:space="preserve"> </w:t>
      </w:r>
      <w:r>
        <w:rPr>
          <w:rFonts w:ascii="Arial;sans-serif" w:hAnsi="Arial;sans-serif"/>
          <w:b w:val="false"/>
          <w:color w:val="000000"/>
          <w:sz w:val="20"/>
        </w:rPr>
        <w:t xml:space="preserve">July 31, 2023, a decrease of $(1.2) million, compared to $1.3 million for the </w:t>
      </w:r>
      <w:r>
        <w:rPr>
          <w:rFonts w:ascii="Arial;sans-serif" w:hAnsi="Arial;sans-serif"/>
          <w:b w:val="false"/>
          <w:color w:val="000000"/>
          <w:sz w:val="20"/>
          <w:shd w:fill="FFFFFF" w:val="clear"/>
        </w:rPr>
        <w:t>six months ended</w:t>
      </w:r>
      <w:r>
        <w:rPr>
          <w:color w:val="000000"/>
        </w:rPr>
        <w:t xml:space="preserve"> </w:t>
      </w:r>
      <w:r>
        <w:rPr>
          <w:rFonts w:ascii="Arial;sans-serif" w:hAnsi="Arial;sans-serif"/>
          <w:b w:val="false"/>
          <w:color w:val="000000"/>
          <w:sz w:val="20"/>
          <w:shd w:fill="FFFFFF" w:val="clear"/>
        </w:rPr>
        <w:t>July 31, 2022</w:t>
      </w:r>
      <w:r>
        <w:rPr>
          <w:rFonts w:ascii="Arial;sans-serif" w:hAnsi="Arial;sans-serif"/>
          <w:b w:val="false"/>
          <w:color w:val="000000"/>
          <w:sz w:val="20"/>
        </w:rPr>
        <w:t xml:space="preserve">. This decrease was primarily driven by $1.3 million of monetization of tax credits during the </w:t>
      </w:r>
      <w:r>
        <w:rPr>
          <w:rFonts w:ascii="Arial;sans-serif" w:hAnsi="Arial;sans-serif"/>
          <w:b w:val="false"/>
          <w:color w:val="000000"/>
          <w:sz w:val="20"/>
          <w:shd w:fill="FFFFFF" w:val="clear"/>
        </w:rPr>
        <w:t>six months ended</w:t>
      </w:r>
      <w:r>
        <w:rPr>
          <w:color w:val="000000"/>
        </w:rPr>
        <w:t xml:space="preserve"> </w:t>
      </w:r>
      <w:r>
        <w:rPr>
          <w:rFonts w:ascii="Arial;sans-serif" w:hAnsi="Arial;sans-serif"/>
          <w:b w:val="false"/>
          <w:color w:val="000000"/>
          <w:sz w:val="20"/>
          <w:shd w:fill="FFFFFF" w:val="clear"/>
        </w:rPr>
        <w:t>July 31, 2022</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Non-GAAP Financial Metrics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Quarterly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shd w:fill="FFFFFF" w:val="clear"/>
        </w:rPr>
        <w:t>Adjusted EBITDA and Adjusted EBITDA Margin.</w:t>
      </w:r>
      <w:r>
        <w:rPr>
          <w:color w:val="000000"/>
          <w:shd w:fill="FFFFFF" w:val="clear"/>
        </w:rPr>
        <w:t>    </w:t>
      </w:r>
      <w:r>
        <w:rPr>
          <w:rFonts w:ascii="Arial;sans-serif" w:hAnsi="Arial;sans-serif"/>
          <w:b w:val="false"/>
          <w:color w:val="000000"/>
          <w:sz w:val="20"/>
        </w:rPr>
        <w:t>Adjusted EBITDA and Adjusted EBITDA Margin are key performance measures used by management to assess our operating performance and the operating leverage of our business prior to capital expenditures. Our Adjusted EBITDA margins have improved from 2.4% in the three months ended July 31, 2022 to 10.2% in the three months ended July 31, 2023. Adjusted EBITDA margins have also improved from (4.9)% in the six months ended July 31, 2022 to 8.1% in the six months ended July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presents a reconciliation of net loss, the most comparable GAAP financial measure, to Adjusted EBITDA for the periods presented:</w:t>
      </w:r>
    </w:p>
    <w:tbl>
      <w:tblPr>
        <w:tblW w:w="8912" w:type="dxa"/>
        <w:jc w:val="left"/>
        <w:tblInd w:w="0" w:type="dxa"/>
        <w:tblLayout w:type="fixed"/>
        <w:tblCellMar>
          <w:top w:w="28" w:type="dxa"/>
          <w:left w:w="28" w:type="dxa"/>
          <w:bottom w:w="28" w:type="dxa"/>
          <w:right w:w="28" w:type="dxa"/>
        </w:tblCellMar>
      </w:tblPr>
      <w:tblGrid>
        <w:gridCol w:w="1264"/>
        <w:gridCol w:w="1111"/>
        <w:gridCol w:w="1119"/>
        <w:gridCol w:w="211"/>
        <w:gridCol w:w="601"/>
        <w:gridCol w:w="286"/>
        <w:gridCol w:w="109"/>
        <w:gridCol w:w="109"/>
        <w:gridCol w:w="109"/>
        <w:gridCol w:w="211"/>
        <w:gridCol w:w="601"/>
        <w:gridCol w:w="286"/>
        <w:gridCol w:w="109"/>
        <w:gridCol w:w="109"/>
        <w:gridCol w:w="109"/>
        <w:gridCol w:w="211"/>
        <w:gridCol w:w="601"/>
        <w:gridCol w:w="286"/>
        <w:gridCol w:w="109"/>
        <w:gridCol w:w="109"/>
        <w:gridCol w:w="109"/>
        <w:gridCol w:w="211"/>
        <w:gridCol w:w="601"/>
        <w:gridCol w:w="331"/>
      </w:tblGrid>
      <w:tr>
        <w:trPr/>
        <w:tc>
          <w:tcPr>
            <w:tcW w:w="126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July 31, </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 expense, net (1)</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Rental product depreciation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depreciation and amortization (2)</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(3)</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 of liquidated assets (4)</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Non-recurring adjustments (5)</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 expense, net (6)</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(gains) / losses (7)</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 (8)</w:t>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 xml:space="preserve">Includes debt discount amortization of $1.8 million in the three months ended July 31, 2023, $1.0 million in the three months ended July 31, 2022, $3.4 million in the six months ended July 31, 2023 and $2.0 million in the six months ended July 31, 2022. </w:t>
      </w:r>
    </w:p>
    <w:p>
      <w:pPr>
        <w:pStyle w:val="TextBody"/>
        <w:bidi w:val="0"/>
        <w:spacing w:lineRule="auto" w:line="288" w:before="12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Reflects non-rental product depreciation and capitalized software amortization.</w:t>
      </w:r>
    </w:p>
    <w:p>
      <w:pPr>
        <w:pStyle w:val="TextBody"/>
        <w:bidi w:val="0"/>
        <w:spacing w:lineRule="auto" w:line="288" w:before="120" w:after="283"/>
        <w:ind w:left="0" w:right="0" w:hanging="360"/>
        <w:jc w:val="left"/>
        <w:rPr/>
      </w:pPr>
      <w:r>
        <w:rPr>
          <w:rFonts w:ascii="Arial;sans-serif" w:hAnsi="Arial;sans-serif"/>
          <w:b w:val="false"/>
          <w:color w:val="000000"/>
          <w:sz w:val="10"/>
        </w:rPr>
        <w:t>(3)</w:t>
      </w:r>
      <w:r>
        <w:rPr>
          <w:rFonts w:ascii="Arial;sans-serif" w:hAnsi="Arial;sans-serif"/>
          <w:b w:val="false"/>
          <w:color w:val="000000"/>
          <w:sz w:val="16"/>
        </w:rPr>
        <w:t>Reflects the non-cash expense for share-based compensation.</w:t>
      </w:r>
    </w:p>
    <w:p>
      <w:pPr>
        <w:pStyle w:val="TextBody"/>
        <w:bidi w:val="0"/>
        <w:spacing w:lineRule="auto" w:line="288" w:before="120" w:after="283"/>
        <w:ind w:left="0" w:right="0" w:hanging="360"/>
        <w:jc w:val="left"/>
        <w:rPr/>
      </w:pPr>
      <w:r>
        <w:rPr>
          <w:rFonts w:ascii="Arial;sans-serif" w:hAnsi="Arial;sans-serif"/>
          <w:b w:val="false"/>
          <w:color w:val="000000"/>
          <w:sz w:val="10"/>
        </w:rPr>
        <w:t>(4)</w:t>
      </w:r>
      <w:r>
        <w:rPr>
          <w:rFonts w:ascii="Arial;sans-serif" w:hAnsi="Arial;sans-serif"/>
          <w:b w:val="false"/>
          <w:color w:val="000000"/>
          <w:sz w:val="16"/>
        </w:rPr>
        <w:t>Reflects the write-off of the remaining book value of liquidated rental product that had previously been held for sale.</w:t>
      </w:r>
    </w:p>
    <w:p>
      <w:pPr>
        <w:pStyle w:val="TextBody"/>
        <w:bidi w:val="0"/>
        <w:spacing w:lineRule="auto" w:line="288" w:before="120" w:after="283"/>
        <w:ind w:left="0" w:right="0" w:hanging="360"/>
        <w:jc w:val="left"/>
        <w:rPr/>
      </w:pPr>
      <w:r>
        <w:rPr>
          <w:rFonts w:ascii="Arial;sans-serif" w:hAnsi="Arial;sans-serif"/>
          <w:b w:val="false"/>
          <w:color w:val="000000"/>
          <w:sz w:val="10"/>
        </w:rPr>
        <w:t>(5)</w:t>
      </w:r>
      <w:r>
        <w:rPr>
          <w:rFonts w:ascii="Arial;sans-serif" w:hAnsi="Arial;sans-serif"/>
          <w:b w:val="false"/>
          <w:color w:val="000000"/>
          <w:sz w:val="16"/>
        </w:rPr>
        <w:t>Non-recurring adjustments for the three months ended July 31, 2023 includes $0.5 million of costs related to the option exchange and the three months ended July 31, 2022 includes $0.7 million of costs related to public company SOX readiness. Non-recurring adjustments for the six months ended July 31, 2023 includes $0.5 million of costs related to the option exchange and for the six months ended July 31, 2022 includes $1.0 million of costs related to public company SOX readiness.</w:t>
      </w:r>
    </w:p>
    <w:p>
      <w:pPr>
        <w:pStyle w:val="TextBody"/>
        <w:bidi w:val="0"/>
        <w:spacing w:lineRule="auto" w:line="288" w:before="120" w:after="283"/>
        <w:ind w:left="0" w:right="0" w:hanging="360"/>
        <w:jc w:val="left"/>
        <w:rPr/>
      </w:pPr>
      <w:r>
        <w:rPr>
          <w:rFonts w:ascii="Arial;sans-serif" w:hAnsi="Arial;sans-serif"/>
          <w:b w:val="false"/>
          <w:color w:val="000000"/>
          <w:sz w:val="10"/>
        </w:rPr>
        <w:t>(6)</w:t>
      </w:r>
      <w:r>
        <w:rPr>
          <w:rFonts w:ascii="Arial;sans-serif" w:hAnsi="Arial;sans-serif"/>
          <w:b w:val="false"/>
          <w:color w:val="000000"/>
          <w:sz w:val="16"/>
        </w:rPr>
        <w:t>Primarily includes $1.3 million of monetized tax credits for the three and six months ended July 31, 2022.</w:t>
      </w:r>
    </w:p>
    <w:p>
      <w:pPr>
        <w:pStyle w:val="TextBody"/>
        <w:bidi w:val="0"/>
        <w:spacing w:lineRule="auto" w:line="288" w:before="120" w:after="283"/>
        <w:ind w:left="0" w:right="0" w:hanging="360"/>
        <w:jc w:val="left"/>
        <w:rPr/>
      </w:pPr>
      <w:r>
        <w:rPr>
          <w:rFonts w:ascii="Arial;sans-serif" w:hAnsi="Arial;sans-serif"/>
          <w:b w:val="false"/>
          <w:color w:val="000000"/>
          <w:sz w:val="10"/>
        </w:rPr>
        <w:t>(7)</w:t>
      </w:r>
      <w:r>
        <w:rPr>
          <w:rFonts w:ascii="Arial;sans-serif" w:hAnsi="Arial;sans-serif"/>
          <w:b w:val="false"/>
          <w:color w:val="000000"/>
          <w:sz w:val="16"/>
        </w:rPr>
        <w:t>Includes gains / losses recognized in relation to foreign exchange, operating lease terminations and the related surrender of fixed assets (see “Note 4 - Leases – Lessee Accounting” in the Notes to the Condensed Consolidated Financial Statements).</w:t>
      </w:r>
    </w:p>
    <w:p>
      <w:pPr>
        <w:pStyle w:val="TextBody"/>
        <w:bidi w:val="0"/>
        <w:spacing w:lineRule="auto" w:line="288" w:before="120" w:after="283"/>
        <w:ind w:left="0" w:right="0" w:hanging="360"/>
        <w:jc w:val="left"/>
        <w:rPr/>
      </w:pPr>
      <w:r>
        <w:rPr>
          <w:rFonts w:ascii="Arial;sans-serif" w:hAnsi="Arial;sans-serif"/>
          <w:b w:val="false"/>
          <w:color w:val="000000"/>
          <w:sz w:val="10"/>
        </w:rPr>
        <w:t>(8)</w:t>
      </w:r>
      <w:r>
        <w:rPr>
          <w:rFonts w:ascii="Arial;sans-serif" w:hAnsi="Arial;sans-serif"/>
          <w:b w:val="false"/>
          <w:color w:val="000000"/>
          <w:sz w:val="16"/>
        </w:rPr>
        <w:t>Adjusted EBITDA Margin calculated as Adjusted EBITDA as a percentage of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Liquidity and Capital Resources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Since our founding, we have financed our operations primarily from net proceeds from the sale of redeemable preferred stock, common stock and debt financings. As of July 31, 2023, we had cash and cash equivalents of $123.7 million and restricted cash of $10.0 million ($4.2 million current and $5.8 million noncurrent), and an accumulated deficit of $(996.8)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On October 29, 2021, we closed our IPO, in which we issued and sold 17,000,000 shares at a public offering price of $21.00 per share. We received net proce</w:t>
      </w:r>
      <w:r>
        <w:rPr>
          <w:rFonts w:ascii="Arial;sans-serif" w:hAnsi="Arial;sans-serif"/>
          <w:b w:val="false"/>
          <w:color w:val="000000"/>
          <w:sz w:val="20"/>
        </w:rPr>
        <w:t>eds of $327.3 million</w:t>
      </w:r>
      <w:r>
        <w:rPr>
          <w:color w:val="000000"/>
          <w:shd w:fill="FFFFFF" w:val="clear"/>
        </w:rPr>
        <w:t xml:space="preserve"> </w:t>
      </w:r>
      <w:r>
        <w:rPr>
          <w:rFonts w:ascii="Arial;sans-serif" w:hAnsi="Arial;sans-serif"/>
          <w:b w:val="false"/>
          <w:color w:val="000000"/>
          <w:sz w:val="20"/>
          <w:shd w:fill="FFFFFF" w:val="clear"/>
        </w:rPr>
        <w:t xml:space="preserve">after deducting underwriting discounts and commissions and offering expenses.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0" w:after="0"/>
        <w:jc w:val="left"/>
        <w:rPr/>
      </w:pPr>
      <w:r>
        <w:rPr>
          <w:rFonts w:ascii="Arial;sans-serif" w:hAnsi="Arial;sans-serif"/>
          <w:b w:val="false"/>
          <w:color w:val="000000"/>
          <w:sz w:val="20"/>
        </w:rPr>
        <w:t>Concurrent with our IPO, we paid down our senior secured term loan of $80.7 million (including accrued interest) with Ares Corporate Opportunities Fund V, L.P. in full and $60.0 million of our Temasek Facility and refinanced the remaining Temasek Facility, resulting in a total debt repayment of $140.7 million.</w:t>
      </w:r>
      <w:r>
        <w:rPr>
          <w:color w:val="000000"/>
        </w:rPr>
        <w:t xml:space="preserve"> </w:t>
      </w:r>
      <w:r>
        <w:rPr>
          <w:rFonts w:ascii="Arial;sans-serif" w:hAnsi="Arial;sans-serif"/>
          <w:b w:val="false"/>
          <w:color w:val="000000"/>
          <w:sz w:val="20"/>
        </w:rPr>
        <w:t xml:space="preserve">In January 2023, we entered into the 2022 Amended Temasek Facility. The 2022 Amended Temasek Facility extended the maturity date from October 2024 to October 2026, reduced cash interest payments by over $20 million in cash in the next two fiscal years while the total interest rate remains unchanged during this period, with subsequent increases thereafter. In connection with the 2022 Amended Temasek Facility, we also granted warrants to purchase two million shares of Class A Common Stock at an exercise price of $5.00 per share, along with other clarifications and updates. Our total indebtedness as of </w:t>
      </w:r>
      <w:r>
        <w:rPr>
          <w:rFonts w:ascii="Arial;sans-serif" w:hAnsi="Arial;sans-serif"/>
          <w:b w:val="false"/>
          <w:color w:val="000000"/>
          <w:sz w:val="20"/>
          <w:shd w:fill="FFFFFF" w:val="clear"/>
        </w:rPr>
        <w:t>July 31, 2023</w:t>
      </w:r>
      <w:r>
        <w:rPr>
          <w:color w:val="000000"/>
        </w:rPr>
        <w:t xml:space="preserve"> </w:t>
      </w:r>
      <w:r>
        <w:rPr>
          <w:rFonts w:ascii="Arial;sans-serif" w:hAnsi="Arial;sans-serif"/>
          <w:b w:val="false"/>
          <w:color w:val="000000"/>
          <w:sz w:val="20"/>
        </w:rPr>
        <w:t>was $290.6 million. For a description of the terms o</w:t>
      </w:r>
      <w:r>
        <w:rPr>
          <w:rFonts w:ascii="Arial;sans-serif" w:hAnsi="Arial;sans-serif"/>
          <w:b w:val="false"/>
          <w:color w:val="000000"/>
          <w:sz w:val="20"/>
          <w:shd w:fill="FFFFFF" w:val="clear"/>
        </w:rPr>
        <w:t xml:space="preserve">f our current and prior credit agreements, see “Note 6 – </w:t>
      </w:r>
      <w:r>
        <w:rPr>
          <w:rFonts w:ascii="Arial;sans-serif" w:hAnsi="Arial;sans-serif"/>
          <w:b w:val="false"/>
          <w:color w:val="000000"/>
          <w:sz w:val="20"/>
        </w:rPr>
        <w:t>Long-Term Debt</w:t>
      </w:r>
      <w:r>
        <w:rPr>
          <w:color w:val="000000"/>
          <w:shd w:fill="FFFFFF" w:val="clear"/>
        </w:rPr>
        <w:t xml:space="preserve">” </w:t>
      </w:r>
      <w:r>
        <w:rPr>
          <w:rFonts w:ascii="Arial;sans-serif" w:hAnsi="Arial;sans-serif"/>
          <w:b w:val="false"/>
          <w:color w:val="000000"/>
          <w:sz w:val="20"/>
          <w:shd w:fill="FFFFFF" w:val="clear"/>
        </w:rPr>
        <w:t xml:space="preserve">in the Notes to the Condensed Consolidated Financial Statements.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 xml:space="preserve">We expect that operating losses and negative cash flows from operations plus cash flows used in investing could continue in the foreseeable future as we continue to acquire products and increase other investments in our business. We believe our existing cash and cash equivalents, and cash generated from our operations, will be sufficient to sustain our business operations, to satisfy our debt service obligations and to comply with our $50 million liquidity maintenance covenant for at least the next twelve months from the date the accompanying financial statements included elsewhere in this Quarterly Report are issued. </w:t>
      </w:r>
      <w:r>
        <w:rPr>
          <w:rFonts w:ascii="Arial;sans-serif" w:hAnsi="Arial;sans-serif"/>
          <w:b w:val="false"/>
          <w:color w:val="000000"/>
          <w:sz w:val="20"/>
        </w:rPr>
        <w:t xml:space="preserve">In September 2022, we announced a restructuring plan to reduce costs, streamline our organizational structure and drive operational efficiencies, which is expected to generate annual operating expense savings of approximately $25 million </w:t>
      </w:r>
      <w:r>
        <w:rPr>
          <w:rFonts w:ascii="Arial;sans-serif" w:hAnsi="Arial;sans-serif"/>
          <w:b w:val="false"/>
          <w:color w:val="000000"/>
          <w:sz w:val="20"/>
          <w:shd w:fill="FFFFFF" w:val="clear"/>
        </w:rPr>
        <w:t>(relative to the second quarter of fiscal year 2022 run rate)</w:t>
      </w:r>
      <w:r>
        <w:rPr>
          <w:color w:val="000000"/>
        </w:rPr>
        <w:t xml:space="preserve"> </w:t>
      </w:r>
      <w:r>
        <w:rPr>
          <w:rFonts w:ascii="Arial;sans-serif" w:hAnsi="Arial;sans-serif"/>
          <w:b w:val="false"/>
          <w:color w:val="000000"/>
          <w:sz w:val="20"/>
        </w:rPr>
        <w:t>in fiscal year 2023.</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Our future capital requirements will depend on many factors, including, but not limited to, growth in the number of customers and Active Subscribers and the timing of investments in technology and personnel to support the overall growth of our business. To the extent that current and anticipated future sources of liquidity are insufficient to fund our future business activities and requirements and service our debt obligations or if we fail to comply with the covenants specified in the 2022 Amended Temasek Facility, inclusive of the $50 million minimum liquidity maintenance covenant, we may be required to seek</w:t>
      </w:r>
      <w:r>
        <w:rPr>
          <w:color w:val="000000"/>
        </w:rPr>
        <w:t xml:space="preserve"> </w:t>
      </w:r>
      <w:r>
        <w:rPr>
          <w:rFonts w:ascii="Arial;sans-serif" w:hAnsi="Arial;sans-serif"/>
          <w:b w:val="false"/>
          <w:color w:val="000000"/>
          <w:sz w:val="20"/>
        </w:rPr>
        <w:t>additional capital or restructure or refinance our indebtedness</w:t>
      </w:r>
      <w:r>
        <w:rPr>
          <w:rFonts w:ascii="Arial;sans-serif" w:hAnsi="Arial;sans-serif"/>
          <w:b w:val="false"/>
          <w:color w:val="000000"/>
          <w:sz w:val="20"/>
          <w:shd w:fill="FFFFFF" w:val="clear"/>
        </w:rPr>
        <w:t xml:space="preserve">.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which could negatively affect our liquidity in the future. In the event that additional financing is required from outside sources, we may not be able to negotiate terms acceptable to us or at all.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 </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Cash Flows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our cash flows for the periods presented:</w:t>
      </w:r>
    </w:p>
    <w:tbl>
      <w:tblPr>
        <w:tblW w:w="8813" w:type="dxa"/>
        <w:jc w:val="left"/>
        <w:tblInd w:w="0" w:type="dxa"/>
        <w:tblLayout w:type="fixed"/>
        <w:tblCellMar>
          <w:top w:w="28" w:type="dxa"/>
          <w:left w:w="28" w:type="dxa"/>
          <w:bottom w:w="28" w:type="dxa"/>
          <w:right w:w="28" w:type="dxa"/>
        </w:tblCellMar>
      </w:tblPr>
      <w:tblGrid>
        <w:gridCol w:w="2359"/>
        <w:gridCol w:w="2068"/>
        <w:gridCol w:w="2082"/>
        <w:gridCol w:w="211"/>
        <w:gridCol w:w="646"/>
        <w:gridCol w:w="109"/>
        <w:gridCol w:w="109"/>
        <w:gridCol w:w="109"/>
        <w:gridCol w:w="109"/>
        <w:gridCol w:w="211"/>
        <w:gridCol w:w="646"/>
        <w:gridCol w:w="154"/>
      </w:tblGrid>
      <w:tr>
        <w:trPr/>
        <w:tc>
          <w:tcPr>
            <w:tcW w:w="235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 xml:space="preserve">July 31, </w:t>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investing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financing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increase in cash and cash equivalents and restricted cash</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beginning of year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also measure the cash consumption of the business including capital expenditures, by assessing net cash used in operating activities and net cash used in investing activities on a combined basis, which was $(29.6) million for the six months ended July 31, 2023 and $(53.8) million for the six months ended July 31, 2022. The cash consumption of the business was lower in the first and second quarters of fiscal year 2023 compared with the same period of fiscal year 2022 primarily due to lower operating costs as a result of the September 2022 restructuring plan and lower purchases of property and equipment compared to the prior period. Purchases of rental product were higher than the same period last year to support higher subscribers. We also opportunistically purchased additional rental product to take advantage of attractive pricing in the current environment, which partially offset the lower cash consumption in the first and second quarters of fiscal year 2023 compared to the prior year. The sum of net cash used in operating activities and net cash used in investing activities, as a percentage of revenue, was (19.7)% for the six months ended July 31, 2023 and (37.5)% for the six months ended July 31, 2022.</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shd w:fill="FFFFFF" w:val="clear"/>
        </w:rPr>
        <w:t>Net cash (used in) provided by operating activities</w:t>
      </w:r>
      <w:r>
        <w:rPr>
          <w:rFonts w:ascii="Arial;sans-serif" w:hAnsi="Arial;sans-serif"/>
          <w:b/>
          <w:i/>
          <w:color w:val="000000"/>
          <w:sz w:val="20"/>
          <w:shd w:fill="FFFFFF" w:val="clear"/>
        </w:rPr>
        <w:t>.</w:t>
      </w:r>
      <w:r>
        <w:rPr>
          <w:color w:val="000000"/>
          <w:shd w:fill="FFFFFF" w:val="clear"/>
        </w:rPr>
        <w:t>    </w:t>
      </w:r>
      <w:r>
        <w:rPr>
          <w:rFonts w:ascii="Arial;sans-serif" w:hAnsi="Arial;sans-serif"/>
          <w:b w:val="false"/>
          <w:color w:val="000000"/>
          <w:sz w:val="20"/>
          <w:shd w:fill="FFFFFF" w:val="clear"/>
        </w:rPr>
        <w:t xml:space="preserve">For the </w:t>
      </w:r>
      <w:r>
        <w:rPr>
          <w:rFonts w:ascii="Arial;sans-serif" w:hAnsi="Arial;sans-serif"/>
          <w:b w:val="false"/>
          <w:color w:val="000000"/>
          <w:sz w:val="20"/>
        </w:rPr>
        <w:t>six months ended July 31, 2023</w:t>
      </w:r>
      <w:r>
        <w:rPr>
          <w:rFonts w:ascii="Arial;sans-serif" w:hAnsi="Arial;sans-serif"/>
          <w:b w:val="false"/>
          <w:color w:val="000000"/>
          <w:sz w:val="20"/>
          <w:shd w:fill="FFFFFF" w:val="clear"/>
        </w:rPr>
        <w:t>, net cash used in operating activities was $(4.1) million, which consisted of a net loss of $(56.9) million, partially offset by non-cash charges of $66.4 million, reclassification of the proceeds from the sale of rental product of $10.8 million and a net change of $(2.8) million in our operating assets and liabilities. The non-cash charges were primarily comprised of $24.5 million of rental product depreciation and write-off expenses, $14.7 million of payment-in-kind interest, $16.2 million of share-based compensation, $3.4 million of debt discount amortization and $7.6 million of other fixed and intangible asset depreciation.</w:t>
      </w:r>
    </w:p>
    <w:p>
      <w:pPr>
        <w:pStyle w:val="TextBody"/>
        <w:bidi w:val="0"/>
        <w:spacing w:lineRule="auto" w:line="288" w:before="240" w:after="283"/>
        <w:jc w:val="left"/>
        <w:rPr/>
      </w:pPr>
      <w:r>
        <w:rPr>
          <w:rFonts w:ascii="Arial;sans-serif" w:hAnsi="Arial;sans-serif"/>
          <w:b w:val="false"/>
          <w:color w:val="000000"/>
          <w:sz w:val="20"/>
          <w:shd w:fill="FFFFFF" w:val="clear"/>
        </w:rPr>
        <w:t xml:space="preserve">For the </w:t>
      </w:r>
      <w:r>
        <w:rPr>
          <w:rFonts w:ascii="Arial;sans-serif" w:hAnsi="Arial;sans-serif"/>
          <w:b w:val="false"/>
          <w:color w:val="000000"/>
          <w:sz w:val="20"/>
        </w:rPr>
        <w:t>six months ended July 31, 2022</w:t>
      </w:r>
      <w:r>
        <w:rPr>
          <w:rFonts w:ascii="Arial;sans-serif" w:hAnsi="Arial;sans-serif"/>
          <w:b w:val="false"/>
          <w:color w:val="000000"/>
          <w:sz w:val="20"/>
          <w:shd w:fill="FFFFFF" w:val="clear"/>
        </w:rPr>
        <w:t xml:space="preserve">, net cash used in operating activities was $(33.0) million, which consisted of a net loss of $(76.4) million, partially offset by non-cash charges of $58.9 million, reclassification of the proceeds from the sale of rental product of $8.8 million and a net change of $(6.7) million in our operating assets and liabilities. The non-cash charges were primarily comprised of $26.9 million of rental product depreciation and write-off expenses, $7.0 million of payment-in-kind interest, $12.4 million of share-based compensation, $2.0 million of debt discount amortization and $10.6 million of other fixed and intangible asset depreciation and the loss on the surrender of fixed asset write-offs related to the partial termination of the lease of the corporate headquarters (see “Note 4 - </w:t>
      </w:r>
      <w:r>
        <w:rPr>
          <w:rFonts w:ascii="Arial;sans-serif" w:hAnsi="Arial;sans-serif"/>
          <w:b w:val="false"/>
          <w:color w:val="000000"/>
          <w:sz w:val="20"/>
        </w:rPr>
        <w:t>Leases – Lessee Accounting</w:t>
      </w:r>
      <w:r>
        <w:rPr>
          <w:color w:val="000000"/>
          <w:shd w:fill="FFFFFF" w:val="clear"/>
        </w:rPr>
        <w:t xml:space="preserve">” </w:t>
      </w:r>
      <w:r>
        <w:rPr>
          <w:rFonts w:ascii="Arial;sans-serif" w:hAnsi="Arial;sans-serif"/>
          <w:b w:val="false"/>
          <w:color w:val="000000"/>
          <w:sz w:val="20"/>
          <w:shd w:fill="FFFFFF" w:val="clear"/>
        </w:rPr>
        <w:t>in the Notes to the Condensed Consolidated Financial Statements).</w:t>
      </w:r>
    </w:p>
    <w:p>
      <w:pPr>
        <w:pStyle w:val="TextBody"/>
        <w:bidi w:val="0"/>
        <w:spacing w:lineRule="auto" w:line="288" w:before="240" w:after="283"/>
        <w:jc w:val="left"/>
        <w:rPr/>
      </w:pPr>
      <w:r>
        <w:rPr>
          <w:rFonts w:ascii="Arial;sans-serif" w:hAnsi="Arial;sans-serif"/>
          <w:b/>
          <w:color w:val="000000"/>
          <w:sz w:val="20"/>
          <w:shd w:fill="FFFFFF" w:val="clear"/>
        </w:rPr>
        <w:t>Net cash (used in) provided by investing activities</w:t>
      </w:r>
      <w:r>
        <w:rPr>
          <w:rFonts w:ascii="Arial;sans-serif" w:hAnsi="Arial;sans-serif"/>
          <w:b/>
          <w:i/>
          <w:color w:val="000000"/>
          <w:sz w:val="20"/>
          <w:shd w:fill="FFFFFF" w:val="clear"/>
        </w:rPr>
        <w:t>.</w:t>
      </w:r>
      <w:r>
        <w:rPr>
          <w:color w:val="000000"/>
          <w:shd w:fill="FFFFFF" w:val="clear"/>
        </w:rPr>
        <w:t>    </w:t>
      </w:r>
      <w:r>
        <w:rPr>
          <w:rFonts w:ascii="Arial;sans-serif" w:hAnsi="Arial;sans-serif"/>
          <w:b w:val="false"/>
          <w:color w:val="000000"/>
          <w:sz w:val="20"/>
          <w:shd w:fill="FFFFFF" w:val="clear"/>
        </w:rPr>
        <w:t xml:space="preserve">For the </w:t>
      </w:r>
      <w:r>
        <w:rPr>
          <w:rFonts w:ascii="Arial;sans-serif" w:hAnsi="Arial;sans-serif"/>
          <w:b w:val="false"/>
          <w:color w:val="000000"/>
          <w:sz w:val="20"/>
        </w:rPr>
        <w:t>six months ended July 31, 2023</w:t>
      </w:r>
      <w:r>
        <w:rPr>
          <w:rFonts w:ascii="Arial;sans-serif" w:hAnsi="Arial;sans-serif"/>
          <w:b w:val="false"/>
          <w:color w:val="000000"/>
          <w:sz w:val="20"/>
          <w:shd w:fill="FFFFFF" w:val="clear"/>
        </w:rPr>
        <w:t>, net cash used in investing activi</w:t>
      </w:r>
      <w:r>
        <w:rPr>
          <w:rFonts w:ascii="Arial;sans-serif" w:hAnsi="Arial;sans-serif"/>
          <w:b w:val="false"/>
          <w:color w:val="000000"/>
          <w:sz w:val="20"/>
        </w:rPr>
        <w:t>ties was $(25.5) million, primarily consisting of $(36.3) million of purchases of rental product incurred in the period and $(2.2) million of purchases of fixed and intangible assets. The investment in rental product does not include an additional $5.0 million of cost for units received in the current period but not yet paid for, but does include $(5.4) million of cost for units paid for in the current period but received in the prior period (see the Supplemental Cash Flow Information in Part I, Item 1. Financial Statements). The investment in rental product was to support our growth in customer demand. We also began to opportunistically purchase additional rental product to take advantage of attractive pricing in the current environment. The majority of the investment in fixed and intangible assets was related to investments in reusable bags. The cash used in investing activities was partially offset by $10.8 million of proceeds from the sale of owned rental product and $2.2 million of proceeds from the liquidation of rental product.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For the six months ended July 31, 2022, net cash used in investing activities was $(20.8) million, primarily consisting of $(27.6) million of purchases of rental product and $(4.6) million of purchases of fixed and intangible assets. The investment in rental product did not include the additional $8.9 million of cost for units received in the current period but not yet paid for, but did include $6.5 million of cost for units paid for in the current period but received in the prior period (see Supplemental Cash Flow Information in Part I, Item 1. Financial Statements). The investment in rental product was to support growth in customer demand. The majority of the investment in fixed and intangible assets was related to investments in automation assets, additional processing machinery and equipment for the Secaucus and Arlington warehouses and capitalized technology labor. The cash used in investing activities was partially offset by $8.8 million of proceeds from sales of owned rental products and $2.6 million of proceeds from the liquidation of rental product.</w:t>
      </w:r>
    </w:p>
    <w:p>
      <w:pPr>
        <w:pStyle w:val="TextBody"/>
        <w:bidi w:val="0"/>
        <w:spacing w:lineRule="auto" w:line="288" w:before="240" w:after="283"/>
        <w:jc w:val="left"/>
        <w:rPr/>
      </w:pPr>
      <w:r>
        <w:rPr>
          <w:rFonts w:ascii="Arial;sans-serif" w:hAnsi="Arial;sans-serif"/>
          <w:b/>
          <w:color w:val="000000"/>
          <w:sz w:val="20"/>
          <w:shd w:fill="FFFFFF" w:val="clear"/>
        </w:rPr>
        <w:t>Net cash provided by (used in) financing activities</w:t>
      </w:r>
      <w:r>
        <w:rPr>
          <w:rFonts w:ascii="Arial;sans-serif" w:hAnsi="Arial;sans-serif"/>
          <w:b/>
          <w:i/>
          <w:color w:val="000000"/>
          <w:sz w:val="20"/>
          <w:shd w:fill="FFFFFF" w:val="clear"/>
        </w:rPr>
        <w:t>.</w:t>
      </w:r>
      <w:r>
        <w:rPr>
          <w:color w:val="000000"/>
          <w:shd w:fill="FFFFFF" w:val="clear"/>
        </w:rPr>
        <w:t>    </w:t>
      </w:r>
      <w:r>
        <w:rPr>
          <w:rFonts w:ascii="Arial;sans-serif" w:hAnsi="Arial;sans-serif"/>
          <w:b w:val="false"/>
          <w:color w:val="000000"/>
          <w:sz w:val="20"/>
          <w:shd w:fill="FFFFFF" w:val="clear"/>
        </w:rPr>
        <w:t xml:space="preserve">During the </w:t>
      </w:r>
      <w:r>
        <w:rPr>
          <w:rFonts w:ascii="Arial;sans-serif" w:hAnsi="Arial;sans-serif"/>
          <w:b w:val="false"/>
          <w:color w:val="000000"/>
          <w:sz w:val="20"/>
        </w:rPr>
        <w:t>six months ended July 31, 2023</w:t>
      </w:r>
      <w:r>
        <w:rPr>
          <w:rFonts w:ascii="Arial;sans-serif" w:hAnsi="Arial;sans-serif"/>
          <w:b w:val="false"/>
          <w:color w:val="000000"/>
          <w:sz w:val="20"/>
          <w:shd w:fill="FFFFFF" w:val="clear"/>
        </w:rPr>
        <w:t xml:space="preserve">, net cash used in financing activities was $(0.3) million, consisting of other financing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pPr>
      <w:r>
        <w:rPr>
          <w:rFonts w:ascii="Arial;sans-serif" w:hAnsi="Arial;sans-serif"/>
          <w:b w:val="false"/>
          <w:color w:val="000000"/>
          <w:sz w:val="20"/>
          <w:shd w:fill="FFFFFF" w:val="clear"/>
        </w:rPr>
        <w:t xml:space="preserve">During the </w:t>
      </w:r>
      <w:r>
        <w:rPr>
          <w:rFonts w:ascii="Arial;sans-serif" w:hAnsi="Arial;sans-serif"/>
          <w:b w:val="false"/>
          <w:color w:val="000000"/>
          <w:sz w:val="20"/>
        </w:rPr>
        <w:t>six months ended July 31, 2022</w:t>
      </w:r>
      <w:r>
        <w:rPr>
          <w:rFonts w:ascii="Arial;sans-serif" w:hAnsi="Arial;sans-serif"/>
          <w:b w:val="false"/>
          <w:color w:val="000000"/>
          <w:sz w:val="20"/>
          <w:shd w:fill="FFFFFF" w:val="clear"/>
        </w:rPr>
        <w:t>, net cash used in financing activities was $(3.1) million, consisting of other financing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Contractual Obligations and Commitments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January 2023, we entered into the 2022 Amended Temasek Facility, which extended the maturity date and reduced cash interest payments over the next two years. As of July 31, 2023, we had approximately $290.6 million of total debt outstanding, none of which matures within the next 12 months. See “Note 6 — Long-Term Debt” in the Notes to the Condensed Consolidated Financial Statements for more information.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“Note 4 — Leases – Lessee Accounting” in the Notes to the Condensed Consolidated Financial Statements for our minimum fixed lease obligations under existing lease agreements as of July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Critical Accounting Estimates</w:t>
      </w:r>
    </w:p>
    <w:p>
      <w:pPr>
        <w:pStyle w:val="TextBody"/>
        <w:bidi w:val="0"/>
        <w:spacing w:lineRule="auto" w:line="288" w:before="240" w:after="283"/>
        <w:jc w:val="left"/>
        <w:rPr/>
      </w:pPr>
      <w:r>
        <w:rPr>
          <w:rFonts w:ascii="Arial;sans-serif" w:hAnsi="Arial;sans-serif"/>
          <w:b w:val="false"/>
          <w:color w:val="000000"/>
          <w:sz w:val="20"/>
          <w:shd w:fill="FFFFFF" w:val="clear"/>
        </w:rPr>
        <w:t xml:space="preserve">Our critical accounting estimates are described under the heading “Management’s Discussion and Analysis of Financial Condition and Results of Operations-Critical Accounting Estimates” in our 2022 Annual Report on Form 10-K. In the </w:t>
      </w:r>
      <w:r>
        <w:rPr>
          <w:rFonts w:ascii="Arial;sans-serif" w:hAnsi="Arial;sans-serif"/>
          <w:b w:val="false"/>
          <w:color w:val="000000"/>
          <w:sz w:val="20"/>
        </w:rPr>
        <w:t>six months ended July 31, 2023</w:t>
      </w:r>
      <w:r>
        <w:rPr>
          <w:rFonts w:ascii="Arial;sans-serif" w:hAnsi="Arial;sans-serif"/>
          <w:b w:val="false"/>
          <w:color w:val="000000"/>
          <w:sz w:val="20"/>
          <w:shd w:fill="FFFFFF" w:val="clear"/>
        </w:rPr>
        <w:t>, there were no material changes to our critical accounting estimates from those discussed in our 2022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Recent Accounting Pronouncements</w:t>
      </w:r>
    </w:p>
    <w:p>
      <w:pPr>
        <w:pStyle w:val="TextBody"/>
        <w:bidi w:val="0"/>
        <w:spacing w:lineRule="auto" w:line="288" w:before="120" w:after="283"/>
        <w:jc w:val="left"/>
        <w:rPr/>
      </w:pPr>
      <w:r>
        <w:rPr>
          <w:rFonts w:ascii="Arial;sans-serif" w:hAnsi="Arial;sans-serif"/>
          <w:b w:val="false"/>
          <w:color w:val="000000"/>
          <w:sz w:val="20"/>
          <w:shd w:fill="FFFFFF" w:val="clear"/>
        </w:rPr>
        <w:t xml:space="preserve">See “Note 2 — </w:t>
      </w:r>
      <w:r>
        <w:rPr>
          <w:rFonts w:ascii="Arial;sans-serif" w:hAnsi="Arial;sans-serif"/>
          <w:b w:val="false"/>
          <w:color w:val="000000"/>
          <w:sz w:val="20"/>
        </w:rPr>
        <w:t>Summary of Significant Accounting Policies</w:t>
      </w:r>
      <w:r>
        <w:rPr>
          <w:color w:val="000000"/>
          <w:shd w:fill="FFFFFF" w:val="clear"/>
        </w:rPr>
        <w:t xml:space="preserve">” </w:t>
      </w:r>
      <w:r>
        <w:rPr>
          <w:rFonts w:ascii="Arial;sans-serif" w:hAnsi="Arial;sans-serif"/>
          <w:b w:val="false"/>
          <w:color w:val="000000"/>
          <w:sz w:val="20"/>
          <w:shd w:fill="FFFFFF" w:val="clear"/>
        </w:rPr>
        <w:t xml:space="preserve">in the </w:t>
      </w:r>
      <w:r>
        <w:rPr>
          <w:rFonts w:ascii="Arial;sans-serif" w:hAnsi="Arial;sans-serif"/>
          <w:b w:val="false"/>
          <w:color w:val="000000"/>
          <w:sz w:val="20"/>
        </w:rPr>
        <w:t>Notes to Condensed Consolidated Financial Statements</w:t>
      </w:r>
      <w:r>
        <w:rPr>
          <w:color w:val="000000"/>
          <w:shd w:fill="FFFFFF" w:val="clear"/>
        </w:rPr>
        <w:t xml:space="preserve"> </w:t>
      </w:r>
      <w:r>
        <w:rPr>
          <w:rFonts w:ascii="Arial;sans-serif" w:hAnsi="Arial;sans-serif"/>
          <w:b w:val="false"/>
          <w:color w:val="000000"/>
          <w:sz w:val="20"/>
          <w:shd w:fill="FFFFFF" w:val="clear"/>
        </w:rPr>
        <w:t>for a description of recently adopted accounting pronouncements and recently issued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JOBS Act</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quantitative and qualitative disclosures about market risk are described under the heading “Quantitative and Qualitative Disclosures About Market Risk” in our 2022 Annual Report on Form 10-K. In the three months ended July 31, 2023, there were no material changes to our quantitative and qualitative disclosures about market risk from those discussed in our 2022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Disclosure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July 31, 2023 because of the material weaknesses in our internal control over financial reporting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Notwithstanding the below identified material weaknesses, management believes the condensed consolidated financial statements as included in Part I, Item 1 of this Quarterly Report on Form 10-Q present fairly, in all material respects, the Company's financial condition, results of operations and cash flows as of and for the periods presented in accordance with generally accepted accounting principles in the United States.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Material Weaknesses in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connection with the audit of our financial statements as of and for the year ended January 31,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July 31, 2023, these material weaknesses are still in the process of being remediated.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did not design and maintain effective controls to ensure (i) the appropriate segregation of duties in the operation of manual controls and (ii) journal entries were reviewed at the appropriate level of precision.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material weaknesses did not result in a misstatement to our annual or interim condensed consolidated financial statements. However, each of these material weaknesses could result in a misstatement of substantially all account balances or disclosures that would result in a material misstatement to our annual or interim condensed consolidated financial statements that would not be prevented or detected.</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Remediation Efforts to Address Material Weaknesses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pStyle w:val="TextBody"/>
        <w:bidi w:val="0"/>
        <w:spacing w:before="12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have been no changes in the Company’s internal control over financial reporting that occurred during the quarter ended July 31, 2023, that have materially affected, or are reasonably likely to materially affect, the Company’s internal control over financial reporting.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information contained in “Note 13 — Commitments and Contingencies” in the Notes to the Condensed Consolidated Financial Statements is incorporated by reference into this Item.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Investing in our Class A common stock involves a high degree of risk. You should consider and read carefully all of the risks and uncertainties described below, as well as other information included in this Quarterly Report on Form 10-Q, including our condensed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Risks Related to Our Business and Industry</w:t>
      </w:r>
    </w:p>
    <w:p>
      <w:pPr>
        <w:pStyle w:val="TextBody"/>
        <w:bidi w:val="0"/>
        <w:spacing w:lineRule="auto" w:line="288" w:before="240" w:after="283"/>
        <w:jc w:val="left"/>
        <w:rPr/>
      </w:pPr>
      <w:r>
        <w:rPr>
          <w:rFonts w:ascii="Arial;sans-serif" w:hAnsi="Arial;sans-serif"/>
          <w:b/>
          <w:i/>
          <w:color w:val="000000"/>
          <w:sz w:val="20"/>
        </w:rPr>
        <w:t>We have grown rapidly in recent years and have limited experience at our current scale of operations and our historical growth rates are not necessarily indicative of our future performance. If we are unable to drive future growth or manage our growth effectively, our brand, company culture, and financial performance may suffer</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grown rapidly over the last several years, due in large part to the growth in demand for our Subscription offerings, however, our recent growth rates and financial performance should not necessarily be considered indicative of our future performance. To effectively manage and capitalize on our growth, we must continue to enhance customer experience and attract and retain customers (particularly subscribers), iterate our subscription products, invest in digital consumer innovation, expand our brand awareness and marketing, and upgrade our management information and reverse logistics systems and other processes. Our growth and growth strategies have in the past strained, and could in the future strain, our existing resources, and we could experience ongoing operating difficulties in managing our business across numerous jurisdictions, including difficulties in hiring, training, and managing a diverse employee base. Failure to scale and preserve our company culture as we grow could also harm our future success, including our ability to retain and recruit personnel and to effectively focus on and pursue our corporate objectives.</w:t>
      </w:r>
    </w:p>
    <w:p>
      <w:pPr>
        <w:pStyle w:val="TextBody"/>
        <w:bidi w:val="0"/>
        <w:spacing w:lineRule="auto" w:line="288" w:before="240" w:after="283"/>
        <w:jc w:val="left"/>
        <w:rPr/>
      </w:pPr>
      <w:r>
        <w:rPr>
          <w:rFonts w:ascii="Arial;sans-serif" w:hAnsi="Arial;sans-serif"/>
          <w:b w:val="false"/>
          <w:color w:val="000000"/>
          <w:sz w:val="20"/>
        </w:rPr>
        <w:t>Our growth strategy is focused on continuing to grow, engage, and retain our subscriber and customer base, expanding our brand partner relationships and product assortment, increasing our advertising and other marketing spending, and continuing to invest in our offerings and technology. The majority of our revenue is generated by our subscribers.</w:t>
      </w:r>
      <w:r>
        <w:rPr>
          <w:color w:val="000000"/>
          <w:shd w:fill="FFFFFF" w:val="clear"/>
        </w:rPr>
        <w:t xml:space="preserve"> </w:t>
      </w:r>
      <w:r>
        <w:rPr>
          <w:rFonts w:ascii="Arial;sans-serif" w:hAnsi="Arial;sans-serif"/>
          <w:b w:val="false"/>
          <w:color w:val="000000"/>
          <w:sz w:val="20"/>
          <w:shd w:fill="FFFFFF" w:val="clear"/>
        </w:rPr>
        <w:t xml:space="preserve">Our base subscription plans range in price </w:t>
      </w:r>
      <w:r>
        <w:rPr>
          <w:rFonts w:ascii="Arial;sans-serif" w:hAnsi="Arial;sans-serif"/>
          <w:b w:val="false"/>
          <w:color w:val="000000"/>
          <w:sz w:val="20"/>
        </w:rPr>
        <w:t>and customers can customize their subscription monthly by purchasing additional slots and shipments.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or buy items via our Reserve offering and Resale offering, respectively. Our Subscription plans and offerings do not have demonstrably long track records of</w:t>
      </w:r>
      <w:r>
        <w:rPr>
          <w:color w:val="000000"/>
        </w:rPr>
        <w:t xml:space="preserve"> </w:t>
      </w:r>
      <w:r>
        <w:rPr>
          <w:rFonts w:ascii="Arial;sans-serif" w:hAnsi="Arial;sans-serif"/>
          <w:b w:val="false"/>
          <w:color w:val="000000"/>
          <w:sz w:val="20"/>
        </w:rPr>
        <w:t>success and may not grow as much or as fast as we expect. For example, our active subscriber growth rate slowed year over year as of January 31, 2023 and may continue to slow year over year in the future. In addition, we presently anticipate our revenue growth rate to slow in fiscal year 2023. If our growth rates continue to decelerate, investors’ perception of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fashion industry is rapidly evolving and our business may not develop as we expect. Overall growth of our revenue will depend on a number of factors, including our ability to:</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 traditional consumer buying habits and normalize clothing subscription, rental and resale;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price our Subscription, Reserve and Resale offerings so that we are able to attract new customers, and retain and expand our relationships with existing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ensure that we maintain an adequate depth and breadth of available products to meet customer demand and respond swiftly and appropriately to new and changing styles, trends or desired consumer preferences;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accurately forecast our revenue and plan our fulfillment, operating expenses and capital expenditures;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provide customers with a high-quality, seamless user experience and order fulfillment, as well as customer service and support that meets their needs;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acquire customers into varying levels of subscription programs at different price points;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improve our website and app performance and successfully identify and acquire, partner or invest in products, technologies, or businesses that we believe could complement or expand our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successfully maintain and grow our relationships with existing and new brand partners, including continuing to maintain and grow our Share by RTR and Exclusive Design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avoid disruptions in acquiring and distributing our products and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be efficient in our paid marketing;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maintain and enhance our reputation and the value of our brand;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hire, integrate and retain talented personnel across all levels of our organization;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successfully compete with other companies that are currently in, or may in the future enter, the industry or the markets in which we operate, and respond to developments from these competitors such as pricing changes and the introduction of new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comply with existing and new laws and regulations applicable to our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successfully expand into new and penetrate existing geographic markets in the United States;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successfully develop new offerings and innovate and enhance our existing offerings and their features, including in response to new trends, competitive dynamics or the needs of customers and subscribers;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effectively manage growth of our business, personnel, and operations, including expanding our shipping and distribution capabilities and fulfillment center operations, as well as our logistics footprint and the number of facilities we operate in the future;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effectively manage our costs related to our business and operations;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avoid or manage interruptions in our business from information technology downtime, cybersecurity incidents and other factors that could affect our physical and digital infrastructure.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also expect to continue to expend substantial financial and other resources to grow our business, and we may fail to allocate our resources in a manner that results in increased revenue growth in our business. Additionally, we may encounter unforeseen operating expenses, difficulties, complications, delays, and other unknown factors that may result in losses in future periods. If our revenue growth does not meet our expectations in future periods, our business, financial condition, and results of operations may be harmed, and we may not achieve or sustain profitability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pPr>
      <w:r>
        <w:rPr>
          <w:rFonts w:ascii="Arial;sans-serif" w:hAnsi="Arial;sans-serif"/>
          <w:b/>
          <w:i/>
          <w:color w:val="000000"/>
          <w:sz w:val="20"/>
        </w:rPr>
        <w:t>The global fashion industry is highly competitive and rapidly changing, and we may not be able to compete effectively</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our ability to compete effectively depends on many factors within and beyond our control,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normalize fashion rental and change traditional retail shopping habits and norms;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how effectively differentiated our offerings, customer experience and value proposition are from those of our competitors;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how effectively we market and communicate how to use our Subscription, Reserve and Resale offerings and attract and retain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expand and maintain an appealing depth and breadth of our products to meet customer demand;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price at which we are able to offer our Subscription, Reserve and Resale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amount, diversity, and quality of brands that we or our competitors offer;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acquire products on favorable and efficient terms, including our ability to attract new brand partners and retain existing brand partners in our Share by RTR and Exclusive Design programs;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speed and cost at which we can deliver products to our customers and the ease with which they can return our products;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effectiveness of our customer service;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further developing our data science capabilities for brand partners;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strength of our brand, including maintaining favorable brand recognition and effectively marketing our services and value proposition to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success of our reverse-logistics processes in delivering products in good condition to customers;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anticipating and successfully responding to changing apparel trends and consumer shopping preferences.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Many competitors or potential competitors have or may have longer operating histories, greater brand recognition, better user experiences, stronger consumer and supplier relationships, less complicated business models,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Certain fashion rental competitors have lower priced subscription offerings than we do and/or offer more items per shipment. In addition, competitors and potential competitors may be willing to price their products and services more aggressively in order to gain market share and be able to manufacture goods on a more cost-effective basis because they are vertically integrated, producing higher volumes, and/or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inability to respond effectively to competitive pressures, improved performance by our competitors, failure to achieve broad acceptance and changes in the fashion retail markets could result in lost market share and have a material adverse effect on our business, financial condition, and results of operations.</w:t>
      </w:r>
    </w:p>
    <w:p>
      <w:pPr>
        <w:pStyle w:val="TextBody"/>
        <w:bidi w:val="0"/>
        <w:spacing w:lineRule="auto" w:line="288" w:before="360" w:after="283"/>
        <w:jc w:val="left"/>
        <w:rPr/>
      </w:pPr>
      <w:r>
        <w:rPr>
          <w:rFonts w:ascii="Arial;sans-serif" w:hAnsi="Arial;sans-serif"/>
          <w:b/>
          <w:i/>
          <w:color w:val="000000"/>
          <w:sz w:val="20"/>
        </w:rPr>
        <w:t>We rely on consumer discretionary spending and have been, and may in the future be, adversely affected by economic downturns and other macroeconomic conditions or trends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due to the COVID-19 pandemic and recent volatile macroeconomic environment and have seen negative impacts on customer demand at varying levels as a result.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increases in consumer discretionary spending tend to fluctuate and may decrease, particularly if there is a recession and/or higher inflation leading to increased price sensitivity. Economic conditions in certain regions may also be affected by natural disasters, such as hurricanes, tropical storms, earthquakes, and wildfires; other public health crises;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adverse economic changes could reduce consumer confidence, and could thereby negatively affect our operating results. In the event of a prolonged economic downturn or acute recession, significant inflation, or increased supply chain shortages, consumer spending habits could be adversely affected, and we could experience lower than expected revenue, net income, and Adjusted EBITDA. In challenging and uncertain economic environments, we cannot predict the degree of uncertainty, whether or when such circumstances may improve or worsen or what impact such circumstances could have on our business. Any of these developments could harm our business, financial condition and results of operations.</w:t>
      </w:r>
    </w:p>
    <w:p>
      <w:pPr>
        <w:pStyle w:val="TextBody"/>
        <w:bidi w:val="0"/>
        <w:spacing w:lineRule="auto" w:line="288" w:before="360" w:after="283"/>
        <w:jc w:val="left"/>
        <w:rPr/>
      </w:pPr>
      <w:r>
        <w:rPr>
          <w:rFonts w:ascii="Arial;sans-serif" w:hAnsi="Arial;sans-serif"/>
          <w:b/>
          <w:i/>
          <w:color w:val="000000"/>
          <w:sz w:val="20"/>
        </w:rPr>
        <w:t>Our continued growth depends on our ability to attract new, and retain existing, customers, which may require significant investment in paid marketing channels. If we are</w:t>
      </w:r>
      <w:r>
        <w:rPr>
          <w:color w:val="000000"/>
        </w:rPr>
        <w:t xml:space="preserve"> </w:t>
      </w:r>
      <w:r>
        <w:rPr>
          <w:rFonts w:ascii="Arial;sans-serif" w:hAnsi="Arial;sans-serif"/>
          <w:b/>
          <w:i/>
          <w:color w:val="000000"/>
          <w:sz w:val="20"/>
        </w:rPr>
        <w:t>unable to cost-effectively grow our customer base, our business, financial condition and results of operations would be harmed</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growth of our business is dependent upon our ability to continue to grow by cost-effectively adding new customers and retaining existing customers. Historically, a substantial portion of new customer acquisition has originated from organic word-of-mouth and other non-paid referrals. In fiscal year 2022, as we increased paid marketing spend, we saw an increase in the proportion of new customers attributed to paid channels. Our current marketing initiatives are focused on re-engaging lapsed and paused customers, retaining existing customers and growing our base of new customers. Although we expect to make significant investments in improving the customer experience going forward, these investments may not result in an increase in customer loyalty or higher customer engagement. As a result, our levels of paid and organic growth may continue to fluctuate and/or overall growth may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Paid marketing is a key part of our growth strategy. During 2023, we have increased our spending; however, we anticipate allocating a portion of our budgeted marketing expense to rental product purchases in the second half of 2023,which will likely negatively impact subscriber acquisition. We also utilize promotional pricing to attract customers and subscribers who may have heightened price sensitivity and not be willing to pay full price for our offering when the promotion period expires. In the second quarter of 2023, we experimented with our promotional pricing for Subscription and observed that reducing promotions negatively impacted subscriber acquisition. However, we believe that being less promotional going forward will enhance retention and customer experience and is in the best interest of the long-term health of the business. This approach may not be successful or sustainable and is likely to result in lower subscriber acquisition in the short term. We may incur marketing expenses significantly in advance of the time we anticipate recognized revenue associated with such expenses. In addition, our paid marketing may be unsuccessful for various reasons, including not effectively reaching potential customers or being cost-effective, changes in regulations or third-party interference could limit the ability of search engines and social media platforms for marketing, potential customers may decide not to rent through our platform or the spend of new customers may not yield the intended return on investment, any of which could negatively affect our 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customer preferences may change and customers may not rent through our platform as frequently or spend as much with us.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we may not meet our revenue and profitability goals and our revenue may grow slower than expected or decline, and investors may lose confidence in our business. Relatedly, an inability to attract and retain customers could harm our ability to attract and retain brand partners, who may decide to partner with alternative platforms.</w:t>
      </w:r>
    </w:p>
    <w:p>
      <w:pPr>
        <w:pStyle w:val="TextBody"/>
        <w:bidi w:val="0"/>
        <w:spacing w:lineRule="auto" w:line="288" w:before="360" w:after="283"/>
        <w:jc w:val="left"/>
        <w:rPr/>
      </w:pPr>
      <w:r>
        <w:rPr>
          <w:rFonts w:ascii="Arial;sans-serif" w:hAnsi="Arial;sans-serif"/>
          <w:b/>
          <w:i/>
          <w:color w:val="000000"/>
          <w:sz w:val="20"/>
        </w:rPr>
        <w:t>If we fail to retain customers, our business, financial condition, and results of operations would be harmed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high proportion of our revenue comes from longer-tenured subscribers. A decrease in the number of customers, their tenures with us, and/or a reduction in the amount customers spend on our offerings could negatively affect our operating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number of customers and the amounts they spend on our offerings may decline materially or fluctuate as a result of many factors, including, among other things: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quality, consumer appeal, price, and reliability of our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dissatisfaction with changes we make to our offerings and products;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the perceived value of our offerings, especially in response to price increases and changes in the macroeconomic environment;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quality control the products delivered to our customers and their fit;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ensuring on-time delivery of orders;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the ease with which customers can find items they are looking for, including the effectiveness of our search and discovery tools and rental product availability;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the performance of our website and mobile app, including site speed and reliability;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negative customer service experience;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intense competition in the fashion industry;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negative publicity that impacts our brand and reputation;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consumer preferences regarding the use of pre-loved apparel;</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lack of market acceptance of our business model;</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unpredictable nature of the continued impact of the COVID-19 pandemic or a future outbreak of disease or similar public health concern;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failure (or perceived failure) to meet customer expectations regarding our environmental, social and governance (“ESG”), initiatives;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efficiency of our historic or current customer acquisition methods.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existing customers no longer find our offerings and products appealing, appropriately priced or easy to use, or if we are unable to provide high-quality support to customers to help them resolve issues in a timely and acceptable manner, they may stop using our offerings, negative publicity may be generated and word-of-mouth and other referrals may be hampered. If our customers no longer perceive our subscription plans as appropriately priced and cancel or pause their subscriptions, our business and financial results could be harmed. We are focused on investing in our customer and delivering even more value to her, including by adding an extra item to each shipment beginning in the first quarter of fiscal year 2023, increasing the depth and breadth of our rental product selection, and emphasizing the value proposition of our offering in our marketing materials; however these or other initiatives to retain customers may not be successful at improving customer satisfaction, subscriber retention and/or revenues and may require additional costs or lead to unanticipated consequences. Even if our existing customers continue to find our offerings and products appealing and our customer service satisfactory, they may decide to downgrade to a less frequent, lower cost subscription and/or rent fewer items due to price sensitivity and/or changing demand or other reasons. If customers downgrade their subscriptions or make fewer or lower priced rentals, our financial results could be negatively affected.</w:t>
      </w:r>
    </w:p>
    <w:p>
      <w:pPr>
        <w:pStyle w:val="TextBody"/>
        <w:bidi w:val="0"/>
        <w:spacing w:lineRule="auto" w:line="288" w:before="360" w:after="283"/>
        <w:jc w:val="left"/>
        <w:rPr/>
      </w:pPr>
      <w:r>
        <w:rPr>
          <w:rFonts w:ascii="Arial;sans-serif" w:hAnsi="Arial;sans-serif"/>
          <w:b/>
          <w:i/>
          <w:color w:val="000000"/>
          <w:sz w:val="20"/>
        </w:rPr>
        <w:t>We have a history of losses, and we may be unable to achieve or sustain profitability</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had a net loss of $(56.9) million and $(138.7) million for the six months ended July 31, 2023 and year ended January 31, 2023, respectively, and have in the past had net losses. As of July 31, 2023, we had an accumulated deficit of $(996.8)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ability to generate profit depends on our ability to grow customers and revenue and drive operational efficiencies in our business to generate better margins. In fiscal years 2022 and 2023, we have taken significant steps to reduce our operating costs, improve our margins, and make progress towards profitability, which is an important financial goal for us over time. Nevertheless, our efforts may be unsuccessful and we may continue to generate net losses in order to:</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acquire rental product, which impacts rental product depreciation and revenue share expenses;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fulfill customer orders and provide customer service;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increase the engagement, enhance retention and improve the experience, of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drive customer acquisition and brand awareness through marketing and promotional initiatives;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invest in technology, including to enhance our website and mobile offerings and functionality;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attract, motivate and retain our employees;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develop new offerings;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generally support a larger customer base;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invest in our operations, including our logistics fulfillment, capacity and footprint, and other capital expenditures to support the growth in our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may discover unanticipated operating costs or that these initiatives are more expensive than we currently anticipate, and we may not succeed in increasing our revenue sufficiently to offset these expenses or realize the operating efficiencies and profitability we anticipate. We also expect to face greater compliance costs over time associated with the increased scope of our business and being a public company. If we are not able to adequately increase revenue or manage operating costs or due to other factors outside of our control, we may continue to incur net losses and not be able to achieve or sustain profitability in the near term or at all. If we are unable to achieve or sustain profitability, the value of our business and the trading price of our Class A common stock may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pPr>
      <w:r>
        <w:rPr>
          <w:rFonts w:ascii="Arial;sans-serif" w:hAnsi="Arial;sans-serif"/>
          <w:b/>
          <w:i/>
          <w:color w:val="000000"/>
          <w:sz w:val="20"/>
        </w:rPr>
        <w:t>If we fail to anticipate and respond successfully to new and changing fashion trends and consumer preferences, our business could be harmed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and design decisions may make it difficult for us to respond rapidly to new or changing apparel trends or customer acceptance of products chosen by us. We generally enter into contracts with our designer brand partners in advance of anticipated rentals and typically before apparel trends are confirmed by customer rentals.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not always predicted our customers’ preferences and acceptance levels of our products with accuracy. For example, during the second quarter of fiscal year 2022, there was higher than expected usage of high formality apparel, which may have constrained the availability of these items and our ability to meet demand. In addition, external events may disrupt or change customer preferences and behaviors in ways we are not able to anticipate. In addition, during the second quarter of 2023, lower rental product depth levels negatively impacted active subscribers, particularly new subscribers, and our strategy to improve rental product depth levels and, as a result, improve customer satisfaction and retention, may be unsuccessful. We have observed that our customers live, work, socialize and travel differently than they did prior to the COVID-19 pandemic and this influences what they wear.</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pStyle w:val="TextBody"/>
        <w:bidi w:val="0"/>
        <w:spacing w:lineRule="auto" w:line="288" w:before="360" w:after="283"/>
        <w:jc w:val="left"/>
        <w:rPr/>
      </w:pPr>
      <w:r>
        <w:rPr>
          <w:rFonts w:ascii="Arial;sans-serif" w:hAnsi="Arial;sans-serif"/>
          <w:b/>
          <w:i/>
          <w:color w:val="000000"/>
          <w:sz w:val="20"/>
        </w:rPr>
        <w:t>Shipping and logistics are a critical part of our business and our supply chain and any changes or interruptions in shipping or logistics operations could adversely affect our operating results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currently rely on several third-party national and regional shipping vendors for our outbound and inbound logistics. However, a substantial portion of our shipments to and from customers are currently conducted through a single vendor, a major national carrier, and we are in the process of transitioning nearly all of our non-same day outbound shipping and home pick up services to this vendor over the next several months, which we anticipate will provide customer experience advantages and cost savings over time. The transition of these services may not be successfully implemented and there are risks associated with increasing our dependence on a single vendor. Further, we cannot predict how this change or future changes and transitions may impact our costs and our customer sentiment and satisfaction and this change will increase our reliance on this vendor.</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or on time, they could become dissatisfied and cease using our services, which would adversely affect our business and operating results. Our shipping vendors have faced and may continue to face increased volumes which, in turn, has caused and could in the future cause a decrease in their service levels, including shipping delays, or result in an increase of their prices. We have experienced increased shipping costs in recent years, and these costs may increase in the future. In addition, although we have achieved efficiencies in our supply chain operations in recent years, these efficiencies may not be sustainable or meet our broader business objectives. Increases in shipping costs, in particular for our primary shipping vendor, could result in increased costs to us and adversely impact our business. In addition,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to offering the ability to return products by dropping off items with third-party shipping vendors, we offer at-home pickup for customers located in multiple markets. We believe at-home pickup is more convenient for many customers and is more cost-effective for us. Although we have had positive customer feedback and adoption to date, at-home pickup is a newer offering and may not be successful over the long-term, particularly as we transition carriers. In the event that we do not successfully and cost-effectively manage at-home pickup logistics, it will make it more difficult for us to satisfy our customers and efficiently manage shipping costs, which will negatively affect our brand, financial condition and results of operations.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we are unable to accurately forecast customer demand, acquire and manage our products effectively and plan for future expenses, our operating results could be adversely affected.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vulnerable to demand and pricing shifts and to suboptimal selection and timing of product purchases. We obtain substantially all of our products directly from hundreds of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on a timely basis. We typically do not enter into long-term contracts with our brand and manufacturing partners and, as such, we operate without significant contractual assurances of continued supply, pricing or access to products. Although we believe we have had limited voluntary attrition of brand partners to date, a brand partner could choose to no longer work with us or provide less favorable terms for a variety of reasons, including current market and supply chain conditions.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been focused on expanding our relationships with brand partners and continuing to work to increase the proportion of our products procured under Exclusive Designs and Share by RTR arrangements, which are our more capital-efficient ways of acquiring rental product. For our Exclusive Designs, RTR generally sources the materials and relies upon third-party manufacturing partners to produce products. For Wholesale and Share by RTR items, entering into contracts in advance of a particular season requires brand partners to agree to incur costs related to sourcing and manufacturing products before we have paid for them, which requires the brand partners to continue to trust us. If we were viewed as less financially viable, we may receive less favorable terms and conditions from our brand partners, including requiring upfront payments or other demonstrations of credit. The cash flow benefits we currently experience from our brand partners’ willingness to revenue share could be adversely affected if revenue share terms change or if brand partners no longer wish to revenue share due to (1) lack of trust in us, (2) lack of revenue earned in comparison to the projections we provided, or (3)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Future extended disruptions in travel may limit our ability to source products in-person, which may lead to suboptimal products and harm our business. For the next several quarters, we anticipate facing, and having to address challenges relating to, economic uncertainty and trends that may also impact our business operations, including transportation efficiencies. Additionally, oil supply disruptions related to Russia’s invasion of Ukraine led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also rely on our merchandising team to order styles that our customers will rent and we rely on our data to inform the levels of and which products we purchase, including when to reorder items that are renting well and when to sell or write-off items that are not renting well. As has occurred in the past, if our teams do not predict customer demand and tastes well or if our algorithms do not help us reorder the right products or write off the right products timely, we may not effectively manage our products and our operating results could be adversely affected.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pPr>
      <w:r>
        <w:rPr>
          <w:rFonts w:ascii="Arial;sans-serif" w:hAnsi="Arial;sans-serif"/>
          <w:b/>
          <w:i/>
          <w:color w:val="000000"/>
          <w:sz w:val="20"/>
        </w:rPr>
        <w:t>If we fail to maintain and enhance our brand, our ability to attract and retain customers will be impaired and our business, financial condition, and results of operations may suffer</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Maintaining and enhancing our appeal and reputation as a stylish, revolutionary and trusted brand is critical to attracting and retaining customers and brand partners. The successful promotion of our brand and awareness of our offerings and products depends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depends largely on our ability to provide a compelling customer value proposition for our rental and resale offerings and continued customer engagement and word of mouth organic marketing. Our efforts to improve our customer experience may not be successful. In addition, brand promotion activities may not yield increased revenue, and even if they do, the increased revenue may not offset the expenses we incur in promoting and maintaining our brand and reputation.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whether accurate or not, negative publicity about our business, operations, or employees, and customer complaints could harm our reputation, customer trust and referrals of our 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If we fail to maintain, protect, and enhance our brand successfully or to maintain and grow loyalty among customers, or if we incur substantial expenses in unsuccessful attempts to maintain, protect, and enhance our brand, we may fail to attract or increase the engagement of customers, and our business, financial condition, and operating results may suffer.</w:t>
      </w:r>
    </w:p>
    <w:p>
      <w:pPr>
        <w:pStyle w:val="TextBody"/>
        <w:bidi w:val="0"/>
        <w:spacing w:lineRule="auto" w:line="288" w:before="360" w:after="283"/>
        <w:jc w:val="left"/>
        <w:rPr/>
      </w:pPr>
      <w:r>
        <w:rPr>
          <w:rFonts w:ascii="Arial;sans-serif" w:hAnsi="Arial;sans-serif"/>
          <w:b/>
          <w:i/>
          <w:color w:val="000000"/>
          <w:sz w:val="20"/>
        </w:rPr>
        <w:t>If we are not able to improve our website and mobile app performance, keep pace with technological changes, enhance our current offerings, and develop new offerings to respond to the changing needs of partners and customers, our business, financial performance, and growth may be harmed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industry is characterized by rapidly changing technology, new service and product introductions, and changing customer demands and preferences, and we are not able to predict the effect of these changes on our business. In addition, we believe that our future success depends, in part, on our ability to anticipate and respond effectively to new technology disruption and developments. These may include new software applications or related services based on artificial intelligence (such as our anticipated AI search beta launch), machine learning, or robotics. For example, we are currently focused on improving the performance of our website and mobile application for our customers, including increasing site speed and reliability and enhancing search and discovery; however, our efforts may be unsuccessful. The technologies that we currently use to support our business platform may become inadequate or obsolete, and the cost of incorporating new technologies into our offerings and services may be substantial.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enhance and drive efficiencies in our operations, our business, results of operations and financial condition could be harmed.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as we invest in and experiment with new offerings or changes to our platform, our partners and customers may find these changes to be disruptive and may perceive them negatively. For example, in 2021, we phased out our “unlimited swaps” subscription plan and shifted to our current subscription plans with different price points based on usage. In addition, our at-home pickup offering offers customers in certain markets a new way to return their items without going to a physical drop off location. In March 2023, we changed our subscription programs to provide customers with one additional item per shipment at no extra charge, which is intended to provide more value to our customers and increase retention. These new plans and offerings do not have demonstrably long track records of success for us and could result in higher fulfillment costs and lower gross margins, higher product spend, and/or other unforeseen impacts on the business.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changes to subscription plans or new offerings may have lower margins than we anticipate or than existing offerings, and our revenue from new offerings may not be enough to offset the cost of developing and maintaining them, which could adversely affect our business, financial performance, and growth.</w:t>
      </w:r>
    </w:p>
    <w:p>
      <w:pPr>
        <w:pStyle w:val="TextBody"/>
        <w:bidi w:val="0"/>
        <w:spacing w:lineRule="auto" w:line="288" w:before="360" w:after="283"/>
        <w:jc w:val="left"/>
        <w:rPr/>
      </w:pPr>
      <w:r>
        <w:rPr>
          <w:rFonts w:ascii="Arial;sans-serif" w:hAnsi="Arial;sans-serif"/>
          <w:b/>
          <w:i/>
          <w:color w:val="000000"/>
          <w:sz w:val="20"/>
        </w:rPr>
        <w:t>We rely heavily on the effective operation of our proprietary technology systems and software, as well as those of our third-party vendors and service providers, for our business to</w:t>
      </w:r>
      <w:r>
        <w:rPr>
          <w:color w:val="000000"/>
        </w:rPr>
        <w:t xml:space="preserve"> </w:t>
      </w:r>
      <w:r>
        <w:rPr>
          <w:rFonts w:ascii="Arial;sans-serif" w:hAnsi="Arial;sans-serif"/>
          <w:b/>
          <w:i/>
          <w:color w:val="000000"/>
          <w:sz w:val="20"/>
        </w:rPr>
        <w:t>effectively operate and to safeguard confidential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rely heavily on the Internet, in-house proprietary technology, third-party software and infrastructure, and customized off-the-shelf technology solutions across our business (collectively, our “IT Systems”).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our IT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technology underlying our platform is highly interconnected and complex and may contain undetected errors or vulnerabilities. Due to the interconnected nature of the software underlying our platform, updates to parts of our code, third-party code, and application programming interfaces,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errors may only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could also result in damage to our reputation, loss of our customers, unauthorized disclosure of personal and confidential information, loss of revenue or liability for damages, any of which could adversely affect our growth prospects and our business.</w:t>
      </w:r>
    </w:p>
    <w:p>
      <w:pPr>
        <w:pStyle w:val="TextBody"/>
        <w:bidi w:val="0"/>
        <w:spacing w:lineRule="auto" w:line="288" w:before="360" w:after="283"/>
        <w:jc w:val="left"/>
        <w:rPr/>
      </w:pPr>
      <w:r>
        <w:rPr>
          <w:rFonts w:ascii="Arial;sans-serif" w:hAnsi="Arial;sans-serif"/>
          <w:b/>
          <w:i/>
          <w:color w:val="000000"/>
          <w:sz w:val="20"/>
        </w:rPr>
        <w:t>Any significant technology disruption or failure, cyberattack or data security incident could adversely affect our business, financial condition and operations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ability to effectively manage our business, particularly our product management, order and fulfillment operations, depends significantly on the reliability and capacity of the Internet and our IT Systems. We also collect, process and store sensitive and confidential information, including our proprietary business information and information regarding our customers, employees, suppliers and business partners, including personally identifiable information. The secure processing, maintenance and transmission of this information is critical to our operations. Our IT Systems and those of our service providers and business partners may be subject to damage or interruption from cyber attacks,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corruption or loss or long-term network or operational outages. In addition, we may have to upgrade our existing IT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Despite various security measures that have been implemented, our IT Systems and those of our third-party service providers and business partners are vulnerable to security incidents, attacks by hackers, acts of vandalism, malware, social engineering, denial or degradation of service attacks, computer viruses, software bugs or vulnerabilities, supply chain attacks, phishing attacks, ransomware attacks, misplaced or lost data, human errors, malicious insiders or other similar events. If unauthorized parties gain access to our IT Systems or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 such payments. In addition, employees may intentionally or inadvertently cause data or security incidents that result in unauthorized release of personal or confidential information. Because the techniques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Certain of the aforementioned types of cyberattacks and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phishing attempts,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In addition, company-issued laptops or other devices have been, and may in the future be, lost, stolen, or infected with malware. The security measures we employ to prevent, detect, and mitigate potential harm to our users from the theft of or misuse of user credentials on our network may not be effective in every instance.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rely on a number of third-party providers of products and services to operate our critical internal and external operations, such as the processing of confidential and personally identifiable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information they process on our behalf and may not be able to contain or recover from such incidents or to notify us in a timely manner. Moreover, we or our third-party service providers may be more vulnerable to such attacks in remote or hybrid work environments. Any cyberattack, security incident, or material disruption or slowdown affecting our IT Systems or those of our third-party service providers or business partners, could have a material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While we maintain cyber insurance that may help provide coverage for these types of events, we cannot provide assurances that our insurance will be adequate to cover costs and liabilities related 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(the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e-commerce business faces distinct risks, such as fulfillment of orders, and our failure to successfully manage these risks could have a negative impact on our profitability.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 We have two fulfillment centers in Arlington, Texas and Secaucus, New Jersey that we depend on for our fulfillment operations. We currently lease these facilities. We cannot guarantee that we will be able to renew or negotiate new leases on terms acceptable to us or at all. If we are unable to secure such leases, or if we can only secure such leases on economic terms that are less than optimal for us, it may materially adversely impact our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Risks associated with our e-commerce business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our ability to provide a delightful and effective search and discovery experience for our customers;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our failure to successfully execute planned enhancements to our website and mobile application performance to improve site speed and reliability in order to keep pace with industry standards and meet customer expectations;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uncertainties associated with our website and mobile application, including changes in required technology interfaces, website downtime and other technical failures, anticipated or unanticipated costs and technical issues, our ability to upgrade systems software successfully, inadequate system capacity, computer viruses, human error, and/or security incidents;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disruptions in internet service or power outages;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reliance on third parties for computer hardware and software, as well as delivery of products to our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rapid technology changes;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credit or debit card fraud and other payment processing related issues;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applicable federal, state and international regulations;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legal claims related to our e-commerce operations and fulfillment, including liability for online content;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cybersecurity, consumer privacy and consumer protection concerns and regulation;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natural disasters or adverse weather conditions.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we must keep up to date with competitive technology trends, including the use of new or improved technology, checkout and payment options,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pStyle w:val="TextBody"/>
        <w:bidi w:val="0"/>
        <w:spacing w:lineRule="auto" w:line="288" w:before="360" w:after="283"/>
        <w:jc w:val="left"/>
        <w:rPr/>
      </w:pPr>
      <w:r>
        <w:rPr>
          <w:rFonts w:ascii="Arial;sans-serif" w:hAnsi="Arial;sans-serif"/>
          <w:b/>
          <w:i/>
          <w:color w:val="000000"/>
          <w:sz w:val="20"/>
        </w:rPr>
        <w:t>Our quarterly and annual results of operations may fluctuate, which may make it difficult to predict our future performance</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section, factors that may contribute to the variability of our quarterly and annual results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success in attracting and retaining customers and subscribers;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maintaining successful relationships with brand partners and our ability to acquire products at acceptable prices and offer a compelling mix of products that are available for Subscription, Reserve or Resale at any given time;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amount and timing of our fulfillment costs, operating expenses and capital expenditures;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timing and success of product launches, including pricing changes, new services and features we may introduce;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success of our marketing and promotional efforts;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adverse economic and market conditions and other adverse global events that negatively impact commerce and consumer behavior and that could lead to inflationary pressures and supply chain disruptions;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disruptions or defects in our software or operations, such as privacy or data security incidents, outages, or other incidents that impact the availability, reliability, or performance of our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impact of competitive developments and our response to those developments;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manage our business and future growth;</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recruit and retain employees including fulfillment center labor to process, itemize, list, pack and ship our products;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to financial accounting standards and the interpretation of those standards, which may affect the way we recognize and report our financial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 Fluctuations in our operating results and key metrics may cause our results to fall below our financial guidance or other projections, or the expectations of analysts or investors, which could cause the price of our Class A common stock to decline.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face risks arising from the restructuring of our operations, which could adversely affect our financial condition, results of operations, cash flows, or business reputation.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September 2022, we announced a restructuring plan that is intended to reduce costs, streamline our organizational structure and drive operational efficiencies. During fiscal year 2023, we have taken and plan to continue to take actions intended to further reduce our cost structure, including smaller organizational updates. These plans or other future restructuring plans present significant risks that could have a material adverse effect on our operations, financial condition, results of operations, cash flow, or business reputation. Such risks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failure to achieve targeted cost savings and efficiency, and cash flow and profitability goals;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decrease in employee morale, a negative impact to our corporate culture, and heightened regrettable attrition, including by critical employees, each of which we’ve observed to some extent and are focused on addressing;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 increase in employment claims;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actual or perceived disruption of service or reduction in service standards to customers;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failure to meet our operational standards, needs, or goals due to fewer employees, including potential single points of failure, or due to reduced or reallocated resources generally.</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Environmental, social and governance matters may impact our business and reputation.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There has been increased focus, including by consumers, investors, employees and other stakeholders, as well as by governmental and non-governmental organizations, on environmental, social and governance matters generally and with regard to the fashion industry specifically. We expect that an increased focus on ESG considerations will affect some aspects of our operations.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Any failure by us to meet our Impact Strategy goals or a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 In addition, achieving our Impact Strategy goals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we may lose potential or current customers, we may be unable to recruit and retain employees effectively, and potential or current investors may elect to invest with our competitors instead.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Voluntary or required 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 Alternatively, if we are unable to satisfy such new criteria, investors may conclude that our policies or actions with respect to corporate responsibility are inadequate. We risk damage to our brand and reputation in the event that our corporate responsibility procedures or standards do not meet the standards set by various constituencies.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ESG issues. Unfavorable ESG ratings could lead to negative investor sentiment toward us and/or our industry, which could have a negative impact on our access to and costs of capital. In light of investors’ and other stakeholders’ increased focus on ESG matters, there can be no certainty that we will manage such issues successfully, or that we will successfully meet our stakeholders’ or society’s ESG expectations or achieve our ESG goals and financial goals.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rely on the experience and expertise of our Co-Founder and Chief Executive Officer, senior management team, key technical and strategic employees and hourly personnel.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that our success and future growth depend largely upon the continued services of our senior management team, including our Co-Founder,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addition, our future success will depend upon our ability to attract and retain employees, particularly for key roles, such as engineering and technology (including data science), brand, marketing, buying and planning, and logistics, as well as hourly fulfillment workers and customer service agents. Such efforts have required, and are expected to continue to require significant time, expense, and attention as there is intense competition for such individuals, particularly in New York City, Galway, New Jersey and Texas, and new hires require significant training and time before they achieve full productivity. We may be unable to maintain competitive wage and salary levels, which are likely to increase further due to inflation and potential minimum wage increases, which could increase attrition and make recruiting more difficult. Alternatively, we may be required to increase current compensation levels to attract and retain employees, which could negatively impact our profitability goals. In addition, prospective and existing employees often consider the value of the equity awards they may receive in connection with their employment and our stock price has declined significantly since our 2021 IPO. If the perceived value of our equity awards is inadequate or experiences significant volatility, it may adversely affect our ability to recruit and retain key employees. In July 2023, we completed an option exchange designed to incentivize and retain employees, directors and other service providers by providing the ability to exchange outstanding stock options for RSUs, which was approved by stockholders. This option exchange, however, may not have the intended incentivization and retention benefits. Further our September 2022 restructuring plan and continued efforts to optimize our cost structure and organization design has made, and in the future may, continue to make it more difficult to attract and retain employees for key roles.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corporate employees primarily worked remotely from March 2020 to April 2022. Since then, we have reopened our offices and moved to a hybrid working model for New York City and Galway. We have continued to shift to an even more office-centric model in New York City in which employees have been asked to be in the office four days a week starting in September 2023. If our current model is not aligned with our employees’ preferences, it may adversely affect our ability to recruit and retain employees and may negatively impact our company culture, collaboration and productivity.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experienced in the past, and may in the future experience, voluntary attrition at significant rates for various reasons, including challenging labor market conditions such as rising wages, and a decreased level of workforce participation. If we are unable to attract and retain qualified employees in a timely fashion, particularly for the key roles described above, our ability to achieve our strategic objectives will be adversely impacted, and our business and future growth prospects will be harmed.</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believe that our company culture has contributed to our success and if we cannot maintain this culture as we grow, our business could be harmed.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failure to maintain and/or improve employee morale and engagement in light of our office-centric approach in our New York City headquarters, our September 2022 restructuring plan and our continued efforts to ensure a cost-conscious and efficient workforce that supports our growth and profitability goals;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failure to identify, attract, reward, and retain employees who share and further our culture, values, and mission;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evolving size, complexity and geographic diversity of our workforce, and our ability to promote a uniform and consistent culture across all our offices and employees;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employee and market perception of our ESG efforts, which may impact employee morale and recruiting efforts;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competitive pressures to move in directions that may divert us from our mission, vision, and values;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hybrid working model for employees in Galway and the remote working model for customer service employees;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continued challenges of a rapidly-evolving industry;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increasing need to develop expertise in new areas of business that affect us.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particular, Diversity, Equity and Inclusion is a strategic imperative for us. We are focused on driving inclusiveness, innovation and stronger business results by attracting a diverse talent pool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and reputation, result in negative publicity, affect the confidence of our stockholders, regulators and other parties and could have a material adverse effect on our business, financial condition and operating results.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Material changes in the pricing practices of our brand and manufacturing partners and/or the costs of raw materials could negatively impact our profitability.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our manufacturing partners increase their costs, our Exclusive Designs may not be as cost-effective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supply of the fabrics or raw materials used in the manufacture of the products we offer, such as due to restrictions on Xinjiang cotton, we and/or our partners might not be able to locate alternative suppliers of materials of comparable quality at an acceptable price. For example, disruptions in the supply chain as a result of the COVID-19 pandemic and the recent inflationary environment increased raw material costs, impacting pricing of our products, and caused shipping delays for certain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business is affected by seasonality.</w:t>
      </w:r>
    </w:p>
    <w:p>
      <w:pPr>
        <w:pStyle w:val="TextBody"/>
        <w:bidi w:val="0"/>
        <w:spacing w:lineRule="auto" w:line="288" w:before="120" w:after="283"/>
        <w:jc w:val="left"/>
        <w:rPr/>
      </w:pPr>
      <w:r>
        <w:rPr>
          <w:rFonts w:ascii="Arial;sans-serif" w:hAnsi="Arial;sans-serif"/>
          <w:b w:val="false"/>
          <w:color w:val="000000"/>
          <w:sz w:val="20"/>
        </w:rPr>
        <w:t xml:space="preserve">Our business is subject to seasonal fluctuations.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w:t>
      </w:r>
      <w:r>
        <w:rPr>
          <w:rFonts w:ascii="Arial;sans-serif" w:hAnsi="Arial;sans-serif"/>
          <w:b w:val="false"/>
          <w:color w:val="000000"/>
          <w:sz w:val="20"/>
          <w:shd w:fill="FFFFFF" w:val="clear"/>
        </w:rPr>
        <w:t>Adverse events, such as higher unemployment, inflation, deteriorating economic conditions, or fewer large-scale holiday and special events, can deter consumers from shopping and renting. Any significant decrease in customers or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w:t>
      </w:r>
      <w:r>
        <w:rPr>
          <w:rFonts w:ascii="Arial;sans-serif" w:hAnsi="Arial;sans-serif"/>
          <w:b w:val="false"/>
          <w:color w:val="000000"/>
          <w:sz w:val="20"/>
        </w:rPr>
        <w:t>omic conditions could have a disproportionate effect on our results of operations for our entire fiscal year.</w:t>
      </w:r>
    </w:p>
    <w:p>
      <w:pPr>
        <w:pStyle w:val="TextBody"/>
        <w:bidi w:val="0"/>
        <w:spacing w:lineRule="auto" w:line="256" w:before="240" w:after="283"/>
        <w:jc w:val="left"/>
        <w:rPr>
          <w:rFonts w:ascii="Arial;sans-serif" w:hAnsi="Arial;sans-serif"/>
          <w:b w:val="false"/>
          <w:color w:val="000000"/>
          <w:sz w:val="20"/>
        </w:rPr>
      </w:pPr>
      <w:r>
        <w:rPr>
          <w:rFonts w:ascii="Arial;sans-serif" w:hAnsi="Arial;sans-serif"/>
          <w:b w:val="false"/>
          <w:color w:val="000000"/>
          <w:sz w:val="20"/>
        </w:rPr>
        <w:t>We also experience seasonality in the timing of expenses and capital outlays. In anticipation of increased rental activity during seasonal peaks, we typically incur significant expenses, such as rental product capital expenditures. We may also incur expenses for additional marketing and/or additional staffing in our customer support operations. In addition, we typically experience an increase in our shipping costs during peak seasons, such as around the holidays. In the future, our seasonal subscriber or revenue patterns may become more pronounced or may change, may strain our personnel and operational activities, and may cause a shortfall in revenue as compared with expenses in a given period, which could substantially harm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our rapid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may require additional capital to support the growth of our business and satisfy our debt obligations, and this capital might not be available on acceptable terms, if at all.</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funded our operations since inception primarily through equity and debt financings and revenue generated from our offerings. Our goal is to be a profitable company;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satisfy our debt obligations, to obtain rental products, for marketing, and for headcount or other operating expenses and capital expenditures, to develop new features or enhance our offerings, to improve our operating infrastructure, and/or to acquire complementary businesses and technologies. However, we believe that our current market capitalization, business performance and/or current level of indebtedness may adversely impact efforts to raise additional capital. If we are unable to obtain adequate financing or financing on terms satisfactory to us, our ability to support our business growth, and respond to business challenges could be significantly impaired, and our business may be adversely affected. Additionally, in recent periods, there has been volatility in and disruptions to the global economy, including the equity and debt financial markets. Such weakness and volatility in capital markets and the economy in general could limit our access to capital markets and increase our costs of borrowing.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maintain the majority of our cash and cash equivalents in accounts with major U.S. and international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360" w:after="283"/>
        <w:jc w:val="left"/>
        <w:rPr/>
      </w:pPr>
      <w:r>
        <w:rPr>
          <w:rFonts w:ascii="Arial;sans-serif" w:hAnsi="Arial;sans-serif"/>
          <w:b/>
          <w:i/>
          <w:color w:val="000000"/>
          <w:sz w:val="20"/>
        </w:rPr>
        <w:t>Our level of indebtedness could have a material adverse effect on our ability to generate sufficient cash to fulfill our obligations under such indebtedness, to react to changes in our</w:t>
      </w:r>
      <w:r>
        <w:rPr>
          <w:color w:val="000000"/>
        </w:rPr>
        <w:t xml:space="preserve"> </w:t>
      </w:r>
      <w:r>
        <w:rPr>
          <w:rFonts w:ascii="Arial;sans-serif" w:hAnsi="Arial;sans-serif"/>
          <w:b/>
          <w:i/>
          <w:color w:val="000000"/>
          <w:sz w:val="20"/>
        </w:rPr>
        <w:t>business and to incur additional indebtedness to fund future needs.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July 31, 2023, we had $290.6 million aggregate principal amount of borrowings under a credit facility with Double Helix Pte Ltd. as administrative agent for Temasek Holdings (as currently in effect, the “2022 Amended Temasek Facility”). The 2022 Amended Temasek Facility matures in October 2026.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“Note 6 —Long-Term Debt” in the Notes to Condensed Consolidated Financial Statements for more information on our indebtedness.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2022 Amended Temasek Facility contains financial covenants and other restrictions on our actions that may limit our operational flexibility or otherwise adversely affect our business, financial condition and results of operations.</w:t>
      </w:r>
    </w:p>
    <w:p>
      <w:pPr>
        <w:pStyle w:val="TextBody"/>
        <w:bidi w:val="0"/>
        <w:spacing w:lineRule="auto" w:line="288" w:before="120" w:after="283"/>
        <w:jc w:val="left"/>
        <w:rPr/>
      </w:pPr>
      <w:r>
        <w:rPr>
          <w:rFonts w:ascii="Arial;sans-serif" w:hAnsi="Arial;sans-serif"/>
          <w:b w:val="false"/>
          <w:color w:val="000000"/>
          <w:sz w:val="20"/>
        </w:rPr>
        <w:t>The terms of our 2022 Amended Temasek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A</w:t>
      </w:r>
      <w:r>
        <w:rPr>
          <w:rFonts w:ascii="Arial;sans-serif" w:hAnsi="Arial;sans-serif"/>
          <w:b w:val="false"/>
          <w:color w:val="000000"/>
          <w:sz w:val="20"/>
          <w:shd w:fill="FFFFFF" w:val="clear"/>
        </w:rPr>
        <w:t xml:space="preserve">dditionally, the 2022 Amended Temasek Facility includes a minimum liquidity maintenance covenant of $50.0 million. </w:t>
      </w:r>
      <w:r>
        <w:rPr>
          <w:rFonts w:ascii="Arial;sans-serif" w:hAnsi="Arial;sans-serif"/>
          <w:b w:val="false"/>
          <w:color w:val="000000"/>
          <w:sz w:val="20"/>
        </w:rPr>
        <w:t>The terms of our 2022 Amended Temasek Facility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failure by us to comply with the covenants specified in the 2022 Amended Temasek Facility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pPr>
      <w:r>
        <w:rPr>
          <w:rFonts w:ascii="Arial;sans-serif" w:hAnsi="Arial;sans-serif"/>
          <w:b/>
          <w:i/>
          <w:color w:val="000000"/>
          <w:sz w:val="20"/>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connection with the preparation of our consolidated financial statements as of January 31, 2021, we identified material weaknesses in our internal control over financial reporting, as described below. As of July 31, 2023, these material weaknesses were still in the process of being 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did not design and maintain effective controls to ensure (i) the appropriate segregation of duties in the operation of manual controls and (ii) journal entries were reviewed at the appropriate level of precision.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described above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we have identified in a timely manner, or if our internal control over financial reporting is not effective, there could be errors in our annual or interim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we have identified in a timely manner, or if additional material weaknesses exist or are discovered in the future, and we are unable to remediate any such material weakness, our reputation, results of operations and financial condition could suffer.</w:t>
      </w:r>
    </w:p>
    <w:p>
      <w:pPr>
        <w:pStyle w:val="TextBody"/>
        <w:bidi w:val="0"/>
        <w:spacing w:lineRule="auto" w:line="288" w:before="360" w:after="283"/>
        <w:jc w:val="left"/>
        <w:rPr/>
      </w:pPr>
      <w:r>
        <w:rPr>
          <w:rFonts w:ascii="Arial;sans-serif" w:hAnsi="Arial;sans-serif"/>
          <w:b/>
          <w:i/>
          <w:color w:val="000000"/>
          <w:sz w:val="20"/>
        </w:rPr>
        <w:t>The requirements of being a public company may strain our resources, divert management’s attention, and affect our ability to attract and retain executive management and qualified board members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We have hired additional employees and engaged consultants to assist us in complying with these requirements; however we may invest additional resources in our compliance efforts, including hiring more employees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pStyle w:val="TextBody"/>
        <w:bidi w:val="0"/>
        <w:spacing w:lineRule="auto" w:line="288" w:before="360" w:after="283"/>
        <w:jc w:val="left"/>
        <w:rPr/>
      </w:pPr>
      <w:r>
        <w:rPr>
          <w:rFonts w:ascii="Arial;sans-serif" w:hAnsi="Arial;sans-serif"/>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are required, pursuant to Section 404 of the Sarbanes-Oxley Act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At such time, our compliance with Section 404 will require that we incur substantial expenses and expend significant management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to the material weaknesses in internal control over financial reporting identified in connection with the audit of our financial statements as of and for the fiscal year 2020,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are an “emerging growth company,” and we cannot be certain if the reduced reporting and disclosure requirements applicable to emerging growth companies will make our Class A common stock less attractive to investors.</w:t>
      </w:r>
    </w:p>
    <w:p>
      <w:pPr>
        <w:pStyle w:val="TextBody"/>
        <w:bidi w:val="0"/>
        <w:spacing w:lineRule="auto" w:line="288" w:before="120" w:after="283"/>
        <w:jc w:val="left"/>
        <w:rPr/>
      </w:pPr>
      <w:r>
        <w:rPr>
          <w:rFonts w:ascii="Arial;sans-serif" w:hAnsi="Arial;sans-serif"/>
          <w:b w:val="false"/>
          <w:color w:val="000000"/>
          <w:sz w:val="20"/>
        </w:rPr>
        <w:t xml:space="preserve">We are an “emerging growth company,” as defined in the </w:t>
      </w:r>
      <w:r>
        <w:rPr>
          <w:rFonts w:ascii="Arial;sans-serif" w:hAnsi="Arial;sans-serif"/>
          <w:b w:val="false"/>
          <w:color w:val="000000"/>
          <w:sz w:val="20"/>
          <w:shd w:fill="FFFFFF" w:val="clear"/>
        </w:rPr>
        <w:t>Jumpstart Our Business Startups Act of 2012 (“</w:t>
      </w:r>
      <w:r>
        <w:rPr>
          <w:rFonts w:ascii="Arial;sans-serif" w:hAnsi="Arial;sans-serif"/>
          <w:b w:val="false"/>
          <w:color w:val="000000"/>
          <w:sz w:val="20"/>
        </w:rPr>
        <w:t>JOBS Act”), and we may take advantage of certain exemptions from reporting requirements that are applicable to other public companies that are not “emerging growth companies,”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auditor attestation requirements of Section 404;</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reduced disclosure obligations regarding executive compensation in our periodic reports and proxy statements;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exemptions from the requirements of holding a non-binding advisory stockholder vote on executive compensation and non-binding advisory stockholder vote to approve any golden parachute payments not previously approved.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will remain an emerging growth company until the earliest of:</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last day of the fiscal year following the fifth anniversary of our IPO;</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last day of the first fiscal year in which our annual gross revenue is $1.235 billion or more;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date on which we have, during the previous rolling three-year period, issued more than $1 billion in non-convertible debt securities;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date we qualify as a “large accelerated filer,” with at least $700 million of equity securities held by non-affiliates.</w:t>
      </w:r>
    </w:p>
    <w:p>
      <w:pPr>
        <w:pStyle w:val="TextBody"/>
        <w:bidi w:val="0"/>
        <w:spacing w:before="120" w:after="283"/>
        <w:ind w:left="0" w:right="0" w:firstLine="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120" w:after="283"/>
        <w:jc w:val="left"/>
        <w:rPr/>
      </w:pPr>
      <w:r>
        <w:rPr>
          <w:rFonts w:ascii="Arial;sans-serif" w:hAnsi="Arial;sans-serif"/>
          <w:b/>
          <w:i/>
          <w:color w:val="000000"/>
          <w:sz w:val="20"/>
        </w:rPr>
        <w:t>The COVID-19 pandemic had, and outbreaks of COVID-19 may in the future have, a material adverse impact on our business</w:t>
      </w:r>
      <w:r>
        <w:rPr>
          <w:rFonts w:ascii="Arial;sans-serif" w:hAnsi="Arial;sans-serif"/>
          <w:b w:val="false"/>
          <w:color w:val="000000"/>
          <w:sz w:val="20"/>
        </w:rPr>
        <w:t xml:space="preserve">. </w:t>
      </w:r>
      <w:r>
        <w:rPr>
          <w:rFonts w:ascii="Arial;sans-serif" w:hAnsi="Arial;sans-serif"/>
          <w:b/>
          <w:i/>
          <w:color w:val="000000"/>
          <w:sz w:val="20"/>
        </w:rPr>
        <w:t>Other future pandemics or public health crises may have a similar adverse impact on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COVID-19 pandemic materially adversely affected our operating and financial results during fiscal year 2020 due to the occurrence of the following events or circumstances, among others: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global shelter-in-place restrictions significantly reduced our number of Active Subscribers and engagement with all of our offerings because of the decrease in special events, social gatherings and interactions outside the home;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significant number of subscribers paused or canceled their subscriptions or downgraded to lower-priced plans, and we experienced significant decreased demand for our Reserve offering and customers canceled their existing orders for special events;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subscribers engaged less, which impacted the success of our organic marketing and reduced the volume of our data and business insights;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disruptions of the operations of our brand partners and delays in shipment and delivery of our products;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pausing all of our paid marketing spend and eliminating or significantly reducing investments in growth initiatives;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carrying more products relative to customer demand, negatively impacting gross margins;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performance-based revenue share payments to brands were decreased due to lower total revenue, impacting our brand partner relationships and value proposition;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implementing temporary salary cuts, employee layoffs and furloughs, and pausing recruiting efforts, which negatively impacted employee morale and resulted in an increase in regrettable employee attrition;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closure of our brick-and-mortar retail stores, which was perceived negatively by some customers.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fiscal years 2021 and 2022, our operating and financial results continued to be impacted by the COVID-19 pandemic.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effects of COVID-19, including the identification and spread of new variants of the virus, may continue to have a negative impact on our business operations and long-term financial results of operations due to the occurrence of the following events or circumstances, among others: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difficulty in accurately predicting the timing of potential new variants and/or the pace of our business recovery, particularly changes in demand, subscriber levels and pause activity, and Reserve and Resale orders, leading to potentially over-spending and lower profitability if demand and engagement are not as expected;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inability to meet increased demand and provide an optimal customer experience as a result of difficulty in hiring additional employees, particularly in our fulfillment, operations and customer experience functions;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continuing supply chain disruptions and/or disruptions in the operations of our brand partners, which could impact our ability to acquire an adequate depth and breadth of products at favorable prices in a timely manner to match demand;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possible resurgences of COVID-19 that lead to new or additional shelter-in-place orders, travel advisories, and/or reduced social activities and events, which may dampen future demand for our products and offering.</w:t>
      </w:r>
    </w:p>
    <w:p>
      <w:pPr>
        <w:pStyle w:val="TextBody"/>
        <w:bidi w:val="0"/>
        <w:spacing w:before="120" w:after="283"/>
        <w:ind w:left="0" w:right="0" w:firstLine="9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Future pandemics or public health crises may have similar adverse effects on our business. Although we anticipate that our operating results in future fiscal years will reflect a more normal operating environment, the current economic climate has created a high degree of uncertainty and there is no assurance that our scale, number of customers, revenue or growth will return to or surpass pre-pandemic levels for a sustained period of time. As such, we continue to closely monitor this global health crisis and will continue to reassess our strategy and operational structure on a regular, ongoing basis as the situation evolves.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pPr>
      <w:r>
        <w:rPr>
          <w:rFonts w:ascii="Arial;sans-serif" w:hAnsi="Arial;sans-serif"/>
          <w:b/>
          <w:i/>
          <w:color w:val="000000"/>
          <w:sz w:val="20"/>
        </w:rPr>
        <w:t>Strategic investments, partnerships, alliances, or acquisitions could be difficult to identify, pose integration challenges, divert the attention of management, disrupt our business, dilute</w:t>
      </w:r>
      <w:r>
        <w:rPr>
          <w:color w:val="000000"/>
        </w:rPr>
        <w:t xml:space="preserve"> </w:t>
      </w:r>
      <w:r>
        <w:rPr>
          <w:rFonts w:ascii="Arial;sans-serif" w:hAnsi="Arial;sans-serif"/>
          <w:b/>
          <w:i/>
          <w:color w:val="000000"/>
          <w:sz w:val="20"/>
        </w:rPr>
        <w:t>stockholder value, and adversely affect our business, financial condition, and results of operations</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success depends,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partnership or acquisition may disrupt our ongoing business, divert resources, increase our expenses, and distract our management;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we may encounter difficulties or unforeseen expenditures in integrating the business, offerings, technologies, personnel, or operations of any company that we partner with or acquire;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occurrence of any of these foregoing risks could adversely affect our business, financial condition, and results of operations and expose us to unknown risks or liabilities.</w:t>
      </w:r>
    </w:p>
    <w:p>
      <w:pPr>
        <w:pStyle w:val="TextBody"/>
        <w:bidi w:val="0"/>
        <w:spacing w:lineRule="auto" w:line="288" w:before="360" w:after="283"/>
        <w:jc w:val="left"/>
        <w:rPr/>
      </w:pPr>
      <w:r>
        <w:rPr>
          <w:rFonts w:ascii="Arial;sans-serif" w:hAnsi="Arial;sans-serif"/>
          <w:b/>
          <w:i/>
          <w:color w:val="000000"/>
          <w:sz w:val="20"/>
        </w:rPr>
        <w:t>Our reported financial results may be adversely affected by changes in accounting principles generally accepted in the United States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pPr>
      <w:r>
        <w:rPr>
          <w:rFonts w:ascii="Arial;sans-serif" w:hAnsi="Arial;sans-serif"/>
          <w:b/>
          <w:i/>
          <w:color w:val="000000"/>
          <w:sz w:val="20"/>
        </w:rPr>
        <w:t>If our estimates or judgments relating to our critical accounting policies prove to be incorrect, our results of operations could be adversely affected</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color w:val="000000"/>
          <w:sz w:val="20"/>
        </w:rPr>
        <w:t>The preparation of financial statements in conformity with GAAP requires management to make estimates and assumptions that affect the amounts reported in our condensed consolidated financial statements and accompanying notes appearing elsewhere in this Quarterly</w:t>
      </w:r>
      <w:r>
        <w:rPr>
          <w:color w:val="000000"/>
          <w:shd w:fill="FFFFFF" w:val="clear"/>
        </w:rPr>
        <w:t xml:space="preserve"> </w:t>
      </w:r>
      <w:r>
        <w:rPr>
          <w:rFonts w:ascii="Arial;sans-serif" w:hAnsi="Arial;sans-serif"/>
          <w:b w:val="false"/>
          <w:color w:val="000000"/>
          <w:sz w:val="20"/>
          <w:shd w:fill="FFFFFF" w:val="clear"/>
        </w:rPr>
        <w:t>Report</w:t>
      </w:r>
      <w:r>
        <w:rPr>
          <w:rFonts w:ascii="Arial;sans-serif" w:hAnsi="Arial;sans-serif"/>
          <w:b w:val="false"/>
          <w:color w:val="000000"/>
          <w:sz w:val="20"/>
        </w:rPr>
        <w:t xml:space="preserve">. We base our estimates on historical experience and on various other assumptions that we believe to be reasonable under the circumstances, as provided in Part I, Item 2, “Management’s Discussion and Analysis of Financial Condition and Results of Operations—Critical Accounting Estimates.” The results of these estimates form the basis for making judgments about the carrying values of assets, liabilities, and equity, and the amount of revenue and expenses. Significant estimates and judgments include </w:t>
      </w:r>
      <w:r>
        <w:rPr>
          <w:rFonts w:ascii="Arial;sans-serif" w:hAnsi="Arial;sans-serif"/>
          <w:b w:val="false"/>
          <w:color w:val="000000"/>
          <w:sz w:val="20"/>
          <w:shd w:fill="FFFFFF" w:val="clear"/>
        </w:rPr>
        <w:t>the useful life and salvage value of rental product, incremental borrowing rate to determine lease liabilities and right-of-use assets, and the valuation of share-based compensation and warrants.</w:t>
      </w:r>
      <w:r>
        <w:rPr>
          <w:color w:val="000000"/>
        </w:rPr>
        <w:t xml:space="preserve"> </w:t>
      </w:r>
      <w:r>
        <w:rPr>
          <w:rFonts w:ascii="Arial;sans-serif" w:hAnsi="Arial;sans-serif"/>
          <w:b w:val="false"/>
          <w:color w:val="000000"/>
          <w:sz w:val="20"/>
        </w:rPr>
        <w:t>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pStyle w:val="TextBody"/>
        <w:bidi w:val="0"/>
        <w:spacing w:lineRule="auto" w:line="288" w:before="120" w:after="283"/>
        <w:jc w:val="left"/>
        <w:rPr/>
      </w:pPr>
      <w:r>
        <w:rPr>
          <w:rFonts w:ascii="Arial;sans-serif" w:hAnsi="Arial;sans-serif"/>
          <w:b w:val="false"/>
          <w:color w:val="000000"/>
          <w:sz w:val="20"/>
        </w:rPr>
        <w:t xml:space="preserve">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w:t>
      </w:r>
      <w:r>
        <w:rPr>
          <w:rFonts w:ascii="Arial;sans-serif" w:hAnsi="Arial;sans-serif"/>
          <w:b w:val="false"/>
          <w:color w:val="000000"/>
          <w:sz w:val="20"/>
          <w:shd w:fill="FFFFFF" w:val="clear"/>
        </w:rPr>
        <w:t>Quarterly Report.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Expansion of our operations internationally requires management attention and resources, involves additional risks, and may be unsuccessful.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lower acceptance of our offerings and the concept of renting apparel and accessories and the need to localize our products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competition from local incumbents that understand the local market and may operate more effectively;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regulatory requirements, taxes, trade laws, trade sanctions and economic embargoes, tariffs, export quotas, custom duties, or other trade restrictions, or any unexpected changes thereto;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risks resulting from changes in currency exchange rates.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If we invest substantial time and resources to establish and expand our operations internationally and are unable to do so successfully and in a timely manner, our operating results would suffer.</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Risks Related to Our Legal and Regulatory Environment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Our business is subject to a large number of U.S. and non-U.S. laws and regulations, many of which are evolving.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pStyle w:val="TextBody"/>
        <w:bidi w:val="0"/>
        <w:spacing w:lineRule="auto" w:line="288" w:before="360" w:after="283"/>
        <w:jc w:val="left"/>
        <w:rPr/>
      </w:pPr>
      <w:r>
        <w:rPr>
          <w:rFonts w:ascii="Arial;sans-serif" w:hAnsi="Arial;sans-serif"/>
          <w:b/>
          <w:i/>
          <w:color w:val="000000"/>
          <w:sz w:val="20"/>
        </w:rPr>
        <w:t>We are subject to U.S. and certain foreign export and import controls, sanctions, embargoes, anti-corruption laws, and anti-money laundering laws and regulations. Compliance</w:t>
      </w:r>
      <w:r>
        <w:rPr>
          <w:color w:val="000000"/>
        </w:rPr>
        <w:t xml:space="preserve"> </w:t>
      </w:r>
      <w:r>
        <w:rPr>
          <w:rFonts w:ascii="Arial;sans-serif" w:hAnsi="Arial;sans-serif"/>
          <w:b/>
          <w:i/>
          <w:color w:val="000000"/>
          <w:sz w:val="20"/>
        </w:rPr>
        <w:t>with these</w:t>
      </w:r>
      <w:r>
        <w:rPr>
          <w:color w:val="000000"/>
        </w:rPr>
        <w:t xml:space="preserve"> </w:t>
      </w:r>
      <w:r>
        <w:rPr>
          <w:rFonts w:ascii="Arial;sans-serif" w:hAnsi="Arial;sans-serif"/>
          <w:b/>
          <w:i/>
          <w:color w:val="000000"/>
          <w:sz w:val="20"/>
        </w:rPr>
        <w:t>legal standards could impair our ability to compete in domestic and international markets, and we could face criminal liability and other serious consequences for violations, which could harm our business</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pPr>
      <w:r>
        <w:rPr>
          <w:rFonts w:ascii="Arial;sans-serif" w:hAnsi="Arial;sans-serif"/>
          <w:b/>
          <w:i/>
          <w:color w:val="000000"/>
          <w:sz w:val="20"/>
        </w:rPr>
        <w:t>From time to time, we may be subject to legal proceedings, regulatory disputes, and governmental inquiries that could cause us to incur significant expenses, divert our</w:t>
      </w:r>
      <w:r>
        <w:rPr>
          <w:color w:val="000000"/>
        </w:rPr>
        <w:t xml:space="preserve"> </w:t>
      </w:r>
      <w:r>
        <w:rPr>
          <w:rFonts w:ascii="Arial;sans-serif" w:hAnsi="Arial;sans-serif"/>
          <w:b/>
          <w:i/>
          <w:color w:val="000000"/>
          <w:sz w:val="20"/>
        </w:rPr>
        <w:t>management’s attention, and materially harm our business, financial condition, and operating results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For example, 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which has since been amended, alleges that we violated Sections 11, 12(a)(2) and 15 of the Securities Act of 1933, as amended, by making allegedly materially misleading statements, and by omitting material facts necessary to make the statements made therein not misleading. The lawsuit seeks, among other things, compensatory damages, attorneys’ fees and costs and such other relief as deemed just and proper by the court. See Note 13, “Commitments and Contingencies” </w:t>
      </w:r>
      <w:r>
        <w:rPr>
          <w:rFonts w:ascii="Arial;sans-serif" w:hAnsi="Arial;sans-serif"/>
          <w:b w:val="false"/>
          <w:color w:val="000000"/>
          <w:sz w:val="20"/>
          <w:shd w:fill="FFFFFF" w:val="clear"/>
        </w:rPr>
        <w:t>in the Notes to the Condensed Consolidated Financial Statements</w:t>
      </w:r>
      <w:r>
        <w:rPr>
          <w:color w:val="000000"/>
          <w:shd w:fill="FFFFFF" w:val="clear"/>
        </w:rPr>
        <w:t xml:space="preserve"> </w:t>
      </w:r>
      <w:r>
        <w:rPr>
          <w:rFonts w:ascii="Arial;sans-serif" w:hAnsi="Arial;sans-serif"/>
          <w:b w:val="false"/>
          <w:color w:val="000000"/>
          <w:sz w:val="20"/>
        </w:rPr>
        <w:t>for more details.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pStyle w:val="TextBody"/>
        <w:bidi w:val="0"/>
        <w:spacing w:lineRule="auto" w:line="288" w:before="360" w:after="283"/>
        <w:jc w:val="left"/>
        <w:rPr/>
      </w:pPr>
      <w:r>
        <w:rPr>
          <w:rFonts w:ascii="Arial;sans-serif" w:hAnsi="Arial;sans-serif"/>
          <w:b/>
          <w:i/>
          <w:color w:val="000000"/>
          <w:sz w:val="20"/>
        </w:rPr>
        <w:t>Failure to adequately obtain, maintain, protect and enforce our intellectual property and proprietary rights could harm our brand, devalue our proprietary content, and adversely affect our ability to compete effectively</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pStyle w:val="TextBody"/>
        <w:bidi w:val="0"/>
        <w:spacing w:lineRule="auto" w:line="288" w:before="360" w:after="283"/>
        <w:jc w:val="left"/>
        <w:rPr/>
      </w:pPr>
      <w:r>
        <w:rPr>
          <w:rFonts w:ascii="Arial;sans-serif" w:hAnsi="Arial;sans-serif"/>
          <w:b/>
          <w:i/>
          <w:color w:val="000000"/>
          <w:sz w:val="20"/>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Third parties may assert claims against us alleging that we infringe upon, misappropriate, dilute or otherwise violate their intellectual property rights, particularly as we expand our business.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pPr>
      <w:r>
        <w:rPr>
          <w:rFonts w:ascii="Arial;sans-serif" w:hAnsi="Arial;sans-serif"/>
          <w:b/>
          <w:i/>
          <w:color w:val="000000"/>
          <w:sz w:val="20"/>
        </w:rPr>
        <w:t>Our use of third-party open-source software could adversely affect our ability to offer our products</w:t>
      </w:r>
      <w:r>
        <w:rPr>
          <w:color w:val="000000"/>
        </w:rPr>
        <w:t xml:space="preserve"> </w:t>
      </w:r>
      <w:r>
        <w:rPr>
          <w:rFonts w:ascii="Arial;sans-serif" w:hAnsi="Arial;sans-serif"/>
          <w:b/>
          <w:i/>
          <w:color w:val="000000"/>
          <w:sz w:val="20"/>
        </w:rPr>
        <w:t>and offerings and subjects us to possible litigation</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open-source software continue to be licensed under open-source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pStyle w:val="TextBody"/>
        <w:bidi w:val="0"/>
        <w:spacing w:lineRule="auto" w:line="288" w:before="360" w:after="283"/>
        <w:jc w:val="left"/>
        <w:rPr/>
      </w:pPr>
      <w:r>
        <w:rPr>
          <w:rFonts w:ascii="Arial;sans-serif" w:hAnsi="Arial;sans-serif"/>
          <w:b/>
          <w:i/>
          <w:color w:val="000000"/>
          <w:sz w:val="20"/>
        </w:rPr>
        <w:t>We are subject to rapidly changing and increasingly stringent laws and industry standards relating to data privacy, data security, data protection, and consumer protection</w:t>
      </w:r>
      <w:r>
        <w:rPr>
          <w:rFonts w:ascii="Arial;sans-serif" w:hAnsi="Arial;sans-serif"/>
          <w:b/>
          <w:color w:val="000000"/>
          <w:sz w:val="20"/>
        </w:rPr>
        <w:t xml:space="preserve">. </w:t>
      </w:r>
      <w:r>
        <w:rPr>
          <w:rFonts w:ascii="Arial;sans-serif" w:hAnsi="Arial;sans-serif"/>
          <w:b/>
          <w:i/>
          <w:color w:val="000000"/>
          <w:sz w:val="20"/>
        </w:rPr>
        <w:t>The restrictions and costs imposed by these laws, or our actual or perceived failure to comply with them, could subject us to liabilities that adversely affect our business, operations, and financial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 We have in the past and may continue to be subject to allegations that we have violated one or more of these laws.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and could cause us to incur additional CCPA compliance costs or create adverse effects as a result of its restrictions. The CCPA provides for civil penalties for violations, and creates a private right of action for data security incidents that is expected to increase data security-related litigation. Additionally, the California Privacy Rights Act (the “CPRA”) largely took effect on January 1, 2023. The CPRA restricts the use of cross-context behavioral advertising techniques on which our products and offerings may rely on in the future; expands requirements on businesses that “sell” personal information under the CCPA to businesses like ours that “share” it; requires all businesses with any California employees to limit uses of employee data; establish restrictions on the retention of personal information; expands the types of data security incidents subject to the private right of action; and establishes the California Privacy Protection Agency to implement and enforce the new law, as well as impose administrative fines. We expect to continue to invest in compliance initiatives and potentially implement business process changes to support our compliance efforts. Similar laws have been proposed in other states and at the federal level, reflecting a trend toward more stringent privacy legislation in the United States. For example, in March 2021, Virginia enacted the Virginia Consumer Data Protection Act (the “CDPA”), a comprehensive privacy statute that shares similarities with the CCPA, CPRA, and legislation adopted and proposed in other states. Some observers have noted that such statutes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the Telephone Consumer Protection Act (the “TCPA”), imposes significant restrictions on the ability to make telephone calls or send text messages to mobile telephone numbers without the prior consent of the person being contacted. We use text messages frequently to communicate with our customers. Efforts to comply with the TCPA do not prevent third-party claims that we have violated the TCPA from being brought, and such claims could be costly to litigate, and if successful, expose us to substantial statutory damages. The Controlling the Assault of Non-Solicited Pornography and Marketing Act (the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pStyle w:val="TextBody"/>
        <w:bidi w:val="0"/>
        <w:spacing w:lineRule="auto" w:line="288" w:before="240" w:after="283"/>
        <w:jc w:val="left"/>
        <w:rPr/>
      </w:pPr>
      <w:r>
        <w:rPr>
          <w:rFonts w:ascii="Arial;sans-serif" w:hAnsi="Arial;sans-serif"/>
          <w:b w:val="false"/>
          <w:color w:val="000000"/>
          <w:sz w:val="20"/>
        </w:rPr>
        <w:t xml:space="preserve">We are also subject to the European Union General Data Protection Regulation (the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 compliance requirements are constantly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w:t>
      </w:r>
      <w:r>
        <w:rPr>
          <w:color w:val="000000"/>
        </w:rPr>
        <w:t>€</w:t>
      </w:r>
      <w:r>
        <w:rPr>
          <w:rFonts w:ascii="Arial;sans-serif" w:hAnsi="Arial;sans-serif"/>
          <w:b w:val="false"/>
          <w:color w:val="000000"/>
          <w:sz w:val="20"/>
        </w:rPr>
        <w:t>20 million or 4% of the annual global revenues of the noncompliant entity, whichever is greater.</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pStyle w:val="TextBody"/>
        <w:bidi w:val="0"/>
        <w:spacing w:lineRule="auto" w:line="288" w:before="360" w:after="283"/>
        <w:jc w:val="left"/>
        <w:rPr/>
      </w:pPr>
      <w:r>
        <w:rPr>
          <w:rFonts w:ascii="Arial;sans-serif" w:hAnsi="Arial;sans-serif"/>
          <w:b/>
          <w:i/>
          <w:color w:val="000000"/>
          <w:sz w:val="20"/>
        </w:rPr>
        <w:t>We could incur significant liabilities related to, and significant costs in complying with, environmental, health and safety laws and regulations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health and safety of our employees; and the maintenance of our facilities and operations. Our compliance efforts are expected to require ongoing investments and may be costly to maintain.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Despite our efforts, we may become subject to claims that we have violated such laws and regulations based on past, present, and future practices, which could have an adverse impact on our business and reputation, and be costly for us to defend. Failure to comply with such laws and regulations, which tend to become more stringent over time, can result in significant fines, penalties, costs, liabilities or restrictions on operations, injunctive relief, civil or criminal sanctions, and could expose us to costs of investigation or remediation, as well as tort claims for property damage or personal injury, and could negatively affect our business, financial condition or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manage our waste materials as non-hazardous waste, but we cannot guarantee that our supply chain or the products we use will not contain hazardous materials or result in the generation of hazardous waste. Further, liability for the improper release or disposal of waste, even if non-hazardous, can be joint and several and significant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or non-hazardous substances or waste located on or in or emanating from our leased properties, as well as any property damage. There can be no assurance that our future operations, properties, uses or conditions will not result in the imposition of liability upon us under environmental laws or other regulations, or expose us to third-party actions such as tort suits.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pPr>
      <w:r>
        <w:rPr>
          <w:rFonts w:ascii="Arial;sans-serif" w:hAnsi="Arial;sans-serif"/>
          <w:b/>
          <w:i/>
          <w:color w:val="000000"/>
          <w:sz w:val="20"/>
        </w:rPr>
        <w:t>Our ability to utilize our net operating loss carryforwards and certain other tax attributes to offset taxable income or taxes may be limited</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color w:val="000000"/>
          <w:sz w:val="20"/>
        </w:rPr>
        <w:t>As of January 31, 2023, we had federal net operating loss carryforwards of $596.0 million, $152.0 million of which will expire at various times through 2038. Furthermore, we had stated net operating loss carryforwards of $33.0 million, which will expire at various times through 2041. Portions of these net operating loss carryforwards could expire unused and be unavail</w:t>
      </w:r>
      <w:r>
        <w:rPr>
          <w:rFonts w:ascii="Arial;sans-serif" w:hAnsi="Arial;sans-serif"/>
          <w:b w:val="false"/>
          <w:color w:val="000000"/>
          <w:sz w:val="20"/>
          <w:shd w:fill="FFFFFF" w:val="clear"/>
        </w:rPr>
        <w:t>able to offset future income tax liabilitie</w:t>
      </w:r>
      <w:r>
        <w:rPr>
          <w:rFonts w:ascii="Arial;sans-serif" w:hAnsi="Arial;sans-serif"/>
          <w:b w:val="false"/>
          <w:color w:val="000000"/>
          <w:sz w:val="20"/>
        </w:rPr>
        <w:t>s. Under the legislation enacted in 2017, commonly referred to as the Tax Cuts and Jobs Act (the “Tax Act”), U.S. federal net operating losses incurred in taxable years beginning after December 31, 2017, may be carried forward indefinitely, but the deductibility of such federal net operating losses is limited. In addition, for state income tax purposes, there may be periods during which the use of net operating loss carryforwards is suspended or otherwise limited, which could accelerate or permanently increase state taxes owed.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We may have experienced and may experience in the future additional ownership changes as a result of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pStyle w:val="TextBody"/>
        <w:bidi w:val="0"/>
        <w:spacing w:lineRule="auto" w:line="288" w:before="360" w:after="283"/>
        <w:jc w:val="left"/>
        <w:rPr/>
      </w:pPr>
      <w:r>
        <w:rPr>
          <w:rFonts w:ascii="Arial;sans-serif" w:hAnsi="Arial;sans-serif"/>
          <w:b/>
          <w:i/>
          <w:color w:val="000000"/>
          <w:sz w:val="20"/>
        </w:rPr>
        <w:t>Changes in our effective tax rate or tax liability may have an adverse effect on our results of operations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income and other taxes in the United States on a federal and state basis, as well as subject to taxation in Ireland. Our effective tax rate or tax liability could be adversely affected due to several factors,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the relative amounts of income before taxes in the various jurisdictions in which we operate that have differing statutory tax rates;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the United States or foreign tax laws, tax treaties, and regulations or the interpretation of them;</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outcome of current and future tax audits, examinations, or administrative appeals;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limitations or adverse findings regarding our ability to do business in some jurisdictions.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recent Inflation Reduction Act enacted, among other changes, a 15% corporate minimum tax on certain United States corporations and a 1% excise tax on certain stock redemptions by United States corporations. To the extent that such changes or any future changes have a negative impact on us, our suppliers or our customers, these changes may materially and adversely impact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Risks Related to Our Dependence on Third Parties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We face risks associated with brand and manufacturing partners from whom our products are sourced or co-manufactured.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obtain substantially all of our products directly from hundreds of brand partners through Wholesale, Share by RTR, and Exclusive Designs arrangements with designer and/or manufacturing partners. The benefits we currently experience from these relationships could be adversely affected if they: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discontinue selling products to us or manufacturing our Exclusive Designs;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enter into arrangements with competitors that could impair our ability to source their products, including by giving our competitors exclusivity arrangements or limiting our access to certain products;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raise the prices they charge us;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are not satisfied with the value proposition we offer them;</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do not view our brand favorably;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 pricing terms to require us to pay a significant portion of the cost of items on delivery or upfront;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experience negative publicity or reputational issues;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do not follow our vendor code of conduct and/or violate legal and regulatory requirements;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experience supply chain disruptions that cause lead times to be lengthened or missed entirely; or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fail to execute on the design we have provided for co-manufactured products.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regions.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brand partners and manufacturers may be forced to reduce their production or operations, shut down their operations or file for bankruptcy. Our ability to obtain products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pPr>
      <w:r>
        <w:rPr>
          <w:rFonts w:ascii="Arial;sans-serif" w:hAnsi="Arial;sans-serif"/>
          <w:b/>
          <w:i/>
          <w:color w:val="000000"/>
          <w:sz w:val="20"/>
        </w:rPr>
        <w:t>We rely on third parties for elements of the payment processing infrastructure underlying our business. If these third-party elements become unavailable or unavailable on favorable terms, our business could be adversely affected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rely on third parties, including for our payment 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or does not keep pace with industry standards, the attractiveness of our business to customers could be adversely affected. For example, we plan to enhance our payment operations in the future; however, our efforts may be unsuccessful or delayed for various reasons and may fail to meet customer expectations. If we are forced to migrate to other third-party payment service providers for any reason, the transition would require significant time and management resources, and may not be available on acceptable terms or as effective, efficient, or well-received by our customers.</w:t>
      </w:r>
    </w:p>
    <w:p>
      <w:pPr>
        <w:pStyle w:val="TextBody"/>
        <w:bidi w:val="0"/>
        <w:spacing w:lineRule="auto" w:line="288" w:before="360" w:after="283"/>
        <w:jc w:val="left"/>
        <w:rPr/>
      </w:pPr>
      <w:r>
        <w:rPr>
          <w:rFonts w:ascii="Arial;sans-serif" w:hAnsi="Arial;sans-serif"/>
          <w:b/>
          <w:i/>
          <w:color w:val="000000"/>
          <w:sz w:val="20"/>
        </w:rPr>
        <w:t>Our business relies on third-party cloud infrastructures, and any disruption of, or interference with, our use of cloud infrastructures could adversely affect our business, financial condition or results of operations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2022, we migrated a substantial portion of our primary production environment, core architecture, and data centers to a new third-party cloud provider, which provides a distributed computing infrastructure as a service platform for business operations. We use another third-party cloud provider for other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and internal tools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third-party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pStyle w:val="TextBody"/>
        <w:bidi w:val="0"/>
        <w:spacing w:lineRule="auto" w:line="288" w:before="360" w:after="283"/>
        <w:jc w:val="left"/>
        <w:rPr/>
      </w:pPr>
      <w:r>
        <w:rPr>
          <w:rFonts w:ascii="Arial;sans-serif" w:hAnsi="Arial;sans-serif"/>
          <w:b/>
          <w:i/>
          <w:color w:val="000000"/>
          <w:sz w:val="20"/>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pStyle w:val="TextBody"/>
        <w:bidi w:val="0"/>
        <w:spacing w:lineRule="auto" w:line="288" w:before="360" w:after="283"/>
        <w:jc w:val="left"/>
        <w:rPr/>
      </w:pPr>
      <w:r>
        <w:rPr>
          <w:rFonts w:ascii="Arial;sans-serif" w:hAnsi="Arial;sans-serif"/>
          <w:b/>
          <w:i/>
          <w:color w:val="000000"/>
          <w:sz w:val="20"/>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products we rent or sell to our customers are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pPr>
      <w:r>
        <w:rPr>
          <w:rFonts w:ascii="Arial;sans-serif" w:hAnsi="Arial;sans-serif"/>
          <w:b/>
          <w:i/>
          <w:color w:val="000000"/>
          <w:sz w:val="20"/>
        </w:rPr>
        <w:t>We may incur significant losses from fraud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our failure to adequately prevent fraudulent transactions could damage our reputation, result in litigation or regulatory action, and lead to expenses that could substantially impact our operating results.</w:t>
      </w:r>
    </w:p>
    <w:p>
      <w:pPr>
        <w:pStyle w:val="TextBody"/>
        <w:bidi w:val="0"/>
        <w:spacing w:lineRule="auto" w:line="288" w:before="360" w:after="283"/>
        <w:jc w:val="left"/>
        <w:rPr/>
      </w:pPr>
      <w:r>
        <w:rPr>
          <w:rFonts w:ascii="Arial;sans-serif" w:hAnsi="Arial;sans-serif"/>
          <w:b/>
          <w:i/>
          <w:color w:val="000000"/>
          <w:sz w:val="20"/>
        </w:rPr>
        <w:t>If our insurance coverage is insufficient for the needs of our business or our insurance providers are unable to meet their obligations, we may not be able to mitigate the risks facing our business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We cannot guarantee that we will continue to receive adequate insurance coverage on favorable terms.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Risks Related to Ownership of Our Class A Common Stock</w:t>
      </w:r>
    </w:p>
    <w:p>
      <w:pPr>
        <w:pStyle w:val="TextBody"/>
        <w:bidi w:val="0"/>
        <w:spacing w:lineRule="auto" w:line="288" w:before="240" w:after="283"/>
        <w:jc w:val="left"/>
        <w:rPr/>
      </w:pPr>
      <w:r>
        <w:rPr>
          <w:rFonts w:ascii="Arial;sans-serif" w:hAnsi="Arial;sans-serif"/>
          <w:b/>
          <w:i/>
          <w:color w:val="000000"/>
          <w:sz w:val="20"/>
        </w:rPr>
        <w:t>The dual class structure of our common stock and stockholders’ agreement among us and certain stockholders has the effect of concentrating voting control with those stockholders who held our capital stock prior to the listing of our Class A</w:t>
      </w:r>
      <w:r>
        <w:rPr>
          <w:color w:val="000000"/>
        </w:rPr>
        <w:t xml:space="preserve"> </w:t>
      </w:r>
      <w:r>
        <w:rPr>
          <w:rFonts w:ascii="Arial;sans-serif" w:hAnsi="Arial;sans-serif"/>
          <w:b/>
          <w:i/>
          <w:color w:val="000000"/>
          <w:sz w:val="20"/>
        </w:rPr>
        <w:t>common stock on Nasdaq, including our Co-Founders, and their affiliates, which will limit an investor’s ability to influence the outcome of important transactions, including a change of control</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Class B common stock has 20 votes per share, and our Class A common stock has one vote per share. Because of the twenty-to-one voting ratio between our Class B and Class A common stock, the holders of our Class B common stock collectively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and Co-Founder Jennifer Y. Hyman, entered into a stockholders’ agreement in connection with our IPO with respect to the election of directors. This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investors may believe are in their best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our Amended and Restated Certificate of Incorporation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 </w:t>
      </w:r>
    </w:p>
    <w:p>
      <w:pPr>
        <w:pStyle w:val="TextBody"/>
        <w:bidi w:val="0"/>
        <w:spacing w:lineRule="auto" w:line="288" w:before="360" w:after="283"/>
        <w:jc w:val="left"/>
        <w:rPr/>
      </w:pPr>
      <w:r>
        <w:rPr>
          <w:rFonts w:ascii="Arial;sans-serif" w:hAnsi="Arial;sans-serif"/>
          <w:b/>
          <w:i/>
          <w:color w:val="000000"/>
          <w:sz w:val="20"/>
        </w:rPr>
        <w:t>Our share price may be volatile, and our investors may be unable to sell shares at or above the price they paid for them</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color w:val="000000"/>
          <w:sz w:val="20"/>
        </w:rPr>
        <w:t xml:space="preserve">The market price of our Class A common stock has declined significantly since our IPO, has been volatile and is likely to continue to be volatile and could be subject to wide fluctuations in response to the risk factors described in this </w:t>
      </w:r>
      <w:r>
        <w:rPr>
          <w:rFonts w:ascii="Arial;sans-serif" w:hAnsi="Arial;sans-serif"/>
          <w:b w:val="false"/>
          <w:color w:val="000000"/>
          <w:sz w:val="20"/>
          <w:shd w:fill="FFFFFF" w:val="clear"/>
        </w:rPr>
        <w:t>Quarterly Report</w:t>
      </w:r>
      <w:r>
        <w:rPr>
          <w:rFonts w:ascii="Arial;sans-serif" w:hAnsi="Arial;sans-serif"/>
          <w:b w:val="false"/>
          <w:color w:val="000000"/>
          <w:sz w:val="20"/>
        </w:rPr>
        <w:t>, and others within or beyond our control,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actual or anticipated fluctuations in our revenue or other operating metrics;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actual or anticipated operating performance and the operating performance of our competitors;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the financial projections we provide to the public or our failure to meet these projections;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perceived adequacy of our ESG efforts;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positive or negative publicity;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failure of securities analysts to initiate or maintain coverage of us, changes in financial estimates by any securities analysts who follow our company, or our failure to meet the estimates or the expectations of investors;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any major change in our board of directors, management, or key personnel;</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economy as a whole and market conditions in our industry;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rumors and market speculation involving us or other companies in our industry;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announcements by us or our competitors of significant innovations, new products, services, features, integrations, or capabilities, acquisitions, strategic investments, partnerships, joint ventures, or capital commitments;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legal and regulatory landscape and changes in the application of existing laws or adoption of new laws that impact our business, including changes in e-commerce and tax laws;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legal and regulatory claims, litigation, or pre-litigation disputes and other proceedings;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impact of COVID-19 on our business or the fashion industry and sharing economy generally;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sales or expected sales of our Class A common stock by us, our officers, directors, principal stockholders, and employees;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if securities or industry analysts publish research about our business, or if they publish unfavorable research;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other events or factors, including those resulting from war, incidents of terrorism, or responses to these events.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It is common for stockholders to institute securities class action litigation following periods of stock volatility. We are currently subject to securities litigation which could divert resources and the attention of management from our business, and materially adversely affect our business, financial condition and results of operations, and we could be subject to additional securities litigation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Company insiders have the ability to control or significantly influence all matters submitted to stockholders for approval.</w:t>
      </w:r>
    </w:p>
    <w:p>
      <w:pPr>
        <w:pStyle w:val="TextBody"/>
        <w:bidi w:val="0"/>
        <w:spacing w:lineRule="auto" w:line="288" w:before="120" w:after="283"/>
        <w:jc w:val="left"/>
        <w:rPr/>
      </w:pPr>
      <w:r>
        <w:rPr>
          <w:rFonts w:ascii="Arial;sans-serif" w:hAnsi="Arial;sans-serif"/>
          <w:b w:val="false"/>
          <w:color w:val="000000"/>
          <w:sz w:val="20"/>
        </w:rPr>
        <w:t xml:space="preserve">Our executive officers, directors, and stockholders party to our stockholders’ agreement entered into in connection with our IPO, in the aggregate, beneficially own over </w:t>
      </w:r>
      <w:r>
        <w:rPr>
          <w:rFonts w:ascii="Arial;sans-serif" w:hAnsi="Arial;sans-serif"/>
          <w:b w:val="false"/>
          <w:color w:val="000000"/>
          <w:sz w:val="20"/>
          <w:shd w:fill="FFFFFF" w:val="clear"/>
        </w:rPr>
        <w:t xml:space="preserve">50% </w:t>
      </w:r>
      <w:r>
        <w:rPr>
          <w:rFonts w:ascii="Arial;sans-serif" w:hAnsi="Arial;sans-serif"/>
          <w:b w:val="false"/>
          <w:color w:val="000000"/>
          <w:sz w:val="20"/>
        </w:rPr>
        <w:t>of the voting power of our outstanding common stock as of July 31, 2023.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pStyle w:val="TextBody"/>
        <w:bidi w:val="0"/>
        <w:spacing w:lineRule="auto" w:line="288" w:before="360" w:after="283"/>
        <w:jc w:val="left"/>
        <w:rPr/>
      </w:pPr>
      <w:r>
        <w:rPr>
          <w:rFonts w:ascii="Arial;sans-serif" w:hAnsi="Arial;sans-serif"/>
          <w:b/>
          <w:i/>
          <w:color w:val="000000"/>
          <w:sz w:val="20"/>
        </w:rPr>
        <w:t>Our management has broad discretion in the use of our cash resources and may not use them effectively</w:t>
      </w:r>
      <w:r>
        <w:rPr>
          <w:rFonts w:ascii="Arial;sans-serif" w:hAnsi="Arial;sans-serif"/>
          <w:b w:val="false"/>
          <w:color w:val="000000"/>
          <w:sz w:val="2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management has broad discretion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pStyle w:val="TextBody"/>
        <w:bidi w:val="0"/>
        <w:spacing w:lineRule="auto" w:line="288" w:before="360" w:after="283"/>
        <w:jc w:val="left"/>
        <w:rPr/>
      </w:pPr>
      <w:r>
        <w:rPr>
          <w:rFonts w:ascii="Arial;sans-serif" w:hAnsi="Arial;sans-serif"/>
          <w:b/>
          <w:i/>
          <w:color w:val="000000"/>
          <w:sz w:val="20"/>
        </w:rPr>
        <w:t>We cannot predict the effect our dual class structure may have on the trading price of our Class A common stock</w:t>
      </w:r>
      <w:r>
        <w:rPr>
          <w:rFonts w:ascii="Arial;sans-serif" w:hAnsi="Arial;sans-serif"/>
          <w:b w:val="false"/>
          <w:color w:val="000000"/>
          <w:sz w:val="20"/>
        </w:rPr>
        <w: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cannot predict whether our dual class structure results in a lower or more volatile trading price of our Class A common stock, in adverse publicity, or other adverse consequences. For example, certain index providers have had restrictions on including companies with multiple-class share structures in certain of their indices. Under such announced policies, the dual class structure of our common stock would make us ineligible for inclusion in certain indices and, as a result, mutual funds, exchange-traded funds, and other investment vehicles that attempt to passively track those indices may not invest in our Class A common stock. S&amp;P Dow Jones eliminated this policy in 2023. It is unclear what effect, if any, these policies have on the valuations of publicly-traded companies excluded from such indices, but it is possible that they may depress valuations, as compared to similar companies that are included. Because of the dual class structure of our common stock, we may not be not eligible for inclusion in certain indices, and we cannot provide assurance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pStyle w:val="TextBody"/>
        <w:bidi w:val="0"/>
        <w:spacing w:lineRule="auto" w:line="288" w:before="360" w:after="283"/>
        <w:jc w:val="left"/>
        <w:rPr/>
      </w:pPr>
      <w:r>
        <w:rPr>
          <w:rFonts w:ascii="Arial;sans-serif" w:hAnsi="Arial;sans-serif"/>
          <w:b/>
          <w:i/>
          <w:color w:val="000000"/>
          <w:sz w:val="20"/>
        </w:rPr>
        <w:t>Our business and financial performance may differ from any projections that we disclose or any information that may be attributed to us by third parties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pStyle w:val="TextBody"/>
        <w:bidi w:val="0"/>
        <w:spacing w:lineRule="auto" w:line="288" w:before="360" w:after="283"/>
        <w:jc w:val="left"/>
        <w:rPr/>
      </w:pPr>
      <w:r>
        <w:rPr>
          <w:rFonts w:ascii="Arial;sans-serif" w:hAnsi="Arial;sans-serif"/>
          <w:b/>
          <w:i/>
          <w:color w:val="000000"/>
          <w:sz w:val="20"/>
        </w:rPr>
        <w:t>Future sales of our common stock in the public market could cause our share price to fall</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the future, we may sell additional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pStyle w:val="TextBody"/>
        <w:bidi w:val="0"/>
        <w:spacing w:lineRule="auto" w:line="288" w:before="240" w:after="283"/>
        <w:jc w:val="left"/>
        <w:rPr/>
      </w:pPr>
      <w:r>
        <w:rPr>
          <w:rFonts w:ascii="Arial;sans-serif" w:hAnsi="Arial;sans-serif"/>
          <w:b w:val="false"/>
          <w:color w:val="000000"/>
          <w:sz w:val="20"/>
        </w:rPr>
        <w:t xml:space="preserve">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w:t>
      </w:r>
      <w:r>
        <w:rPr>
          <w:rFonts w:ascii="Arial;sans-serif" w:hAnsi="Arial;sans-serif"/>
          <w:b w:val="false"/>
          <w:color w:val="000000"/>
          <w:sz w:val="20"/>
          <w:shd w:fill="FFFFFF" w:val="clear"/>
        </w:rPr>
        <w:t>restricted stock units (“</w:t>
      </w:r>
      <w:r>
        <w:rPr>
          <w:rFonts w:ascii="Arial;sans-serif" w:hAnsi="Arial;sans-serif"/>
          <w:b w:val="false"/>
          <w:color w:val="000000"/>
          <w:sz w:val="20"/>
        </w:rPr>
        <w:t>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factors could also make it more difficult for us to raise additional funds through future offerings of our shares of Class A common stock or other securities.</w:t>
      </w:r>
    </w:p>
    <w:p>
      <w:pPr>
        <w:pStyle w:val="TextBody"/>
        <w:bidi w:val="0"/>
        <w:spacing w:lineRule="auto" w:line="288" w:before="360" w:after="283"/>
        <w:jc w:val="left"/>
        <w:rPr/>
      </w:pPr>
      <w:r>
        <w:rPr>
          <w:rFonts w:ascii="Arial;sans-serif" w:hAnsi="Arial;sans-serif"/>
          <w:b/>
          <w:i/>
          <w:color w:val="000000"/>
          <w:sz w:val="20"/>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are provisions in our Amended Charter and Amended and Restated Bylaws (“Amended Bylaws”) that may make it difficult for a third party to acquire, or attempt to acquire, control of our company, even if a change in control were considered favorable by our stockholders. These anti-takeover provisions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authorization of the issuance of “blank check” preferred stock that our board of directors could use to implement a stockholder rights plan;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classified board of directors so that not all members of our board of directors are elected at one time;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requirement that our directors may only be removed for cause;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ability of our directors to fill all board vacancies, subject to the rights granted pursuant to the stockholders’ agreement;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prohibition on stockholder actions by written consent, thereby requiring that all stockholder actions be taken at a meeting of our stockholders;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advance notice procedures for stockholder director nominees and annual meeting matters (other than the parties to our stockholders; agreement for nominations made pursuant to the terms of the stockholders’ agreement);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 inability of our stockholders to call special meetings of stockholders;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ability of our directors to amend our Amended Bylaws without stockholder consent;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requirement of a super-majority to amend some provisions in our Amended Charter and Amended Bylaws;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prohibition on cumulative voting for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Although we have opted out of Section 203 of the General Corporation Law of the State of Delaware,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bidi w:val="0"/>
        <w:spacing w:lineRule="auto" w:line="288" w:before="360" w:after="283"/>
        <w:jc w:val="left"/>
        <w:rPr/>
      </w:pPr>
      <w:r>
        <w:rPr>
          <w:rFonts w:ascii="Arial;sans-serif" w:hAnsi="Arial;sans-serif"/>
          <w:b/>
          <w:i/>
          <w:color w:val="000000"/>
          <w:sz w:val="20"/>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Amended Charter provides that the doctrine of “corporate opportunity” does not apply with respect to any directors (or their affiliates) who are not our employees.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2. UNREGISTERED SALES OF EQUITY SECURITIES,USE OF PROCEEDS, AND ISSUER PURCHASES OF EQUITY SECURITIES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 xml:space="preserve">Unregistered Sales of Equity Securities </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 xml:space="preserve">None. </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 xml:space="preserve">Use of Proceeds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offer and sale of the shares in the IPO was registered under the Securities Act pursuant to a registration statement on Form S-1 (File No. 333-260027), which was declared effective by the SEC on October 26, 2021.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There has been no material change in the expected use of the net proceeds from our IPO, as described in our final prospectus filed with the SEC on October 27, 2021 pursuant to Rule 424(b) under the Securities Act of 1933.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 xml:space="preserve">Item 3. Defaults Upon Senior Securities </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 On September 1, 2023, Larry Steinberg resigned from his position as our Chief Technology Officer, effective October 13, 2023.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Not applicable.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d36c0725fd11419882c6c1b1e16bb82c_7">
        <w:r>
          <w:rPr>
            <w:rStyle w:val="InternetLink"/>
          </w:rPr>
          <w:t xml:space="preserve">Table of </w:t>
        </w:r>
      </w:hyperlink>
      <w:hyperlink w:anchor="id36c0725fd11419882c6c1b1e16bb82c_7">
        <w:r>
          <w:rPr>
            <w:rStyle w:val="InternetLink"/>
          </w:rPr>
          <w:t>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On June 9, 2023, each of Siddharth Thacker, Chief Financial Officer and Andrew Rau, Senior Vice President, Supply Chain &amp; Inventory, adopted a Rule 10b5-1 trading arrangement that is intended to satisfy the affirmative defense of Rule 10b5-1(c) under the Exchange Act solely for the sale of the appropriate number of shares of the Company’s Class A common stock needed to satisfy minimum required federal, state, local, and foreign income and/or employment taxes in connection with the vesting of restricted stock units. These arrangements do not have termination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Item 6. Exhibits</w:t>
      </w:r>
    </w:p>
    <w:p>
      <w:pPr>
        <w:pStyle w:val="TextBody"/>
        <w:bidi w:val="0"/>
        <w:spacing w:lineRule="auto" w:line="288" w:before="120" w:after="283"/>
        <w:ind w:left="0" w:right="0" w:hanging="270"/>
        <w:jc w:val="left"/>
        <w:rPr/>
      </w:pPr>
      <w:r>
        <w:rPr>
          <w:rFonts w:ascii="Calibri;sans-serif" w:hAnsi="Calibri;sans-serif"/>
          <w:b w:val="false"/>
          <w:color w:val="000000"/>
          <w:sz w:val="22"/>
        </w:rPr>
        <w:t>(a)</w:t>
      </w:r>
      <w:r>
        <w:rPr>
          <w:rFonts w:ascii="Arial;sans-serif" w:hAnsi="Arial;sans-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281"/>
        <w:gridCol w:w="247"/>
        <w:gridCol w:w="248"/>
        <w:gridCol w:w="109"/>
        <w:gridCol w:w="109"/>
        <w:gridCol w:w="109"/>
        <w:gridCol w:w="1340"/>
        <w:gridCol w:w="1167"/>
        <w:gridCol w:w="1171"/>
        <w:gridCol w:w="109"/>
        <w:gridCol w:w="109"/>
        <w:gridCol w:w="109"/>
        <w:gridCol w:w="175"/>
        <w:gridCol w:w="175"/>
        <w:gridCol w:w="176"/>
        <w:gridCol w:w="109"/>
        <w:gridCol w:w="109"/>
        <w:gridCol w:w="109"/>
        <w:gridCol w:w="251"/>
        <w:gridCol w:w="251"/>
        <w:gridCol w:w="193"/>
        <w:gridCol w:w="109"/>
        <w:gridCol w:w="109"/>
        <w:gridCol w:w="109"/>
        <w:gridCol w:w="220"/>
        <w:gridCol w:w="220"/>
        <w:gridCol w:w="221"/>
        <w:gridCol w:w="109"/>
        <w:gridCol w:w="109"/>
        <w:gridCol w:w="109"/>
        <w:gridCol w:w="214"/>
        <w:gridCol w:w="214"/>
        <w:gridCol w:w="215"/>
        <w:gridCol w:w="109"/>
        <w:gridCol w:w="109"/>
        <w:gridCol w:w="109"/>
        <w:gridCol w:w="367"/>
        <w:gridCol w:w="367"/>
        <w:gridCol w:w="530"/>
      </w:tblGrid>
      <w:tr>
        <w:trP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Filed / Furnished Herewith</w:t>
            </w:r>
          </w:p>
        </w:tc>
      </w:tr>
      <w:tr>
        <w:trPr/>
        <w:tc>
          <w:tcPr>
            <w:tcW w:w="7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Arial;sans-serif" w:hAnsi="Arial;sans-serif"/>
                  <w:b w:val="false"/>
                  <w:color w:val="0000FF"/>
                  <w:sz w:val="20"/>
                  <w:u w:val="single"/>
                </w:rPr>
                <w:t xml:space="preserve">Amended &amp; Restated Certificate of Incorporation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Arial;sans-serif" w:hAnsi="Arial;sans-serif"/>
                  <w:b w:val="false"/>
                  <w:color w:val="0000FF"/>
                  <w:sz w:val="20"/>
                  <w:u w:val="single"/>
                </w:rPr>
                <w:t>Amended &amp;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11q2fy23.htm">
              <w:r>
                <w:rPr>
                  <w:rStyle w:val="InternetLink"/>
                  <w:rFonts w:ascii="Arial;sans-serif" w:hAnsi="Arial;sans-serif"/>
                  <w:b w:val="false"/>
                  <w:color w:val="0000FF"/>
                  <w:sz w:val="20"/>
                  <w:u w:val="single"/>
                </w:rPr>
                <w:t>Certification of Chief Executive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12q2fy23.htm">
              <w:r>
                <w:rPr>
                  <w:rStyle w:val="InternetLink"/>
                  <w:rFonts w:ascii="Arial;sans-serif" w:hAnsi="Arial;sans-serif"/>
                  <w:b w:val="false"/>
                  <w:color w:val="0000FF"/>
                  <w:sz w:val="20"/>
                  <w:u w:val="single"/>
                </w:rPr>
                <w:t>Certification of Chief Financial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1q2fy23.htm">
              <w:r>
                <w:rPr>
                  <w:rStyle w:val="InternetLink"/>
                  <w:rFonts w:ascii="Arial;sans-serif" w:hAnsi="Arial;sans-serif"/>
                  <w:b w:val="false"/>
                  <w:color w:val="0000FF"/>
                  <w:sz w:val="20"/>
                  <w:u w:val="single"/>
                </w:rPr>
                <w:t>Certification of Chief Executive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2q2fy23.htm">
              <w:r>
                <w:rPr>
                  <w:rStyle w:val="InternetLink"/>
                  <w:rFonts w:ascii="Arial;sans-serif" w:hAnsi="Arial;sans-serif"/>
                  <w:b w:val="false"/>
                  <w:color w:val="0000FF"/>
                  <w:sz w:val="20"/>
                  <w:u w:val="single"/>
                </w:rPr>
                <w:t>Certification of Chief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Furnished herewith</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400" w:type="dxa"/>
        <w:jc w:val="left"/>
        <w:tblInd w:w="0" w:type="dxa"/>
        <w:tblLayout w:type="fixed"/>
        <w:tblCellMar>
          <w:top w:w="28" w:type="dxa"/>
          <w:left w:w="28" w:type="dxa"/>
          <w:bottom w:w="28" w:type="dxa"/>
          <w:right w:w="28" w:type="dxa"/>
        </w:tblCellMar>
      </w:tblPr>
      <w:tblGrid>
        <w:gridCol w:w="830"/>
        <w:gridCol w:w="728"/>
        <w:gridCol w:w="736"/>
        <w:gridCol w:w="397"/>
        <w:gridCol w:w="397"/>
        <w:gridCol w:w="397"/>
        <w:gridCol w:w="1144"/>
        <w:gridCol w:w="1144"/>
        <w:gridCol w:w="1627"/>
      </w:tblGrid>
      <w:tr>
        <w:trPr/>
        <w:tc>
          <w:tcPr>
            <w:tcW w:w="8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RENT THE RUNWAY, INC.</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September 8, 2023</w:t>
            </w:r>
          </w:p>
        </w:tc>
        <w:tc>
          <w:tcPr>
            <w:tcW w:w="119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/s/Siddharth Thacker</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Siddharth Thacker</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before="36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 Jennifer Y. Hyman, certify that: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I have reviewed this Quarterly Report on Form 10-Q of Rent the Runway, Inc.;</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89" w:type="dxa"/>
        <w:jc w:val="left"/>
        <w:tblInd w:w="0" w:type="dxa"/>
        <w:tblLayout w:type="fixed"/>
        <w:tblCellMar>
          <w:top w:w="28" w:type="dxa"/>
          <w:left w:w="28" w:type="dxa"/>
          <w:bottom w:w="28" w:type="dxa"/>
          <w:right w:w="28" w:type="dxa"/>
        </w:tblCellMar>
      </w:tblPr>
      <w:tblGrid>
        <w:gridCol w:w="830"/>
        <w:gridCol w:w="728"/>
        <w:gridCol w:w="736"/>
        <w:gridCol w:w="109"/>
        <w:gridCol w:w="109"/>
        <w:gridCol w:w="109"/>
        <w:gridCol w:w="134"/>
        <w:gridCol w:w="134"/>
        <w:gridCol w:w="136"/>
        <w:gridCol w:w="661"/>
        <w:gridCol w:w="661"/>
        <w:gridCol w:w="942"/>
      </w:tblGrid>
      <w:tr>
        <w:trPr/>
        <w:tc>
          <w:tcPr>
            <w:tcW w:w="8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September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/s/ Jennifer Y. Hyman</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Jennifer Y. Hyman</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 Siddharth Thacker, certify that: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I have reviewed this Quarterly Report on Form 10-Q of Rent the Runway, Inc.;</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44" w:type="dxa"/>
        <w:jc w:val="left"/>
        <w:tblInd w:w="0" w:type="dxa"/>
        <w:tblLayout w:type="fixed"/>
        <w:tblCellMar>
          <w:top w:w="28" w:type="dxa"/>
          <w:left w:w="28" w:type="dxa"/>
          <w:bottom w:w="28" w:type="dxa"/>
          <w:right w:w="28" w:type="dxa"/>
        </w:tblCellMar>
      </w:tblPr>
      <w:tblGrid>
        <w:gridCol w:w="830"/>
        <w:gridCol w:w="728"/>
        <w:gridCol w:w="736"/>
        <w:gridCol w:w="109"/>
        <w:gridCol w:w="109"/>
        <w:gridCol w:w="109"/>
        <w:gridCol w:w="134"/>
        <w:gridCol w:w="134"/>
        <w:gridCol w:w="136"/>
        <w:gridCol w:w="648"/>
        <w:gridCol w:w="648"/>
        <w:gridCol w:w="923"/>
      </w:tblGrid>
      <w:tr>
        <w:trPr/>
        <w:tc>
          <w:tcPr>
            <w:tcW w:w="8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September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Siddharth Thacker</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Siddharth Thacker</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AS ADOPTED PURSUANT TO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Jennifer Y. Hyman, the Chief Executive Officer of Rent the Runway, Inc., certify, pursuant to 18 U.S.C. Section 1350, as adopted pursuant to Section 906 of the Sarbanes-Oxley Act of 2002, that the Quarterly Report on Form 10-Q of Rent the Runway, Inc. for the quarterly period ended July 31, 2023,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pStyle w:val="TextBody"/>
        <w:bidi w:val="0"/>
        <w:spacing w:before="0" w:after="0"/>
        <w:jc w:val="left"/>
        <w:rPr/>
      </w:pPr>
      <w:r>
        <w:rPr/>
      </w:r>
    </w:p>
    <w:p>
      <w:pPr>
        <w:pStyle w:val="TextBody"/>
        <w:bidi w:val="0"/>
        <w:spacing w:before="0" w:after="0"/>
        <w:jc w:val="left"/>
        <w:rPr/>
      </w:pPr>
      <w:r>
        <w:rPr/>
      </w:r>
    </w:p>
    <w:tbl>
      <w:tblPr>
        <w:tblW w:w="4914"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134"/>
        <w:gridCol w:w="134"/>
        <w:gridCol w:w="136"/>
        <w:gridCol w:w="604"/>
        <w:gridCol w:w="604"/>
        <w:gridCol w:w="861"/>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Jennifer Y. Hyman</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Jennifer Y. Hyman</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I, Siddharth Thacker, the Chief Financial Officer of Rent the Runway, Inc., certify, pursuant to 18 U.S.C. Section 1350, as adopted pursuant to Section 906 of the Sarbanes-Oxley Act of 2002, that the Quarterly Report on Form 10-Q of Rent the Runway, Inc. for the quarterly period ended July 31, 2023,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r>
        <w:rPr>
          <w:color w:val="000000"/>
        </w:rPr>
        <w:t xml:space="preserve"> </w:t>
      </w:r>
    </w:p>
    <w:p>
      <w:pPr>
        <w:pStyle w:val="TextBody"/>
        <w:bidi w:val="0"/>
        <w:spacing w:before="0" w:after="0"/>
        <w:jc w:val="left"/>
        <w:rPr/>
      </w:pPr>
      <w:r>
        <w:rPr/>
      </w:r>
    </w:p>
    <w:p>
      <w:pPr>
        <w:pStyle w:val="TextBody"/>
        <w:bidi w:val="0"/>
        <w:spacing w:before="0" w:after="0"/>
        <w:jc w:val="left"/>
        <w:rPr/>
      </w:pPr>
      <w:r>
        <w:rPr/>
      </w:r>
    </w:p>
    <w:tbl>
      <w:tblPr>
        <w:tblW w:w="4854"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134"/>
        <w:gridCol w:w="134"/>
        <w:gridCol w:w="136"/>
        <w:gridCol w:w="587"/>
        <w:gridCol w:w="587"/>
        <w:gridCol w:w="835"/>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Siddharth Thacker</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Siddharth Thacker</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468327/000119312521313321/d211519dex31.htm" TargetMode="External"/><Relationship Id="rId3" Type="http://schemas.openxmlformats.org/officeDocument/2006/relationships/hyperlink" Target="https://www.sec.gov/Archives/edgar/data/0001468327/000119312521313321/d211519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54779</Words>
  <Characters>304278</Characters>
  <CharactersWithSpaces>357449</CharactersWithSpaces>
  <Paragraphs>2428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