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66092724.xml.htm"/>
      <w:bookmarkStart w:id="1" w:name="kswkform4_176609272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Thacker Siddharth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RENT THE RUNWAY,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 JAY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BROOKLYN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11201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Rent the Runway,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RENT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12/16/2025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41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816"/>
        <w:gridCol w:w="276"/>
        <w:gridCol w:w="906"/>
        <w:gridCol w:w="801"/>
        <w:gridCol w:w="891"/>
        <w:gridCol w:w="9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41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12/16/2025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200,598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200,598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200,598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("RSU") represents the contingent right to receive one share of the Issuer's Class A Common Stock. The RSUs vest as to 25% on December 16, 2026, and the remaining 75% in 16 substantially equal quarterly installments thereafter.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Cara Schembri as Attorney in-fact for Siddharth Thacker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12/18/2025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76540" TargetMode="External"/><Relationship Id="rId5" Type="http://schemas.openxmlformats.org/officeDocument/2006/relationships/hyperlink" Target="http://www.sec.gov/cgi-bin/browse-edgar?action=getcompany&amp;CIK=000146832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620</Words>
  <Characters>3349</Characters>
  <CharactersWithSpaces>3905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