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December 9, 2024, Rent the Runway, Inc. (the “Company”) issued a press release announcing its financial results for the quarter ended October 31, 2024.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49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Press Release issued by Rent the Runway, Inc. on December 9, 2024</w:t>
            </w:r>
          </w:p>
        </w:tc>
        <w:tc>
          <w:tcPr>
            <w:tcW w:w="4860" w:type="dxa"/>
            <w:vAlign w:val="bottom"/>
            <w:gridSpan w:val="2"/>
          </w:tcPr>
          <w:p>
            <w:pPr>
              <w:spacing w:after="0"/>
              <w:rPr>
                <w:sz w:val="21"/>
                <w:szCs w:val="21"/>
                <w:color w:val="auto"/>
              </w:rPr>
            </w:pPr>
          </w:p>
        </w:tc>
      </w:tr>
      <w:tr>
        <w:trPr>
          <w:trHeight w:val="33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December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Third Quarter 2024 Results</w:t>
      </w:r>
    </w:p>
    <w:p>
      <w:pPr>
        <w:spacing w:after="0" w:line="287" w:lineRule="exact"/>
        <w:rPr>
          <w:sz w:val="20"/>
          <w:szCs w:val="20"/>
          <w:color w:val="auto"/>
        </w:rPr>
      </w:pPr>
    </w:p>
    <w:p>
      <w:pPr>
        <w:jc w:val="center"/>
        <w:spacing w:after="0" w:line="300" w:lineRule="auto"/>
        <w:rPr>
          <w:sz w:val="20"/>
          <w:szCs w:val="20"/>
          <w:color w:val="auto"/>
        </w:rPr>
      </w:pPr>
      <w:r>
        <w:rPr>
          <w:rFonts w:ascii="Arial" w:cs="Arial" w:eastAsia="Arial" w:hAnsi="Arial"/>
          <w:sz w:val="20"/>
          <w:szCs w:val="20"/>
          <w:color w:val="auto"/>
        </w:rPr>
        <w:t>Improved Business Momentum with Acceleration in Revenue Growth Led by Stronger Reserve Performance and Continued Growth in Other Revenue.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Return to Subscriber Growth in Q3 2024.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Record Low Cash Consumption for 9 Months Ending Oct 31, 2024.</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Reiterates Expectation for Free Cash Flow Breakeven in FY 2024.</w:t>
      </w: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New York (December 9, 2024) </w:t>
      </w:r>
      <w:r>
        <w:rPr>
          <w:rFonts w:ascii="Arial" w:cs="Arial" w:eastAsia="Arial" w:hAnsi="Arial"/>
          <w:sz w:val="20"/>
          <w:szCs w:val="20"/>
          <w:color w:val="auto"/>
        </w:rPr>
        <w:t>- Rent the Runway, Inc. (“Rent the Runway” or "RTR") (NASDAQ: RENT), transforming the way</w:t>
      </w:r>
      <w:r>
        <w:rPr>
          <w:rFonts w:ascii="Arial" w:cs="Arial" w:eastAsia="Arial" w:hAnsi="Arial"/>
          <w:sz w:val="20"/>
          <w:szCs w:val="20"/>
          <w:b w:val="1"/>
          <w:bCs w:val="1"/>
          <w:color w:val="auto"/>
        </w:rPr>
        <w:t xml:space="preserve"> </w:t>
      </w:r>
      <w:r>
        <w:rPr>
          <w:rFonts w:ascii="Arial" w:cs="Arial" w:eastAsia="Arial" w:hAnsi="Arial"/>
          <w:sz w:val="20"/>
          <w:szCs w:val="20"/>
          <w:color w:val="auto"/>
        </w:rPr>
        <w:t>women get dressed by pioneering the world’s first Closet in the Cloud, today reported financial results for the fiscal quarter ended October 31, 2024.</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Third Quarter and Recent Business Highlights</w:t>
      </w:r>
    </w:p>
    <w:p>
      <w:pPr>
        <w:spacing w:after="0" w:line="256" w:lineRule="exact"/>
        <w:rPr>
          <w:sz w:val="20"/>
          <w:szCs w:val="20"/>
          <w:color w:val="auto"/>
        </w:rPr>
      </w:pPr>
    </w:p>
    <w:p>
      <w:pPr>
        <w:ind w:left="500" w:right="380" w:hanging="492"/>
        <w:spacing w:after="0" w:line="292" w:lineRule="auto"/>
        <w:tabs>
          <w:tab w:leader="none" w:pos="488" w:val="left"/>
        </w:tabs>
        <w:numPr>
          <w:ilvl w:val="0"/>
          <w:numId w:val="2"/>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Improved free cash flow consumption of $9M for the nine months ending October 31, 2024, </w:t>
      </w:r>
      <w:r>
        <w:rPr>
          <w:rFonts w:ascii="Arial" w:cs="Arial" w:eastAsia="Arial" w:hAnsi="Arial"/>
          <w:sz w:val="19"/>
          <w:szCs w:val="19"/>
          <w:color w:val="auto"/>
        </w:rPr>
        <w:t>which is $38M lower</w:t>
      </w:r>
      <w:r>
        <w:rPr>
          <w:rFonts w:ascii="Arial" w:cs="Arial" w:eastAsia="Arial" w:hAnsi="Arial"/>
          <w:sz w:val="19"/>
          <w:szCs w:val="19"/>
          <w:b w:val="1"/>
          <w:bCs w:val="1"/>
          <w:color w:val="auto"/>
        </w:rPr>
        <w:t xml:space="preserve"> </w:t>
      </w:r>
      <w:r>
        <w:rPr>
          <w:rFonts w:ascii="Arial" w:cs="Arial" w:eastAsia="Arial" w:hAnsi="Arial"/>
          <w:sz w:val="19"/>
          <w:szCs w:val="19"/>
          <w:color w:val="auto"/>
        </w:rPr>
        <w:t>than the nine months ending October 31, 2023 and $61M lower than the nine months ending October 31, 2022.</w:t>
      </w:r>
    </w:p>
    <w:p>
      <w:pPr>
        <w:spacing w:after="0" w:line="1" w:lineRule="exact"/>
        <w:rPr>
          <w:rFonts w:ascii="Arial" w:cs="Arial" w:eastAsia="Arial" w:hAnsi="Arial"/>
          <w:sz w:val="19"/>
          <w:szCs w:val="19"/>
          <w:b w:val="1"/>
          <w:bCs w:val="1"/>
          <w:i w:val="1"/>
          <w:iCs w:val="1"/>
          <w:color w:val="auto"/>
        </w:rPr>
      </w:pPr>
    </w:p>
    <w:p>
      <w:pPr>
        <w:ind w:left="500" w:right="1200" w:hanging="492"/>
        <w:spacing w:after="0" w:line="274"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Fastest Y-o-Y Growth in Reserve orders since Q1 22, </w:t>
      </w:r>
      <w:r>
        <w:rPr>
          <w:rFonts w:ascii="Arial" w:cs="Arial" w:eastAsia="Arial" w:hAnsi="Arial"/>
          <w:sz w:val="20"/>
          <w:szCs w:val="20"/>
          <w:color w:val="auto"/>
        </w:rPr>
        <w:t>which we believe is a result of focus and operational</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that resulted in increased availability of our highest demanded styles.</w:t>
      </w:r>
    </w:p>
    <w:p>
      <w:pPr>
        <w:spacing w:after="0" w:line="1" w:lineRule="exact"/>
        <w:rPr>
          <w:rFonts w:ascii="Arial" w:cs="Arial" w:eastAsia="Arial" w:hAnsi="Arial"/>
          <w:sz w:val="20"/>
          <w:szCs w:val="20"/>
          <w:b w:val="1"/>
          <w:bCs w:val="1"/>
          <w:color w:val="auto"/>
        </w:rPr>
      </w:pPr>
    </w:p>
    <w:p>
      <w:pPr>
        <w:ind w:left="500" w:right="60" w:hanging="492"/>
        <w:spacing w:after="0" w:line="274"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Launched New 1-Shipment Subscription Plan </w:t>
      </w:r>
      <w:r>
        <w:rPr>
          <w:rFonts w:ascii="Arial" w:cs="Arial" w:eastAsia="Arial" w:hAnsi="Arial"/>
          <w:sz w:val="20"/>
          <w:szCs w:val="20"/>
          <w:color w:val="auto"/>
        </w:rPr>
        <w:t>offering customers access to the full RTR Subscription closet of marquee</w:t>
      </w:r>
      <w:r>
        <w:rPr>
          <w:rFonts w:ascii="Arial" w:cs="Arial" w:eastAsia="Arial" w:hAnsi="Arial"/>
          <w:sz w:val="20"/>
          <w:szCs w:val="20"/>
          <w:b w:val="1"/>
          <w:bCs w:val="1"/>
          <w:color w:val="auto"/>
        </w:rPr>
        <w:t xml:space="preserve"> </w:t>
      </w:r>
      <w:r>
        <w:rPr>
          <w:rFonts w:ascii="Arial" w:cs="Arial" w:eastAsia="Arial" w:hAnsi="Arial"/>
          <w:sz w:val="20"/>
          <w:szCs w:val="20"/>
          <w:color w:val="auto"/>
        </w:rPr>
        <w:t>designer brands for $119 per month.</w:t>
      </w:r>
    </w:p>
    <w:p>
      <w:pPr>
        <w:spacing w:after="0" w:line="1" w:lineRule="exact"/>
        <w:rPr>
          <w:rFonts w:ascii="Arial" w:cs="Arial" w:eastAsia="Arial" w:hAnsi="Arial"/>
          <w:sz w:val="20"/>
          <w:szCs w:val="20"/>
          <w:color w:val="auto"/>
        </w:rPr>
      </w:pPr>
    </w:p>
    <w:p>
      <w:pPr>
        <w:ind w:left="500" w:right="220" w:hanging="492"/>
        <w:spacing w:after="0" w:line="274"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Significantly improved SEO </w:t>
      </w:r>
      <w:r>
        <w:rPr>
          <w:rFonts w:ascii="Arial" w:cs="Arial" w:eastAsia="Arial" w:hAnsi="Arial"/>
          <w:sz w:val="20"/>
          <w:szCs w:val="20"/>
          <w:color w:val="auto"/>
        </w:rPr>
        <w:t>resulting in new YTD highs in our keyword rankings, which resulted in a sequential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over quarter increase in non-branded traffic.</w:t>
      </w:r>
    </w:p>
    <w:p>
      <w:pPr>
        <w:spacing w:after="0" w:line="1" w:lineRule="exact"/>
        <w:rPr>
          <w:rFonts w:ascii="Arial" w:cs="Arial" w:eastAsia="Arial" w:hAnsi="Arial"/>
          <w:sz w:val="20"/>
          <w:szCs w:val="20"/>
          <w:b w:val="1"/>
          <w:bCs w:val="1"/>
          <w:color w:val="auto"/>
        </w:rPr>
      </w:pPr>
    </w:p>
    <w:p>
      <w:pPr>
        <w:ind w:left="500" w:right="820" w:hanging="492"/>
        <w:spacing w:after="0" w:line="274"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Launched “</w:t>
      </w:r>
      <w:r>
        <w:rPr>
          <w:rFonts w:ascii="Arial" w:cs="Arial" w:eastAsia="Arial" w:hAnsi="Arial"/>
          <w:sz w:val="20"/>
          <w:szCs w:val="20"/>
          <w:b w:val="1"/>
          <w:bCs w:val="1"/>
          <w:i w:val="1"/>
          <w:iCs w:val="1"/>
          <w:color w:val="auto"/>
        </w:rPr>
        <w:t>Own Nothing, Have Everything</w:t>
      </w:r>
      <w:r>
        <w:rPr>
          <w:rFonts w:ascii="Arial" w:cs="Arial" w:eastAsia="Arial" w:hAnsi="Arial"/>
          <w:sz w:val="20"/>
          <w:szCs w:val="20"/>
          <w:b w:val="1"/>
          <w:bCs w:val="1"/>
          <w:color w:val="auto"/>
        </w:rPr>
        <w:t xml:space="preserve">” brand campaign </w:t>
      </w:r>
      <w:r>
        <w:rPr>
          <w:rFonts w:ascii="Arial" w:cs="Arial" w:eastAsia="Arial" w:hAnsi="Arial"/>
          <w:sz w:val="20"/>
          <w:szCs w:val="20"/>
          <w:color w:val="auto"/>
        </w:rPr>
        <w:t>in conjunction with RTR’s 15 year anniversary in</w:t>
      </w:r>
      <w:r>
        <w:rPr>
          <w:rFonts w:ascii="Arial" w:cs="Arial" w:eastAsia="Arial" w:hAnsi="Arial"/>
          <w:sz w:val="20"/>
          <w:szCs w:val="20"/>
          <w:b w:val="1"/>
          <w:bCs w:val="1"/>
          <w:color w:val="auto"/>
        </w:rPr>
        <w:t xml:space="preserve"> </w:t>
      </w:r>
      <w:r>
        <w:rPr>
          <w:rFonts w:ascii="Arial" w:cs="Arial" w:eastAsia="Arial" w:hAnsi="Arial"/>
          <w:sz w:val="20"/>
          <w:szCs w:val="20"/>
          <w:color w:val="auto"/>
        </w:rPr>
        <w:t>November, which features the authentic stories of real customers.</w:t>
      </w:r>
    </w:p>
    <w:p>
      <w:pPr>
        <w:spacing w:after="0" w:line="1" w:lineRule="exact"/>
        <w:rPr>
          <w:rFonts w:ascii="Arial" w:cs="Arial" w:eastAsia="Arial" w:hAnsi="Arial"/>
          <w:sz w:val="20"/>
          <w:szCs w:val="20"/>
          <w:b w:val="1"/>
          <w:bCs w:val="1"/>
          <w:color w:val="auto"/>
        </w:rPr>
      </w:pPr>
    </w:p>
    <w:p>
      <w:pPr>
        <w:ind w:left="500" w:right="320" w:hanging="492"/>
        <w:spacing w:after="0" w:line="279"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Hired Chief Product Officer to transform product strategy </w:t>
      </w:r>
      <w:r>
        <w:rPr>
          <w:rFonts w:ascii="Arial" w:cs="Arial" w:eastAsia="Arial" w:hAnsi="Arial"/>
          <w:sz w:val="20"/>
          <w:szCs w:val="20"/>
          <w:color w:val="auto"/>
        </w:rPr>
        <w:t>and execute on a customer centric product vision to drive</w:t>
      </w:r>
      <w:r>
        <w:rPr>
          <w:rFonts w:ascii="Arial" w:cs="Arial" w:eastAsia="Arial" w:hAnsi="Arial"/>
          <w:sz w:val="20"/>
          <w:szCs w:val="20"/>
          <w:b w:val="1"/>
          <w:bCs w:val="1"/>
          <w:color w:val="auto"/>
        </w:rPr>
        <w:t xml:space="preserve"> </w:t>
      </w:r>
      <w:r>
        <w:rPr>
          <w:rFonts w:ascii="Arial" w:cs="Arial" w:eastAsia="Arial" w:hAnsi="Arial"/>
          <w:sz w:val="20"/>
          <w:szCs w:val="20"/>
          <w:color w:val="auto"/>
        </w:rPr>
        <w:t>growth</w:t>
      </w:r>
      <w:r>
        <w:rPr>
          <w:rFonts w:ascii="Arial" w:cs="Arial" w:eastAsia="Arial" w:hAnsi="Arial"/>
          <w:sz w:val="20"/>
          <w:szCs w:val="20"/>
          <w:b w:val="1"/>
          <w:bCs w:val="1"/>
          <w:color w:val="auto"/>
        </w:rPr>
        <w:t>.</w:t>
      </w:r>
    </w:p>
    <w:p>
      <w:pPr>
        <w:spacing w:after="0" w:line="1" w:lineRule="exact"/>
        <w:rPr>
          <w:rFonts w:ascii="Arial" w:cs="Arial" w:eastAsia="Arial" w:hAnsi="Arial"/>
          <w:sz w:val="20"/>
          <w:szCs w:val="20"/>
          <w:color w:val="auto"/>
        </w:rPr>
      </w:pPr>
    </w:p>
    <w:p>
      <w:pPr>
        <w:ind w:left="500" w:right="460" w:hanging="492"/>
        <w:spacing w:after="0" w:line="283"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Launched Two Season Partnership with Dallas Cowboy Cheerleaders, </w:t>
      </w:r>
      <w:r>
        <w:rPr>
          <w:rFonts w:ascii="Arial" w:cs="Arial" w:eastAsia="Arial" w:hAnsi="Arial"/>
          <w:sz w:val="20"/>
          <w:szCs w:val="20"/>
          <w:color w:val="auto"/>
        </w:rPr>
        <w:t>aimed at showcasing the diverse and</w:t>
      </w:r>
      <w:r>
        <w:rPr>
          <w:rFonts w:ascii="Arial" w:cs="Arial" w:eastAsia="Arial" w:hAnsi="Arial"/>
          <w:sz w:val="20"/>
          <w:szCs w:val="20"/>
          <w:b w:val="1"/>
          <w:bCs w:val="1"/>
          <w:color w:val="auto"/>
        </w:rPr>
        <w:t xml:space="preserve"> </w:t>
      </w:r>
      <w:r>
        <w:rPr>
          <w:rFonts w:ascii="Arial" w:cs="Arial" w:eastAsia="Arial" w:hAnsi="Arial"/>
          <w:sz w:val="20"/>
          <w:szCs w:val="20"/>
          <w:color w:val="auto"/>
        </w:rPr>
        <w:t>multifaceted lives of the cheerleaders, demonstrating the key role that RTR plays in helping women look and feel their best, and driving brand awareness in key markets.</w:t>
      </w:r>
    </w:p>
    <w:p>
      <w:pPr>
        <w:spacing w:after="0" w:line="211" w:lineRule="exact"/>
        <w:rPr>
          <w:sz w:val="20"/>
          <w:szCs w:val="20"/>
          <w:color w:val="auto"/>
        </w:rPr>
      </w:pPr>
    </w:p>
    <w:p>
      <w:pPr>
        <w:ind w:right="260"/>
        <w:spacing w:after="0" w:line="280" w:lineRule="auto"/>
        <w:rPr>
          <w:sz w:val="20"/>
          <w:szCs w:val="20"/>
          <w:color w:val="auto"/>
        </w:rPr>
      </w:pPr>
      <w:r>
        <w:rPr>
          <w:rFonts w:ascii="Arial" w:cs="Arial" w:eastAsia="Arial" w:hAnsi="Arial"/>
          <w:sz w:val="20"/>
          <w:szCs w:val="20"/>
          <w:color w:val="auto"/>
        </w:rPr>
        <w:t>"Rent the Runway has realigned our company talent and ways of working this year to be laser focused on achieving free cash flow breakeven, significantly increase agility of experimentation and launch cadence, and reaccelerate growth,” said Jennifer Hyman, Co-Founder, President, and CEO of Rent the Runway. “Thus far this year, we’ve driven significant growth in our Reserve and Resale offerings; reduced our costs of customer acquisition and diversified marketing spend towards brand building; and implemented successful inventory and merchandising strategies that we believe have increased customer satisfaction and loyalty rates. We are proud to have achieved this while also significantly improving free cash flow. We believe our business is set up for acceleration across all revenue lines in 2025."</w:t>
      </w:r>
    </w:p>
    <w:p>
      <w:pPr>
        <w:sectPr>
          <w:pgSz w:w="11900" w:h="16838" w:orient="portrait"/>
          <w:cols w:equalWidth="0" w:num="1">
            <w:col w:w="11240"/>
          </w:cols>
          <w:pgMar w:left="320" w:top="1101" w:right="339" w:bottom="1440" w:gutter="0" w:footer="0" w:header="0"/>
        </w:sectPr>
      </w:pPr>
    </w:p>
    <w:bookmarkStart w:id="4" w:name="page5"/>
    <w:bookmarkEnd w:id="4"/>
    <w:p>
      <w:pPr>
        <w:ind w:right="20"/>
        <w:spacing w:after="0" w:line="280" w:lineRule="auto"/>
        <w:rPr>
          <w:sz w:val="20"/>
          <w:szCs w:val="20"/>
          <w:color w:val="auto"/>
        </w:rPr>
      </w:pPr>
      <w:r>
        <w:rPr>
          <w:rFonts w:ascii="Arial" w:cs="Arial" w:eastAsia="Arial" w:hAnsi="Arial"/>
          <w:sz w:val="20"/>
          <w:szCs w:val="20"/>
          <w:color w:val="auto"/>
        </w:rPr>
        <w:t>"Rent the Runway’s underlying business trends have continued to improve in Q3 2024,” said Sid Thacker, Chief Financial Officer, Rent the Runway. “Revenue growth improved for the fourth consecutive quarter and ending Active Subscribers returned to year over year growth. Our Reserve and Resale offerings continued to show improved momentum in Q3. We have also demonstrated, through the first nine months of this fiscal year, an ability to significantly improve free cash flow and drive progress towards our goal to be free cash flow breakeven for FY24. We are now squarely focused on accelerating growth in our Subscription business by listening to customers and making decisions that lay the foundation for stronger growth in FY25 and beyond."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2024 Key Metrics and Financial Highlights</w:t>
      </w:r>
    </w:p>
    <w:p>
      <w:pPr>
        <w:spacing w:after="0" w:line="272" w:lineRule="exact"/>
        <w:rPr>
          <w:sz w:val="20"/>
          <w:szCs w:val="20"/>
          <w:color w:val="auto"/>
        </w:rPr>
      </w:pPr>
    </w:p>
    <w:p>
      <w:pPr>
        <w:ind w:left="480" w:hanging="310"/>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Revenue was $75.9 million, a 4.7% increase year-over-year from $72.5 million in the third quarter of fiscal year 2023.</w:t>
      </w:r>
    </w:p>
    <w:p>
      <w:pPr>
        <w:spacing w:after="0" w:line="41" w:lineRule="exact"/>
        <w:rPr>
          <w:rFonts w:ascii="Arial" w:cs="Arial" w:eastAsia="Arial" w:hAnsi="Arial"/>
          <w:sz w:val="20"/>
          <w:szCs w:val="20"/>
          <w:b w:val="1"/>
          <w:bCs w:val="1"/>
          <w:color w:val="auto"/>
        </w:rPr>
      </w:pPr>
    </w:p>
    <w:p>
      <w:pPr>
        <w:ind w:left="500" w:hanging="330"/>
        <w:spacing w:after="0" w:line="27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132,518 ending Active Subscribers, representing a change of 1% from 131,725 at the end of the third quarter of fiscal year 2023.</w:t>
      </w:r>
    </w:p>
    <w:p>
      <w:pPr>
        <w:ind w:left="500" w:right="180" w:hanging="330"/>
        <w:spacing w:after="0" w:line="273"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color w:val="auto"/>
        </w:rPr>
        <w:t>130,796 Average Active Subscribers, representing a change of (3)% from 134,646 at the end of the third quarter of fiscal year 2023.</w:t>
      </w:r>
    </w:p>
    <w:p>
      <w:pPr>
        <w:spacing w:after="0" w:line="3" w:lineRule="exact"/>
        <w:rPr>
          <w:rFonts w:ascii="Arial" w:cs="Arial" w:eastAsia="Arial" w:hAnsi="Arial"/>
          <w:sz w:val="20"/>
          <w:szCs w:val="20"/>
          <w:color w:val="auto"/>
        </w:rPr>
      </w:pPr>
    </w:p>
    <w:p>
      <w:pPr>
        <w:ind w:left="500" w:right="20" w:hanging="330"/>
        <w:spacing w:after="0" w:line="273"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174,511 ending Total Subscribers, representing a change of (1)% from 175,901 at the end of the third quarter of fiscal year 2023.</w:t>
      </w:r>
    </w:p>
    <w:p>
      <w:pPr>
        <w:spacing w:after="0" w:line="3" w:lineRule="exact"/>
        <w:rPr>
          <w:rFonts w:ascii="Arial" w:cs="Arial" w:eastAsia="Arial" w:hAnsi="Arial"/>
          <w:sz w:val="20"/>
          <w:szCs w:val="20"/>
          <w:b w:val="1"/>
          <w:bCs w:val="1"/>
          <w:color w:val="auto"/>
        </w:rPr>
      </w:pPr>
    </w:p>
    <w:p>
      <w:pPr>
        <w:ind w:left="500" w:right="280" w:hanging="330"/>
        <w:spacing w:after="0" w:line="273"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Gross Profit was $26.3 million, representing a change of 4.4% from $25.2 million in the third quarter of fiscal year 2023. Gross Margin was 34.7%, as compared to 34.8% in the third quarter of fiscal year 2023.</w:t>
      </w:r>
    </w:p>
    <w:p>
      <w:pPr>
        <w:spacing w:after="0" w:line="3" w:lineRule="exact"/>
        <w:rPr>
          <w:rFonts w:ascii="Arial" w:cs="Arial" w:eastAsia="Arial" w:hAnsi="Arial"/>
          <w:sz w:val="20"/>
          <w:szCs w:val="20"/>
          <w:b w:val="1"/>
          <w:bCs w:val="1"/>
          <w:color w:val="auto"/>
        </w:rPr>
      </w:pPr>
    </w:p>
    <w:p>
      <w:pPr>
        <w:ind w:left="500" w:right="800" w:hanging="330"/>
        <w:spacing w:after="0" w:line="273"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Net Loss was $(18.9) million, as compared to $(31.5) million in the third quarter of fiscal year 2023. Net Loss as a percentage of revenue was (24.9)%, as compared to (43.4)% in the third quarter of fiscal year 2023.</w:t>
      </w:r>
    </w:p>
    <w:p>
      <w:pPr>
        <w:spacing w:after="0" w:line="3" w:lineRule="exact"/>
        <w:rPr>
          <w:rFonts w:ascii="Arial" w:cs="Arial" w:eastAsia="Arial" w:hAnsi="Arial"/>
          <w:sz w:val="20"/>
          <w:szCs w:val="20"/>
          <w:b w:val="1"/>
          <w:bCs w:val="1"/>
          <w:color w:val="auto"/>
        </w:rPr>
      </w:pPr>
    </w:p>
    <w:p>
      <w:pPr>
        <w:ind w:left="500" w:right="200" w:hanging="330"/>
        <w:spacing w:after="0" w:line="300"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$9.3 million, as compared to $3.5 million in the third quarter of fiscal year 2023. Adjusted EBITDA Margin was 12.3%, as compared to 4.8% in the third quarter of fiscal year 2023.</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fourth quarter of 2024, Rent the Runway expects:</w:t>
      </w:r>
    </w:p>
    <w:p>
      <w:pPr>
        <w:spacing w:after="0" w:line="40"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of between $74.4 million and $80.3 million</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of between $16.1 million and $20.1 million</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2024, Rent the Runway expects:</w:t>
      </w:r>
    </w:p>
    <w:p>
      <w:pPr>
        <w:spacing w:after="0" w:line="31" w:lineRule="exact"/>
        <w:rPr>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growth of between 2% to 4% versus fiscal year 2023</w:t>
      </w:r>
    </w:p>
    <w:p>
      <w:pPr>
        <w:spacing w:after="0" w:line="35"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 of 15% to 16%</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Free Cash Flow Breakeven on a full year basis</w:t>
      </w:r>
    </w:p>
    <w:p>
      <w:pPr>
        <w:sectPr>
          <w:pgSz w:w="11900" w:h="16838" w:orient="portrait"/>
          <w:cols w:equalWidth="0" w:num="1">
            <w:col w:w="11180"/>
          </w:cols>
          <w:pgMar w:left="320" w:top="1103" w:right="39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540"/>
        <w:spacing w:after="0" w:line="314" w:lineRule="auto"/>
        <w:rPr>
          <w:sz w:val="20"/>
          <w:szCs w:val="20"/>
          <w:color w:val="auto"/>
        </w:rPr>
      </w:pPr>
      <w:r>
        <w:rPr>
          <w:rFonts w:ascii="Arial" w:cs="Arial" w:eastAsia="Arial" w:hAnsi="Arial"/>
          <w:sz w:val="20"/>
          <w:szCs w:val="20"/>
          <w:color w:val="auto"/>
        </w:rPr>
        <w:t>Please see our third quarter 2024 earnings presentation at https://investors.renttherunway.com/ under the “Presentations” section for supplemental guidance.</w:t>
      </w:r>
    </w:p>
    <w:p>
      <w:pPr>
        <w:spacing w:after="0" w:line="168"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A reconciliation of Adjusted EBITDA Margin and free cash flow expectations for Q4 2024 and fiscal year 2024 (as applicable)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ectPr>
          <w:pgSz w:w="11900" w:h="16838" w:orient="portrait"/>
          <w:cols w:equalWidth="0" w:num="1">
            <w:col w:w="11160"/>
          </w:cols>
          <w:pgMar w:left="320" w:top="1440" w:right="4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third quarter 2024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760"/>
        <w:spacing w:after="0" w:line="300" w:lineRule="auto"/>
        <w:rPr>
          <w:sz w:val="20"/>
          <w:szCs w:val="20"/>
          <w:color w:val="auto"/>
        </w:rPr>
      </w:pPr>
      <w:r>
        <w:rPr>
          <w:rFonts w:ascii="Arial" w:cs="Arial" w:eastAsia="Arial" w:hAnsi="Arial"/>
          <w:sz w:val="20"/>
          <w:szCs w:val="20"/>
          <w:color w:val="auto"/>
        </w:rPr>
        <w:t>Rent the Runway will host a conference call and webcast to discuss its third quarter 2024 financial results and provide a business update today, December 9, 2024, at 8:30 am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79" w:lineRule="exact"/>
        <w:rPr>
          <w:sz w:val="20"/>
          <w:szCs w:val="20"/>
          <w:color w:val="auto"/>
        </w:rPr>
      </w:pPr>
    </w:p>
    <w:p>
      <w:pPr>
        <w:jc w:val="both"/>
        <w:ind w:right="120"/>
        <w:spacing w:after="0" w:line="298"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13750012.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7" w:name="page8"/>
    <w:bookmarkEnd w:id="7"/>
    <w:p>
      <w:pPr>
        <w:jc w:val="both"/>
        <w:spacing w:after="0" w:line="290" w:lineRule="auto"/>
        <w:rPr>
          <w:sz w:val="20"/>
          <w:szCs w:val="20"/>
          <w:color w:val="auto"/>
        </w:rPr>
      </w:pPr>
      <w:r>
        <w:rPr>
          <w:rFonts w:ascii="Arial" w:cs="Arial" w:eastAsia="Arial" w:hAnsi="Arial"/>
          <w:sz w:val="19"/>
          <w:szCs w:val="19"/>
          <w:b w:val="1"/>
          <w:bCs w:val="1"/>
          <w:color w:val="auto"/>
        </w:rPr>
        <w:t xml:space="preserve">Forward-Looking Statements: </w:t>
      </w:r>
      <w:r>
        <w:rPr>
          <w:rFonts w:ascii="Arial" w:cs="Arial" w:eastAsia="Arial" w:hAnsi="Arial"/>
          <w:sz w:val="19"/>
          <w:szCs w:val="19"/>
          <w:color w:val="auto"/>
        </w:rPr>
        <w:t>This press release contains forward-looking statements within the meaning of the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Litigation Reform Act of 1995. All statements contained in this press release that do not relate to matters of historical fact should be considered forward-looking statements. These statements include, but are not limited to, guidance and underlying assumptions for the fourth fiscal quarter of 2024 and the fiscal year 2024, and statements regarding our business objectives and strategic initiatives, including with respect to our Reserve offering, marketing initiatives and customer engagement.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the Company's debt, including the Company's ability to comply with covenants in the Company's credit facility; risks related to our Class A capital stock and ownership structure; and risks related to future pandemics or public health crises.</w:t>
      </w:r>
    </w:p>
    <w:p>
      <w:pPr>
        <w:sectPr>
          <w:pgSz w:w="11900" w:h="16838" w:orient="portrait"/>
          <w:cols w:equalWidth="0" w:num="1">
            <w:col w:w="11240"/>
          </w:cols>
          <w:pgMar w:left="320" w:top="1101" w:right="33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Company’s expectations is included in our Quarterly Report on Form 10-Q for the quarter ended July 31, 2024, as will be updated in our Quarterly Report on Form 10-Q for the quarter ended October 31, 2024. Except as required by law, we do not undertake any obligation to publicly update or revise any forward-looking statement,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168"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206"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 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12" w:lineRule="exact"/>
        <w:rPr>
          <w:sz w:val="20"/>
          <w:szCs w:val="20"/>
          <w:color w:val="auto"/>
        </w:rPr>
      </w:pPr>
    </w:p>
    <w:p>
      <w:pPr>
        <w:jc w:val="both"/>
        <w:ind w:right="280"/>
        <w:spacing w:after="0" w:line="291" w:lineRule="auto"/>
        <w:rPr>
          <w:sz w:val="20"/>
          <w:szCs w:val="20"/>
          <w:color w:val="auto"/>
        </w:rPr>
      </w:pPr>
      <w:r>
        <w:rPr>
          <w:rFonts w:ascii="Arial" w:cs="Arial" w:eastAsia="Arial" w:hAnsi="Arial"/>
          <w:sz w:val="19"/>
          <w:szCs w:val="19"/>
          <w:color w:val="auto"/>
        </w:rPr>
        <w:t>We define Adjusted EBITDA as net loss, adjusted to exclude interest expense, rental product depreciation, other depreciation and amortization, share-based compensation expense, write-off of liquidated assets, non-recurring adjustments, non-ordinary course legal fees, restructuring charges, income tax (benefit) expense, other income and expense, and other gains / losses.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defined as Adjusted EBITDA calculated as a percentage of total revenue, net for a period.</w:t>
      </w:r>
    </w:p>
    <w:p>
      <w:pPr>
        <w:sectPr>
          <w:pgSz w:w="11900" w:h="16838" w:orient="portrait"/>
          <w:cols w:equalWidth="0" w:num="1">
            <w:col w:w="11240"/>
          </w:cols>
          <w:pgMar w:left="320" w:top="1103" w:right="33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We define free cash flow as net cash used in operating activities and net cash used in investing activities on a combined basis.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0"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Adjusted EBITDA margin and free cash flow expectations for Q4 2024 and fiscal year 2024 (as applicable)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080"/>
          </w:cols>
          <w:pgMar w:left="320" w:top="1346" w:right="499" w:bottom="1440" w:gutter="0" w:footer="0" w:header="0"/>
        </w:sectPr>
      </w:pPr>
    </w:p>
    <w:bookmarkStart w:id="10" w:name="page11"/>
    <w:bookmarkEnd w:id="10"/>
    <w:p>
      <w:pPr>
        <w:ind w:left="4200"/>
        <w:spacing w:after="0"/>
        <w:rPr>
          <w:sz w:val="20"/>
          <w:szCs w:val="20"/>
          <w:color w:val="auto"/>
        </w:rPr>
      </w:pPr>
      <w:r>
        <w:rPr>
          <w:rFonts w:ascii="Arial" w:cs="Arial" w:eastAsia="Arial" w:hAnsi="Arial"/>
          <w:sz w:val="20"/>
          <w:szCs w:val="20"/>
          <w:b w:val="1"/>
          <w:bCs w:val="1"/>
          <w:color w:val="auto"/>
        </w:rPr>
        <w:t>Rent the Runway, Inc.</w:t>
      </w:r>
    </w:p>
    <w:p>
      <w:pPr>
        <w:ind w:left="328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60"/>
        <w:spacing w:after="0"/>
        <w:rPr>
          <w:sz w:val="20"/>
          <w:szCs w:val="20"/>
          <w:color w:val="auto"/>
        </w:rPr>
      </w:pPr>
      <w:r>
        <w:rPr>
          <w:rFonts w:ascii="Arial" w:cs="Arial" w:eastAsia="Arial" w:hAnsi="Arial"/>
          <w:sz w:val="20"/>
          <w:szCs w:val="20"/>
          <w:b w:val="1"/>
          <w:bCs w:val="1"/>
          <w:color w:val="auto"/>
        </w:rPr>
        <w:t>(in millions)</w:t>
      </w:r>
    </w:p>
    <w:p>
      <w:pPr>
        <w:ind w:left="47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6"/>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54"/>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59"/>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318"/>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7"/>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306.7</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400.8</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7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930.8</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(1,053.1)</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240" w:type="dxa"/>
            <w:vAlign w:val="bottom"/>
          </w:tcPr>
          <w:p>
            <w:pPr>
              <w:spacing w:after="0"/>
              <w:rPr>
                <w:sz w:val="17"/>
                <w:szCs w:val="17"/>
                <w:color w:val="auto"/>
              </w:rPr>
            </w:pPr>
          </w:p>
        </w:tc>
        <w:tc>
          <w:tcPr>
            <w:tcW w:w="26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20"/>
                <w:szCs w:val="20"/>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2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880"/>
              <w:spacing w:after="0"/>
              <w:rPr>
                <w:sz w:val="20"/>
                <w:szCs w:val="20"/>
                <w:color w:val="auto"/>
              </w:rPr>
            </w:pPr>
            <w:r>
              <w:rPr>
                <w:rFonts w:ascii="Arial" w:cs="Arial" w:eastAsia="Arial" w:hAnsi="Arial"/>
                <w:sz w:val="18"/>
                <w:szCs w:val="18"/>
                <w:color w:val="auto"/>
              </w:rPr>
              <w:t>Net loss before income tax benefit / (expense)</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26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180" w:type="dxa"/>
            <w:vAlign w:val="bottom"/>
          </w:tcPr>
          <w:p>
            <w:pPr>
              <w:ind w:left="9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40"/>
        </w:trPr>
        <w:tc>
          <w:tcPr>
            <w:tcW w:w="518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2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3,823,542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3,464,848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3,736,161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3,380,439</w:t>
            </w:r>
          </w:p>
        </w:tc>
        <w:tc>
          <w:tcPr>
            <w:tcW w:w="0" w:type="dxa"/>
            <w:vAlign w:val="bottom"/>
          </w:tcPr>
          <w:p>
            <w:pPr>
              <w:spacing w:after="0"/>
              <w:rPr>
                <w:sz w:val="1"/>
                <w:szCs w:val="1"/>
                <w:color w:val="auto"/>
              </w:rPr>
            </w:pPr>
          </w:p>
        </w:tc>
      </w:tr>
      <w:tr>
        <w:trPr>
          <w:trHeight w:val="235"/>
        </w:trPr>
        <w:tc>
          <w:tcPr>
            <w:tcW w:w="518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01" w:right="339" w:bottom="1440" w:gutter="0" w:footer="0" w:header="0"/>
        </w:sectPr>
      </w:pPr>
    </w:p>
    <w:bookmarkStart w:id="12" w:name="page13"/>
    <w:bookmarkEnd w:id="12"/>
    <w:p>
      <w:pPr>
        <w:ind w:left="4540"/>
        <w:spacing w:after="0"/>
        <w:rPr>
          <w:sz w:val="20"/>
          <w:szCs w:val="20"/>
          <w:color w:val="auto"/>
        </w:rPr>
      </w:pPr>
      <w:r>
        <w:rPr>
          <w:rFonts w:ascii="Arial" w:cs="Arial" w:eastAsia="Arial" w:hAnsi="Arial"/>
          <w:sz w:val="20"/>
          <w:szCs w:val="20"/>
          <w:b w:val="1"/>
          <w:bCs w:val="1"/>
          <w:color w:val="auto"/>
        </w:rPr>
        <w:t>Rent the Runway, Inc.</w:t>
      </w:r>
    </w:p>
    <w:p>
      <w:pPr>
        <w:ind w:left="3160"/>
        <w:spacing w:after="0" w:line="231" w:lineRule="auto"/>
        <w:rPr>
          <w:sz w:val="20"/>
          <w:szCs w:val="20"/>
          <w:color w:val="auto"/>
        </w:rPr>
      </w:pPr>
      <w:r>
        <w:rPr>
          <w:rFonts w:ascii="Arial" w:cs="Arial" w:eastAsia="Arial" w:hAnsi="Arial"/>
          <w:sz w:val="20"/>
          <w:szCs w:val="20"/>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pacing w:after="0" w:line="30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32385</wp:posOffset>
            </wp:positionV>
            <wp:extent cx="2049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62" w:lineRule="exact"/>
        <w:rPr>
          <w:sz w:val="20"/>
          <w:szCs w:val="20"/>
          <w:color w:val="auto"/>
        </w:rPr>
      </w:pPr>
    </w:p>
    <w:p>
      <w:pPr>
        <w:ind w:left="8480"/>
        <w:spacing w:after="0"/>
        <w:tabs>
          <w:tab w:leader="none" w:pos="101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32385</wp:posOffset>
            </wp:positionV>
            <wp:extent cx="2049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ectPr>
          <w:pgSz w:w="11900" w:h="16838" w:orient="portrait"/>
          <w:cols w:equalWidth="0" w:num="1">
            <w:col w:w="11080"/>
          </w:cols>
          <w:pgMar w:left="380" w:top="1101" w:right="439" w:bottom="1440" w:gutter="0" w:footer="0" w:header="0"/>
        </w:sectPr>
      </w:pP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from write-off of fixed assets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17"/>
                <w:szCs w:val="17"/>
                <w:color w:val="auto"/>
              </w:rPr>
            </w:pP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(88.4)</w:t>
            </w:r>
          </w:p>
        </w:tc>
      </w:tr>
      <w:tr>
        <w:trPr>
          <w:trHeight w:val="486"/>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31.9</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(16.2)</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(0.9)</w:t>
            </w:r>
          </w:p>
        </w:tc>
      </w:tr>
      <w:tr>
        <w:trPr>
          <w:trHeight w:val="243"/>
        </w:trPr>
        <w:tc>
          <w:tcPr>
            <w:tcW w:w="6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22.5</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60"/>
        </w:trPr>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486"/>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52"/>
        </w:trPr>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28"/>
        </w:trPr>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43"/>
        </w:trPr>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450"/>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(56.3)</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5"/>
        </w:trPr>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16.2</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(39.6)</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73"/>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(47.7)</w:t>
            </w:r>
          </w:p>
        </w:tc>
      </w:tr>
      <w:tr>
        <w:trPr>
          <w:trHeight w:val="270"/>
        </w:trPr>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94.0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163.6</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83.1</w:t>
            </w:r>
          </w:p>
        </w:tc>
        <w:tc>
          <w:tcPr>
            <w:tcW w:w="100" w:type="dxa"/>
            <w:vAlign w:val="bottom"/>
          </w:tcPr>
          <w:p>
            <w:pPr>
              <w:spacing w:after="0"/>
              <w:rPr>
                <w:sz w:val="18"/>
                <w:szCs w:val="18"/>
                <w:color w:val="auto"/>
              </w:rPr>
            </w:pP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115.9</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40" w:space="720"/>
            <w:col w:w="3220"/>
          </w:cols>
          <w:pgMar w:left="380" w:top="1101" w:right="439" w:bottom="1440" w:gutter="0" w:footer="0" w:header="0"/>
          <w:type w:val="continuous"/>
        </w:sectPr>
      </w:pPr>
    </w:p>
    <w:bookmarkStart w:id="13" w:name="page14"/>
    <w:bookmarkEnd w:id="13"/>
    <w:p>
      <w:pPr>
        <w:ind w:left="42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Condensed Consolidated Statements of Cash Flow</w:t>
      </w:r>
    </w:p>
    <w:p>
      <w:pPr>
        <w:ind w:left="4740"/>
        <w:spacing w:after="0"/>
        <w:rPr>
          <w:sz w:val="20"/>
          <w:szCs w:val="20"/>
          <w:color w:val="auto"/>
        </w:rPr>
      </w:pPr>
      <w:r>
        <w:rPr>
          <w:rFonts w:ascii="Arial" w:cs="Arial" w:eastAsia="Arial" w:hAnsi="Arial"/>
          <w:sz w:val="20"/>
          <w:szCs w:val="20"/>
          <w:b w:val="1"/>
          <w:bCs w:val="1"/>
          <w:color w:val="auto"/>
        </w:rPr>
        <w:t>(in millions)</w:t>
      </w:r>
    </w:p>
    <w:p>
      <w:pPr>
        <w:ind w:left="48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620"/>
          </w:cols>
          <w:pgMar w:left="640" w:top="110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right="26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 payments,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 right-of-use asset amortization</w:t>
      </w:r>
    </w:p>
    <w:p>
      <w:pPr>
        <w:spacing w:after="0" w:line="82" w:lineRule="exact"/>
        <w:rPr>
          <w:sz w:val="20"/>
          <w:szCs w:val="20"/>
          <w:color w:val="auto"/>
        </w:rPr>
      </w:pPr>
    </w:p>
    <w:p>
      <w:pPr>
        <w:ind w:left="440"/>
        <w:spacing w:after="0" w:line="322" w:lineRule="auto"/>
        <w:rPr>
          <w:sz w:val="20"/>
          <w:szCs w:val="20"/>
          <w:color w:val="auto"/>
        </w:rPr>
      </w:pPr>
      <w:r>
        <w:rPr>
          <w:rFonts w:ascii="Arial" w:cs="Arial" w:eastAsia="Arial" w:hAnsi="Arial"/>
          <w:sz w:val="14"/>
          <w:szCs w:val="14"/>
          <w:color w:val="auto"/>
        </w:rPr>
        <w:t>Adjustments to ROU assets or lease liabilities due to modification or other reassessment events to operating and finance leases</w:t>
      </w: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911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599"/>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74.1</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105.9</w:t>
            </w:r>
          </w:p>
        </w:tc>
      </w:tr>
      <w:tr>
        <w:trPr>
          <w:trHeight w:val="230"/>
        </w:trPr>
        <w:tc>
          <w:tcPr>
            <w:tcW w:w="3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43"/>
        </w:trPr>
        <w:tc>
          <w:tcPr>
            <w:tcW w:w="32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83.1</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115.9</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73"/>
        </w:trPr>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r>
    </w:tbl>
    <w:p>
      <w:pPr>
        <w:spacing w:after="0" w:line="24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—10.6</w:t>
      </w:r>
    </w:p>
    <w:p>
      <w:pPr>
        <w:spacing w:after="0" w:line="82" w:lineRule="exact"/>
        <w:rPr>
          <w:sz w:val="20"/>
          <w:szCs w:val="20"/>
          <w:color w:val="auto"/>
        </w:rPr>
      </w:pPr>
    </w:p>
    <w:tbl>
      <w:tblPr>
        <w:tblLayout w:type="fixed"/>
        <w:tblInd w:w="1180" w:type="dxa"/>
        <w:tblCellMar>
          <w:top w:w="0" w:type="dxa"/>
          <w:left w:w="0" w:type="dxa"/>
          <w:bottom w:w="0" w:type="dxa"/>
          <w:right w:w="0" w:type="dxa"/>
        </w:tblCellMar>
      </w:tblPr>
      <w:tr>
        <w:trPr>
          <w:trHeight w:val="190"/>
        </w:trPr>
        <w:tc>
          <w:tcPr>
            <w:tcW w:w="840" w:type="dxa"/>
            <w:vAlign w:val="bottom"/>
          </w:tcPr>
          <w:p>
            <w:pPr>
              <w:jc w:val="right"/>
              <w:ind w:right="568"/>
              <w:spacing w:after="0"/>
              <w:rPr>
                <w:sz w:val="20"/>
                <w:szCs w:val="20"/>
                <w:color w:val="auto"/>
              </w:rPr>
            </w:pPr>
            <w:r>
              <w:rPr>
                <w:rFonts w:ascii="Arial" w:cs="Arial" w:eastAsia="Arial" w:hAnsi="Arial"/>
                <w:sz w:val="14"/>
                <w:szCs w:val="14"/>
                <w:color w:val="auto"/>
                <w:w w:val="92"/>
              </w:rPr>
              <w:t>0.1</w:t>
            </w: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840" w:type="dxa"/>
            <w:vAlign w:val="bottom"/>
          </w:tcPr>
          <w:p>
            <w:pPr>
              <w:jc w:val="right"/>
              <w:ind w:right="568"/>
              <w:spacing w:after="0"/>
              <w:rPr>
                <w:sz w:val="20"/>
                <w:szCs w:val="20"/>
                <w:color w:val="auto"/>
              </w:rPr>
            </w:pPr>
            <w:r>
              <w:rPr>
                <w:rFonts w:ascii="Arial" w:cs="Arial" w:eastAsia="Arial" w:hAnsi="Arial"/>
                <w:sz w:val="14"/>
                <w:szCs w:val="14"/>
                <w:color w:val="auto"/>
                <w:w w:val="92"/>
              </w:rPr>
              <w:t>6.7</w:t>
            </w:r>
          </w:p>
        </w:tc>
        <w:tc>
          <w:tcPr>
            <w:tcW w:w="920" w:type="dxa"/>
            <w:vAlign w:val="bottom"/>
          </w:tcPr>
          <w:p>
            <w:pPr>
              <w:jc w:val="right"/>
              <w:spacing w:after="0"/>
              <w:rPr>
                <w:sz w:val="20"/>
                <w:szCs w:val="20"/>
                <w:color w:val="auto"/>
              </w:rPr>
            </w:pPr>
            <w:r>
              <w:rPr>
                <w:rFonts w:ascii="Arial" w:cs="Arial" w:eastAsia="Arial" w:hAnsi="Arial"/>
                <w:sz w:val="14"/>
                <w:szCs w:val="14"/>
                <w:color w:val="auto"/>
              </w:rPr>
              <w:t>17.3</w:t>
            </w:r>
          </w:p>
        </w:tc>
      </w:tr>
    </w:tbl>
    <w:p>
      <w:pPr>
        <w:sectPr>
          <w:pgSz w:w="11900" w:h="16838" w:orient="portrait"/>
          <w:cols w:equalWidth="0" w:num="2">
            <w:col w:w="7320" w:space="300"/>
            <w:col w:w="3000"/>
          </w:cols>
          <w:pgMar w:left="640" w:top="1101" w:right="639" w:bottom="1440" w:gutter="0" w:footer="0" w:header="0"/>
          <w:type w:val="continuous"/>
        </w:sectPr>
      </w:pPr>
    </w:p>
    <w:bookmarkStart w:id="14" w:name="page15"/>
    <w:bookmarkEnd w:id="14"/>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right="20"/>
        <w:spacing w:after="0" w:line="243"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ectPr>
          <w:pgSz w:w="11900" w:h="16838" w:orient="portrait"/>
          <w:cols w:equalWidth="0" w:num="1">
            <w:col w:w="11213"/>
          </w:cols>
          <w:pgMar w:left="247" w:top="110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loss</w:t>
      </w:r>
    </w:p>
    <w:p>
      <w:pPr>
        <w:spacing w:after="0" w:line="8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77" w:lineRule="exact"/>
        <w:rPr>
          <w:sz w:val="20"/>
          <w:szCs w:val="20"/>
          <w:color w:val="auto"/>
        </w:rPr>
      </w:pPr>
    </w:p>
    <w:p>
      <w:pPr>
        <w:ind w:left="93"/>
        <w:spacing w:after="0"/>
        <w:rPr>
          <w:sz w:val="20"/>
          <w:szCs w:val="20"/>
          <w:color w:val="auto"/>
        </w:rPr>
      </w:pPr>
      <w:r>
        <w:rPr>
          <w:rFonts w:ascii="Arial" w:cs="Arial" w:eastAsia="Arial" w:hAnsi="Arial"/>
          <w:sz w:val="17"/>
          <w:szCs w:val="17"/>
          <w:color w:val="auto"/>
        </w:rPr>
        <w:t xml:space="preserve">Other depreciation and amortization </w:t>
      </w:r>
      <w:r>
        <w:rPr>
          <w:rFonts w:ascii="Arial" w:cs="Arial" w:eastAsia="Arial" w:hAnsi="Arial"/>
          <w:sz w:val="22"/>
          <w:szCs w:val="22"/>
          <w:color w:val="auto"/>
          <w:vertAlign w:val="superscript"/>
        </w:rPr>
        <w:t>(2)</w:t>
      </w:r>
    </w:p>
    <w:p>
      <w:pPr>
        <w:spacing w:after="0" w:line="5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2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Non-ordinary course legal fees </w:t>
      </w:r>
      <w:r>
        <w:rPr>
          <w:rFonts w:ascii="Arial" w:cs="Arial" w:eastAsia="Arial" w:hAnsi="Arial"/>
          <w:sz w:val="23"/>
          <w:szCs w:val="23"/>
          <w:color w:val="auto"/>
          <w:vertAlign w:val="superscript"/>
        </w:rPr>
        <w:t>(6)</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(7)</w:t>
      </w:r>
    </w:p>
    <w:p>
      <w:pPr>
        <w:spacing w:after="0" w:line="33" w:lineRule="exact"/>
        <w:rPr>
          <w:sz w:val="20"/>
          <w:szCs w:val="20"/>
          <w:color w:val="auto"/>
        </w:rPr>
      </w:pPr>
    </w:p>
    <w:p>
      <w:pPr>
        <w:ind w:left="93" w:right="840"/>
        <w:spacing w:after="0" w:line="339" w:lineRule="auto"/>
        <w:rPr>
          <w:sz w:val="20"/>
          <w:szCs w:val="20"/>
          <w:color w:val="auto"/>
        </w:rPr>
      </w:pPr>
      <w:r>
        <w:rPr>
          <w:rFonts w:ascii="Arial" w:cs="Arial" w:eastAsia="Arial" w:hAnsi="Arial"/>
          <w:sz w:val="18"/>
          <w:szCs w:val="18"/>
          <w:color w:val="auto"/>
        </w:rPr>
        <w:t xml:space="preserve">Income tax (benefit) / expense Other (income) / expense, net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Other (gains) / losses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Adjusted EBITDA</w:t>
      </w:r>
    </w:p>
    <w:p>
      <w:pPr>
        <w:spacing w:after="0" w:line="2"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Pr>
          <w:p>
            <w:pPr>
              <w:spacing w:after="0"/>
              <w:rPr>
                <w:sz w:val="17"/>
                <w:szCs w:val="17"/>
                <w:color w:val="auto"/>
              </w:rPr>
            </w:pPr>
          </w:p>
        </w:tc>
        <w:tc>
          <w:tcPr>
            <w:tcW w:w="32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October 31,</w:t>
            </w:r>
          </w:p>
        </w:tc>
        <w:tc>
          <w:tcPr>
            <w:tcW w:w="380" w:type="dxa"/>
            <w:vAlign w:val="bottom"/>
          </w:tcPr>
          <w:p>
            <w:pPr>
              <w:spacing w:after="0"/>
              <w:rPr>
                <w:sz w:val="17"/>
                <w:szCs w:val="17"/>
                <w:color w:val="auto"/>
              </w:rPr>
            </w:pPr>
          </w:p>
        </w:tc>
        <w:tc>
          <w:tcPr>
            <w:tcW w:w="30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 October 31,</w:t>
            </w:r>
          </w:p>
        </w:tc>
      </w:tr>
      <w:tr>
        <w:trPr>
          <w:trHeight w:val="237"/>
        </w:trPr>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r>
      <w:tr>
        <w:trPr>
          <w:trHeight w:val="228"/>
        </w:trPr>
        <w:tc>
          <w:tcPr>
            <w:tcW w:w="340" w:type="dxa"/>
            <w:vAlign w:val="bottom"/>
          </w:tcPr>
          <w:p>
            <w:pPr>
              <w:spacing w:after="0"/>
              <w:rPr>
                <w:sz w:val="19"/>
                <w:szCs w:val="19"/>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r>
      <w:tr>
        <w:trPr>
          <w:trHeight w:val="27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(88.4)</w:t>
            </w:r>
          </w:p>
        </w:tc>
      </w:tr>
      <w:tr>
        <w:trPr>
          <w:trHeight w:val="297"/>
        </w:trPr>
        <w:tc>
          <w:tcPr>
            <w:tcW w:w="340" w:type="dxa"/>
            <w:vAlign w:val="bottom"/>
          </w:tcPr>
          <w:p>
            <w:pPr>
              <w:spacing w:after="0"/>
              <w:rPr>
                <w:sz w:val="24"/>
                <w:szCs w:val="24"/>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28.3</w:t>
            </w:r>
          </w:p>
        </w:tc>
      </w:tr>
      <w:tr>
        <w:trPr>
          <w:trHeight w:val="297"/>
        </w:trPr>
        <w:tc>
          <w:tcPr>
            <w:tcW w:w="340" w:type="dxa"/>
            <w:vAlign w:val="bottom"/>
          </w:tcPr>
          <w:p>
            <w:pPr>
              <w:spacing w:after="0"/>
              <w:rPr>
                <w:sz w:val="24"/>
                <w:szCs w:val="24"/>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40.4</w:t>
            </w:r>
          </w:p>
        </w:tc>
      </w:tr>
      <w:tr>
        <w:trPr>
          <w:trHeight w:val="297"/>
        </w:trPr>
        <w:tc>
          <w:tcPr>
            <w:tcW w:w="340" w:type="dxa"/>
            <w:vAlign w:val="bottom"/>
          </w:tcPr>
          <w:p>
            <w:pPr>
              <w:spacing w:after="0"/>
              <w:rPr>
                <w:sz w:val="24"/>
                <w:szCs w:val="24"/>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11.0</w:t>
            </w:r>
          </w:p>
        </w:tc>
      </w:tr>
      <w:tr>
        <w:trPr>
          <w:trHeight w:val="297"/>
        </w:trPr>
        <w:tc>
          <w:tcPr>
            <w:tcW w:w="340" w:type="dxa"/>
            <w:vAlign w:val="bottom"/>
          </w:tcPr>
          <w:p>
            <w:pPr>
              <w:spacing w:after="0"/>
              <w:rPr>
                <w:sz w:val="24"/>
                <w:szCs w:val="24"/>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21.1</w:t>
            </w:r>
          </w:p>
        </w:tc>
      </w:tr>
      <w:tr>
        <w:trPr>
          <w:trHeight w:val="297"/>
        </w:trPr>
        <w:tc>
          <w:tcPr>
            <w:tcW w:w="340" w:type="dxa"/>
            <w:vAlign w:val="bottom"/>
          </w:tcPr>
          <w:p>
            <w:pPr>
              <w:spacing w:after="0"/>
              <w:rPr>
                <w:sz w:val="24"/>
                <w:szCs w:val="24"/>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2.6</w:t>
            </w:r>
          </w:p>
        </w:tc>
      </w:tr>
      <w:tr>
        <w:trPr>
          <w:trHeight w:val="297"/>
        </w:trPr>
        <w:tc>
          <w:tcPr>
            <w:tcW w:w="340" w:type="dxa"/>
            <w:vAlign w:val="bottom"/>
          </w:tcPr>
          <w:p>
            <w:pPr>
              <w:spacing w:after="0"/>
              <w:rPr>
                <w:sz w:val="24"/>
                <w:szCs w:val="24"/>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0.6</w:t>
            </w:r>
          </w:p>
        </w:tc>
      </w:tr>
      <w:tr>
        <w:trPr>
          <w:trHeight w:val="297"/>
        </w:trPr>
        <w:tc>
          <w:tcPr>
            <w:tcW w:w="340" w:type="dxa"/>
            <w:vAlign w:val="bottom"/>
          </w:tcPr>
          <w:p>
            <w:pPr>
              <w:spacing w:after="0"/>
              <w:rPr>
                <w:sz w:val="24"/>
                <w:szCs w:val="24"/>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97"/>
        </w:trPr>
        <w:tc>
          <w:tcPr>
            <w:tcW w:w="340" w:type="dxa"/>
            <w:vAlign w:val="bottom"/>
          </w:tcPr>
          <w:p>
            <w:pPr>
              <w:spacing w:after="0"/>
              <w:rPr>
                <w:sz w:val="24"/>
                <w:szCs w:val="2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340" w:type="dxa"/>
            <w:vAlign w:val="bottom"/>
          </w:tcPr>
          <w:p>
            <w:pPr>
              <w:spacing w:after="0"/>
              <w:rPr>
                <w:sz w:val="24"/>
                <w:szCs w:val="2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(0.3)</w:t>
            </w:r>
          </w:p>
        </w:tc>
      </w:tr>
      <w:tr>
        <w:trPr>
          <w:trHeight w:val="297"/>
        </w:trPr>
        <w:tc>
          <w:tcPr>
            <w:tcW w:w="340" w:type="dxa"/>
            <w:vAlign w:val="bottom"/>
          </w:tcPr>
          <w:p>
            <w:pPr>
              <w:spacing w:after="0"/>
              <w:rPr>
                <w:sz w:val="24"/>
                <w:szCs w:val="24"/>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(0.3)</w:t>
            </w:r>
          </w:p>
        </w:tc>
      </w:tr>
      <w:tr>
        <w:trPr>
          <w:trHeight w:val="297"/>
        </w:trPr>
        <w:tc>
          <w:tcPr>
            <w:tcW w:w="340" w:type="dxa"/>
            <w:vAlign w:val="bottom"/>
          </w:tcPr>
          <w:p>
            <w:pPr>
              <w:spacing w:after="0"/>
              <w:rPr>
                <w:sz w:val="24"/>
                <w:szCs w:val="2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0.5</w:t>
            </w:r>
          </w:p>
        </w:tc>
      </w:tr>
      <w:tr>
        <w:trPr>
          <w:trHeight w:val="37"/>
        </w:trPr>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15.7</w:t>
            </w:r>
          </w:p>
        </w:tc>
      </w:tr>
      <w:tr>
        <w:trPr>
          <w:trHeight w:val="37"/>
        </w:trPr>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4"/>
        </w:trPr>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12.3 %</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12.8 %</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7.1 %</w:t>
            </w:r>
          </w:p>
        </w:tc>
      </w:tr>
    </w:tbl>
    <w:p>
      <w:pPr>
        <w:spacing w:after="0" w:line="223" w:lineRule="exact"/>
        <w:rPr>
          <w:sz w:val="20"/>
          <w:szCs w:val="20"/>
          <w:color w:val="auto"/>
        </w:rPr>
      </w:pPr>
    </w:p>
    <w:p>
      <w:pPr>
        <w:sectPr>
          <w:pgSz w:w="11900" w:h="16838" w:orient="portrait"/>
          <w:cols w:equalWidth="0" w:num="2">
            <w:col w:w="3513" w:space="720"/>
            <w:col w:w="6980"/>
          </w:cols>
          <w:pgMar w:left="247" w:top="1101" w:right="439" w:bottom="1440" w:gutter="0" w:footer="0" w:header="0"/>
          <w:type w:val="continuous"/>
        </w:sectPr>
      </w:pPr>
    </w:p>
    <w:p>
      <w:pPr>
        <w:spacing w:after="0" w:line="371" w:lineRule="exact"/>
        <w:rPr>
          <w:sz w:val="20"/>
          <w:szCs w:val="20"/>
          <w:color w:val="auto"/>
        </w:rPr>
      </w:pPr>
    </w:p>
    <w:p>
      <w:pPr>
        <w:ind w:left="333" w:right="140" w:hanging="333"/>
        <w:spacing w:after="0" w:line="305" w:lineRule="auto"/>
        <w:tabs>
          <w:tab w:leader="none" w:pos="326"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Includes debt discount amortization of $6.9 million in the three months ended October 31, 2024, $1.8 million in the three months ended October 31, 2023, $20.0 million in the nine months ended October 31, 2024 and $5.2 million in the nine months ended October 31, 2023.</w:t>
      </w:r>
    </w:p>
    <w:p>
      <w:pPr>
        <w:spacing w:after="0" w:line="35" w:lineRule="exact"/>
        <w:rPr>
          <w:rFonts w:ascii="Arial" w:cs="Arial" w:eastAsia="Arial" w:hAnsi="Arial"/>
          <w:sz w:val="9"/>
          <w:szCs w:val="9"/>
          <w:color w:val="auto"/>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9"/>
          <w:szCs w:val="9"/>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36" w:lineRule="exact"/>
        <w:rPr>
          <w:rFonts w:ascii="Arial" w:cs="Arial" w:eastAsia="Arial" w:hAnsi="Arial"/>
          <w:sz w:val="9"/>
          <w:szCs w:val="9"/>
          <w:color w:val="auto"/>
        </w:rPr>
      </w:pPr>
    </w:p>
    <w:p>
      <w:pPr>
        <w:ind w:left="333" w:right="220" w:hanging="333"/>
        <w:spacing w:after="0" w:line="345" w:lineRule="auto"/>
        <w:tabs>
          <w:tab w:leader="none" w:pos="326" w:val="left"/>
        </w:tabs>
        <w:numPr>
          <w:ilvl w:val="0"/>
          <w:numId w:val="7"/>
        </w:numPr>
        <w:rPr>
          <w:rFonts w:ascii="Arial" w:cs="Arial" w:eastAsia="Arial" w:hAnsi="Arial"/>
          <w:sz w:val="9"/>
          <w:szCs w:val="9"/>
          <w:color w:val="auto"/>
        </w:rPr>
      </w:pPr>
      <w:r>
        <w:rPr>
          <w:rFonts w:ascii="Arial" w:cs="Arial" w:eastAsia="Arial" w:hAnsi="Arial"/>
          <w:sz w:val="14"/>
          <w:szCs w:val="14"/>
          <w:color w:val="auto"/>
        </w:rPr>
        <w:t>Non-recurring adjustments for the three and nine months ended October 31, 2024 includes $0.1 million of costs related to one-time professional fees. Non-recurring adjustments for the three and nine months ended October 31, 2023 includes $0.1 million and $0.6 million, respectively, of costs primarily related to the option exchange.</w:t>
      </w:r>
    </w:p>
    <w:p>
      <w:pPr>
        <w:spacing w:after="0" w:line="36" w:lineRule="exact"/>
        <w:rPr>
          <w:rFonts w:ascii="Arial" w:cs="Arial" w:eastAsia="Arial" w:hAnsi="Arial"/>
          <w:sz w:val="9"/>
          <w:szCs w:val="9"/>
          <w:color w:val="auto"/>
        </w:rPr>
      </w:pPr>
    </w:p>
    <w:p>
      <w:pPr>
        <w:ind w:left="333" w:right="140" w:hanging="333"/>
        <w:spacing w:after="0" w:line="239"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Non-ordinary course legal fees for the three and nine months ended October 31, 2024 includes $0.1 million of costs related to a class action lawsuit. Non-ordinary course legal fees for the three and nine months ended October 31, 2023 includes $0.2 million of costs related to a class action lawsuit.</w:t>
      </w:r>
    </w:p>
    <w:p>
      <w:pPr>
        <w:spacing w:after="0" w:line="79"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Includes other (income) / expense recognized in the period.</w:t>
      </w:r>
    </w:p>
    <w:p>
      <w:pPr>
        <w:spacing w:after="0" w:line="136" w:lineRule="exact"/>
        <w:rPr>
          <w:rFonts w:ascii="Arial" w:cs="Arial" w:eastAsia="Arial" w:hAnsi="Arial"/>
          <w:sz w:val="9"/>
          <w:szCs w:val="9"/>
          <w:color w:val="auto"/>
        </w:rPr>
      </w:pPr>
    </w:p>
    <w:p>
      <w:pPr>
        <w:ind w:left="333" w:right="180" w:hanging="333"/>
        <w:spacing w:after="0" w:line="345" w:lineRule="auto"/>
        <w:tabs>
          <w:tab w:leader="none" w:pos="326"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8" w:lineRule="exact"/>
        <w:rPr>
          <w:rFonts w:ascii="Arial" w:cs="Arial" w:eastAsia="Arial" w:hAnsi="Arial"/>
          <w:sz w:val="9"/>
          <w:szCs w:val="9"/>
          <w:color w:val="auto"/>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213"/>
          </w:cols>
          <w:pgMar w:left="247" w:top="1101" w:right="439" w:bottom="1440" w:gutter="0" w:footer="0" w:header="0"/>
          <w:type w:val="continuous"/>
        </w:sectPr>
      </w:pPr>
    </w:p>
    <w:bookmarkStart w:id="15" w:name="page16"/>
    <w:bookmarkEnd w:id="15"/>
    <w:p>
      <w:pPr>
        <w:spacing w:after="0" w:line="1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342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Nine Months Ended October 31,</w:t>
            </w: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r>
      <w:tr>
        <w:trPr>
          <w:trHeight w:val="228"/>
        </w:trPr>
        <w:tc>
          <w:tcPr>
            <w:tcW w:w="7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r>
      <w:tr>
        <w:trPr>
          <w:trHeight w:val="276"/>
        </w:trPr>
        <w:tc>
          <w:tcPr>
            <w:tcW w:w="76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(7.7)</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3"/>
              </w:rPr>
              <w:t>(41.4)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(56.3)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00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3.7</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00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16.2</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(3.2)</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86"/>
        </w:trPr>
        <w:tc>
          <w:tcPr>
            <w:tcW w:w="7620" w:type="dxa"/>
            <w:vAlign w:val="bottom"/>
          </w:tcPr>
          <w:p>
            <w:pPr>
              <w:spacing w:after="0"/>
              <w:rPr>
                <w:sz w:val="20"/>
                <w:szCs w:val="20"/>
                <w:color w:val="auto"/>
              </w:rPr>
            </w:pPr>
            <w:r>
              <w:rPr>
                <w:rFonts w:ascii="Arial" w:cs="Arial" w:eastAsia="Arial" w:hAnsi="Arial"/>
                <w:sz w:val="18"/>
                <w:szCs w:val="18"/>
                <w:color w:val="auto"/>
              </w:rPr>
              <w:t>Free Cash Flow</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(47.3)</w:t>
            </w:r>
          </w:p>
        </w:tc>
      </w:tr>
      <w:tr>
        <w:trPr>
          <w:trHeight w:val="25"/>
        </w:trPr>
        <w:tc>
          <w:tcPr>
            <w:tcW w:w="7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r>
    </w:tbl>
    <w:p>
      <w:pPr>
        <w:sectPr>
          <w:pgSz w:w="11900" w:h="16838" w:orient="portrait"/>
          <w:cols w:equalWidth="0" w:num="1">
            <w:col w:w="11060"/>
          </w:cols>
          <w:pgMar w:left="320" w:top="1440" w:right="519" w:bottom="1440" w:gutter="0" w:footer="0" w:header="0"/>
        </w:sectPr>
      </w:pPr>
    </w:p>
    <w:bookmarkStart w:id="16" w:name="page17"/>
    <w:bookmarkEnd w:id="16"/>
    <w:p>
      <w:pPr>
        <w:spacing w:after="0" w:line="2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197" w:lineRule="auto"/>
        <w:rPr>
          <w:sz w:val="20"/>
          <w:szCs w:val="20"/>
          <w:color w:val="auto"/>
        </w:rPr>
      </w:pPr>
      <w:r>
        <w:rPr>
          <w:rFonts w:ascii="Arial" w:cs="Arial" w:eastAsia="Arial" w:hAnsi="Arial"/>
          <w:sz w:val="20"/>
          <w:szCs w:val="20"/>
          <w:b w:val="1"/>
          <w:bCs w:val="1"/>
          <w:color w:val="auto"/>
        </w:rPr>
        <w:t>Reconciliation of GAAP to Non-GAAP Financial Measures</w:t>
      </w:r>
    </w:p>
    <w:p>
      <w:pPr>
        <w:jc w:val="center"/>
        <w:ind w:right="-159"/>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a reconciliation of net loss, the most comparable GAAP financial measure, to Free Cash Flow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for the periods presented:</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34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4"/>
                <w:szCs w:val="14"/>
                <w:b w:val="1"/>
                <w:bCs w:val="1"/>
                <w:color w:val="auto"/>
              </w:rPr>
              <w:t>Nine Months Ended October 31,</w:t>
            </w: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r>
      <w:tr>
        <w:trPr>
          <w:trHeight w:val="228"/>
        </w:trPr>
        <w:tc>
          <w:tcPr>
            <w:tcW w:w="7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r>
      <w:tr>
        <w:trPr>
          <w:trHeight w:val="276"/>
        </w:trPr>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3"/>
              </w:rPr>
              <w:t>(56.5)</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(88.4)</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Interest (income) / expense, net</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28.3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Rental product depreciation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40.4</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depreciation and amortization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11.0</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21.1</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Write-off of liquidated assets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Non-recurring adjustments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Non-ordinary course legal fees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Restructuring charges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Income tax (benefit) / expense</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(0.3)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(income) / expense, net</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(0.3)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(gains) / losses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0.5</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Adjusted EBITDA</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15.7</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0" w:type="dxa"/>
            <w:vAlign w:val="bottom"/>
          </w:tcPr>
          <w:p>
            <w:pPr>
              <w:spacing w:after="0"/>
              <w:rPr>
                <w:sz w:val="22"/>
                <w:szCs w:val="22"/>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3"/>
              </w:rPr>
              <w:t>(41.4)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(56.3)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(3.2)</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(4.8)</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earned</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4.2</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Change in assets and liabilities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(2.7)</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Non-recurring adjustments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(0.6)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Non-ordinary course legal fees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(0.2)</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Restructuring charges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adjustments (1)</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0.6</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(47.3)</w:t>
            </w:r>
          </w:p>
        </w:tc>
      </w:tr>
      <w:tr>
        <w:trPr>
          <w:trHeight w:val="36"/>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hanging="152"/>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4"/>
          <w:szCs w:val="14"/>
          <w:color w:val="auto"/>
        </w:rPr>
        <w:t>Other adjustments primarily includes cash tax adjustments and other cash gains (losses).</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emdash "/>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2024-12-09T07:10:44Z</dcterms:created>
  <dcterms:modified xsi:type="dcterms:W3CDTF">2024-12-09T07:10:44Z</dcterms:modified>
</cp:coreProperties>
</file>