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11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506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39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61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44</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432.19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123</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919.77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523</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3633.46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w:t>
      </w:r>
    </w:p>
    <w:p>
      <w:pPr>
        <w:spacing w:after="0" w:line="14" w:lineRule="exact"/>
        <w:rPr>
          <w:sz w:val="20"/>
          <w:szCs w:val="20"/>
          <w:color w:val="auto"/>
        </w:rPr>
      </w:pPr>
    </w:p>
    <w:p>
      <w:pPr>
        <w:ind w:left="2240" w:right="18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standing Rule 10b5-1 sell to cover instruction. Amounts in Table I and II have been adjusted to reflect the 1-for-20 reverse stock split that became effective on April 2, 2024. Exhibit 24.1 - Power of</w:t>
      </w:r>
    </w:p>
    <w:p>
      <w:pPr>
        <w:ind w:left="2240"/>
        <w:spacing w:after="0"/>
        <w:rPr>
          <w:sz w:val="20"/>
          <w:szCs w:val="20"/>
          <w:color w:val="auto"/>
        </w:rPr>
      </w:pPr>
      <w:r>
        <w:rPr>
          <w:rFonts w:ascii="Times New Roman" w:cs="Times New Roman" w:eastAsia="Times New Roman" w:hAnsi="Times New Roman"/>
          <w:sz w:val="22"/>
          <w:szCs w:val="22"/>
          <w:color w:val="auto"/>
        </w:rPr>
        <w:t>Attorney</w:t>
      </w:r>
    </w:p>
    <w:p>
      <w:pPr>
        <w:sectPr>
          <w:pgSz w:w="11900" w:h="16838" w:orient="portrait"/>
          <w:cols w:equalWidth="0" w:num="1">
            <w:col w:w="11240"/>
          </w:cols>
          <w:pgMar w:left="320" w:top="98" w:right="339" w:bottom="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w:t>
      </w:r>
    </w:p>
    <w:p>
      <w:pPr>
        <w:spacing w:after="0" w:line="866" w:lineRule="exact"/>
        <w:rPr>
          <w:sz w:val="20"/>
          <w:szCs w:val="20"/>
          <w:color w:val="auto"/>
        </w:rPr>
      </w:pPr>
    </w:p>
    <w:p>
      <w:pPr>
        <w:sectPr>
          <w:pgSz w:w="11900" w:h="16838" w:orient="portrait"/>
          <w:cols w:equalWidth="0" w:num="2">
            <w:col w:w="2160" w:space="80"/>
            <w:col w:w="900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11"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Andrew 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165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Andrew Rau</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2024-05-01T08:21:01Z</dcterms:created>
  <dcterms:modified xsi:type="dcterms:W3CDTF">2024-05-01T08:21:01Z</dcterms:modified>
</cp:coreProperties>
</file>