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Bain Capital Venture Fund 2009,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20" w:h="16838" w:orient="portrait"/>
          <w:cols w:equalWidth="0" w:num="2">
            <w:col w:w="1040" w:space="60"/>
            <w:col w:w="8998"/>
          </w:cols>
          <w:pgMar w:left="380" w:top="161" w:right="1440" w:bottom="24"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BCIP Venture Associates</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61" w:right="1440" w:bottom="24"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20" w:h="16838" w:orient="portrait"/>
          <w:cols w:equalWidth="0" w:num="2">
            <w:col w:w="1040" w:space="60"/>
            <w:col w:w="8998"/>
          </w:cols>
          <w:pgMar w:left="380" w:top="161" w:right="1440" w:bottom="24" w:gutter="0" w:footer="0" w:header="0"/>
          <w:type w:val="continuous"/>
        </w:sectPr>
      </w:pPr>
    </w:p>
    <w:bookmarkStart w:id="2" w:name="page3"/>
    <w:bookmarkEnd w:id="2"/>
    <w:p>
      <w:pPr>
        <w:spacing w:after="0" w:line="7"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ind w:left="1107"/>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BCIP Venture Associates-B</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46" w:orient="portrait"/>
          <w:cols w:equalWidth="0" w:num="1">
            <w:col w:w="10947"/>
          </w:cols>
          <w:pgMar w:left="373" w:top="106" w:right="598" w:bottom="0" w:gutter="0" w:footer="0" w:header="0"/>
        </w:sectPr>
      </w:pPr>
    </w:p>
    <w:p>
      <w:pPr>
        <w:spacing w:after="0" w:line="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20" w:h="16846" w:orient="portrait"/>
          <w:cols w:equalWidth="0" w:num="2">
            <w:col w:w="1047" w:space="60"/>
            <w:col w:w="9840"/>
          </w:cols>
          <w:pgMar w:left="373" w:top="106" w:right="59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10 Jay Street, Brooklyn, New York 11201.</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hanging="927"/>
        <w:spacing w:after="0"/>
        <w:tabs>
          <w:tab w:leader="none" w:pos="92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7"/>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filed jointly by Bain Capital Venture Fund 2009, L.P., a Delaware limited partnership ("BCV Fund 2009"), BCIP Venture Associates, a Delaware limited partnership ("BCIP Venture"), and BCIP Venture</w:t>
      </w:r>
    </w:p>
    <w:p>
      <w:pPr>
        <w:sectPr>
          <w:pgSz w:w="11920" w:h="16846" w:orient="portrait"/>
          <w:cols w:equalWidth="0" w:num="1">
            <w:col w:w="10947"/>
          </w:cols>
          <w:pgMar w:left="373" w:top="106" w:right="598"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140"/>
        <w:spacing w:after="0" w:line="245" w:lineRule="auto"/>
        <w:rPr>
          <w:sz w:val="20"/>
          <w:szCs w:val="20"/>
          <w:color w:val="auto"/>
        </w:rPr>
      </w:pPr>
      <w:r>
        <w:rPr>
          <w:rFonts w:ascii="Times New Roman" w:cs="Times New Roman" w:eastAsia="Times New Roman" w:hAnsi="Times New Roman"/>
          <w:sz w:val="21"/>
          <w:szCs w:val="21"/>
          <w:color w:val="auto"/>
        </w:rPr>
        <w:t>Associates-B, a Delaware limited partnership ("BCIP Venture-B" and, together with BCV Fund 2009 and BCIP Venture, the "Reporting Persons"). Bain Capital Venture Investors, LLC, a Delaware limited liability company ("BCVI"), is the general partner of Bain Capital Venture Partners 2009, L.P., a Delaware limited partnership ("BCV Partners 2009"), which is the general partner of BCV Fund 2009. Boylston Coinvestors, LLC, a Delaware limited liability company ("Boylston" and, together with the Reporting Persons, BCVI and BCV Partners 2009, the "Bain Capital Venture Entities"),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As a result, each of BCVI and Messrs. Salem and Agarwal may be deemed to share voting and dispositive power with respect to the securities held by the Reporting Persons. The Reporting Persons have entered into a Joint Filing Agreement, dated February 17, 2026, pursuant to which the Reporting Persons have agreed to file this Schedule 13G jointly in accordance with the provisions of Rule 13d-1(k)(1) promulgated under the Act.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Bain Capital Venture Entities and Messrs. Salem and Agarwal is 200 Clarendon Street,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76010Y202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72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40"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20" w:h="16838" w:orient="portrait"/>
          <w:cols w:equalWidth="0" w:num="2">
            <w:col w:w="607" w:space="320"/>
            <w:col w:w="10240"/>
          </w:cols>
          <w:pgMar w:left="373" w:top="106" w:right="378" w:bottom="0" w:gutter="0" w:footer="0" w:header="0"/>
        </w:sectPr>
      </w:pPr>
    </w:p>
    <w:p>
      <w:pPr>
        <w:spacing w:after="0" w:line="33" w:lineRule="exact"/>
        <w:rPr>
          <w:sz w:val="20"/>
          <w:szCs w:val="20"/>
          <w:color w:val="auto"/>
        </w:rPr>
      </w:pPr>
    </w:p>
    <w:p>
      <w:pPr>
        <w:ind w:left="927" w:hanging="927"/>
        <w:spacing w:after="0" w:line="185" w:lineRule="auto"/>
        <w:tabs>
          <w:tab w:leader="none" w:pos="927"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Reporting Persons did not beneficially own any shares of Common Stock as of the close of business on December 31, 2025.</w:t>
      </w:r>
    </w:p>
    <w:p>
      <w:pPr>
        <w:spacing w:after="0" w:line="17"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7" w:hanging="927"/>
        <w:spacing w:after="0"/>
        <w:tabs>
          <w:tab w:leader="none" w:pos="9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7" w:hanging="324"/>
        <w:spacing w:after="0"/>
        <w:tabs>
          <w:tab w:leader="none" w:pos="12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7" w:hanging="384"/>
        <w:spacing w:after="0"/>
        <w:tabs>
          <w:tab w:leader="none" w:pos="130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20" w:h="16838" w:orient="portrait"/>
          <w:cols w:equalWidth="0" w:num="1">
            <w:col w:w="11167"/>
          </w:cols>
          <w:pgMar w:left="373" w:top="106" w:right="378" w:bottom="0" w:gutter="0" w:footer="0" w:header="0"/>
          <w:type w:val="continuous"/>
        </w:sectPr>
      </w:pPr>
    </w:p>
    <w:p>
      <w:pPr>
        <w:spacing w:after="0" w:line="23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19"/>
          <w:szCs w:val="19"/>
          <w:color w:val="auto"/>
        </w:rPr>
        <w:t>0</w:t>
      </w:r>
    </w:p>
    <w:p>
      <w:pPr>
        <w:sectPr>
          <w:pgSz w:w="11920" w:h="16838" w:orient="portrait"/>
          <w:cols w:equalWidth="0" w:num="1">
            <w:col w:w="11167"/>
          </w:cols>
          <w:pgMar w:left="373" w:top="106" w:right="378"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ind w:left="364" w:hanging="364"/>
        <w:spacing w:after="0"/>
        <w:tabs>
          <w:tab w:leader="none" w:pos="36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20" w:h="16838" w:orient="portrait"/>
          <w:cols w:equalWidth="0" w:num="2">
            <w:col w:w="600" w:space="316"/>
            <w:col w:w="10264"/>
          </w:cols>
          <w:pgMar w:left="380" w:top="121" w:right="358"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Bain Capital Venture Fund 2009,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Friend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Friend, Partner of Bain Capital Venture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BCIP Venture Associates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Friend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Friend, Authorized Signatory of Boylston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BCIP Venture Associates-B</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Friend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Friend, Authorized Signatory of Boylston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20" w:h="16838" w:orient="portrait"/>
      <w:cols w:equalWidth="0" w:num="1">
        <w:col w:w="11180"/>
      </w:cols>
      <w:pgMar w:left="380" w:top="121" w:right="35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2026-02-17T17:31:48Z</dcterms:created>
  <dcterms:modified xsi:type="dcterms:W3CDTF">2026-02-17T17:31:48Z</dcterms:modified>
</cp:coreProperties>
</file>