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40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0001887442</w:t>
            </w:r>
          </w:p>
        </w:tc>
        <w:tc>
          <w:tcPr>
            <w:tcW w:w="32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40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24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406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2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4060" w:type="dxa"/>
            <w:vAlign w:val="bottom"/>
          </w:tcPr>
          <w:p>
            <w:pPr>
              <w:spacing w:after="0"/>
              <w:rPr>
                <w:sz w:val="24"/>
                <w:szCs w:val="24"/>
                <w:color w:val="auto"/>
              </w:rPr>
            </w:pPr>
          </w:p>
        </w:tc>
        <w:tc>
          <w:tcPr>
            <w:tcW w:w="324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4060" w:type="dxa"/>
            <w:vAlign w:val="bottom"/>
          </w:tcPr>
          <w:p>
            <w:pPr>
              <w:spacing w:after="0"/>
              <w:rPr>
                <w:sz w:val="24"/>
                <w:szCs w:val="24"/>
                <w:color w:val="auto"/>
              </w:rPr>
            </w:pPr>
          </w:p>
        </w:tc>
        <w:tc>
          <w:tcPr>
            <w:tcW w:w="32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060" w:type="dxa"/>
            <w:vAlign w:val="bottom"/>
          </w:tcPr>
          <w:p>
            <w:pPr>
              <w:spacing w:after="0"/>
              <w:rPr>
                <w:sz w:val="24"/>
                <w:szCs w:val="24"/>
                <w:color w:val="auto"/>
              </w:rPr>
            </w:pPr>
          </w:p>
        </w:tc>
        <w:tc>
          <w:tcPr>
            <w:tcW w:w="32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4060" w:type="dxa"/>
            <w:vAlign w:val="bottom"/>
          </w:tcPr>
          <w:p>
            <w:pPr>
              <w:spacing w:after="0"/>
              <w:rPr>
                <w:sz w:val="24"/>
                <w:szCs w:val="24"/>
                <w:color w:val="auto"/>
              </w:rPr>
            </w:pPr>
          </w:p>
        </w:tc>
        <w:tc>
          <w:tcPr>
            <w:tcW w:w="3240" w:type="dxa"/>
            <w:vAlign w:val="bottom"/>
          </w:tcPr>
          <w:p>
            <w:pPr>
              <w:spacing w:after="0"/>
              <w:rPr>
                <w:sz w:val="24"/>
                <w:szCs w:val="24"/>
                <w:color w:val="auto"/>
              </w:rPr>
            </w:pPr>
          </w:p>
        </w:tc>
      </w:tr>
      <w:tr>
        <w:trPr>
          <w:trHeight w:val="835"/>
        </w:trPr>
        <w:tc>
          <w:tcPr>
            <w:tcW w:w="706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24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4060" w:type="dxa"/>
            <w:vAlign w:val="bottom"/>
          </w:tcPr>
          <w:p>
            <w:pPr>
              <w:spacing w:after="0"/>
              <w:rPr>
                <w:sz w:val="24"/>
                <w:szCs w:val="24"/>
                <w:color w:val="auto"/>
              </w:rPr>
            </w:pPr>
          </w:p>
        </w:tc>
        <w:tc>
          <w:tcPr>
            <w:tcW w:w="3240" w:type="dxa"/>
            <w:vAlign w:val="bottom"/>
          </w:tcPr>
          <w:p>
            <w:pPr>
              <w:ind w:left="1320"/>
              <w:spacing w:after="0"/>
              <w:rPr>
                <w:sz w:val="20"/>
                <w:szCs w:val="20"/>
                <w:color w:val="auto"/>
              </w:rPr>
            </w:pPr>
            <w:r>
              <w:rPr>
                <w:rFonts w:ascii="Times New Roman" w:cs="Times New Roman" w:eastAsia="Times New Roman" w:hAnsi="Times New Roman"/>
                <w:sz w:val="22"/>
                <w:szCs w:val="22"/>
                <w:color w:val="auto"/>
                <w:w w:val="96"/>
              </w:rPr>
              <w:t>Rent the Runway,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4060" w:type="dxa"/>
            <w:vAlign w:val="bottom"/>
          </w:tcPr>
          <w:p>
            <w:pPr>
              <w:spacing w:after="0"/>
              <w:rPr>
                <w:sz w:val="24"/>
                <w:szCs w:val="24"/>
                <w:color w:val="auto"/>
              </w:rPr>
            </w:pPr>
          </w:p>
        </w:tc>
        <w:tc>
          <w:tcPr>
            <w:tcW w:w="3240" w:type="dxa"/>
            <w:vAlign w:val="bottom"/>
          </w:tcPr>
          <w:p>
            <w:pPr>
              <w:ind w:left="1320"/>
              <w:spacing w:after="0"/>
              <w:rPr>
                <w:sz w:val="20"/>
                <w:szCs w:val="20"/>
                <w:color w:val="auto"/>
              </w:rPr>
            </w:pPr>
            <w:r>
              <w:rPr>
                <w:rFonts w:ascii="Times New Roman" w:cs="Times New Roman" w:eastAsia="Times New Roman" w:hAnsi="Times New Roman"/>
                <w:sz w:val="22"/>
                <w:szCs w:val="22"/>
                <w:color w:val="auto"/>
              </w:rPr>
              <w:t>001-40958</w:t>
            </w:r>
          </w:p>
        </w:tc>
      </w:tr>
      <w:tr>
        <w:trPr>
          <w:trHeight w:val="258"/>
        </w:trPr>
        <w:tc>
          <w:tcPr>
            <w:tcW w:w="3000" w:type="dxa"/>
            <w:vAlign w:val="bottom"/>
          </w:tcPr>
          <w:p>
            <w:pPr>
              <w:spacing w:after="0"/>
              <w:rPr>
                <w:sz w:val="22"/>
                <w:szCs w:val="22"/>
                <w:color w:val="auto"/>
              </w:rPr>
            </w:pPr>
          </w:p>
        </w:tc>
        <w:tc>
          <w:tcPr>
            <w:tcW w:w="4060" w:type="dxa"/>
            <w:vAlign w:val="bottom"/>
          </w:tcPr>
          <w:p>
            <w:pPr>
              <w:spacing w:after="0"/>
              <w:rPr>
                <w:sz w:val="22"/>
                <w:szCs w:val="22"/>
                <w:color w:val="auto"/>
              </w:rPr>
            </w:pPr>
          </w:p>
        </w:tc>
        <w:tc>
          <w:tcPr>
            <w:tcW w:w="3240" w:type="dxa"/>
            <w:vAlign w:val="bottom"/>
          </w:tcPr>
          <w:p>
            <w:pPr>
              <w:ind w:left="1320"/>
              <w:spacing w:after="0"/>
              <w:rPr>
                <w:sz w:val="20"/>
                <w:szCs w:val="20"/>
                <w:color w:val="auto"/>
              </w:rPr>
            </w:pPr>
            <w:r>
              <w:rPr>
                <w:rFonts w:ascii="Times New Roman" w:cs="Times New Roman" w:eastAsia="Times New Roman" w:hAnsi="Times New Roman"/>
                <w:sz w:val="22"/>
                <w:szCs w:val="22"/>
                <w:color w:val="auto"/>
              </w:rPr>
              <w:t>10 Jay St</w:t>
            </w:r>
          </w:p>
        </w:tc>
      </w:tr>
      <w:tr>
        <w:trPr>
          <w:trHeight w:val="243"/>
        </w:trPr>
        <w:tc>
          <w:tcPr>
            <w:tcW w:w="3000" w:type="dxa"/>
            <w:vAlign w:val="bottom"/>
          </w:tcPr>
          <w:p>
            <w:pPr>
              <w:spacing w:after="0"/>
              <w:rPr>
                <w:sz w:val="21"/>
                <w:szCs w:val="21"/>
                <w:color w:val="auto"/>
              </w:rPr>
            </w:pPr>
          </w:p>
        </w:tc>
        <w:tc>
          <w:tcPr>
            <w:tcW w:w="4060" w:type="dxa"/>
            <w:vAlign w:val="bottom"/>
          </w:tcPr>
          <w:p>
            <w:pPr>
              <w:spacing w:after="0"/>
              <w:rPr>
                <w:sz w:val="21"/>
                <w:szCs w:val="21"/>
                <w:color w:val="auto"/>
              </w:rPr>
            </w:pPr>
          </w:p>
        </w:tc>
        <w:tc>
          <w:tcPr>
            <w:tcW w:w="3240" w:type="dxa"/>
            <w:vAlign w:val="bottom"/>
          </w:tcPr>
          <w:p>
            <w:pPr>
              <w:ind w:left="1320"/>
              <w:spacing w:after="0" w:line="243" w:lineRule="exact"/>
              <w:rPr>
                <w:sz w:val="20"/>
                <w:szCs w:val="20"/>
                <w:color w:val="auto"/>
              </w:rPr>
            </w:pPr>
            <w:r>
              <w:rPr>
                <w:rFonts w:ascii="Times New Roman" w:cs="Times New Roman" w:eastAsia="Times New Roman" w:hAnsi="Times New Roman"/>
                <w:sz w:val="22"/>
                <w:szCs w:val="22"/>
                <w:color w:val="auto"/>
              </w:rPr>
              <w:t>Suite 900</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4060" w:type="dxa"/>
            <w:vAlign w:val="bottom"/>
          </w:tcPr>
          <w:p>
            <w:pPr>
              <w:spacing w:after="0"/>
              <w:rPr>
                <w:sz w:val="21"/>
                <w:szCs w:val="21"/>
                <w:color w:val="auto"/>
              </w:rPr>
            </w:pPr>
          </w:p>
        </w:tc>
        <w:tc>
          <w:tcPr>
            <w:tcW w:w="3240" w:type="dxa"/>
            <w:vAlign w:val="bottom"/>
          </w:tcPr>
          <w:p>
            <w:pPr>
              <w:ind w:left="1320"/>
              <w:spacing w:after="0" w:line="243" w:lineRule="exact"/>
              <w:rPr>
                <w:sz w:val="20"/>
                <w:szCs w:val="20"/>
                <w:color w:val="auto"/>
              </w:rPr>
            </w:pPr>
            <w:r>
              <w:rPr>
                <w:rFonts w:ascii="Times New Roman" w:cs="Times New Roman" w:eastAsia="Times New Roman" w:hAnsi="Times New Roman"/>
                <w:sz w:val="22"/>
                <w:szCs w:val="22"/>
                <w:color w:val="auto"/>
              </w:rPr>
              <w:t>Brooklyn</w:t>
            </w:r>
          </w:p>
        </w:tc>
      </w:tr>
      <w:tr>
        <w:trPr>
          <w:trHeight w:val="243"/>
        </w:trPr>
        <w:tc>
          <w:tcPr>
            <w:tcW w:w="3000" w:type="dxa"/>
            <w:vAlign w:val="bottom"/>
          </w:tcPr>
          <w:p>
            <w:pPr>
              <w:spacing w:after="0"/>
              <w:rPr>
                <w:sz w:val="21"/>
                <w:szCs w:val="21"/>
                <w:color w:val="auto"/>
              </w:rPr>
            </w:pPr>
          </w:p>
        </w:tc>
        <w:tc>
          <w:tcPr>
            <w:tcW w:w="4060" w:type="dxa"/>
            <w:vAlign w:val="bottom"/>
          </w:tcPr>
          <w:p>
            <w:pPr>
              <w:spacing w:after="0"/>
              <w:rPr>
                <w:sz w:val="21"/>
                <w:szCs w:val="21"/>
                <w:color w:val="auto"/>
              </w:rPr>
            </w:pPr>
          </w:p>
        </w:tc>
        <w:tc>
          <w:tcPr>
            <w:tcW w:w="3240" w:type="dxa"/>
            <w:vAlign w:val="bottom"/>
          </w:tcPr>
          <w:p>
            <w:pPr>
              <w:ind w:left="1320"/>
              <w:spacing w:after="0" w:line="243" w:lineRule="exact"/>
              <w:rPr>
                <w:sz w:val="20"/>
                <w:szCs w:val="20"/>
                <w:color w:val="auto"/>
              </w:rPr>
            </w:pPr>
            <w:r>
              <w:rPr>
                <w:rFonts w:ascii="Times New Roman" w:cs="Times New Roman" w:eastAsia="Times New Roman" w:hAnsi="Times New Roman"/>
                <w:sz w:val="22"/>
                <w:szCs w:val="22"/>
                <w:color w:val="auto"/>
              </w:rPr>
              <w:t>NEW YORK</w:t>
            </w:r>
          </w:p>
        </w:tc>
      </w:tr>
      <w:tr>
        <w:trPr>
          <w:trHeight w:val="282"/>
        </w:trPr>
        <w:tc>
          <w:tcPr>
            <w:tcW w:w="300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3240" w:type="dxa"/>
            <w:vAlign w:val="bottom"/>
          </w:tcPr>
          <w:p>
            <w:pPr>
              <w:ind w:left="1320"/>
              <w:spacing w:after="0"/>
              <w:rPr>
                <w:sz w:val="20"/>
                <w:szCs w:val="20"/>
                <w:color w:val="auto"/>
              </w:rPr>
            </w:pPr>
            <w:r>
              <w:rPr>
                <w:rFonts w:ascii="Times New Roman" w:cs="Times New Roman" w:eastAsia="Times New Roman" w:hAnsi="Times New Roman"/>
                <w:sz w:val="22"/>
                <w:szCs w:val="22"/>
                <w:color w:val="auto"/>
              </w:rPr>
              <w:t>11201</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060" w:type="dxa"/>
            <w:vAlign w:val="bottom"/>
          </w:tcPr>
          <w:p>
            <w:pPr>
              <w:spacing w:after="0"/>
              <w:rPr>
                <w:sz w:val="24"/>
                <w:szCs w:val="24"/>
                <w:color w:val="auto"/>
              </w:rPr>
            </w:pPr>
          </w:p>
        </w:tc>
        <w:tc>
          <w:tcPr>
            <w:tcW w:w="3240" w:type="dxa"/>
            <w:vAlign w:val="bottom"/>
          </w:tcPr>
          <w:p>
            <w:pPr>
              <w:ind w:left="1320"/>
              <w:spacing w:after="0"/>
              <w:rPr>
                <w:sz w:val="20"/>
                <w:szCs w:val="20"/>
                <w:color w:val="auto"/>
              </w:rPr>
            </w:pPr>
            <w:r>
              <w:rPr>
                <w:rFonts w:ascii="Times New Roman" w:cs="Times New Roman" w:eastAsia="Times New Roman" w:hAnsi="Times New Roman"/>
                <w:sz w:val="22"/>
                <w:szCs w:val="22"/>
                <w:color w:val="auto"/>
              </w:rPr>
              <w:t>2125246860</w:t>
            </w:r>
          </w:p>
        </w:tc>
      </w:tr>
      <w:tr>
        <w:trPr>
          <w:trHeight w:val="297"/>
        </w:trPr>
        <w:tc>
          <w:tcPr>
            <w:tcW w:w="70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240" w:type="dxa"/>
            <w:vAlign w:val="bottom"/>
          </w:tcPr>
          <w:p>
            <w:pPr>
              <w:ind w:left="1320"/>
              <w:spacing w:after="0"/>
              <w:rPr>
                <w:sz w:val="20"/>
                <w:szCs w:val="20"/>
                <w:color w:val="auto"/>
              </w:rPr>
            </w:pPr>
            <w:r>
              <w:rPr>
                <w:rFonts w:ascii="Times New Roman" w:cs="Times New Roman" w:eastAsia="Times New Roman" w:hAnsi="Times New Roman"/>
                <w:sz w:val="22"/>
                <w:szCs w:val="22"/>
                <w:color w:val="auto"/>
              </w:rPr>
              <w:t>Cara Schembri</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3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4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Class A Common Stock</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280" w:type="dxa"/>
            <w:vAlign w:val="bottom"/>
          </w:tcPr>
          <w:p>
            <w:pPr>
              <w:jc w:val="right"/>
              <w:ind w:right="632"/>
              <w:spacing w:after="0" w:line="243" w:lineRule="exact"/>
              <w:rPr>
                <w:sz w:val="20"/>
                <w:szCs w:val="20"/>
                <w:color w:val="auto"/>
              </w:rPr>
            </w:pPr>
            <w:r>
              <w:rPr>
                <w:rFonts w:ascii="Times New Roman" w:cs="Times New Roman" w:eastAsia="Times New Roman" w:hAnsi="Times New Roman"/>
                <w:sz w:val="22"/>
                <w:szCs w:val="22"/>
                <w:color w:val="auto"/>
              </w:rPr>
              <w:t>1465</w:t>
            </w:r>
          </w:p>
        </w:tc>
        <w:tc>
          <w:tcPr>
            <w:tcW w:w="1140" w:type="dxa"/>
            <w:vAlign w:val="bottom"/>
          </w:tcPr>
          <w:p>
            <w:pPr>
              <w:jc w:val="right"/>
              <w:ind w:right="192"/>
              <w:spacing w:after="0" w:line="243" w:lineRule="exact"/>
              <w:rPr>
                <w:sz w:val="20"/>
                <w:szCs w:val="20"/>
                <w:color w:val="auto"/>
              </w:rPr>
            </w:pPr>
            <w:r>
              <w:rPr>
                <w:rFonts w:ascii="Times New Roman" w:cs="Times New Roman" w:eastAsia="Times New Roman" w:hAnsi="Times New Roman"/>
                <w:sz w:val="22"/>
                <w:szCs w:val="22"/>
                <w:color w:val="auto"/>
                <w:w w:val="99"/>
              </w:rPr>
              <w:t>14518.15</w:t>
            </w:r>
          </w:p>
        </w:tc>
        <w:tc>
          <w:tcPr>
            <w:tcW w:w="0" w:type="dxa"/>
            <w:vAlign w:val="bottom"/>
          </w:tcPr>
          <w:p>
            <w:pPr>
              <w:spacing w:after="0"/>
              <w:rPr>
                <w:sz w:val="1"/>
                <w:szCs w:val="1"/>
                <w:color w:val="auto"/>
              </w:rPr>
            </w:pPr>
          </w:p>
        </w:tc>
      </w:tr>
      <w:tr>
        <w:trPr>
          <w:trHeight w:val="243"/>
        </w:trPr>
        <w:tc>
          <w:tcPr>
            <w:tcW w:w="234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38th Floor</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4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332"/>
              <w:spacing w:after="0"/>
              <w:rPr>
                <w:sz w:val="20"/>
                <w:szCs w:val="20"/>
                <w:color w:val="auto"/>
              </w:rPr>
            </w:pPr>
            <w:r>
              <w:rPr>
                <w:rFonts w:ascii="Times New Roman" w:cs="Times New Roman" w:eastAsia="Times New Roman" w:hAnsi="Times New Roman"/>
                <w:sz w:val="22"/>
                <w:szCs w:val="22"/>
                <w:color w:val="auto"/>
                <w:w w:val="96"/>
              </w:rPr>
              <w:t>3652722</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09/15/2024   NASDAQ</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p>
      <w:pPr>
        <w:spacing w:after="0" w:line="3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4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040" w:type="dxa"/>
            <w:vAlign w:val="bottom"/>
          </w:tcPr>
          <w:p>
            <w:pPr>
              <w:ind w:left="12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1600" w:type="dxa"/>
            <w:vAlign w:val="bottom"/>
          </w:tcPr>
          <w:p>
            <w:pPr>
              <w:ind w:left="36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5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rPr>
              <w:t>Payment *</w:t>
            </w: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6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6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4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4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6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Shares acquired</w:t>
            </w:r>
          </w:p>
        </w:tc>
        <w:tc>
          <w:tcPr>
            <w:tcW w:w="15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6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upon vesting of</w:t>
            </w:r>
          </w:p>
        </w:tc>
        <w:tc>
          <w:tcPr>
            <w:tcW w:w="15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4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Class A</w:t>
            </w:r>
          </w:p>
        </w:tc>
        <w:tc>
          <w:tcPr>
            <w:tcW w:w="1040" w:type="dxa"/>
            <w:vAlign w:val="bottom"/>
          </w:tcPr>
          <w:p>
            <w:pPr>
              <w:spacing w:after="0"/>
              <w:rPr>
                <w:sz w:val="21"/>
                <w:szCs w:val="21"/>
                <w:color w:val="auto"/>
              </w:rPr>
            </w:pPr>
          </w:p>
        </w:tc>
        <w:tc>
          <w:tcPr>
            <w:tcW w:w="16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restricted stock</w:t>
            </w:r>
          </w:p>
        </w:tc>
        <w:tc>
          <w:tcPr>
            <w:tcW w:w="15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1"/>
        </w:trPr>
        <w:tc>
          <w:tcPr>
            <w:tcW w:w="1420" w:type="dxa"/>
            <w:vAlign w:val="bottom"/>
            <w:vMerge w:val="continue"/>
          </w:tcPr>
          <w:p>
            <w:pPr>
              <w:spacing w:after="0"/>
              <w:rPr>
                <w:sz w:val="10"/>
                <w:szCs w:val="10"/>
                <w:color w:val="auto"/>
              </w:rPr>
            </w:pPr>
          </w:p>
        </w:tc>
        <w:tc>
          <w:tcPr>
            <w:tcW w:w="2640" w:type="dxa"/>
            <w:vAlign w:val="bottom"/>
            <w:gridSpan w:val="2"/>
            <w:vMerge w:val="restart"/>
          </w:tcPr>
          <w:p>
            <w:pPr>
              <w:ind w:left="60"/>
              <w:spacing w:after="0"/>
              <w:rPr>
                <w:sz w:val="20"/>
                <w:szCs w:val="20"/>
                <w:color w:val="auto"/>
              </w:rPr>
            </w:pPr>
            <w:r>
              <w:rPr>
                <w:rFonts w:ascii="Times New Roman" w:cs="Times New Roman" w:eastAsia="Times New Roman" w:hAnsi="Times New Roman"/>
                <w:sz w:val="22"/>
                <w:szCs w:val="22"/>
                <w:color w:val="auto"/>
              </w:rPr>
              <w:t>09/15/2024 units awarded</w:t>
            </w:r>
          </w:p>
        </w:tc>
        <w:tc>
          <w:tcPr>
            <w:tcW w:w="15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1125</w:t>
            </w:r>
          </w:p>
        </w:tc>
        <w:tc>
          <w:tcPr>
            <w:tcW w:w="27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w w:val="97"/>
              </w:rPr>
              <w:t>04/13/2023 Services Rendered</w:t>
            </w:r>
          </w:p>
        </w:tc>
        <w:tc>
          <w:tcPr>
            <w:tcW w:w="0" w:type="dxa"/>
            <w:vAlign w:val="bottom"/>
          </w:tcPr>
          <w:p>
            <w:pPr>
              <w:spacing w:after="0"/>
              <w:rPr>
                <w:sz w:val="1"/>
                <w:szCs w:val="1"/>
                <w:color w:val="auto"/>
              </w:rPr>
            </w:pPr>
          </w:p>
        </w:tc>
      </w:tr>
      <w:tr>
        <w:trPr>
          <w:trHeight w:val="146"/>
        </w:trPr>
        <w:tc>
          <w:tcPr>
            <w:tcW w:w="1420" w:type="dxa"/>
            <w:vAlign w:val="bottom"/>
          </w:tcPr>
          <w:p>
            <w:pPr>
              <w:spacing w:after="0" w:line="145" w:lineRule="exact"/>
              <w:rPr>
                <w:sz w:val="20"/>
                <w:szCs w:val="20"/>
                <w:color w:val="auto"/>
              </w:rPr>
            </w:pPr>
            <w:r>
              <w:rPr>
                <w:rFonts w:ascii="Times New Roman" w:cs="Times New Roman" w:eastAsia="Times New Roman" w:hAnsi="Times New Roman"/>
                <w:sz w:val="16"/>
                <w:szCs w:val="16"/>
                <w:color w:val="auto"/>
              </w:rPr>
              <w:t>Common Stock</w:t>
            </w:r>
          </w:p>
        </w:tc>
        <w:tc>
          <w:tcPr>
            <w:tcW w:w="2640" w:type="dxa"/>
            <w:vAlign w:val="bottom"/>
            <w:gridSpan w:val="2"/>
            <w:vMerge w:val="continue"/>
          </w:tcPr>
          <w:p>
            <w:pPr>
              <w:spacing w:after="0"/>
              <w:rPr>
                <w:sz w:val="12"/>
                <w:szCs w:val="12"/>
                <w:color w:val="auto"/>
              </w:rPr>
            </w:pPr>
          </w:p>
        </w:tc>
        <w:tc>
          <w:tcPr>
            <w:tcW w:w="1560" w:type="dxa"/>
            <w:vAlign w:val="bottom"/>
            <w:vMerge w:val="continue"/>
          </w:tcPr>
          <w:p>
            <w:pPr>
              <w:spacing w:after="0"/>
              <w:rPr>
                <w:sz w:val="12"/>
                <w:szCs w:val="12"/>
                <w:color w:val="auto"/>
              </w:rPr>
            </w:pPr>
          </w:p>
        </w:tc>
        <w:tc>
          <w:tcPr>
            <w:tcW w:w="6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40" w:type="dxa"/>
            <w:vAlign w:val="bottom"/>
            <w:vMerge w:val="continue"/>
          </w:tcPr>
          <w:p>
            <w:pPr>
              <w:spacing w:after="0"/>
              <w:rPr>
                <w:sz w:val="12"/>
                <w:szCs w:val="12"/>
                <w:color w:val="auto"/>
              </w:rPr>
            </w:pPr>
          </w:p>
        </w:tc>
        <w:tc>
          <w:tcPr>
            <w:tcW w:w="27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9"/>
        </w:trPr>
        <w:tc>
          <w:tcPr>
            <w:tcW w:w="14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600" w:type="dxa"/>
            <w:vAlign w:val="bottom"/>
          </w:tcPr>
          <w:p>
            <w:pPr>
              <w:ind w:left="60"/>
              <w:spacing w:after="0" w:line="219" w:lineRule="exact"/>
              <w:rPr>
                <w:sz w:val="20"/>
                <w:szCs w:val="20"/>
                <w:color w:val="auto"/>
              </w:rPr>
            </w:pPr>
            <w:r>
              <w:rPr>
                <w:rFonts w:ascii="Times New Roman" w:cs="Times New Roman" w:eastAsia="Times New Roman" w:hAnsi="Times New Roman"/>
                <w:sz w:val="22"/>
                <w:szCs w:val="22"/>
                <w:color w:val="auto"/>
              </w:rPr>
              <w:t>under Issuers</w:t>
            </w:r>
          </w:p>
        </w:tc>
        <w:tc>
          <w:tcPr>
            <w:tcW w:w="15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6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incentive award</w:t>
            </w:r>
          </w:p>
        </w:tc>
        <w:tc>
          <w:tcPr>
            <w:tcW w:w="15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14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plan</w:t>
            </w:r>
          </w:p>
        </w:tc>
        <w:tc>
          <w:tcPr>
            <w:tcW w:w="15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4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6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Shares acquired</w:t>
            </w:r>
          </w:p>
        </w:tc>
        <w:tc>
          <w:tcPr>
            <w:tcW w:w="15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6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upon vesting of</w:t>
            </w:r>
          </w:p>
        </w:tc>
        <w:tc>
          <w:tcPr>
            <w:tcW w:w="15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4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Class A</w:t>
            </w:r>
          </w:p>
        </w:tc>
        <w:tc>
          <w:tcPr>
            <w:tcW w:w="1040" w:type="dxa"/>
            <w:vAlign w:val="bottom"/>
          </w:tcPr>
          <w:p>
            <w:pPr>
              <w:spacing w:after="0"/>
              <w:rPr>
                <w:sz w:val="21"/>
                <w:szCs w:val="21"/>
                <w:color w:val="auto"/>
              </w:rPr>
            </w:pPr>
          </w:p>
        </w:tc>
        <w:tc>
          <w:tcPr>
            <w:tcW w:w="16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restricted stock</w:t>
            </w:r>
          </w:p>
        </w:tc>
        <w:tc>
          <w:tcPr>
            <w:tcW w:w="15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1"/>
        </w:trPr>
        <w:tc>
          <w:tcPr>
            <w:tcW w:w="1420" w:type="dxa"/>
            <w:vAlign w:val="bottom"/>
            <w:vMerge w:val="continue"/>
          </w:tcPr>
          <w:p>
            <w:pPr>
              <w:spacing w:after="0"/>
              <w:rPr>
                <w:sz w:val="10"/>
                <w:szCs w:val="10"/>
                <w:color w:val="auto"/>
              </w:rPr>
            </w:pPr>
          </w:p>
        </w:tc>
        <w:tc>
          <w:tcPr>
            <w:tcW w:w="2640" w:type="dxa"/>
            <w:vAlign w:val="bottom"/>
            <w:gridSpan w:val="2"/>
            <w:vMerge w:val="restart"/>
          </w:tcPr>
          <w:p>
            <w:pPr>
              <w:ind w:left="60"/>
              <w:spacing w:after="0"/>
              <w:rPr>
                <w:sz w:val="20"/>
                <w:szCs w:val="20"/>
                <w:color w:val="auto"/>
              </w:rPr>
            </w:pPr>
            <w:r>
              <w:rPr>
                <w:rFonts w:ascii="Times New Roman" w:cs="Times New Roman" w:eastAsia="Times New Roman" w:hAnsi="Times New Roman"/>
                <w:sz w:val="22"/>
                <w:szCs w:val="22"/>
                <w:color w:val="auto"/>
              </w:rPr>
              <w:t>09/15/2024 units awarded</w:t>
            </w:r>
          </w:p>
        </w:tc>
        <w:tc>
          <w:tcPr>
            <w:tcW w:w="15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1875</w:t>
            </w:r>
          </w:p>
        </w:tc>
        <w:tc>
          <w:tcPr>
            <w:tcW w:w="27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w w:val="97"/>
              </w:rPr>
              <w:t>03/15/2024 Services Rendered</w:t>
            </w:r>
          </w:p>
        </w:tc>
        <w:tc>
          <w:tcPr>
            <w:tcW w:w="0" w:type="dxa"/>
            <w:vAlign w:val="bottom"/>
          </w:tcPr>
          <w:p>
            <w:pPr>
              <w:spacing w:after="0"/>
              <w:rPr>
                <w:sz w:val="1"/>
                <w:szCs w:val="1"/>
                <w:color w:val="auto"/>
              </w:rPr>
            </w:pPr>
          </w:p>
        </w:tc>
      </w:tr>
      <w:tr>
        <w:trPr>
          <w:trHeight w:val="146"/>
        </w:trPr>
        <w:tc>
          <w:tcPr>
            <w:tcW w:w="1420" w:type="dxa"/>
            <w:vAlign w:val="bottom"/>
          </w:tcPr>
          <w:p>
            <w:pPr>
              <w:spacing w:after="0" w:line="145" w:lineRule="exact"/>
              <w:rPr>
                <w:sz w:val="20"/>
                <w:szCs w:val="20"/>
                <w:color w:val="auto"/>
              </w:rPr>
            </w:pPr>
            <w:r>
              <w:rPr>
                <w:rFonts w:ascii="Times New Roman" w:cs="Times New Roman" w:eastAsia="Times New Roman" w:hAnsi="Times New Roman"/>
                <w:sz w:val="16"/>
                <w:szCs w:val="16"/>
                <w:color w:val="auto"/>
              </w:rPr>
              <w:t>Common Stock</w:t>
            </w:r>
          </w:p>
        </w:tc>
        <w:tc>
          <w:tcPr>
            <w:tcW w:w="2640" w:type="dxa"/>
            <w:vAlign w:val="bottom"/>
            <w:gridSpan w:val="2"/>
            <w:vMerge w:val="continue"/>
          </w:tcPr>
          <w:p>
            <w:pPr>
              <w:spacing w:after="0"/>
              <w:rPr>
                <w:sz w:val="12"/>
                <w:szCs w:val="12"/>
                <w:color w:val="auto"/>
              </w:rPr>
            </w:pPr>
          </w:p>
        </w:tc>
        <w:tc>
          <w:tcPr>
            <w:tcW w:w="1560" w:type="dxa"/>
            <w:vAlign w:val="bottom"/>
            <w:vMerge w:val="continue"/>
          </w:tcPr>
          <w:p>
            <w:pPr>
              <w:spacing w:after="0"/>
              <w:rPr>
                <w:sz w:val="12"/>
                <w:szCs w:val="12"/>
                <w:color w:val="auto"/>
              </w:rPr>
            </w:pPr>
          </w:p>
        </w:tc>
        <w:tc>
          <w:tcPr>
            <w:tcW w:w="6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40" w:type="dxa"/>
            <w:vAlign w:val="bottom"/>
            <w:vMerge w:val="continue"/>
          </w:tcPr>
          <w:p>
            <w:pPr>
              <w:spacing w:after="0"/>
              <w:rPr>
                <w:sz w:val="12"/>
                <w:szCs w:val="12"/>
                <w:color w:val="auto"/>
              </w:rPr>
            </w:pPr>
          </w:p>
        </w:tc>
        <w:tc>
          <w:tcPr>
            <w:tcW w:w="27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6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under Issuers</w:t>
            </w:r>
          </w:p>
        </w:tc>
        <w:tc>
          <w:tcPr>
            <w:tcW w:w="15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-1411605</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-297180</wp:posOffset>
            </wp:positionV>
            <wp:extent cx="128270"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ind w:left="2560"/>
        <w:spacing w:after="0" w:line="230" w:lineRule="auto"/>
        <w:rPr>
          <w:sz w:val="20"/>
          <w:szCs w:val="20"/>
          <w:color w:val="auto"/>
        </w:rPr>
      </w:pPr>
      <w:r>
        <w:rPr>
          <w:rFonts w:ascii="Times New Roman" w:cs="Times New Roman" w:eastAsia="Times New Roman" w:hAnsi="Times New Roman"/>
          <w:sz w:val="22"/>
          <w:szCs w:val="22"/>
          <w:color w:val="auto"/>
        </w:rPr>
        <w:t>incentive award</w:t>
      </w:r>
    </w:p>
    <w:p>
      <w:pPr>
        <w:spacing w:after="0" w:line="1"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22"/>
          <w:szCs w:val="22"/>
          <w:color w:val="auto"/>
        </w:rPr>
        <w:t>plan</w:t>
      </w:r>
    </w:p>
    <w:p>
      <w:pPr>
        <w:spacing w:after="0" w:line="250"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3520" w:type="dxa"/>
            <w:vAlign w:val="bottom"/>
          </w:tcPr>
          <w:p>
            <w:pPr>
              <w:spacing w:after="0"/>
              <w:rPr>
                <w:sz w:val="21"/>
                <w:szCs w:val="21"/>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3340" w:type="dxa"/>
            <w:vAlign w:val="bottom"/>
            <w:gridSpan w:val="3"/>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1"/>
        </w:trPr>
        <w:tc>
          <w:tcPr>
            <w:tcW w:w="3340" w:type="dxa"/>
            <w:vAlign w:val="bottom"/>
            <w:gridSpan w:val="3"/>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9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9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96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3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Cara Schembri</w:t>
            </w:r>
          </w:p>
        </w:tc>
        <w:tc>
          <w:tcPr>
            <w:tcW w:w="19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9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10 Jay St</w:t>
            </w:r>
          </w:p>
        </w:tc>
        <w:tc>
          <w:tcPr>
            <w:tcW w:w="48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Class A Common Stock</w:t>
            </w:r>
          </w:p>
        </w:tc>
        <w:tc>
          <w:tcPr>
            <w:tcW w:w="18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rPr>
              <w:t>06/17/2024 291</w:t>
            </w:r>
          </w:p>
        </w:tc>
        <w:tc>
          <w:tcPr>
            <w:tcW w:w="800" w:type="dxa"/>
            <w:vAlign w:val="bottom"/>
          </w:tcPr>
          <w:p>
            <w:pPr>
              <w:spacing w:after="0"/>
              <w:rPr>
                <w:sz w:val="21"/>
                <w:szCs w:val="21"/>
                <w:color w:val="auto"/>
              </w:rPr>
            </w:pP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5683.23</w:t>
            </w:r>
          </w:p>
        </w:tc>
        <w:tc>
          <w:tcPr>
            <w:tcW w:w="0" w:type="dxa"/>
            <w:vAlign w:val="bottom"/>
          </w:tcPr>
          <w:p>
            <w:pPr>
              <w:spacing w:after="0"/>
              <w:rPr>
                <w:sz w:val="1"/>
                <w:szCs w:val="1"/>
                <w:color w:val="auto"/>
              </w:rPr>
            </w:pPr>
          </w:p>
        </w:tc>
      </w:tr>
      <w:tr>
        <w:trPr>
          <w:trHeight w:val="161"/>
        </w:trPr>
        <w:tc>
          <w:tcPr>
            <w:tcW w:w="90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Suite 900</w:t>
            </w:r>
          </w:p>
        </w:tc>
        <w:tc>
          <w:tcPr>
            <w:tcW w:w="48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18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900" w:type="dxa"/>
            <w:vAlign w:val="bottom"/>
            <w:vMerge w:val="continue"/>
          </w:tcPr>
          <w:p>
            <w:pPr>
              <w:spacing w:after="0"/>
              <w:rPr>
                <w:sz w:val="7"/>
                <w:szCs w:val="7"/>
                <w:color w:val="auto"/>
              </w:rPr>
            </w:pPr>
          </w:p>
        </w:tc>
        <w:tc>
          <w:tcPr>
            <w:tcW w:w="480" w:type="dxa"/>
            <w:vAlign w:val="bottom"/>
          </w:tcPr>
          <w:p>
            <w:pPr>
              <w:spacing w:after="0"/>
              <w:rPr>
                <w:sz w:val="7"/>
                <w:szCs w:val="7"/>
                <w:color w:val="auto"/>
              </w:rPr>
            </w:pPr>
          </w:p>
        </w:tc>
        <w:tc>
          <w:tcPr>
            <w:tcW w:w="196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900" w:type="dxa"/>
            <w:vAlign w:val="bottom"/>
          </w:tcPr>
          <w:p>
            <w:pPr>
              <w:spacing w:after="0"/>
              <w:rPr>
                <w:sz w:val="20"/>
                <w:szCs w:val="20"/>
                <w:color w:val="auto"/>
              </w:rPr>
            </w:pPr>
            <w:r>
              <w:rPr>
                <w:rFonts w:ascii="Times New Roman" w:cs="Times New Roman" w:eastAsia="Times New Roman" w:hAnsi="Times New Roman"/>
                <w:sz w:val="22"/>
                <w:szCs w:val="22"/>
                <w:color w:val="auto"/>
              </w:rPr>
              <w:t>Brooklyn</w:t>
            </w:r>
          </w:p>
        </w:tc>
        <w:tc>
          <w:tcPr>
            <w:tcW w:w="48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NY</w:t>
            </w:r>
          </w:p>
        </w:tc>
        <w:tc>
          <w:tcPr>
            <w:tcW w:w="1960" w:type="dxa"/>
            <w:vAlign w:val="bottom"/>
          </w:tcPr>
          <w:p>
            <w:pPr>
              <w:jc w:val="right"/>
              <w:ind w:right="1232"/>
              <w:spacing w:after="0"/>
              <w:rPr>
                <w:sz w:val="20"/>
                <w:szCs w:val="20"/>
                <w:color w:val="auto"/>
              </w:rPr>
            </w:pPr>
            <w:r>
              <w:rPr>
                <w:rFonts w:ascii="Times New Roman" w:cs="Times New Roman" w:eastAsia="Times New Roman" w:hAnsi="Times New Roman"/>
                <w:sz w:val="22"/>
                <w:szCs w:val="22"/>
                <w:color w:val="auto"/>
              </w:rPr>
              <w:t>11201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3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Cara Schembri</w:t>
            </w:r>
          </w:p>
        </w:tc>
        <w:tc>
          <w:tcPr>
            <w:tcW w:w="19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9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10 Jay St</w:t>
            </w:r>
          </w:p>
        </w:tc>
        <w:tc>
          <w:tcPr>
            <w:tcW w:w="48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Class A Common Stock</w:t>
            </w:r>
          </w:p>
        </w:tc>
        <w:tc>
          <w:tcPr>
            <w:tcW w:w="18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w w:val="97"/>
              </w:rPr>
              <w:t>06/18/2024 1002</w:t>
            </w:r>
          </w:p>
        </w:tc>
        <w:tc>
          <w:tcPr>
            <w:tcW w:w="800" w:type="dxa"/>
            <w:vAlign w:val="bottom"/>
          </w:tcPr>
          <w:p>
            <w:pPr>
              <w:spacing w:after="0"/>
              <w:rPr>
                <w:sz w:val="21"/>
                <w:szCs w:val="21"/>
                <w:color w:val="auto"/>
              </w:rPr>
            </w:pP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20222.61</w:t>
            </w:r>
          </w:p>
        </w:tc>
        <w:tc>
          <w:tcPr>
            <w:tcW w:w="0" w:type="dxa"/>
            <w:vAlign w:val="bottom"/>
          </w:tcPr>
          <w:p>
            <w:pPr>
              <w:spacing w:after="0"/>
              <w:rPr>
                <w:sz w:val="1"/>
                <w:szCs w:val="1"/>
                <w:color w:val="auto"/>
              </w:rPr>
            </w:pPr>
          </w:p>
        </w:tc>
      </w:tr>
      <w:tr>
        <w:trPr>
          <w:trHeight w:val="161"/>
        </w:trPr>
        <w:tc>
          <w:tcPr>
            <w:tcW w:w="90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Suite 900</w:t>
            </w:r>
          </w:p>
        </w:tc>
        <w:tc>
          <w:tcPr>
            <w:tcW w:w="48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18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900" w:type="dxa"/>
            <w:vAlign w:val="bottom"/>
            <w:vMerge w:val="continue"/>
          </w:tcPr>
          <w:p>
            <w:pPr>
              <w:spacing w:after="0"/>
              <w:rPr>
                <w:sz w:val="7"/>
                <w:szCs w:val="7"/>
                <w:color w:val="auto"/>
              </w:rPr>
            </w:pPr>
          </w:p>
        </w:tc>
        <w:tc>
          <w:tcPr>
            <w:tcW w:w="480" w:type="dxa"/>
            <w:vAlign w:val="bottom"/>
          </w:tcPr>
          <w:p>
            <w:pPr>
              <w:spacing w:after="0"/>
              <w:rPr>
                <w:sz w:val="7"/>
                <w:szCs w:val="7"/>
                <w:color w:val="auto"/>
              </w:rPr>
            </w:pPr>
          </w:p>
        </w:tc>
        <w:tc>
          <w:tcPr>
            <w:tcW w:w="196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900" w:type="dxa"/>
            <w:vAlign w:val="bottom"/>
          </w:tcPr>
          <w:p>
            <w:pPr>
              <w:spacing w:after="0"/>
              <w:rPr>
                <w:sz w:val="20"/>
                <w:szCs w:val="20"/>
                <w:color w:val="auto"/>
              </w:rPr>
            </w:pPr>
            <w:r>
              <w:rPr>
                <w:rFonts w:ascii="Times New Roman" w:cs="Times New Roman" w:eastAsia="Times New Roman" w:hAnsi="Times New Roman"/>
                <w:sz w:val="22"/>
                <w:szCs w:val="22"/>
                <w:color w:val="auto"/>
              </w:rPr>
              <w:t>Brooklyn</w:t>
            </w:r>
          </w:p>
        </w:tc>
        <w:tc>
          <w:tcPr>
            <w:tcW w:w="48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NY</w:t>
            </w:r>
          </w:p>
        </w:tc>
        <w:tc>
          <w:tcPr>
            <w:tcW w:w="1960" w:type="dxa"/>
            <w:vAlign w:val="bottom"/>
          </w:tcPr>
          <w:p>
            <w:pPr>
              <w:jc w:val="right"/>
              <w:ind w:right="1232"/>
              <w:spacing w:after="0"/>
              <w:rPr>
                <w:sz w:val="20"/>
                <w:szCs w:val="20"/>
                <w:color w:val="auto"/>
              </w:rPr>
            </w:pPr>
            <w:r>
              <w:rPr>
                <w:rFonts w:ascii="Times New Roman" w:cs="Times New Roman" w:eastAsia="Times New Roman" w:hAnsi="Times New Roman"/>
                <w:sz w:val="22"/>
                <w:szCs w:val="22"/>
                <w:color w:val="auto"/>
              </w:rPr>
              <w:t>11201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3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Cara Schembri</w:t>
            </w:r>
          </w:p>
        </w:tc>
        <w:tc>
          <w:tcPr>
            <w:tcW w:w="19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9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10 Jay St</w:t>
            </w:r>
          </w:p>
        </w:tc>
        <w:tc>
          <w:tcPr>
            <w:tcW w:w="48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Class A Common Stock</w:t>
            </w:r>
          </w:p>
        </w:tc>
        <w:tc>
          <w:tcPr>
            <w:tcW w:w="18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rPr>
              <w:t>08/05/2024 262</w:t>
            </w:r>
          </w:p>
        </w:tc>
        <w:tc>
          <w:tcPr>
            <w:tcW w:w="800" w:type="dxa"/>
            <w:vAlign w:val="bottom"/>
          </w:tcPr>
          <w:p>
            <w:pPr>
              <w:spacing w:after="0"/>
              <w:rPr>
                <w:sz w:val="21"/>
                <w:szCs w:val="21"/>
                <w:color w:val="auto"/>
              </w:rPr>
            </w:pP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3132.38</w:t>
            </w:r>
          </w:p>
        </w:tc>
        <w:tc>
          <w:tcPr>
            <w:tcW w:w="0" w:type="dxa"/>
            <w:vAlign w:val="bottom"/>
          </w:tcPr>
          <w:p>
            <w:pPr>
              <w:spacing w:after="0"/>
              <w:rPr>
                <w:sz w:val="1"/>
                <w:szCs w:val="1"/>
                <w:color w:val="auto"/>
              </w:rPr>
            </w:pPr>
          </w:p>
        </w:tc>
      </w:tr>
      <w:tr>
        <w:trPr>
          <w:trHeight w:val="161"/>
        </w:trPr>
        <w:tc>
          <w:tcPr>
            <w:tcW w:w="90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Suite 900</w:t>
            </w:r>
          </w:p>
        </w:tc>
        <w:tc>
          <w:tcPr>
            <w:tcW w:w="48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18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900" w:type="dxa"/>
            <w:vAlign w:val="bottom"/>
            <w:vMerge w:val="continue"/>
          </w:tcPr>
          <w:p>
            <w:pPr>
              <w:spacing w:after="0"/>
              <w:rPr>
                <w:sz w:val="7"/>
                <w:szCs w:val="7"/>
                <w:color w:val="auto"/>
              </w:rPr>
            </w:pPr>
          </w:p>
        </w:tc>
        <w:tc>
          <w:tcPr>
            <w:tcW w:w="480" w:type="dxa"/>
            <w:vAlign w:val="bottom"/>
          </w:tcPr>
          <w:p>
            <w:pPr>
              <w:spacing w:after="0"/>
              <w:rPr>
                <w:sz w:val="7"/>
                <w:szCs w:val="7"/>
                <w:color w:val="auto"/>
              </w:rPr>
            </w:pPr>
          </w:p>
        </w:tc>
        <w:tc>
          <w:tcPr>
            <w:tcW w:w="196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900" w:type="dxa"/>
            <w:vAlign w:val="bottom"/>
          </w:tcPr>
          <w:p>
            <w:pPr>
              <w:spacing w:after="0"/>
              <w:rPr>
                <w:sz w:val="20"/>
                <w:szCs w:val="20"/>
                <w:color w:val="auto"/>
              </w:rPr>
            </w:pPr>
            <w:r>
              <w:rPr>
                <w:rFonts w:ascii="Times New Roman" w:cs="Times New Roman" w:eastAsia="Times New Roman" w:hAnsi="Times New Roman"/>
                <w:sz w:val="22"/>
                <w:szCs w:val="22"/>
                <w:color w:val="auto"/>
              </w:rPr>
              <w:t>Brooklyn</w:t>
            </w:r>
          </w:p>
        </w:tc>
        <w:tc>
          <w:tcPr>
            <w:tcW w:w="48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NY</w:t>
            </w:r>
          </w:p>
        </w:tc>
        <w:tc>
          <w:tcPr>
            <w:tcW w:w="1960" w:type="dxa"/>
            <w:vAlign w:val="bottom"/>
          </w:tcPr>
          <w:p>
            <w:pPr>
              <w:jc w:val="right"/>
              <w:ind w:right="1232"/>
              <w:spacing w:after="0"/>
              <w:rPr>
                <w:sz w:val="20"/>
                <w:szCs w:val="20"/>
                <w:color w:val="auto"/>
              </w:rPr>
            </w:pPr>
            <w:r>
              <w:rPr>
                <w:rFonts w:ascii="Times New Roman" w:cs="Times New Roman" w:eastAsia="Times New Roman" w:hAnsi="Times New Roman"/>
                <w:sz w:val="22"/>
                <w:szCs w:val="22"/>
                <w:color w:val="auto"/>
              </w:rPr>
              <w:t>11201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70" w:orient="portrait"/>
          <w:cols w:equalWidth="0" w:num="1">
            <w:col w:w="11240"/>
          </w:cols>
          <w:pgMar w:left="320" w:top="98" w:right="339" w:bottom="0" w:gutter="0" w:footer="0" w:header="0"/>
        </w:sectPr>
      </w:pPr>
    </w:p>
    <w:p>
      <w:pPr>
        <w:spacing w:after="0" w:line="200" w:lineRule="exact"/>
        <w:rPr>
          <w:sz w:val="20"/>
          <w:szCs w:val="20"/>
          <w:color w:val="auto"/>
        </w:rPr>
      </w:pP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440"/>
        <w:spacing w:after="0" w:line="256" w:lineRule="auto"/>
        <w:rPr>
          <w:sz w:val="20"/>
          <w:szCs w:val="20"/>
          <w:color w:val="auto"/>
        </w:rPr>
      </w:pPr>
      <w:r>
        <w:rPr>
          <w:rFonts w:ascii="Times New Roman" w:cs="Times New Roman" w:eastAsia="Times New Roman" w:hAnsi="Times New Roman"/>
          <w:sz w:val="22"/>
          <w:szCs w:val="22"/>
          <w:color w:val="auto"/>
        </w:rPr>
        <w:t>Shares to be sold to cover withholding taxes upon vesting of restricted stock unit awards pursuant to standing Rule 10b5-1 sell to cover instruction.</w:t>
      </w:r>
    </w:p>
    <w:p>
      <w:pPr>
        <w:spacing w:after="0"/>
        <w:rPr>
          <w:sz w:val="20"/>
          <w:szCs w:val="20"/>
          <w:color w:val="auto"/>
        </w:rPr>
      </w:pPr>
      <w:r>
        <w:rPr>
          <w:rFonts w:ascii="Times New Roman" w:cs="Times New Roman" w:eastAsia="Times New Roman" w:hAnsi="Times New Roman"/>
          <w:sz w:val="22"/>
          <w:szCs w:val="22"/>
          <w:color w:val="auto"/>
        </w:rPr>
        <w:t>09/16/2024</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12/22/2021</w:t>
      </w:r>
    </w:p>
    <w:p>
      <w:pPr>
        <w:spacing w:after="0" w:line="612" w:lineRule="exact"/>
        <w:rPr>
          <w:sz w:val="20"/>
          <w:szCs w:val="20"/>
          <w:color w:val="auto"/>
        </w:rPr>
      </w:pPr>
    </w:p>
    <w:p>
      <w:pPr>
        <w:sectPr>
          <w:pgSz w:w="11900" w:h="16870" w:orient="portrait"/>
          <w:cols w:equalWidth="0" w:num="2">
            <w:col w:w="3380" w:space="440"/>
            <w:col w:w="7420"/>
          </w:cols>
          <w:pgMar w:left="320" w:top="98" w:right="339" w:bottom="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38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Cara Schembri</w:t>
      </w:r>
    </w:p>
    <w:p>
      <w:pPr>
        <w:sectPr>
          <w:pgSz w:w="11900" w:h="16870" w:orient="portrait"/>
          <w:cols w:equalWidth="0" w:num="1">
            <w:col w:w="11240"/>
          </w:cols>
          <w:pgMar w:left="320" w:top="98" w:right="339" w:bottom="0" w:gutter="0" w:footer="0" w:header="0"/>
          <w:type w:val="continuous"/>
        </w:sectPr>
      </w:pP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p>
      <w:pPr>
        <w:sectPr>
          <w:pgSz w:w="11900" w:h="16870" w:orient="portrait"/>
          <w:cols w:equalWidth="0" w:num="1">
            <w:col w:w="11240"/>
          </w:cols>
          <w:pgMar w:left="320" w:top="98" w:right="339" w:bottom="0" w:gutter="0" w:footer="0" w:header="0"/>
          <w:type w:val="continuous"/>
        </w:sectPr>
      </w:pPr>
    </w:p>
    <w:bookmarkStart w:id="2" w:name="page3"/>
    <w:bookmarkEnd w:id="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2024-09-16T07:48:39Z</dcterms:created>
  <dcterms:modified xsi:type="dcterms:W3CDTF">2024-09-16T07:48:39Z</dcterms:modified>
</cp:coreProperties>
</file>