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0001887442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Cara Schembri</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296</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2492.32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3726752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02/03/2025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settlement of</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02/01/2025 units awarded</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296</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07/11/2023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6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76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11/06/2024 195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1895.40</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11/07/2024 67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624.44</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Cara Schembri</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12/16/2024 1307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11174.85</w:t>
            </w:r>
          </w:p>
        </w:tc>
        <w:tc>
          <w:tcPr>
            <w:tcW w:w="0" w:type="dxa"/>
            <w:vAlign w:val="bottom"/>
          </w:tcPr>
          <w:p>
            <w:pPr>
              <w:spacing w:after="0"/>
              <w:rPr>
                <w:sz w:val="1"/>
                <w:szCs w:val="1"/>
                <w:color w:val="auto"/>
              </w:rPr>
            </w:pPr>
          </w:p>
        </w:tc>
      </w:tr>
      <w:tr>
        <w:trPr>
          <w:trHeight w:val="282"/>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02/03/2025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12/22/2021</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2025-02-03T07:22:50Z</dcterms:created>
  <dcterms:modified xsi:type="dcterms:W3CDTF">2025-02-03T07:22:50Z</dcterms:modified>
</cp:coreProperties>
</file>