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__)</w:t>
      </w:r>
    </w:p>
    <w:p>
      <w:pPr>
        <w:spacing w:after="0" w:line="33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Rent the Runway, Inc.</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76010Y103</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2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63" w:lineRule="exact"/>
        <w:rPr>
          <w:rFonts w:ascii="Arial" w:cs="Arial" w:eastAsia="Arial" w:hAnsi="Arial"/>
          <w:sz w:val="18"/>
          <w:szCs w:val="18"/>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5"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 w:name="page2"/>
    <w:bookmarkEnd w:id="1"/>
    <w:p>
      <w:pPr>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615"/>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Ares Corporate Opportunities Fund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p>
      <w:pPr>
        <w:ind w:left="960" w:hanging="615"/>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660" w:hanging="694"/>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2" w:lineRule="exact"/>
        <w:rPr>
          <w:rFonts w:ascii="Arial" w:cs="Arial" w:eastAsia="Arial" w:hAnsi="Arial"/>
          <w:sz w:val="18"/>
          <w:szCs w:val="18"/>
          <w:color w:val="auto"/>
        </w:rPr>
      </w:pPr>
    </w:p>
    <w:p>
      <w:pPr>
        <w:ind w:left="1660" w:hanging="694"/>
        <w:spacing w:after="0"/>
        <w:tabs>
          <w:tab w:leader="none" w:pos="1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-130810</wp:posOffset>
            </wp:positionV>
            <wp:extent cx="6120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4" w:lineRule="exact"/>
        <w:rPr>
          <w:sz w:val="20"/>
          <w:szCs w:val="20"/>
          <w:color w:val="auto"/>
        </w:rPr>
      </w:pPr>
    </w:p>
    <w:p>
      <w:pPr>
        <w:ind w:left="960" w:hanging="61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5" w:lineRule="exact"/>
        <w:rPr>
          <w:sz w:val="20"/>
          <w:szCs w:val="20"/>
          <w:color w:val="auto"/>
        </w:rPr>
      </w:pPr>
    </w:p>
    <w:p>
      <w:pPr>
        <w:ind w:left="960" w:right="7940" w:hanging="615"/>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4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Shares</w:t>
            </w: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1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40" w:type="dxa"/>
            <w:vAlign w:val="bottom"/>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40" w:type="dxa"/>
            <w:vAlign w:val="bottom"/>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1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40" w:type="dxa"/>
            <w:vAlign w:val="bottom"/>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40" w:type="dxa"/>
            <w:vAlign w:val="bottom"/>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right="5480" w:hanging="615"/>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p>
      <w:pPr>
        <w:ind w:left="960" w:right="5160" w:hanging="615"/>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170" w:lineRule="exact"/>
        <w:rPr>
          <w:rFonts w:ascii="Arial" w:cs="Arial" w:eastAsia="Arial" w:hAnsi="Arial"/>
          <w:sz w:val="18"/>
          <w:szCs w:val="18"/>
          <w:color w:val="auto"/>
        </w:rPr>
      </w:pPr>
    </w:p>
    <w:p>
      <w:pPr>
        <w:ind w:left="960" w:right="6600" w:hanging="615"/>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70" w:lineRule="exact"/>
        <w:rPr>
          <w:rFonts w:ascii="Arial" w:cs="Arial" w:eastAsia="Arial" w:hAnsi="Arial"/>
          <w:sz w:val="18"/>
          <w:szCs w:val="18"/>
          <w:color w:val="auto"/>
        </w:rPr>
      </w:pPr>
    </w:p>
    <w:p>
      <w:pPr>
        <w:ind w:left="960" w:hanging="615"/>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48"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(as defined below) outstanding as of December 7, 2021, as disclosed by the Issuer (as defined below) in its Quarterly Report on Form 10-Q,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December 10, 2021 (“</w:t>
      </w:r>
      <w:r>
        <w:rPr>
          <w:rFonts w:ascii="Arial" w:cs="Arial" w:eastAsia="Arial" w:hAnsi="Arial"/>
          <w:sz w:val="18"/>
          <w:szCs w:val="18"/>
          <w:u w:val="single" w:color="auto"/>
          <w:color w:val="auto"/>
        </w:rPr>
        <w:t>10-Q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498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61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4" w:lineRule="exact"/>
        <w:rPr>
          <w:sz w:val="20"/>
          <w:szCs w:val="20"/>
          <w:color w:val="auto"/>
        </w:rPr>
      </w:pPr>
    </w:p>
    <w:p>
      <w:pPr>
        <w:ind w:left="960" w:hanging="615"/>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660" w:hanging="694"/>
        <w:spacing w:after="0"/>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35" w:lineRule="exact"/>
        <w:rPr>
          <w:rFonts w:ascii="Arial" w:cs="Arial" w:eastAsia="Arial" w:hAnsi="Arial"/>
          <w:sz w:val="18"/>
          <w:szCs w:val="18"/>
          <w:color w:val="auto"/>
        </w:rPr>
      </w:pPr>
    </w:p>
    <w:p>
      <w:pPr>
        <w:ind w:left="1660" w:hanging="694"/>
        <w:spacing w:after="0"/>
        <w:tabs>
          <w:tab w:leader="none" w:pos="1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-130175</wp:posOffset>
            </wp:positionV>
            <wp:extent cx="6120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19" w:lineRule="exact"/>
        <w:rPr>
          <w:sz w:val="20"/>
          <w:szCs w:val="20"/>
          <w:color w:val="auto"/>
        </w:rPr>
      </w:pPr>
    </w:p>
    <w:p>
      <w:pPr>
        <w:ind w:left="960" w:hanging="61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23495</wp:posOffset>
            </wp:positionV>
            <wp:extent cx="6557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32" w:lineRule="exact"/>
        <w:rPr>
          <w:sz w:val="20"/>
          <w:szCs w:val="20"/>
          <w:color w:val="auto"/>
        </w:rPr>
      </w:pPr>
    </w:p>
    <w:p>
      <w:pPr>
        <w:ind w:left="960" w:right="7940" w:hanging="615"/>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4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Shares</w:t>
            </w: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1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840" w:type="dxa"/>
            <w:vAlign w:val="bottom"/>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40" w:type="dxa"/>
            <w:vAlign w:val="bottom"/>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9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1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40" w:type="dxa"/>
            <w:vAlign w:val="bottom"/>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4"/>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40" w:type="dxa"/>
            <w:vAlign w:val="bottom"/>
          </w:tcPr>
          <w:p>
            <w:pPr>
              <w:spacing w:after="0"/>
              <w:rPr>
                <w:sz w:val="9"/>
                <w:szCs w:val="9"/>
                <w:color w:val="auto"/>
              </w:rPr>
            </w:pPr>
          </w:p>
        </w:tc>
        <w:tc>
          <w:tcPr>
            <w:tcW w:w="9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continue"/>
          </w:tcPr>
          <w:p>
            <w:pPr>
              <w:spacing w:after="0"/>
              <w:rPr>
                <w:sz w:val="8"/>
                <w:szCs w:val="8"/>
                <w:color w:val="auto"/>
              </w:rPr>
            </w:pPr>
          </w:p>
        </w:tc>
        <w:tc>
          <w:tcPr>
            <w:tcW w:w="840" w:type="dxa"/>
            <w:vAlign w:val="bottom"/>
            <w:vMerge w:val="restart"/>
          </w:tcPr>
          <w:p>
            <w:pPr>
              <w:jc w:val="right"/>
              <w:ind w:right="41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6"/>
        </w:trPr>
        <w:tc>
          <w:tcPr>
            <w:tcW w:w="1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right="5480" w:hanging="615"/>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p>
      <w:pPr>
        <w:ind w:left="960" w:right="5160" w:hanging="615"/>
        <w:spacing w:after="0" w:line="277"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170" w:lineRule="exact"/>
        <w:rPr>
          <w:rFonts w:ascii="Arial" w:cs="Arial" w:eastAsia="Arial" w:hAnsi="Arial"/>
          <w:sz w:val="18"/>
          <w:szCs w:val="18"/>
          <w:color w:val="auto"/>
        </w:rPr>
      </w:pPr>
    </w:p>
    <w:p>
      <w:pPr>
        <w:ind w:left="960" w:right="6600" w:hanging="615"/>
        <w:spacing w:after="0" w:line="277"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70" w:lineRule="exact"/>
        <w:rPr>
          <w:rFonts w:ascii="Arial" w:cs="Arial" w:eastAsia="Arial" w:hAnsi="Arial"/>
          <w:sz w:val="18"/>
          <w:szCs w:val="18"/>
          <w:color w:val="auto"/>
        </w:rPr>
      </w:pPr>
    </w:p>
    <w:p>
      <w:pPr>
        <w:ind w:left="960" w:hanging="615"/>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-850900</wp:posOffset>
            </wp:positionV>
            <wp:extent cx="6557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-1262380</wp:posOffset>
            </wp:positionV>
            <wp:extent cx="6557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0"/>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8200" w:hanging="561"/>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12" w:lineRule="exact"/>
        <w:rPr>
          <w:sz w:val="20"/>
          <w:szCs w:val="20"/>
          <w:color w:val="auto"/>
        </w:rPr>
      </w:pPr>
    </w:p>
    <w:p>
      <w:pPr>
        <w:ind w:left="960" w:hanging="56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1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2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8"/>
        </w:trPr>
        <w:tc>
          <w:tcPr>
            <w:tcW w:w="11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4"/>
                <w:szCs w:val="14"/>
                <w:color w:val="auto"/>
              </w:rPr>
            </w:pPr>
          </w:p>
        </w:tc>
        <w:tc>
          <w:tcPr>
            <w:tcW w:w="9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118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 w:name="page5"/>
    <w:bookmarkEnd w:id="4"/>
    <w:p>
      <w:pPr>
        <w:ind w:left="60"/>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7920" w:hanging="561"/>
        <w:spacing w:after="0" w:line="34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12" w:lineRule="exact"/>
        <w:rPr>
          <w:sz w:val="20"/>
          <w:szCs w:val="20"/>
          <w:color w:val="auto"/>
        </w:rPr>
      </w:pPr>
    </w:p>
    <w:p>
      <w:pPr>
        <w:ind w:left="960" w:hanging="561"/>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1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2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8"/>
        </w:trPr>
        <w:tc>
          <w:tcPr>
            <w:tcW w:w="11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4"/>
                <w:szCs w:val="14"/>
                <w:color w:val="auto"/>
              </w:rPr>
            </w:pPr>
          </w:p>
        </w:tc>
        <w:tc>
          <w:tcPr>
            <w:tcW w:w="9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118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CUSIP No. 76010Y103</w:t>
            </w:r>
          </w:p>
        </w:tc>
        <w:tc>
          <w:tcPr>
            <w:tcW w:w="2640" w:type="dxa"/>
            <w:vAlign w:val="bottom"/>
            <w:vMerge w:val="restart"/>
          </w:tcPr>
          <w:p>
            <w:pPr>
              <w:ind w:left="1620"/>
              <w:spacing w:after="0"/>
              <w:rPr>
                <w:sz w:val="20"/>
                <w:szCs w:val="20"/>
                <w:color w:val="auto"/>
              </w:rPr>
            </w:pPr>
            <w:r>
              <w:rPr>
                <w:rFonts w:ascii="Arial" w:cs="Arial" w:eastAsia="Arial" w:hAnsi="Arial"/>
                <w:sz w:val="18"/>
                <w:szCs w:val="18"/>
                <w:color w:val="auto"/>
                <w:w w:val="87"/>
              </w:rPr>
              <w:t>Schedule 13G</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ind w:left="960" w:right="8200" w:hanging="561"/>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58" w:lineRule="exact"/>
        <w:rPr>
          <w:sz w:val="20"/>
          <w:szCs w:val="20"/>
          <w:color w:val="auto"/>
        </w:rPr>
      </w:pPr>
    </w:p>
    <w:p>
      <w:pPr>
        <w:ind w:left="960" w:hanging="561"/>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2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ind w:left="60"/>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8040" w:hanging="561"/>
        <w:spacing w:after="0" w:line="342"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12" w:lineRule="exact"/>
        <w:rPr>
          <w:sz w:val="20"/>
          <w:szCs w:val="20"/>
          <w:color w:val="auto"/>
        </w:rPr>
      </w:pPr>
    </w:p>
    <w:p>
      <w:pPr>
        <w:ind w:left="960" w:hanging="561"/>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1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20" w:type="dxa"/>
            <w:vAlign w:val="bottom"/>
            <w:vMerge w:val="continue"/>
          </w:tcPr>
          <w:p>
            <w:pPr>
              <w:spacing w:after="0"/>
              <w:rPr>
                <w:sz w:val="12"/>
                <w:szCs w:val="12"/>
                <w:color w:val="auto"/>
              </w:rPr>
            </w:pPr>
          </w:p>
        </w:tc>
        <w:tc>
          <w:tcPr>
            <w:tcW w:w="9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8"/>
        </w:trPr>
        <w:tc>
          <w:tcPr>
            <w:tcW w:w="1180" w:type="dxa"/>
            <w:vAlign w:val="bottom"/>
          </w:tcPr>
          <w:p>
            <w:pPr>
              <w:spacing w:after="0" w:line="157"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4"/>
                <w:szCs w:val="14"/>
                <w:color w:val="auto"/>
              </w:rPr>
            </w:pPr>
          </w:p>
        </w:tc>
        <w:tc>
          <w:tcPr>
            <w:tcW w:w="9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1180" w:type="dxa"/>
            <w:vAlign w:val="bottom"/>
          </w:tcPr>
          <w:p>
            <w:pPr>
              <w:spacing w:after="0"/>
              <w:rPr>
                <w:sz w:val="24"/>
                <w:szCs w:val="24"/>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 w:name="page8"/>
    <w:bookmarkEnd w:id="7"/>
    <w:p>
      <w:pPr>
        <w:ind w:left="100"/>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8200" w:hanging="561"/>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58" w:lineRule="exact"/>
        <w:rPr>
          <w:sz w:val="20"/>
          <w:szCs w:val="20"/>
          <w:color w:val="auto"/>
        </w:rPr>
      </w:pPr>
    </w:p>
    <w:p>
      <w:pPr>
        <w:ind w:left="960" w:hanging="561"/>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2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 w:name="page9"/>
    <w:bookmarkEnd w:id="8"/>
    <w:p>
      <w:pPr>
        <w:ind w:left="100"/>
        <w:spacing w:after="0"/>
        <w:tabs>
          <w:tab w:leader="none" w:pos="500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8200" w:hanging="561"/>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-48895</wp:posOffset>
            </wp:positionV>
            <wp:extent cx="65576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12" w:lineRule="exact"/>
        <w:rPr>
          <w:sz w:val="20"/>
          <w:szCs w:val="20"/>
          <w:color w:val="auto"/>
        </w:rPr>
      </w:pPr>
    </w:p>
    <w:p>
      <w:pPr>
        <w:ind w:left="960" w:hanging="561"/>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660" w:hanging="694"/>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660" w:hanging="694"/>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6120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-164465</wp:posOffset>
            </wp:positionV>
            <wp:extent cx="6120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313" w:lineRule="exact"/>
        <w:rPr>
          <w:sz w:val="20"/>
          <w:szCs w:val="20"/>
          <w:color w:val="auto"/>
        </w:rPr>
      </w:pPr>
    </w:p>
    <w:p>
      <w:pPr>
        <w:ind w:left="960" w:hanging="561"/>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13" w:lineRule="exact"/>
        <w:rPr>
          <w:sz w:val="20"/>
          <w:szCs w:val="20"/>
          <w:color w:val="auto"/>
        </w:rPr>
      </w:pPr>
    </w:p>
    <w:p>
      <w:pPr>
        <w:ind w:left="960" w:right="7940" w:hanging="561"/>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91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2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18"/>
                <w:szCs w:val="18"/>
                <w:color w:val="auto"/>
              </w:rPr>
            </w:pPr>
          </w:p>
        </w:tc>
        <w:tc>
          <w:tcPr>
            <w:tcW w:w="91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918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18"/>
                <w:szCs w:val="18"/>
                <w:color w:val="auto"/>
              </w:rPr>
            </w:pPr>
          </w:p>
        </w:tc>
        <w:tc>
          <w:tcPr>
            <w:tcW w:w="91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80" w:type="dxa"/>
            <w:vAlign w:val="bottom"/>
            <w:vMerge w:val="continue"/>
          </w:tcPr>
          <w:p>
            <w:pPr>
              <w:spacing w:after="0"/>
              <w:rPr>
                <w:sz w:val="13"/>
                <w:szCs w:val="13"/>
                <w:color w:val="auto"/>
              </w:rPr>
            </w:pP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18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9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60" w:right="5480" w:hanging="561"/>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p>
      <w:pPr>
        <w:ind w:left="960" w:right="5160" w:hanging="561"/>
        <w:spacing w:after="0" w:line="27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960" w:right="6600" w:hanging="561"/>
        <w:spacing w:after="0" w:line="27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-439420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-919480</wp:posOffset>
            </wp:positionV>
            <wp:extent cx="65576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-1399540</wp:posOffset>
            </wp:positionV>
            <wp:extent cx="6557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 w:name="page10"/>
    <w:bookmarkEnd w:id="9"/>
    <w:p>
      <w:pPr>
        <w:ind w:left="60"/>
        <w:spacing w:after="0"/>
        <w:tabs>
          <w:tab w:leader="none" w:pos="5280" w:val="left"/>
        </w:tabs>
        <w:rPr>
          <w:sz w:val="20"/>
          <w:szCs w:val="20"/>
          <w:color w:val="auto"/>
        </w:rPr>
      </w:pPr>
      <w:r>
        <w:rPr>
          <w:rFonts w:ascii="Arial" w:cs="Arial" w:eastAsia="Arial" w:hAnsi="Arial"/>
          <w:sz w:val="18"/>
          <w:szCs w:val="18"/>
          <w:color w:val="auto"/>
        </w:rPr>
        <w:t>CUSIP No. 76010Y103</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60" w:right="8420" w:hanging="469"/>
        <w:spacing w:after="0" w:line="342"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12" w:lineRule="exact"/>
        <w:rPr>
          <w:sz w:val="20"/>
          <w:szCs w:val="20"/>
          <w:color w:val="auto"/>
        </w:rPr>
      </w:pPr>
    </w:p>
    <w:p>
      <w:pPr>
        <w:ind w:left="760" w:hanging="469"/>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63" w:lineRule="exact"/>
        <w:rPr>
          <w:rFonts w:ascii="Arial" w:cs="Arial" w:eastAsia="Arial" w:hAnsi="Arial"/>
          <w:sz w:val="18"/>
          <w:szCs w:val="18"/>
          <w:color w:val="auto"/>
        </w:rPr>
      </w:pPr>
    </w:p>
    <w:p>
      <w:pPr>
        <w:ind w:left="1440" w:hanging="690"/>
        <w:spacing w:after="0"/>
        <w:tabs>
          <w:tab w:leader="none" w:pos="14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w:t>
      </w:r>
    </w:p>
    <w:p>
      <w:pPr>
        <w:spacing w:after="0" w:line="76" w:lineRule="exact"/>
        <w:rPr>
          <w:rFonts w:ascii="Arial" w:cs="Arial" w:eastAsia="Arial" w:hAnsi="Arial"/>
          <w:sz w:val="18"/>
          <w:szCs w:val="18"/>
          <w:color w:val="auto"/>
        </w:rPr>
      </w:pPr>
    </w:p>
    <w:p>
      <w:pPr>
        <w:ind w:left="1440" w:hanging="690"/>
        <w:spacing w:after="0"/>
        <w:tabs>
          <w:tab w:leader="none" w:pos="14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14605</wp:posOffset>
            </wp:positionV>
            <wp:extent cx="6257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-164465</wp:posOffset>
            </wp:positionV>
            <wp:extent cx="62579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313" w:lineRule="exact"/>
        <w:rPr>
          <w:sz w:val="20"/>
          <w:szCs w:val="20"/>
          <w:color w:val="auto"/>
        </w:rPr>
      </w:pPr>
    </w:p>
    <w:p>
      <w:pPr>
        <w:ind w:left="760" w:hanging="469"/>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13" w:lineRule="exact"/>
        <w:rPr>
          <w:sz w:val="20"/>
          <w:szCs w:val="20"/>
          <w:color w:val="auto"/>
        </w:rPr>
      </w:pPr>
    </w:p>
    <w:p>
      <w:pPr>
        <w:ind w:left="760" w:right="8160" w:hanging="469"/>
        <w:spacing w:after="0" w:line="277"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-19050</wp:posOffset>
            </wp:positionV>
            <wp:extent cx="66948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93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Number of</w:t>
            </w:r>
          </w:p>
        </w:tc>
        <w:tc>
          <w:tcPr>
            <w:tcW w:w="800" w:type="dxa"/>
            <w:vAlign w:val="bottom"/>
            <w:vMerge w:val="restart"/>
          </w:tcPr>
          <w:p>
            <w:pPr>
              <w:jc w:val="right"/>
              <w:ind w:right="450"/>
              <w:spacing w:after="0"/>
              <w:rPr>
                <w:sz w:val="20"/>
                <w:szCs w:val="20"/>
                <w:color w:val="auto"/>
              </w:rPr>
            </w:pPr>
            <w:r>
              <w:rPr>
                <w:rFonts w:ascii="Arial" w:cs="Arial" w:eastAsia="Arial" w:hAnsi="Arial"/>
                <w:sz w:val="18"/>
                <w:szCs w:val="18"/>
                <w:color w:val="auto"/>
              </w:rPr>
              <w:t>6</w:t>
            </w:r>
          </w:p>
        </w:tc>
        <w:tc>
          <w:tcPr>
            <w:tcW w:w="93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8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00" w:type="dxa"/>
            <w:vAlign w:val="bottom"/>
            <w:vMerge w:val="continue"/>
          </w:tcPr>
          <w:p>
            <w:pPr>
              <w:spacing w:after="0"/>
              <w:rPr>
                <w:sz w:val="15"/>
                <w:szCs w:val="15"/>
                <w:color w:val="auto"/>
              </w:rPr>
            </w:pPr>
          </w:p>
        </w:tc>
        <w:tc>
          <w:tcPr>
            <w:tcW w:w="9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line="196" w:lineRule="exact"/>
              <w:rPr>
                <w:sz w:val="20"/>
                <w:szCs w:val="20"/>
                <w:color w:val="auto"/>
              </w:rPr>
            </w:pPr>
            <w:r>
              <w:rPr>
                <w:rFonts w:ascii="Arial" w:cs="Arial" w:eastAsia="Arial" w:hAnsi="Arial"/>
                <w:sz w:val="18"/>
                <w:szCs w:val="18"/>
                <w:color w:val="auto"/>
              </w:rPr>
              <w:t>Beneficially</w:t>
            </w:r>
          </w:p>
        </w:tc>
        <w:tc>
          <w:tcPr>
            <w:tcW w:w="800" w:type="dxa"/>
            <w:vAlign w:val="bottom"/>
          </w:tcPr>
          <w:p>
            <w:pPr>
              <w:spacing w:after="0"/>
              <w:rPr>
                <w:sz w:val="18"/>
                <w:szCs w:val="18"/>
                <w:color w:val="auto"/>
              </w:rPr>
            </w:pPr>
          </w:p>
        </w:tc>
        <w:tc>
          <w:tcPr>
            <w:tcW w:w="93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Owned by</w:t>
            </w:r>
          </w:p>
        </w:tc>
        <w:tc>
          <w:tcPr>
            <w:tcW w:w="80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Each</w:t>
            </w:r>
          </w:p>
        </w:tc>
        <w:tc>
          <w:tcPr>
            <w:tcW w:w="80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930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Reporting</w:t>
            </w:r>
          </w:p>
        </w:tc>
        <w:tc>
          <w:tcPr>
            <w:tcW w:w="800" w:type="dxa"/>
            <w:vAlign w:val="bottom"/>
          </w:tcPr>
          <w:p>
            <w:pPr>
              <w:spacing w:after="0"/>
              <w:rPr>
                <w:sz w:val="18"/>
                <w:szCs w:val="18"/>
                <w:color w:val="auto"/>
              </w:rPr>
            </w:pPr>
          </w:p>
        </w:tc>
        <w:tc>
          <w:tcPr>
            <w:tcW w:w="93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00" w:type="dxa"/>
            <w:vAlign w:val="bottom"/>
          </w:tcPr>
          <w:p>
            <w:pPr>
              <w:spacing w:after="0"/>
              <w:rPr>
                <w:sz w:val="4"/>
                <w:szCs w:val="4"/>
                <w:color w:val="auto"/>
              </w:rPr>
            </w:pPr>
          </w:p>
        </w:tc>
        <w:tc>
          <w:tcPr>
            <w:tcW w:w="9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80" w:type="dxa"/>
            <w:vAlign w:val="bottom"/>
            <w:vMerge w:val="continue"/>
          </w:tcPr>
          <w:p>
            <w:pPr>
              <w:spacing w:after="0"/>
              <w:rPr>
                <w:sz w:val="13"/>
                <w:szCs w:val="13"/>
                <w:color w:val="auto"/>
              </w:rPr>
            </w:pPr>
          </w:p>
        </w:tc>
        <w:tc>
          <w:tcPr>
            <w:tcW w:w="800" w:type="dxa"/>
            <w:vAlign w:val="bottom"/>
            <w:vMerge w:val="restart"/>
          </w:tcPr>
          <w:p>
            <w:pPr>
              <w:jc w:val="right"/>
              <w:ind w:right="45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9"/>
        </w:trPr>
        <w:tc>
          <w:tcPr>
            <w:tcW w:w="10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9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3,387,678</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760" w:right="5680" w:hanging="469"/>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-19050</wp:posOffset>
            </wp:positionV>
            <wp:extent cx="6694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58" w:lineRule="exact"/>
        <w:rPr>
          <w:sz w:val="20"/>
          <w:szCs w:val="20"/>
          <w:color w:val="auto"/>
        </w:rPr>
      </w:pPr>
    </w:p>
    <w:p>
      <w:pPr>
        <w:ind w:left="760" w:right="5380" w:hanging="469"/>
        <w:spacing w:after="0" w:line="277"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 Not Applicable</w:t>
      </w:r>
    </w:p>
    <w:p>
      <w:pPr>
        <w:spacing w:after="0" w:line="278" w:lineRule="exact"/>
        <w:rPr>
          <w:rFonts w:ascii="Arial" w:cs="Arial" w:eastAsia="Arial" w:hAnsi="Arial"/>
          <w:sz w:val="18"/>
          <w:szCs w:val="18"/>
          <w:color w:val="auto"/>
        </w:rPr>
      </w:pPr>
    </w:p>
    <w:p>
      <w:pPr>
        <w:ind w:left="760" w:right="6820" w:hanging="469"/>
        <w:spacing w:after="0" w:line="277" w:lineRule="auto"/>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278" w:lineRule="exact"/>
        <w:rPr>
          <w:rFonts w:ascii="Arial" w:cs="Arial" w:eastAsia="Arial" w:hAnsi="Arial"/>
          <w:sz w:val="18"/>
          <w:szCs w:val="18"/>
          <w:color w:val="auto"/>
        </w:rPr>
      </w:pPr>
    </w:p>
    <w:p>
      <w:pPr>
        <w:ind w:left="760" w:hanging="469"/>
        <w:spacing w:after="0"/>
        <w:tabs>
          <w:tab w:leader="none" w:pos="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4"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60,096,327 shares of Class A Common Stock outstanding as of December 7,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-439420</wp:posOffset>
            </wp:positionV>
            <wp:extent cx="6694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-919480</wp:posOffset>
            </wp:positionV>
            <wp:extent cx="66948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-1399540</wp:posOffset>
            </wp:positionV>
            <wp:extent cx="66948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w:t>
      </w:r>
    </w:p>
    <w:p>
      <w:pPr>
        <w:spacing w:after="0" w:line="67" w:lineRule="exact"/>
        <w:rPr>
          <w:sz w:val="20"/>
          <w:szCs w:val="20"/>
          <w:color w:val="auto"/>
        </w:rPr>
      </w:pPr>
    </w:p>
    <w:p>
      <w:pPr>
        <w:ind w:left="1360" w:hanging="556"/>
        <w:spacing w:after="0"/>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Rent the Runway, Inc.</w:t>
      </w:r>
    </w:p>
    <w:p>
      <w:pPr>
        <w:spacing w:after="0" w:line="62" w:lineRule="exact"/>
        <w:rPr>
          <w:rFonts w:ascii="Arial" w:cs="Arial" w:eastAsia="Arial" w:hAnsi="Arial"/>
          <w:sz w:val="18"/>
          <w:szCs w:val="18"/>
          <w:color w:val="auto"/>
        </w:rPr>
      </w:pPr>
    </w:p>
    <w:p>
      <w:pPr>
        <w:ind w:left="1360" w:right="6420" w:hanging="556"/>
        <w:spacing w:after="0" w:line="277" w:lineRule="auto"/>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Address of Issuer’s Principal Executive Offices: 10 Jay Street, Brooklyn, NY 11201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-19050</wp:posOffset>
            </wp:positionV>
            <wp:extent cx="62750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-336550</wp:posOffset>
            </wp:positionV>
            <wp:extent cx="6275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67" w:lineRule="exact"/>
        <w:rPr>
          <w:sz w:val="20"/>
          <w:szCs w:val="20"/>
          <w:color w:val="auto"/>
        </w:rPr>
      </w:pPr>
    </w:p>
    <w:p>
      <w:pPr>
        <w:ind w:left="1360" w:hanging="556"/>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60" w:right="140"/>
        <w:spacing w:after="0" w:line="271" w:lineRule="auto"/>
        <w:rPr>
          <w:rFonts w:ascii="Arial" w:cs="Arial" w:eastAsia="Arial" w:hAnsi="Arial"/>
          <w:sz w:val="18"/>
          <w:szCs w:val="18"/>
          <w:color w:val="auto"/>
        </w:rPr>
      </w:pPr>
      <w:r>
        <w:rPr>
          <w:rFonts w:ascii="Arial" w:cs="Arial" w:eastAsia="Arial" w:hAnsi="Arial"/>
          <w:sz w:val="17"/>
          <w:szCs w:val="17"/>
          <w:color w:val="auto"/>
        </w:rPr>
        <w:t>Each of the following is hereinafter individually referred to as a “</w:t>
      </w:r>
      <w:r>
        <w:rPr>
          <w:rFonts w:ascii="Arial" w:cs="Arial" w:eastAsia="Arial" w:hAnsi="Arial"/>
          <w:sz w:val="17"/>
          <w:szCs w:val="17"/>
          <w:u w:val="single" w:color="auto"/>
          <w:color w:val="auto"/>
        </w:rPr>
        <w:t>Reporting Person</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This statement is filed on behalf of: Ares Corporate Opportunities Fund V, L.P. (“</w:t>
      </w:r>
      <w:r>
        <w:rPr>
          <w:rFonts w:ascii="Arial" w:cs="Arial" w:eastAsia="Arial" w:hAnsi="Arial"/>
          <w:sz w:val="17"/>
          <w:szCs w:val="17"/>
          <w:u w:val="single" w:color="auto"/>
          <w:color w:val="auto"/>
        </w:rPr>
        <w:t>ACOF V</w:t>
      </w:r>
      <w:r>
        <w:rPr>
          <w:rFonts w:ascii="Arial" w:cs="Arial" w:eastAsia="Arial" w:hAnsi="Arial"/>
          <w:sz w:val="17"/>
          <w:szCs w:val="17"/>
          <w:color w:val="auto"/>
        </w:rPr>
        <w:t>”); ACOF Investment Management LLC (“</w:t>
      </w:r>
      <w:r>
        <w:rPr>
          <w:rFonts w:ascii="Arial" w:cs="Arial" w:eastAsia="Arial" w:hAnsi="Arial"/>
          <w:sz w:val="17"/>
          <w:szCs w:val="17"/>
          <w:u w:val="single" w:color="auto"/>
          <w:color w:val="auto"/>
        </w:rPr>
        <w:t>ACOF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Investment Management</w:t>
      </w:r>
      <w:r>
        <w:rPr>
          <w:rFonts w:ascii="Arial" w:cs="Arial" w:eastAsia="Arial" w:hAnsi="Arial"/>
          <w:sz w:val="17"/>
          <w:szCs w:val="17"/>
          <w:color w:val="auto"/>
        </w:rPr>
        <w:t>”); Ares Management LLC; Ares Management Holdings L.P. (“</w:t>
      </w:r>
      <w:r>
        <w:rPr>
          <w:rFonts w:ascii="Arial" w:cs="Arial" w:eastAsia="Arial" w:hAnsi="Arial"/>
          <w:sz w:val="17"/>
          <w:szCs w:val="17"/>
          <w:u w:val="single" w:color="auto"/>
          <w:color w:val="auto"/>
        </w:rPr>
        <w:t>Ares Management Holdings</w:t>
      </w:r>
      <w:r>
        <w:rPr>
          <w:rFonts w:ascii="Arial" w:cs="Arial" w:eastAsia="Arial" w:hAnsi="Arial"/>
          <w:sz w:val="17"/>
          <w:szCs w:val="17"/>
          <w:color w:val="auto"/>
        </w:rPr>
        <w:t>”); Ares Holdco LLC (“</w:t>
      </w:r>
      <w:r>
        <w:rPr>
          <w:rFonts w:ascii="Arial" w:cs="Arial" w:eastAsia="Arial" w:hAnsi="Arial"/>
          <w:sz w:val="17"/>
          <w:szCs w:val="17"/>
          <w:u w:val="single" w:color="auto"/>
          <w:color w:val="auto"/>
        </w:rPr>
        <w:t>Ares Holdco</w:t>
      </w:r>
      <w:r>
        <w:rPr>
          <w:rFonts w:ascii="Arial" w:cs="Arial" w:eastAsia="Arial" w:hAnsi="Arial"/>
          <w:sz w:val="17"/>
          <w:szCs w:val="17"/>
          <w:color w:val="auto"/>
        </w:rPr>
        <w:t>”); Ares Management Corporation (“</w:t>
      </w:r>
      <w:r>
        <w:rPr>
          <w:rFonts w:ascii="Arial" w:cs="Arial" w:eastAsia="Arial" w:hAnsi="Arial"/>
          <w:sz w:val="17"/>
          <w:szCs w:val="17"/>
          <w:u w:val="single" w:color="auto"/>
          <w:color w:val="auto"/>
        </w:rPr>
        <w:t>Ares Management</w:t>
      </w:r>
      <w:r>
        <w:rPr>
          <w:rFonts w:ascii="Arial" w:cs="Arial" w:eastAsia="Arial" w:hAnsi="Arial"/>
          <w:sz w:val="17"/>
          <w:szCs w:val="17"/>
          <w:color w:val="auto"/>
        </w:rPr>
        <w:t>”); Ares Management GP LLC (“</w:t>
      </w:r>
      <w:r>
        <w:rPr>
          <w:rFonts w:ascii="Arial" w:cs="Arial" w:eastAsia="Arial" w:hAnsi="Arial"/>
          <w:sz w:val="17"/>
          <w:szCs w:val="17"/>
          <w:u w:val="single" w:color="auto"/>
          <w:color w:val="auto"/>
        </w:rPr>
        <w:t>Ares Management GP</w:t>
      </w:r>
      <w:r>
        <w:rPr>
          <w:rFonts w:ascii="Arial" w:cs="Arial" w:eastAsia="Arial" w:hAnsi="Arial"/>
          <w:sz w:val="17"/>
          <w:szCs w:val="17"/>
          <w:color w:val="auto"/>
        </w:rPr>
        <w:t>”); Ares Voting LLC (“</w:t>
      </w:r>
      <w:r>
        <w:rPr>
          <w:rFonts w:ascii="Arial" w:cs="Arial" w:eastAsia="Arial" w:hAnsi="Arial"/>
          <w:sz w:val="17"/>
          <w:szCs w:val="17"/>
          <w:u w:val="single" w:color="auto"/>
          <w:color w:val="auto"/>
        </w:rPr>
        <w:t>Ares Voting</w:t>
      </w:r>
      <w:r>
        <w:rPr>
          <w:rFonts w:ascii="Arial" w:cs="Arial" w:eastAsia="Arial" w:hAnsi="Arial"/>
          <w:sz w:val="17"/>
          <w:szCs w:val="17"/>
          <w:color w:val="auto"/>
        </w:rPr>
        <w:t>”); and Ares Partners Holdco LLC (“</w:t>
      </w:r>
      <w:r>
        <w:rPr>
          <w:rFonts w:ascii="Arial" w:cs="Arial" w:eastAsia="Arial" w:hAnsi="Arial"/>
          <w:sz w:val="17"/>
          <w:szCs w:val="17"/>
          <w:u w:val="single" w:color="auto"/>
          <w:color w:val="auto"/>
        </w:rPr>
        <w:t>Ares Partners</w:t>
      </w:r>
      <w:r>
        <w:rPr>
          <w:rFonts w:ascii="Arial" w:cs="Arial" w:eastAsia="Arial" w:hAnsi="Arial"/>
          <w:sz w:val="17"/>
          <w:szCs w:val="17"/>
          <w:color w:val="auto"/>
        </w:rPr>
        <w:t>”).</w:t>
      </w:r>
    </w:p>
    <w:p>
      <w:pPr>
        <w:spacing w:after="0" w:line="29" w:lineRule="exact"/>
        <w:rPr>
          <w:rFonts w:ascii="Arial" w:cs="Arial" w:eastAsia="Arial" w:hAnsi="Arial"/>
          <w:sz w:val="18"/>
          <w:szCs w:val="18"/>
          <w:color w:val="auto"/>
        </w:rPr>
      </w:pPr>
    </w:p>
    <w:p>
      <w:pPr>
        <w:ind w:left="1360" w:hanging="556"/>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Address or Principal Business Office:</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business address of each Reporting Person is 2000 Avenue of the Stars, 12th Floor, Los Angeles, California 90067.</w:t>
      </w:r>
    </w:p>
    <w:p>
      <w:pPr>
        <w:spacing w:after="0" w:line="62" w:lineRule="exact"/>
        <w:rPr>
          <w:rFonts w:ascii="Arial" w:cs="Arial" w:eastAsia="Arial" w:hAnsi="Arial"/>
          <w:sz w:val="18"/>
          <w:szCs w:val="18"/>
          <w:color w:val="auto"/>
        </w:rPr>
      </w:pPr>
    </w:p>
    <w:p>
      <w:pPr>
        <w:ind w:left="1360" w:hanging="556"/>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Citizenship of each Reporting Person is: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Each of the Reporting Persons is organized under the laws of the State of Delaware.</w:t>
      </w:r>
    </w:p>
    <w:p>
      <w:pPr>
        <w:spacing w:after="0" w:line="62" w:lineRule="exact"/>
        <w:rPr>
          <w:rFonts w:ascii="Arial" w:cs="Arial" w:eastAsia="Arial" w:hAnsi="Arial"/>
          <w:sz w:val="18"/>
          <w:szCs w:val="18"/>
          <w:color w:val="auto"/>
        </w:rPr>
      </w:pPr>
    </w:p>
    <w:p>
      <w:pPr>
        <w:ind w:left="1360" w:hanging="556"/>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Issuer’s Class A common stock, $0.001 par value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60" w:right="8680" w:hanging="556"/>
        <w:spacing w:after="0" w:line="342" w:lineRule="auto"/>
        <w:tabs>
          <w:tab w:leader="none" w:pos="1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CUSIP Number: 76010Y103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-48895</wp:posOffset>
            </wp:positionV>
            <wp:extent cx="6275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-366395</wp:posOffset>
            </wp:positionV>
            <wp:extent cx="6275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-683260</wp:posOffset>
            </wp:positionV>
            <wp:extent cx="62750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-1000760</wp:posOffset>
            </wp:positionV>
            <wp:extent cx="6275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-1317625</wp:posOffset>
            </wp:positionV>
            <wp:extent cx="6275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6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(a-b)</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ownership information presented in this Schedule 13G is based upon 60,096,327 shares of Class A Common Stock outstanding as of December 7, 2021, as reported by the Issuer in the 10-Q. As of the date that this Schedule 13G is filed, ACOF V is the holder of record of 3,387,678 shares of Class A Common Stock, which represents 5.6% of the issued and outstanding shares of Class A Common Stock as of December 7, 2021. The Reporting Persons, as a result of the relationships described below, may be deemed to directly or indirectly beneficially own the shares of Class A Common Stock held of record by ACOF V.</w:t>
      </w:r>
    </w:p>
    <w:p>
      <w:pPr>
        <w:spacing w:after="0" w:line="188" w:lineRule="exact"/>
        <w:rPr>
          <w:sz w:val="20"/>
          <w:szCs w:val="20"/>
          <w:color w:val="auto"/>
        </w:rPr>
      </w:pPr>
    </w:p>
    <w:p>
      <w:pPr>
        <w:jc w:val="both"/>
        <w:ind w:left="60" w:firstLine="648"/>
        <w:spacing w:after="0" w:line="269" w:lineRule="auto"/>
        <w:rPr>
          <w:sz w:val="20"/>
          <w:szCs w:val="20"/>
          <w:color w:val="auto"/>
        </w:rPr>
      </w:pPr>
      <w:r>
        <w:rPr>
          <w:rFonts w:ascii="Arial" w:cs="Arial" w:eastAsia="Arial" w:hAnsi="Arial"/>
          <w:sz w:val="17"/>
          <w:szCs w:val="17"/>
          <w:color w:val="auto"/>
        </w:rPr>
        <w:t>The manager of ACOF V is ACOF Investment Management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w:t>
      </w:r>
      <w:r>
        <w:rPr>
          <w:rFonts w:ascii="Arial" w:cs="Arial" w:eastAsia="Arial" w:hAnsi="Arial"/>
          <w:sz w:val="17"/>
          <w:szCs w:val="17"/>
          <w:u w:val="single" w:color="auto"/>
          <w:color w:val="auto"/>
        </w:rPr>
        <w:t>Ares Class B Common Stock</w:t>
      </w:r>
      <w:r>
        <w:rPr>
          <w:rFonts w:ascii="Arial" w:cs="Arial" w:eastAsia="Arial" w:hAnsi="Arial"/>
          <w:sz w:val="17"/>
          <w:szCs w:val="17"/>
          <w:color w:val="auto"/>
        </w:rPr>
        <w:t>”) and Ares Voting is the sole holder of the Class C common stock, $0.01 par value per share, of Ares Management (the “</w:t>
      </w:r>
      <w:r>
        <w:rPr>
          <w:rFonts w:ascii="Arial" w:cs="Arial" w:eastAsia="Arial" w:hAnsi="Arial"/>
          <w:sz w:val="17"/>
          <w:szCs w:val="17"/>
          <w:u w:val="single" w:color="auto"/>
          <w:color w:val="auto"/>
        </w:rPr>
        <w:t>Ares Class C Common Stock</w:t>
      </w:r>
      <w:r>
        <w:rPr>
          <w:rFonts w:ascii="Arial" w:cs="Arial" w:eastAsia="Arial" w:hAnsi="Arial"/>
          <w:sz w:val="17"/>
          <w:szCs w:val="17"/>
          <w:color w:val="auto"/>
        </w:rPr>
        <w:t>”).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w:t>
      </w:r>
      <w:r>
        <w:rPr>
          <w:rFonts w:ascii="Arial" w:cs="Arial" w:eastAsia="Arial" w:hAnsi="Arial"/>
          <w:sz w:val="17"/>
          <w:szCs w:val="17"/>
          <w:u w:val="single" w:color="auto"/>
          <w:color w:val="auto"/>
        </w:rPr>
        <w:t>Board Members</w:t>
      </w:r>
      <w:r>
        <w:rPr>
          <w:rFonts w:ascii="Arial" w:cs="Arial" w:eastAsia="Arial" w:hAnsi="Arial"/>
          <w:sz w:val="17"/>
          <w:szCs w:val="17"/>
          <w:color w:val="auto"/>
        </w:rPr>
        <w:t>”). Mr. Ressler generally has veto authority over decisions by the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1" w:name="page12"/>
    <w:bookmarkEnd w:id="11"/>
    <w:p>
      <w:pPr>
        <w:jc w:val="both"/>
        <w:ind w:left="60" w:firstLine="648"/>
        <w:spacing w:after="0" w:line="263" w:lineRule="auto"/>
        <w:rPr>
          <w:sz w:val="20"/>
          <w:szCs w:val="20"/>
          <w:color w:val="auto"/>
        </w:rPr>
      </w:pPr>
      <w:r>
        <w:rPr>
          <w:rFonts w:ascii="Arial" w:cs="Arial" w:eastAsia="Arial" w:hAnsi="Arial"/>
          <w:sz w:val="18"/>
          <w:szCs w:val="18"/>
          <w:color w:val="auto"/>
        </w:rPr>
        <w:t>Each of the Reporting Persons (other than ACOF V), the Board Members and the other directors, officers, partners, stockholders, members and managers of the Reporting Persons expressly disclaims beneficial ownership of the shares of Class A Common Stock reported in this Schedule 13G for purposes of Section 13(d) of the Act and the rules under Section 13(d) of the Act.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The information contained on the cover pages to this Schedule 13G is incorporated in this statement by reference.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26035</wp:posOffset>
            </wp:positionV>
            <wp:extent cx="64890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Ares Corporate Opportunities Fund V, L.P.</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ACOF Investment Management LLC, its manager</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ACOF Investment Management LLC</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Ares Management LLC</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Ares Management Holdings L.P.</w:t>
      </w:r>
    </w:p>
    <w:p>
      <w:pPr>
        <w:spacing w:after="0" w:line="4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Ares Holdco LLC, its general partner</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Ares Holdco LLC</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Ares Management Corporation</w:t>
      </w:r>
    </w:p>
    <w:p>
      <w:pPr>
        <w:spacing w:after="0" w:line="2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13" w:name="page14"/>
    <w:bookmarkEnd w:id="13"/>
    <w:p>
      <w:pPr>
        <w:ind w:left="4620"/>
        <w:spacing w:after="0"/>
        <w:rPr>
          <w:sz w:val="20"/>
          <w:szCs w:val="20"/>
          <w:color w:val="auto"/>
        </w:rPr>
      </w:pPr>
      <w:r>
        <w:rPr>
          <w:rFonts w:ascii="Arial" w:cs="Arial" w:eastAsia="Arial" w:hAnsi="Arial"/>
          <w:sz w:val="18"/>
          <w:szCs w:val="18"/>
          <w:b w:val="1"/>
          <w:bCs w:val="1"/>
          <w:color w:val="auto"/>
        </w:rPr>
        <w:t>Ares Management GP LLC</w:t>
      </w:r>
    </w:p>
    <w:p>
      <w:pPr>
        <w:spacing w:after="0" w:line="25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3488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Voting LLC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By: Ares Partners Holdco LLC, its sole member</w:t>
      </w:r>
    </w:p>
    <w:p>
      <w:pPr>
        <w:spacing w:after="0" w:line="27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3488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3488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460"/>
              <w:spacing w:after="0"/>
              <w:rPr>
                <w:sz w:val="20"/>
                <w:szCs w:val="20"/>
                <w:color w:val="auto"/>
              </w:rPr>
            </w:pPr>
            <w:r>
              <w:rPr>
                <w:rFonts w:ascii="Arial" w:cs="Arial" w:eastAsia="Arial" w:hAnsi="Arial"/>
                <w:sz w:val="18"/>
                <w:szCs w:val="18"/>
                <w:b w:val="1"/>
                <w:bCs w:val="1"/>
                <w:color w:val="auto"/>
              </w:rPr>
              <w:t>LIST OF EXHIBITS</w:t>
            </w:r>
          </w:p>
        </w:tc>
      </w:tr>
      <w:tr>
        <w:trPr>
          <w:trHeight w:val="432"/>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Joint Filing Agreement, dated as of February 14, 2022, by and among the Reporting Persons.</w:t>
              </w:r>
            </w:hyperlink>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780" w:type="dxa"/>
            <w:vAlign w:val="bottom"/>
            <w:tcBorders>
              <w:top w:val="single" w:sz="8" w:color="0000EE"/>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agree that they are filing this statement on Schedule 13G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13G with respect to the Common Stock of Rent the Runway, Inc. beneficially owned by each of them. This Joint Filing Agreement shall be included as an exhibit to such Schedule 13G.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Joint Filing Agreement as of 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Ares Corporate Opportunities Fund V,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ACOF Investment Management LLC, its manager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ACOF Investment Management LLC</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Ares Management LLC</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Ares Management Holdings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Ares Holdco LLC, its general partner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b w:val="1"/>
          <w:bCs w:val="1"/>
          <w:color w:val="auto"/>
        </w:rPr>
        <w:t>Ares Holdco LLC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Corporation</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Management GP LLC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Voting LLC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By: Ares Partners Holdco LLC, its sole member</w:t>
      </w:r>
    </w:p>
    <w:p>
      <w:pPr>
        <w:spacing w:after="0" w:line="26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 Partners Holdco LLC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1"/>
      <w:numFmt w:val="bullet"/>
      <w:start w:val="1"/>
    </w:lvl>
  </w:abstractNum>
  <w:abstractNum w:abstractNumId="2">
    <w:nsid w:val="8138641"/>
    <w:multiLevelType w:val="hybridMultilevel"/>
    <w:lvl w:ilvl="0">
      <w:lvlJc w:val="left"/>
      <w:lvlText w:val="2"/>
      <w:numFmt w:val="bullet"/>
      <w:start w:val="1"/>
    </w:lvl>
    <w:lvl w:ilvl="1">
      <w:lvlJc w:val="left"/>
      <w:lvlText w:val="(%2)"/>
      <w:numFmt w:val="lowerLetter"/>
      <w:start w:val="1"/>
    </w:lvl>
  </w:abstractNum>
  <w:abstractNum w:abstractNumId="3">
    <w:nsid w:val="1E7FF521"/>
    <w:multiLevelType w:val="hybridMultilevel"/>
    <w:lvl w:ilvl="0">
      <w:lvlJc w:val="left"/>
      <w:lvlText w:val="3"/>
      <w:numFmt w:val="bullet"/>
      <w:start w:val="1"/>
    </w:lvl>
  </w:abstractNum>
  <w:abstractNum w:abstractNumId="4">
    <w:nsid w:val="7C3DBD3D"/>
    <w:multiLevelType w:val="hybridMultilevel"/>
    <w:lvl w:ilvl="0">
      <w:lvlJc w:val="left"/>
      <w:lvlText w:val="4"/>
      <w:numFmt w:val="bullet"/>
      <w:start w:val="1"/>
    </w:lvl>
  </w:abstractNum>
  <w:abstractNum w:abstractNumId="5">
    <w:nsid w:val="737B8DDC"/>
    <w:multiLevelType w:val="hybridMultilevel"/>
    <w:lvl w:ilvl="0">
      <w:lvlJc w:val="left"/>
      <w:lvlText w:val="9"/>
      <w:numFmt w:val="bullet"/>
      <w:start w:val="1"/>
    </w:lvl>
  </w:abstractNum>
  <w:abstractNum w:abstractNumId="6">
    <w:nsid w:val="6CEAF087"/>
    <w:multiLevelType w:val="hybridMultilevel"/>
    <w:lvl w:ilvl="0">
      <w:lvlJc w:val="left"/>
      <w:lvlText w:val="*"/>
      <w:numFmt w:val="bullet"/>
      <w:start w:val="1"/>
    </w:lvl>
    <w:lvl w:ilvl="1">
      <w:lvlJc w:val="left"/>
      <w:lvlText w:val="%2"/>
      <w:numFmt w:val="decimal"/>
      <w:start w:val="10"/>
    </w:lvl>
  </w:abstractNum>
  <w:abstractNum w:abstractNumId="7">
    <w:nsid w:val="22221A70"/>
    <w:multiLevelType w:val="hybridMultilevel"/>
    <w:lvl w:ilvl="0">
      <w:lvlJc w:val="left"/>
      <w:lvlText w:val="1"/>
      <w:numFmt w:val="bullet"/>
      <w:start w:val="1"/>
    </w:lvl>
  </w:abstractNum>
  <w:abstractNum w:abstractNumId="8">
    <w:nsid w:val="4516DDE9"/>
    <w:multiLevelType w:val="hybridMultilevel"/>
    <w:lvl w:ilvl="0">
      <w:lvlJc w:val="left"/>
      <w:lvlText w:val="2"/>
      <w:numFmt w:val="bullet"/>
      <w:start w:val="1"/>
    </w:lvl>
    <w:lvl w:ilvl="1">
      <w:lvlJc w:val="left"/>
      <w:lvlText w:val="(%2)"/>
      <w:numFmt w:val="lowerLetter"/>
      <w:start w:val="1"/>
    </w:lvl>
  </w:abstractNum>
  <w:abstractNum w:abstractNumId="9">
    <w:nsid w:val="3006C83E"/>
    <w:multiLevelType w:val="hybridMultilevel"/>
    <w:lvl w:ilvl="0">
      <w:lvlJc w:val="left"/>
      <w:lvlText w:val="3"/>
      <w:numFmt w:val="bullet"/>
      <w:start w:val="1"/>
    </w:lvl>
  </w:abstractNum>
  <w:abstractNum w:abstractNumId="10">
    <w:nsid w:val="614FD4A1"/>
    <w:multiLevelType w:val="hybridMultilevel"/>
    <w:lvl w:ilvl="0">
      <w:lvlJc w:val="left"/>
      <w:lvlText w:val="4"/>
      <w:numFmt w:val="bullet"/>
      <w:start w:val="1"/>
    </w:lvl>
  </w:abstractNum>
  <w:abstractNum w:abstractNumId="11">
    <w:nsid w:val="419AC241"/>
    <w:multiLevelType w:val="hybridMultilevel"/>
    <w:lvl w:ilvl="0">
      <w:lvlJc w:val="left"/>
      <w:lvlText w:val="9"/>
      <w:numFmt w:val="bullet"/>
      <w:start w:val="1"/>
    </w:lvl>
  </w:abstractNum>
  <w:abstractNum w:abstractNumId="12">
    <w:nsid w:val="5577F8E1"/>
    <w:multiLevelType w:val="hybridMultilevel"/>
    <w:lvl w:ilvl="0">
      <w:lvlJc w:val="left"/>
      <w:lvlText w:val="*"/>
      <w:numFmt w:val="bullet"/>
      <w:start w:val="1"/>
    </w:lvl>
    <w:lvl w:ilvl="1">
      <w:lvlJc w:val="left"/>
      <w:lvlText w:val="%2"/>
      <w:numFmt w:val="decimal"/>
      <w:start w:val="10"/>
    </w:lvl>
  </w:abstractNum>
  <w:abstractNum w:abstractNumId="13">
    <w:nsid w:val="440BADFC"/>
    <w:multiLevelType w:val="hybridMultilevel"/>
    <w:lvl w:ilvl="0">
      <w:lvlJc w:val="left"/>
      <w:lvlText w:val="1"/>
      <w:numFmt w:val="bullet"/>
      <w:start w:val="1"/>
    </w:lvl>
  </w:abstractNum>
  <w:abstractNum w:abstractNumId="14">
    <w:nsid w:val="5072367"/>
    <w:multiLevelType w:val="hybridMultilevel"/>
    <w:lvl w:ilvl="0">
      <w:lvlJc w:val="left"/>
      <w:lvlText w:val="2"/>
      <w:numFmt w:val="bullet"/>
      <w:start w:val="1"/>
    </w:lvl>
    <w:lvl w:ilvl="1">
      <w:lvlJc w:val="left"/>
      <w:lvlText w:val="(%2)"/>
      <w:numFmt w:val="lowerLetter"/>
      <w:start w:val="1"/>
    </w:lvl>
  </w:abstractNum>
  <w:abstractNum w:abstractNumId="15">
    <w:nsid w:val="3804823E"/>
    <w:multiLevelType w:val="hybridMultilevel"/>
    <w:lvl w:ilvl="0">
      <w:lvlJc w:val="left"/>
      <w:lvlText w:val="3"/>
      <w:numFmt w:val="bullet"/>
      <w:start w:val="1"/>
    </w:lvl>
  </w:abstractNum>
  <w:abstractNum w:abstractNumId="16">
    <w:nsid w:val="77465F01"/>
    <w:multiLevelType w:val="hybridMultilevel"/>
    <w:lvl w:ilvl="0">
      <w:lvlJc w:val="left"/>
      <w:lvlText w:val="4"/>
      <w:numFmt w:val="bullet"/>
      <w:start w:val="1"/>
    </w:lvl>
  </w:abstractNum>
  <w:abstractNum w:abstractNumId="17">
    <w:nsid w:val="7724C67E"/>
    <w:multiLevelType w:val="hybridMultilevel"/>
    <w:lvl w:ilvl="0">
      <w:lvlJc w:val="left"/>
      <w:lvlText w:val="9"/>
      <w:numFmt w:val="bullet"/>
      <w:start w:val="1"/>
    </w:lvl>
  </w:abstractNum>
  <w:abstractNum w:abstractNumId="18">
    <w:nsid w:val="5C482A97"/>
    <w:multiLevelType w:val="hybridMultilevel"/>
    <w:lvl w:ilvl="0">
      <w:lvlJc w:val="left"/>
      <w:lvlText w:val="*"/>
      <w:numFmt w:val="bullet"/>
      <w:start w:val="1"/>
    </w:lvl>
    <w:lvl w:ilvl="1">
      <w:lvlJc w:val="left"/>
      <w:lvlText w:val="%2"/>
      <w:numFmt w:val="decimal"/>
      <w:start w:val="10"/>
    </w:lvl>
  </w:abstractNum>
  <w:abstractNum w:abstractNumId="19">
    <w:nsid w:val="2463B9EA"/>
    <w:multiLevelType w:val="hybridMultilevel"/>
    <w:lvl w:ilvl="0">
      <w:lvlJc w:val="left"/>
      <w:lvlText w:val="1"/>
      <w:numFmt w:val="bullet"/>
      <w:start w:val="1"/>
    </w:lvl>
  </w:abstractNum>
  <w:abstractNum w:abstractNumId="20">
    <w:nsid w:val="5E884ADC"/>
    <w:multiLevelType w:val="hybridMultilevel"/>
    <w:lvl w:ilvl="0">
      <w:lvlJc w:val="left"/>
      <w:lvlText w:val="2"/>
      <w:numFmt w:val="bullet"/>
      <w:start w:val="1"/>
    </w:lvl>
    <w:lvl w:ilvl="1">
      <w:lvlJc w:val="left"/>
      <w:lvlText w:val="(%2)"/>
      <w:numFmt w:val="lowerLetter"/>
      <w:start w:val="1"/>
    </w:lvl>
  </w:abstractNum>
  <w:abstractNum w:abstractNumId="21">
    <w:nsid w:val="51EAD36B"/>
    <w:multiLevelType w:val="hybridMultilevel"/>
    <w:lvl w:ilvl="0">
      <w:lvlJc w:val="left"/>
      <w:lvlText w:val="3"/>
      <w:numFmt w:val="bullet"/>
      <w:start w:val="1"/>
    </w:lvl>
  </w:abstractNum>
  <w:abstractNum w:abstractNumId="22">
    <w:nsid w:val="2D517796"/>
    <w:multiLevelType w:val="hybridMultilevel"/>
    <w:lvl w:ilvl="0">
      <w:lvlJc w:val="left"/>
      <w:lvlText w:val="4"/>
      <w:numFmt w:val="bullet"/>
      <w:start w:val="1"/>
    </w:lvl>
  </w:abstractNum>
  <w:abstractNum w:abstractNumId="23">
    <w:nsid w:val="580BD78F"/>
    <w:multiLevelType w:val="hybridMultilevel"/>
    <w:lvl w:ilvl="0">
      <w:lvlJc w:val="left"/>
      <w:lvlText w:val="9"/>
      <w:numFmt w:val="bullet"/>
      <w:start w:val="1"/>
    </w:lvl>
  </w:abstractNum>
  <w:abstractNum w:abstractNumId="24">
    <w:nsid w:val="153EA438"/>
    <w:multiLevelType w:val="hybridMultilevel"/>
    <w:lvl w:ilvl="0">
      <w:lvlJc w:val="left"/>
      <w:lvlText w:val="*"/>
      <w:numFmt w:val="bullet"/>
      <w:start w:val="1"/>
    </w:lvl>
    <w:lvl w:ilvl="1">
      <w:lvlJc w:val="left"/>
      <w:lvlText w:val="%2"/>
      <w:numFmt w:val="decimal"/>
      <w:start w:val="10"/>
    </w:lvl>
  </w:abstractNum>
  <w:abstractNum w:abstractNumId="25">
    <w:nsid w:val="3855585C"/>
    <w:multiLevelType w:val="hybridMultilevel"/>
    <w:lvl w:ilvl="0">
      <w:lvlJc w:val="left"/>
      <w:lvlText w:val="1"/>
      <w:numFmt w:val="bullet"/>
      <w:start w:val="1"/>
    </w:lvl>
  </w:abstractNum>
  <w:abstractNum w:abstractNumId="26">
    <w:nsid w:val="70A64E2A"/>
    <w:multiLevelType w:val="hybridMultilevel"/>
    <w:lvl w:ilvl="0">
      <w:lvlJc w:val="left"/>
      <w:lvlText w:val="2"/>
      <w:numFmt w:val="bullet"/>
      <w:start w:val="1"/>
    </w:lvl>
    <w:lvl w:ilvl="1">
      <w:lvlJc w:val="left"/>
      <w:lvlText w:val="(%2)"/>
      <w:numFmt w:val="lowerLetter"/>
      <w:start w:val="1"/>
    </w:lvl>
  </w:abstractNum>
  <w:abstractNum w:abstractNumId="27">
    <w:nsid w:val="6A2342EC"/>
    <w:multiLevelType w:val="hybridMultilevel"/>
    <w:lvl w:ilvl="0">
      <w:lvlJc w:val="left"/>
      <w:lvlText w:val="3"/>
      <w:numFmt w:val="bullet"/>
      <w:start w:val="1"/>
    </w:lvl>
  </w:abstractNum>
  <w:abstractNum w:abstractNumId="28">
    <w:nsid w:val="2A487CB0"/>
    <w:multiLevelType w:val="hybridMultilevel"/>
    <w:lvl w:ilvl="0">
      <w:lvlJc w:val="left"/>
      <w:lvlText w:val="4"/>
      <w:numFmt w:val="bullet"/>
      <w:start w:val="1"/>
    </w:lvl>
  </w:abstractNum>
  <w:abstractNum w:abstractNumId="29">
    <w:nsid w:val="1D4ED43B"/>
    <w:multiLevelType w:val="hybridMultilevel"/>
    <w:lvl w:ilvl="0">
      <w:lvlJc w:val="left"/>
      <w:lvlText w:val="9"/>
      <w:numFmt w:val="bullet"/>
      <w:start w:val="1"/>
    </w:lvl>
  </w:abstractNum>
  <w:abstractNum w:abstractNumId="30">
    <w:nsid w:val="725A06FB"/>
    <w:multiLevelType w:val="hybridMultilevel"/>
    <w:lvl w:ilvl="0">
      <w:lvlJc w:val="left"/>
      <w:lvlText w:val="*"/>
      <w:numFmt w:val="bullet"/>
      <w:start w:val="1"/>
    </w:lvl>
    <w:lvl w:ilvl="1">
      <w:lvlJc w:val="left"/>
      <w:lvlText w:val="%2"/>
      <w:numFmt w:val="decimal"/>
      <w:start w:val="10"/>
    </w:lvl>
  </w:abstractNum>
  <w:abstractNum w:abstractNumId="31">
    <w:nsid w:val="2CD89A32"/>
    <w:multiLevelType w:val="hybridMultilevel"/>
    <w:lvl w:ilvl="0">
      <w:lvlJc w:val="left"/>
      <w:lvlText w:val="1"/>
      <w:numFmt w:val="bullet"/>
      <w:start w:val="1"/>
    </w:lvl>
  </w:abstractNum>
  <w:abstractNum w:abstractNumId="32">
    <w:nsid w:val="57E4CCAF"/>
    <w:multiLevelType w:val="hybridMultilevel"/>
    <w:lvl w:ilvl="0">
      <w:lvlJc w:val="left"/>
      <w:lvlText w:val="2"/>
      <w:numFmt w:val="bullet"/>
      <w:start w:val="1"/>
    </w:lvl>
    <w:lvl w:ilvl="1">
      <w:lvlJc w:val="left"/>
      <w:lvlText w:val="(%2)"/>
      <w:numFmt w:val="lowerLetter"/>
      <w:start w:val="1"/>
    </w:lvl>
  </w:abstractNum>
  <w:abstractNum w:abstractNumId="33">
    <w:nsid w:val="7A6D8D3C"/>
    <w:multiLevelType w:val="hybridMultilevel"/>
    <w:lvl w:ilvl="0">
      <w:lvlJc w:val="left"/>
      <w:lvlText w:val="3"/>
      <w:numFmt w:val="bullet"/>
      <w:start w:val="1"/>
    </w:lvl>
  </w:abstractNum>
  <w:abstractNum w:abstractNumId="34">
    <w:nsid w:val="4B588F54"/>
    <w:multiLevelType w:val="hybridMultilevel"/>
    <w:lvl w:ilvl="0">
      <w:lvlJc w:val="left"/>
      <w:lvlText w:val="4"/>
      <w:numFmt w:val="bullet"/>
      <w:start w:val="1"/>
    </w:lvl>
  </w:abstractNum>
  <w:abstractNum w:abstractNumId="35">
    <w:nsid w:val="542289EC"/>
    <w:multiLevelType w:val="hybridMultilevel"/>
    <w:lvl w:ilvl="0">
      <w:lvlJc w:val="left"/>
      <w:lvlText w:val="9"/>
      <w:numFmt w:val="bullet"/>
      <w:start w:val="1"/>
    </w:lvl>
  </w:abstractNum>
  <w:abstractNum w:abstractNumId="36">
    <w:nsid w:val="6DE91B18"/>
    <w:multiLevelType w:val="hybridMultilevel"/>
    <w:lvl w:ilvl="0">
      <w:lvlJc w:val="left"/>
      <w:lvlText w:val="*"/>
      <w:numFmt w:val="bullet"/>
      <w:start w:val="1"/>
    </w:lvl>
    <w:lvl w:ilvl="1">
      <w:lvlJc w:val="left"/>
      <w:lvlText w:val="%2"/>
      <w:numFmt w:val="decimal"/>
      <w:start w:val="10"/>
    </w:lvl>
  </w:abstractNum>
  <w:abstractNum w:abstractNumId="37">
    <w:nsid w:val="38437FDB"/>
    <w:multiLevelType w:val="hybridMultilevel"/>
    <w:lvl w:ilvl="0">
      <w:lvlJc w:val="left"/>
      <w:lvlText w:val="1"/>
      <w:numFmt w:val="bullet"/>
      <w:start w:val="1"/>
    </w:lvl>
  </w:abstractNum>
  <w:abstractNum w:abstractNumId="38">
    <w:nsid w:val="7644A45C"/>
    <w:multiLevelType w:val="hybridMultilevel"/>
    <w:lvl w:ilvl="0">
      <w:lvlJc w:val="left"/>
      <w:lvlText w:val="2"/>
      <w:numFmt w:val="bullet"/>
      <w:start w:val="1"/>
    </w:lvl>
    <w:lvl w:ilvl="1">
      <w:lvlJc w:val="left"/>
      <w:lvlText w:val="(%2)"/>
      <w:numFmt w:val="lowerLetter"/>
      <w:start w:val="1"/>
    </w:lvl>
  </w:abstractNum>
  <w:abstractNum w:abstractNumId="39">
    <w:nsid w:val="32FFF902"/>
    <w:multiLevelType w:val="hybridMultilevel"/>
    <w:lvl w:ilvl="0">
      <w:lvlJc w:val="left"/>
      <w:lvlText w:val="3"/>
      <w:numFmt w:val="bullet"/>
      <w:start w:val="1"/>
    </w:lvl>
  </w:abstractNum>
  <w:abstractNum w:abstractNumId="40">
    <w:nsid w:val="684A481A"/>
    <w:multiLevelType w:val="hybridMultilevel"/>
    <w:lvl w:ilvl="0">
      <w:lvlJc w:val="left"/>
      <w:lvlText w:val="4"/>
      <w:numFmt w:val="bullet"/>
      <w:start w:val="1"/>
    </w:lvl>
  </w:abstractNum>
  <w:abstractNum w:abstractNumId="41">
    <w:nsid w:val="579478FE"/>
    <w:multiLevelType w:val="hybridMultilevel"/>
    <w:lvl w:ilvl="0">
      <w:lvlJc w:val="left"/>
      <w:lvlText w:val="9"/>
      <w:numFmt w:val="bullet"/>
      <w:start w:val="1"/>
    </w:lvl>
  </w:abstractNum>
  <w:abstractNum w:abstractNumId="42">
    <w:nsid w:val="749ABB43"/>
    <w:multiLevelType w:val="hybridMultilevel"/>
    <w:lvl w:ilvl="0">
      <w:lvlJc w:val="left"/>
      <w:lvlText w:val="*"/>
      <w:numFmt w:val="bullet"/>
      <w:start w:val="1"/>
    </w:lvl>
    <w:lvl w:ilvl="1">
      <w:lvlJc w:val="left"/>
      <w:lvlText w:val="%2"/>
      <w:numFmt w:val="decimal"/>
      <w:start w:val="10"/>
    </w:lvl>
  </w:abstractNum>
  <w:abstractNum w:abstractNumId="43">
    <w:nsid w:val="3DC240FB"/>
    <w:multiLevelType w:val="hybridMultilevel"/>
    <w:lvl w:ilvl="0">
      <w:lvlJc w:val="left"/>
      <w:lvlText w:val="1"/>
      <w:numFmt w:val="bullet"/>
      <w:start w:val="1"/>
    </w:lvl>
  </w:abstractNum>
  <w:abstractNum w:abstractNumId="44">
    <w:nsid w:val="1BA026FA"/>
    <w:multiLevelType w:val="hybridMultilevel"/>
    <w:lvl w:ilvl="0">
      <w:lvlJc w:val="left"/>
      <w:lvlText w:val="2"/>
      <w:numFmt w:val="bullet"/>
      <w:start w:val="1"/>
    </w:lvl>
    <w:lvl w:ilvl="1">
      <w:lvlJc w:val="left"/>
      <w:lvlText w:val="(%2)"/>
      <w:numFmt w:val="lowerLetter"/>
      <w:start w:val="1"/>
    </w:lvl>
  </w:abstractNum>
  <w:abstractNum w:abstractNumId="45">
    <w:nsid w:val="79A1DEAA"/>
    <w:multiLevelType w:val="hybridMultilevel"/>
    <w:lvl w:ilvl="0">
      <w:lvlJc w:val="left"/>
      <w:lvlText w:val="3"/>
      <w:numFmt w:val="bullet"/>
      <w:start w:val="1"/>
    </w:lvl>
  </w:abstractNum>
  <w:abstractNum w:abstractNumId="46">
    <w:nsid w:val="75C6C33A"/>
    <w:multiLevelType w:val="hybridMultilevel"/>
    <w:lvl w:ilvl="0">
      <w:lvlJc w:val="left"/>
      <w:lvlText w:val="4"/>
      <w:numFmt w:val="bullet"/>
      <w:start w:val="1"/>
    </w:lvl>
  </w:abstractNum>
  <w:abstractNum w:abstractNumId="47">
    <w:nsid w:val="12E685FB"/>
    <w:multiLevelType w:val="hybridMultilevel"/>
    <w:lvl w:ilvl="0">
      <w:lvlJc w:val="left"/>
      <w:lvlText w:val="9"/>
      <w:numFmt w:val="bullet"/>
      <w:start w:val="1"/>
    </w:lvl>
  </w:abstractNum>
  <w:abstractNum w:abstractNumId="48">
    <w:nsid w:val="70C6A529"/>
    <w:multiLevelType w:val="hybridMultilevel"/>
    <w:lvl w:ilvl="0">
      <w:lvlJc w:val="left"/>
      <w:lvlText w:val="*"/>
      <w:numFmt w:val="bullet"/>
      <w:start w:val="1"/>
    </w:lvl>
    <w:lvl w:ilvl="1">
      <w:lvlJc w:val="left"/>
      <w:lvlText w:val="%2"/>
      <w:numFmt w:val="decimal"/>
      <w:start w:val="10"/>
    </w:lvl>
  </w:abstractNum>
  <w:abstractNum w:abstractNumId="49">
    <w:nsid w:val="520EEDD1"/>
    <w:multiLevelType w:val="hybridMultilevel"/>
    <w:lvl w:ilvl="0">
      <w:lvlJc w:val="left"/>
      <w:lvlText w:val="1"/>
      <w:numFmt w:val="bullet"/>
      <w:start w:val="1"/>
    </w:lvl>
  </w:abstractNum>
  <w:abstractNum w:abstractNumId="50">
    <w:nsid w:val="374A3FE6"/>
    <w:multiLevelType w:val="hybridMultilevel"/>
    <w:lvl w:ilvl="0">
      <w:lvlJc w:val="left"/>
      <w:lvlText w:val="2"/>
      <w:numFmt w:val="bullet"/>
      <w:start w:val="1"/>
    </w:lvl>
    <w:lvl w:ilvl="1">
      <w:lvlJc w:val="left"/>
      <w:lvlText w:val="(%2)"/>
      <w:numFmt w:val="lowerLetter"/>
      <w:start w:val="1"/>
    </w:lvl>
  </w:abstractNum>
  <w:abstractNum w:abstractNumId="51">
    <w:nsid w:val="4F4EF005"/>
    <w:multiLevelType w:val="hybridMultilevel"/>
    <w:lvl w:ilvl="0">
      <w:lvlJc w:val="left"/>
      <w:lvlText w:val="3"/>
      <w:numFmt w:val="bullet"/>
      <w:start w:val="1"/>
    </w:lvl>
  </w:abstractNum>
  <w:abstractNum w:abstractNumId="52">
    <w:nsid w:val="23F9C13C"/>
    <w:multiLevelType w:val="hybridMultilevel"/>
    <w:lvl w:ilvl="0">
      <w:lvlJc w:val="left"/>
      <w:lvlText w:val="4"/>
      <w:numFmt w:val="bullet"/>
      <w:start w:val="1"/>
    </w:lvl>
  </w:abstractNum>
  <w:abstractNum w:abstractNumId="53">
    <w:nsid w:val="649BB77C"/>
    <w:multiLevelType w:val="hybridMultilevel"/>
    <w:lvl w:ilvl="0">
      <w:lvlJc w:val="left"/>
      <w:lvlText w:val="9"/>
      <w:numFmt w:val="bullet"/>
      <w:start w:val="1"/>
    </w:lvl>
  </w:abstractNum>
  <w:abstractNum w:abstractNumId="54">
    <w:nsid w:val="275AC794"/>
    <w:multiLevelType w:val="hybridMultilevel"/>
    <w:lvl w:ilvl="0">
      <w:lvlJc w:val="left"/>
      <w:lvlText w:val="*"/>
      <w:numFmt w:val="bullet"/>
      <w:start w:val="1"/>
    </w:lvl>
    <w:lvl w:ilvl="1">
      <w:lvlJc w:val="left"/>
      <w:lvlText w:val="%2"/>
      <w:numFmt w:val="decimal"/>
      <w:start w:val="10"/>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2022-02-14T15:10:16Z</dcterms:created>
  <dcterms:modified xsi:type="dcterms:W3CDTF">2022-02-14T15:10:16Z</dcterms:modified>
</cp:coreProperties>
</file>