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5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233" w:lineRule="exact"/>
        <w:rPr>
          <w:sz w:val="24"/>
          <w:szCs w:val="24"/>
          <w:color w:val="auto"/>
        </w:rPr>
      </w:pPr>
    </w:p>
    <w:p>
      <w:pPr>
        <w:jc w:val="center"/>
        <w:ind w:left="360" w:right="2780"/>
        <w:spacing w:after="0" w:line="246" w:lineRule="auto"/>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 § 240.13d-1(b), (c) and (d) and Amendments Thereto Filed Pursuant to § 240.13d-2</w:t>
      </w:r>
    </w:p>
    <w:p>
      <w:pPr>
        <w:spacing w:after="0" w:line="19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(Amendment No. 1)*</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Class A Common Stock</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76010Y103</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(CUSIP Number)</w:t>
      </w:r>
    </w:p>
    <w:p>
      <w:pPr>
        <w:spacing w:after="0" w:line="20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December 31, 2022</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47"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13d-1(b)</w:t>
      </w:r>
    </w:p>
    <w:p>
      <w:pPr>
        <w:spacing w:after="0" w:line="27" w:lineRule="exact"/>
        <w:rPr>
          <w:rFonts w:ascii="MS PGothic" w:cs="MS PGothic" w:eastAsia="MS PGothic" w:hAnsi="MS PGothic"/>
          <w:sz w:val="22"/>
          <w:szCs w:val="22"/>
          <w:color w:val="auto"/>
        </w:rPr>
      </w:pPr>
    </w:p>
    <w:p>
      <w:pPr>
        <w:jc w:val="both"/>
        <w:ind w:right="9560" w:firstLine="8"/>
        <w:spacing w:after="0" w:line="268" w:lineRule="exact"/>
        <w:tabs>
          <w:tab w:leader="none" w:pos="405"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 xml:space="preserve">Rule 13d-1(c)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Rule 13d-1(d)</w:t>
      </w:r>
    </w:p>
    <w:p>
      <w:pPr>
        <w:spacing w:after="0" w:line="183" w:lineRule="exact"/>
        <w:rPr>
          <w:sz w:val="24"/>
          <w:szCs w:val="24"/>
          <w:color w:val="auto"/>
        </w:rPr>
      </w:pPr>
    </w:p>
    <w:p>
      <w:pPr>
        <w:ind w:right="40" w:firstLine="8"/>
        <w:spacing w:after="0" w:line="244" w:lineRule="auto"/>
        <w:tabs>
          <w:tab w:leader="none" w:pos="16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29"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220" w:type="dxa"/>
            <w:vAlign w:val="bottom"/>
            <w:tcBorders>
              <w:top w:val="single" w:sz="8" w:color="auto"/>
              <w:left w:val="single" w:sz="8" w:color="auto"/>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CUSIP No. 76010Y103</w:t>
            </w:r>
          </w:p>
        </w:tc>
        <w:tc>
          <w:tcPr>
            <w:tcW w:w="4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right w:val="single" w:sz="8" w:color="auto"/>
            </w:tcBorders>
          </w:tcPr>
          <w:p>
            <w:pPr>
              <w:spacing w:after="0"/>
              <w:rPr>
                <w:sz w:val="19"/>
                <w:szCs w:val="19"/>
                <w:color w:val="auto"/>
              </w:rPr>
            </w:pP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13G</w:t>
            </w:r>
          </w:p>
        </w:tc>
        <w:tc>
          <w:tcPr>
            <w:tcW w:w="27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Page 1 of 4</w:t>
            </w:r>
          </w:p>
        </w:tc>
        <w:tc>
          <w:tcPr>
            <w:tcW w:w="0" w:type="dxa"/>
            <w:vAlign w:val="bottom"/>
          </w:tcPr>
          <w:p>
            <w:pPr>
              <w:spacing w:after="0"/>
              <w:rPr>
                <w:sz w:val="1"/>
                <w:szCs w:val="1"/>
                <w:color w:val="auto"/>
              </w:rPr>
            </w:pPr>
          </w:p>
        </w:tc>
      </w:tr>
      <w:tr>
        <w:trPr>
          <w:trHeight w:val="169"/>
        </w:trPr>
        <w:tc>
          <w:tcPr>
            <w:tcW w:w="1400" w:type="dxa"/>
            <w:vAlign w:val="bottom"/>
            <w:tcBorders>
              <w:bottom w:val="single" w:sz="8" w:color="auto"/>
            </w:tcBorders>
          </w:tcPr>
          <w:p>
            <w:pPr>
              <w:spacing w:after="0"/>
              <w:rPr>
                <w:sz w:val="14"/>
                <w:szCs w:val="14"/>
                <w:color w:val="auto"/>
              </w:rPr>
            </w:pPr>
          </w:p>
        </w:tc>
        <w:tc>
          <w:tcPr>
            <w:tcW w:w="8960" w:type="dxa"/>
            <w:vAlign w:val="bottom"/>
            <w:tcBorders>
              <w:bottom w:val="single" w:sz="8" w:color="auto"/>
            </w:tcBorders>
            <w:gridSpan w:val="7"/>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9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9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Jennifer Y. Hyman</w:t>
            </w: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960" w:type="dxa"/>
            <w:vAlign w:val="bottom"/>
            <w:tcBorders>
              <w:bottom w:val="single" w:sz="8" w:color="auto"/>
            </w:tcBorders>
            <w:gridSpan w:val="7"/>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9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060" w:type="dxa"/>
            <w:vAlign w:val="bottom"/>
            <w:tcBorders>
              <w:right w:val="single" w:sz="8" w:color="BFBFBF"/>
            </w:tcBorders>
            <w:shd w:val="clear" w:color="auto" w:fill="BFBFBF"/>
          </w:tcPr>
          <w:p>
            <w:pPr>
              <w:spacing w:after="0"/>
              <w:rPr>
                <w:sz w:val="20"/>
                <w:szCs w:val="20"/>
                <w:color w:val="auto"/>
              </w:rPr>
            </w:pPr>
          </w:p>
        </w:tc>
        <w:tc>
          <w:tcPr>
            <w:tcW w:w="3800" w:type="dxa"/>
            <w:vAlign w:val="bottom"/>
            <w:tcBorders>
              <w:right w:val="single" w:sz="8" w:color="BFBFBF"/>
            </w:tcBorders>
            <w:shd w:val="clear" w:color="auto" w:fill="BFBFBF"/>
          </w:tcPr>
          <w:p>
            <w:pPr>
              <w:spacing w:after="0"/>
              <w:rPr>
                <w:sz w:val="20"/>
                <w:szCs w:val="20"/>
                <w:color w:val="auto"/>
              </w:rPr>
            </w:pPr>
          </w:p>
        </w:tc>
        <w:tc>
          <w:tcPr>
            <w:tcW w:w="2780" w:type="dxa"/>
            <w:vAlign w:val="bottom"/>
            <w:shd w:val="clear" w:color="auto" w:fill="BFBFBF"/>
          </w:tcPr>
          <w:p>
            <w:pPr>
              <w:spacing w:after="0"/>
              <w:rPr>
                <w:sz w:val="20"/>
                <w:szCs w:val="20"/>
                <w:color w:val="auto"/>
              </w:rPr>
            </w:pPr>
          </w:p>
        </w:tc>
        <w:tc>
          <w:tcPr>
            <w:tcW w:w="8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60" w:type="dxa"/>
            <w:vAlign w:val="bottom"/>
            <w:tcBorders>
              <w:right w:val="single" w:sz="8" w:color="BFBFBF"/>
            </w:tcBorders>
            <w:shd w:val="clear" w:color="auto" w:fill="BFBFBF"/>
          </w:tcPr>
          <w:p>
            <w:pPr>
              <w:spacing w:after="0"/>
              <w:rPr>
                <w:sz w:val="24"/>
                <w:szCs w:val="24"/>
                <w:color w:val="auto"/>
              </w:rPr>
            </w:pPr>
          </w:p>
        </w:tc>
        <w:tc>
          <w:tcPr>
            <w:tcW w:w="3800" w:type="dxa"/>
            <w:vAlign w:val="bottom"/>
            <w:tcBorders>
              <w:right w:val="single" w:sz="8" w:color="BFBFBF"/>
            </w:tcBorders>
            <w:shd w:val="clear" w:color="auto" w:fill="BFBFBF"/>
          </w:tcPr>
          <w:p>
            <w:pPr>
              <w:spacing w:after="0"/>
              <w:rPr>
                <w:sz w:val="24"/>
                <w:szCs w:val="24"/>
                <w:color w:val="auto"/>
              </w:rPr>
            </w:pPr>
          </w:p>
        </w:tc>
        <w:tc>
          <w:tcPr>
            <w:tcW w:w="2780" w:type="dxa"/>
            <w:vAlign w:val="bottom"/>
            <w:shd w:val="clear" w:color="auto" w:fill="BFBFBF"/>
          </w:tcPr>
          <w:p>
            <w:pPr>
              <w:spacing w:after="0"/>
              <w:rPr>
                <w:sz w:val="24"/>
                <w:szCs w:val="24"/>
                <w:color w:val="auto"/>
              </w:rPr>
            </w:pPr>
          </w:p>
        </w:tc>
        <w:tc>
          <w:tcPr>
            <w:tcW w:w="8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660" w:type="dxa"/>
            <w:vAlign w:val="bottom"/>
            <w:tcBorders>
              <w:bottom w:val="single" w:sz="8" w:color="auto"/>
            </w:tcBorders>
            <w:gridSpan w:val="4"/>
            <w:shd w:val="clear" w:color="auto" w:fill="BFBFBF"/>
          </w:tcPr>
          <w:p>
            <w:pPr>
              <w:spacing w:after="0"/>
              <w:rPr>
                <w:sz w:val="23"/>
                <w:szCs w:val="23"/>
                <w:color w:val="auto"/>
              </w:rPr>
            </w:pPr>
          </w:p>
        </w:tc>
        <w:tc>
          <w:tcPr>
            <w:tcW w:w="8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9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40" w:type="dxa"/>
            <w:vAlign w:val="bottom"/>
            <w:tcBorders>
              <w:bottom w:val="single" w:sz="8" w:color="auto"/>
            </w:tcBorders>
            <w:gridSpan w:val="3"/>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7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3,615,267</w:t>
            </w:r>
          </w:p>
        </w:tc>
        <w:tc>
          <w:tcPr>
            <w:tcW w:w="38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40" w:type="dxa"/>
            <w:vAlign w:val="bottom"/>
            <w:tcBorders>
              <w:bottom w:val="single" w:sz="8" w:color="auto"/>
            </w:tcBorders>
            <w:gridSpan w:val="3"/>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7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123,108</w:t>
            </w:r>
          </w:p>
        </w:tc>
        <w:tc>
          <w:tcPr>
            <w:tcW w:w="38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8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27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7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8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7640" w:type="dxa"/>
            <w:vAlign w:val="bottom"/>
            <w:gridSpan w:val="3"/>
            <w:vMerge w:val="continue"/>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3,615,267</w:t>
            </w:r>
          </w:p>
        </w:tc>
        <w:tc>
          <w:tcPr>
            <w:tcW w:w="38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38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40" w:type="dxa"/>
            <w:vAlign w:val="bottom"/>
            <w:tcBorders>
              <w:bottom w:val="single" w:sz="8" w:color="auto"/>
            </w:tcBorders>
            <w:gridSpan w:val="3"/>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7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123,108</w:t>
            </w:r>
          </w:p>
        </w:tc>
        <w:tc>
          <w:tcPr>
            <w:tcW w:w="38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7660" w:type="dxa"/>
            <w:vAlign w:val="bottom"/>
            <w:tcBorders>
              <w:bottom w:val="single" w:sz="8" w:color="auto"/>
            </w:tcBorders>
            <w:gridSpan w:val="4"/>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89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3,738,375</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660" w:type="dxa"/>
            <w:vAlign w:val="bottom"/>
            <w:tcBorders>
              <w:bottom w:val="single" w:sz="8" w:color="auto"/>
            </w:tcBorders>
            <w:gridSpan w:val="4"/>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89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CHECK IF THE AGGREGATE AMOUNT IN ROW (9) EXCLUDES CERTAIN SHARES (SEE INSTRUCTIONS)</w:t>
            </w: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right w:val="single" w:sz="8" w:color="auto"/>
            </w:tcBorders>
          </w:tcPr>
          <w:p>
            <w:pPr>
              <w:spacing w:after="0"/>
              <w:rPr>
                <w:sz w:val="20"/>
                <w:szCs w:val="20"/>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0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7660" w:type="dxa"/>
            <w:vAlign w:val="bottom"/>
            <w:tcBorders>
              <w:bottom w:val="single" w:sz="8" w:color="auto"/>
            </w:tcBorders>
            <w:gridSpan w:val="4"/>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9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5.8%</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660" w:type="dxa"/>
            <w:vAlign w:val="bottom"/>
            <w:tcBorders>
              <w:bottom w:val="single" w:sz="8" w:color="auto"/>
            </w:tcBorders>
            <w:gridSpan w:val="4"/>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9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780" w:type="dxa"/>
            <w:vAlign w:val="bottom"/>
            <w:tcBorders>
              <w:top w:val="single" w:sz="8" w:color="auto"/>
              <w:left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CUSIP No. 76010Y103</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13G</w:t>
            </w:r>
          </w:p>
        </w:tc>
        <w:tc>
          <w:tcPr>
            <w:tcW w:w="3660" w:type="dxa"/>
            <w:vAlign w:val="bottom"/>
            <w:tcBorders>
              <w:top w:val="single" w:sz="8" w:color="auto"/>
              <w:bottom w:val="single" w:sz="8" w:color="auto"/>
              <w:right w:val="single" w:sz="8" w:color="auto"/>
            </w:tcBorders>
          </w:tcPr>
          <w:p>
            <w:pPr>
              <w:ind w:left="2800"/>
              <w:spacing w:after="0"/>
              <w:rPr>
                <w:sz w:val="20"/>
                <w:szCs w:val="20"/>
                <w:color w:val="auto"/>
              </w:rPr>
            </w:pPr>
            <w:r>
              <w:rPr>
                <w:rFonts w:ascii="Times New Roman" w:cs="Times New Roman" w:eastAsia="Times New Roman" w:hAnsi="Times New Roman"/>
                <w:sz w:val="18"/>
                <w:szCs w:val="18"/>
                <w:color w:val="auto"/>
              </w:rPr>
              <w:t>Page 2 of 4</w:t>
            </w:r>
          </w:p>
        </w:tc>
      </w:tr>
      <w:tr>
        <w:trPr>
          <w:trHeight w:val="385"/>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(a)</w:t>
            </w:r>
          </w:p>
        </w:tc>
        <w:tc>
          <w:tcPr>
            <w:tcW w:w="2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3800" w:type="dxa"/>
            <w:vAlign w:val="bottom"/>
          </w:tcPr>
          <w:p>
            <w:pPr>
              <w:spacing w:after="0"/>
              <w:rPr>
                <w:sz w:val="24"/>
                <w:szCs w:val="24"/>
                <w:color w:val="auto"/>
              </w:rPr>
            </w:pPr>
          </w:p>
        </w:tc>
        <w:tc>
          <w:tcPr>
            <w:tcW w:w="3660" w:type="dxa"/>
            <w:vAlign w:val="bottom"/>
          </w:tcPr>
          <w:p>
            <w:pPr>
              <w:spacing w:after="0"/>
              <w:rPr>
                <w:sz w:val="24"/>
                <w:szCs w:val="24"/>
                <w:color w:val="auto"/>
              </w:rPr>
            </w:pPr>
          </w:p>
        </w:tc>
      </w:tr>
    </w:tbl>
    <w:p>
      <w:pPr>
        <w:spacing w:after="0" w:line="2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Rent the Runway, Inc. (the “Issuer”).</w:t>
      </w:r>
    </w:p>
    <w:p>
      <w:pPr>
        <w:spacing w:after="0" w:line="238" w:lineRule="exact"/>
        <w:rPr>
          <w:sz w:val="20"/>
          <w:szCs w:val="20"/>
          <w:color w:val="auto"/>
        </w:rPr>
      </w:pPr>
    </w:p>
    <w:p>
      <w:pPr>
        <w:ind w:left="1560" w:hanging="648"/>
        <w:spacing w:after="0"/>
        <w:tabs>
          <w:tab w:leader="none" w:pos="15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24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10 Jay Street, Brooklyn, New York 11201</w:t>
      </w:r>
    </w:p>
    <w:p>
      <w:pPr>
        <w:spacing w:after="0" w:line="238"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2.  (a)</w:t>
      </w:r>
      <w:r>
        <w:rPr>
          <w:sz w:val="20"/>
          <w:szCs w:val="20"/>
          <w:color w:val="auto"/>
        </w:rPr>
        <w:tab/>
      </w:r>
      <w:r>
        <w:rPr>
          <w:rFonts w:ascii="Times New Roman" w:cs="Times New Roman" w:eastAsia="Times New Roman" w:hAnsi="Times New Roman"/>
          <w:sz w:val="18"/>
          <w:szCs w:val="18"/>
          <w:b w:val="1"/>
          <w:bCs w:val="1"/>
          <w:color w:val="auto"/>
        </w:rPr>
        <w:t>Name of Person Filing:</w:t>
      </w:r>
    </w:p>
    <w:p>
      <w:pPr>
        <w:spacing w:after="0" w:line="24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This statement is filed on behalf of Jennifer Y. Hyman (the “Reporting Person”).</w:t>
      </w:r>
    </w:p>
    <w:p>
      <w:pPr>
        <w:spacing w:after="0" w:line="238" w:lineRule="exact"/>
        <w:rPr>
          <w:sz w:val="20"/>
          <w:szCs w:val="20"/>
          <w:color w:val="auto"/>
        </w:rPr>
      </w:pPr>
    </w:p>
    <w:p>
      <w:pPr>
        <w:ind w:left="1560" w:hanging="648"/>
        <w:spacing w:after="0"/>
        <w:tabs>
          <w:tab w:leader="none" w:pos="15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or Principal Business Office:</w:t>
      </w:r>
    </w:p>
    <w:p>
      <w:pPr>
        <w:spacing w:after="0" w:line="247" w:lineRule="exact"/>
        <w:rPr>
          <w:sz w:val="20"/>
          <w:szCs w:val="20"/>
          <w:color w:val="auto"/>
        </w:rPr>
      </w:pPr>
    </w:p>
    <w:p>
      <w:pPr>
        <w:ind w:left="1560" w:right="760" w:firstLine="389"/>
        <w:spacing w:after="0" w:line="258" w:lineRule="auto"/>
        <w:rPr>
          <w:sz w:val="20"/>
          <w:szCs w:val="20"/>
          <w:color w:val="auto"/>
        </w:rPr>
      </w:pPr>
      <w:r>
        <w:rPr>
          <w:rFonts w:ascii="Times New Roman" w:cs="Times New Roman" w:eastAsia="Times New Roman" w:hAnsi="Times New Roman"/>
          <w:sz w:val="22"/>
          <w:szCs w:val="22"/>
          <w:color w:val="auto"/>
        </w:rPr>
        <w:t>The principal business address of the Reporting Person is c/o Rent the Runway, Inc., 10 Jay Street, Brooklyn, New York 11201.</w:t>
      </w:r>
    </w:p>
    <w:p>
      <w:pPr>
        <w:spacing w:after="0" w:line="190" w:lineRule="exact"/>
        <w:rPr>
          <w:sz w:val="20"/>
          <w:szCs w:val="20"/>
          <w:color w:val="auto"/>
        </w:rPr>
      </w:pPr>
    </w:p>
    <w:p>
      <w:pPr>
        <w:ind w:left="1540" w:hanging="628"/>
        <w:spacing w:after="0"/>
        <w:tabs>
          <w:tab w:leader="none" w:pos="1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 of each Reporting Person is:</w:t>
      </w:r>
    </w:p>
    <w:p>
      <w:pPr>
        <w:spacing w:after="0" w:line="24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The Reporting Person is a citizen of the United States.</w:t>
      </w:r>
    </w:p>
    <w:p>
      <w:pPr>
        <w:spacing w:after="0" w:line="238" w:lineRule="exact"/>
        <w:rPr>
          <w:sz w:val="20"/>
          <w:szCs w:val="20"/>
          <w:color w:val="auto"/>
        </w:rPr>
      </w:pPr>
    </w:p>
    <w:p>
      <w:pPr>
        <w:ind w:left="1540" w:hanging="628"/>
        <w:spacing w:after="0"/>
        <w:tabs>
          <w:tab w:leader="none" w:pos="1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of Class of Securities:</w:t>
      </w:r>
    </w:p>
    <w:p>
      <w:pPr>
        <w:spacing w:after="0" w:line="24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Class A common stock, par value $0.001 per share (“Class A Common Stock”).</w:t>
      </w:r>
    </w:p>
    <w:p>
      <w:pPr>
        <w:spacing w:after="0" w:line="238" w:lineRule="exact"/>
        <w:rPr>
          <w:sz w:val="20"/>
          <w:szCs w:val="20"/>
          <w:color w:val="auto"/>
        </w:rPr>
      </w:pPr>
    </w:p>
    <w:p>
      <w:pPr>
        <w:ind w:left="1560" w:hanging="648"/>
        <w:spacing w:after="0"/>
        <w:tabs>
          <w:tab w:leader="none" w:pos="15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CUSIP Number:</w:t>
      </w:r>
    </w:p>
    <w:p>
      <w:pPr>
        <w:spacing w:after="0" w:line="24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76010Y103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b w:val="1"/>
          <w:bCs w:val="1"/>
          <w:color w:val="auto"/>
        </w:rPr>
        <w:t>(a-c)</w:t>
      </w:r>
    </w:p>
    <w:p>
      <w:pPr>
        <w:spacing w:after="0" w:line="237" w:lineRule="exact"/>
        <w:rPr>
          <w:sz w:val="20"/>
          <w:szCs w:val="20"/>
          <w:color w:val="auto"/>
        </w:rPr>
      </w:pPr>
    </w:p>
    <w:p>
      <w:pPr>
        <w:ind w:left="900" w:right="60" w:firstLine="405"/>
        <w:spacing w:after="0" w:line="239" w:lineRule="auto"/>
        <w:rPr>
          <w:sz w:val="20"/>
          <w:szCs w:val="20"/>
          <w:color w:val="auto"/>
        </w:rPr>
      </w:pPr>
      <w:r>
        <w:rPr>
          <w:rFonts w:ascii="Times New Roman" w:cs="Times New Roman" w:eastAsia="Times New Roman" w:hAnsi="Times New Roman"/>
          <w:sz w:val="22"/>
          <w:szCs w:val="22"/>
          <w:color w:val="auto"/>
        </w:rPr>
        <w:t>The ownership information presented below represents beneficial ownership of Class A Common Stock of the Issuer as of December 31, 2022, based upon 61,956,536 shares of Class A Common Stock outstanding as of December 5, 2022, as disclosed in the Issuer’s Quarterly Report on Form 10-Q filed with the Securities and Exchange Commission on December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2380" w:type="dxa"/>
            <w:vAlign w:val="bottom"/>
            <w:tcBorders>
              <w:top w:val="single" w:sz="8" w:color="auto"/>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CUSIP No. 76010Y103</w:t>
            </w:r>
          </w:p>
        </w:tc>
        <w:tc>
          <w:tcPr>
            <w:tcW w:w="1400" w:type="dxa"/>
            <w:vAlign w:val="bottom"/>
            <w:tcBorders>
              <w:top w:val="single" w:sz="8" w:color="auto"/>
              <w:bottom w:val="single" w:sz="8" w:color="auto"/>
              <w:right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Schedule 13G</w:t>
            </w:r>
          </w:p>
        </w:tc>
        <w:tc>
          <w:tcPr>
            <w:tcW w:w="640" w:type="dxa"/>
            <w:vAlign w:val="bottom"/>
            <w:tcBorders>
              <w:top w:val="single" w:sz="8" w:color="auto"/>
              <w:bottom w:val="single" w:sz="8" w:color="auto"/>
              <w:right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Page 3 of 4</w:t>
            </w:r>
          </w:p>
        </w:tc>
      </w:tr>
      <w:tr>
        <w:trPr>
          <w:trHeight w:val="363"/>
        </w:trPr>
        <w:tc>
          <w:tcPr>
            <w:tcW w:w="2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Sole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Shared</w:t>
            </w:r>
          </w:p>
        </w:tc>
      </w:tr>
      <w:tr>
        <w:trPr>
          <w:trHeight w:val="216"/>
        </w:trPr>
        <w:tc>
          <w:tcPr>
            <w:tcW w:w="2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power to</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power to</w:t>
            </w:r>
          </w:p>
        </w:tc>
      </w:tr>
      <w:tr>
        <w:trPr>
          <w:trHeight w:val="216"/>
        </w:trPr>
        <w:tc>
          <w:tcPr>
            <w:tcW w:w="2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dispose or</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dispose or</w:t>
            </w:r>
          </w:p>
        </w:tc>
      </w:tr>
      <w:tr>
        <w:trPr>
          <w:trHeight w:val="216"/>
        </w:trPr>
        <w:tc>
          <w:tcPr>
            <w:tcW w:w="2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direct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direct</w:t>
            </w:r>
          </w:p>
        </w:tc>
      </w:tr>
      <w:tr>
        <w:trPr>
          <w:trHeight w:val="216"/>
        </w:trPr>
        <w:tc>
          <w:tcPr>
            <w:tcW w:w="2380" w:type="dxa"/>
            <w:vAlign w:val="bottom"/>
          </w:tcPr>
          <w:p>
            <w:pPr>
              <w:spacing w:after="0"/>
              <w:rPr>
                <w:sz w:val="18"/>
                <w:szCs w:val="18"/>
                <w:color w:val="auto"/>
              </w:rPr>
            </w:pPr>
          </w:p>
        </w:tc>
        <w:tc>
          <w:tcPr>
            <w:tcW w:w="18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tcPr>
          <w:p>
            <w:pPr>
              <w:spacing w:after="0"/>
              <w:rPr>
                <w:sz w:val="18"/>
                <w:szCs w:val="18"/>
                <w:color w:val="auto"/>
              </w:rPr>
            </w:pPr>
          </w:p>
        </w:tc>
        <w:tc>
          <w:tcPr>
            <w:tcW w:w="18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Sole power</w:t>
            </w:r>
          </w:p>
        </w:tc>
        <w:tc>
          <w:tcPr>
            <w:tcW w:w="15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Shared power</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w:t>
            </w:r>
          </w:p>
        </w:tc>
      </w:tr>
      <w:tr>
        <w:trPr>
          <w:trHeight w:val="216"/>
        </w:trPr>
        <w:tc>
          <w:tcPr>
            <w:tcW w:w="2380" w:type="dxa"/>
            <w:vAlign w:val="bottom"/>
          </w:tcPr>
          <w:p>
            <w:pPr>
              <w:spacing w:after="0"/>
              <w:rPr>
                <w:sz w:val="18"/>
                <w:szCs w:val="18"/>
                <w:color w:val="auto"/>
              </w:rPr>
            </w:pPr>
          </w:p>
        </w:tc>
        <w:tc>
          <w:tcPr>
            <w:tcW w:w="18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8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to vote or to</w:t>
            </w:r>
          </w:p>
        </w:tc>
        <w:tc>
          <w:tcPr>
            <w:tcW w:w="15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to vote or to</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disposition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disposition</w:t>
            </w:r>
          </w:p>
        </w:tc>
      </w:tr>
      <w:tr>
        <w:trPr>
          <w:trHeight w:val="23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80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7"/>
              </w:rPr>
              <w:t>of class:</w:t>
            </w:r>
          </w:p>
        </w:tc>
        <w:tc>
          <w:tcPr>
            <w:tcW w:w="18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direct the vote:</w:t>
            </w:r>
          </w:p>
        </w:tc>
        <w:tc>
          <w:tcPr>
            <w:tcW w:w="15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direct the vote: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16"/>
        </w:trPr>
        <w:tc>
          <w:tcPr>
            <w:tcW w:w="23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Y. Hyman</w:t>
            </w:r>
          </w:p>
        </w:tc>
        <w:tc>
          <w:tcPr>
            <w:tcW w:w="18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3,738,375</w:t>
            </w:r>
          </w:p>
        </w:tc>
        <w:tc>
          <w:tcPr>
            <w:tcW w:w="96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5"/>
              </w:rPr>
              <w:t>5.8%</w:t>
            </w:r>
          </w:p>
        </w:tc>
        <w:tc>
          <w:tcPr>
            <w:tcW w:w="180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3,615,267</w:t>
            </w:r>
          </w:p>
        </w:tc>
        <w:tc>
          <w:tcPr>
            <w:tcW w:w="15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123,108</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3,615,267</w:t>
            </w:r>
          </w:p>
        </w:tc>
        <w:tc>
          <w:tcPr>
            <w:tcW w:w="14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123,108</w:t>
            </w:r>
          </w:p>
        </w:tc>
      </w:tr>
    </w:tbl>
    <w:p>
      <w:pPr>
        <w:spacing w:after="0" w:line="216" w:lineRule="exact"/>
        <w:rPr>
          <w:sz w:val="20"/>
          <w:szCs w:val="20"/>
          <w:color w:val="auto"/>
        </w:rPr>
      </w:pPr>
    </w:p>
    <w:p>
      <w:pPr>
        <w:ind w:left="900" w:right="60" w:firstLine="403"/>
        <w:spacing w:after="0" w:line="235" w:lineRule="auto"/>
        <w:rPr>
          <w:sz w:val="20"/>
          <w:szCs w:val="20"/>
          <w:color w:val="auto"/>
        </w:rPr>
      </w:pPr>
      <w:r>
        <w:rPr>
          <w:rFonts w:ascii="Times New Roman" w:cs="Times New Roman" w:eastAsia="Times New Roman" w:hAnsi="Times New Roman"/>
          <w:sz w:val="22"/>
          <w:szCs w:val="22"/>
          <w:color w:val="auto"/>
        </w:rPr>
        <w:t>The Reporting Person is the beneficial owner of 3,738,375 shares of Class A Common Stock, which consist of (i) 1,113,815 shares of Class A Common Stock underlying the shares of Class B Common Stock of the Issuer held of record by the Reporting Person that are convertible on or prior to March 1, 2023; (ii) 123,108 shares of Class A Common Stock underlying the shares of Class B Common Stock of the Issuer held of record by the Reporting Person’s spouse that are convertible on or prior to March 1, 2023; (iii) 2,485,341 shares of Class A Common Stock underlying stock options that are exercisable on or prior to March 1, 2023; and (iv) 16,111 shares of Class A Common Stock underlying restricted stock units that vest on or prior to March 1, 2023.</w:t>
      </w:r>
    </w:p>
    <w:p>
      <w:pPr>
        <w:spacing w:after="0" w:line="2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37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CUSIP No. 76010Y103</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13G</w:t>
            </w:r>
          </w:p>
        </w:tc>
        <w:tc>
          <w:tcPr>
            <w:tcW w:w="3660" w:type="dxa"/>
            <w:vAlign w:val="bottom"/>
            <w:tcBorders>
              <w:top w:val="single" w:sz="8" w:color="auto"/>
              <w:bottom w:val="single" w:sz="8" w:color="auto"/>
              <w:right w:val="single" w:sz="8" w:color="auto"/>
            </w:tcBorders>
          </w:tcPr>
          <w:p>
            <w:pPr>
              <w:ind w:left="2800"/>
              <w:spacing w:after="0"/>
              <w:rPr>
                <w:sz w:val="20"/>
                <w:szCs w:val="20"/>
                <w:color w:val="auto"/>
              </w:rPr>
            </w:pPr>
            <w:r>
              <w:rPr>
                <w:rFonts w:ascii="Times New Roman" w:cs="Times New Roman" w:eastAsia="Times New Roman" w:hAnsi="Times New Roman"/>
                <w:sz w:val="18"/>
                <w:szCs w:val="18"/>
                <w:color w:val="auto"/>
              </w:rPr>
              <w:t>Page 4 of 4</w:t>
            </w: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7" w:lineRule="exact"/>
        <w:rPr>
          <w:sz w:val="20"/>
          <w:szCs w:val="20"/>
          <w:color w:val="auto"/>
        </w:rPr>
      </w:pPr>
    </w:p>
    <w:p>
      <w:pPr>
        <w:ind w:right="760"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February 8, 2023</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Jennifer Y. Hyman</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Letter"/>
      <w:start w:val="4"/>
    </w:lvl>
  </w:abstractNum>
  <w:abstractNum w:abstractNumId="6">
    <w:nsid w:val="41B71EF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2023-02-08T15:12:16Z</dcterms:created>
  <dcterms:modified xsi:type="dcterms:W3CDTF">2023-02-08T15:12:16Z</dcterms:modified>
</cp:coreProperties>
</file>