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190" w:after="283"/>
        <w:ind w:left="0" w:right="0" w:hanging="0"/>
        <w:jc w:val="center"/>
        <w:rPr>
          <w:rFonts w:ascii="Times New Roman;Times;serif" w:hAnsi="Times New Roman;Times;serif"/>
          <w:b/>
          <w:color w:val="000000"/>
          <w:sz w:val="28"/>
        </w:rPr>
      </w:pPr>
      <w:bookmarkStart w:id="0" w:name="ny20008195x1_pre14a_100-regcov_pg1"/>
      <w:bookmarkStart w:id="1" w:name="ny20008195x3_defa14a.htm"/>
      <w:bookmarkStart w:id="2" w:name="ksny20008195x3_defa14a"/>
      <w:bookmarkEnd w:id="0"/>
      <w:bookmarkEnd w:id="1"/>
      <w:bookmarkEnd w:id="2"/>
      <w:r>
        <w:rPr>
          <w:rFonts w:ascii="Times New Roman;Times;serif" w:hAnsi="Times New Roman;Times;serif"/>
          <w:b/>
          <w:color w:val="000000"/>
          <w:sz w:val="28"/>
        </w:rPr>
        <w:t xml:space="preserve">UNITED STATES </w:t>
      </w:r>
    </w:p>
    <w:p>
      <w:pPr>
        <w:pStyle w:val="TextBody"/>
        <w:spacing w:before="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 xml:space="preserve">SECURITIES AND EXCHANGE COMMISSION </w:t>
      </w:r>
    </w:p>
    <w:p>
      <w:pPr>
        <w:pStyle w:val="TextBody"/>
        <w:spacing w:before="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0"/>
        </w:rPr>
        <w:t>Washington, D.C. 20549</w:t>
      </w:r>
      <w:r>
        <w:rPr>
          <w:rFonts w:ascii="Times New Roman;Times;serif" w:hAnsi="Times New Roman;Times;serif"/>
          <w:b/>
          <w:color w:val="000000"/>
          <w:sz w:val="28"/>
        </w:rPr>
        <w:t xml:space="preserve"> </w:t>
      </w:r>
    </w:p>
    <w:p>
      <w:pPr>
        <w:pStyle w:val="TextBody"/>
        <w:spacing w:before="250" w:after="283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 xml:space="preserve">SCHEDULE 14A INFORMATION </w:t>
      </w:r>
    </w:p>
    <w:p>
      <w:pPr>
        <w:pStyle w:val="TextBody"/>
        <w:spacing w:before="13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Proxy Statement Pursuant to Section 14(a) of the </w:t>
      </w:r>
    </w:p>
    <w:p>
      <w:pPr>
        <w:pStyle w:val="TextBody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 xml:space="preserve">Securities Exchange Act of 1934 </w:t>
      </w:r>
    </w:p>
    <w:p>
      <w:pPr>
        <w:pStyle w:val="TextBody"/>
        <w:spacing w:before="0" w:after="283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(Amendment No.   )</w:t>
      </w:r>
    </w:p>
    <w:p>
      <w:pPr>
        <w:pStyle w:val="TextBody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 ☒       Filed by a Party other than the Registrant   ☐</w:t>
      </w:r>
    </w:p>
    <w:p>
      <w:pPr>
        <w:pStyle w:val="TextBody"/>
        <w:spacing w:before="17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Check the appropriate box: </w:t>
      </w:r>
    </w:p>
    <w:tbl>
      <w:tblPr>
        <w:tblW w:w="257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2345"/>
      </w:tblGrid>
      <w:tr>
        <w:trPr/>
        <w:tc>
          <w:tcPr>
            <w:tcW w:w="2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Preliminary Proxy Statement</w:t>
            </w:r>
          </w:p>
        </w:tc>
      </w:tr>
    </w:tbl>
    <w:tbl>
      <w:tblPr>
        <w:tblW w:w="680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6530"/>
      </w:tblGrid>
      <w:tr>
        <w:trPr/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653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Confidential, for Use of the Commission Only (as permitted by Rule 14a-6(e)(2))</w:t>
            </w:r>
          </w:p>
        </w:tc>
      </w:tr>
    </w:tbl>
    <w:tbl>
      <w:tblPr>
        <w:tblW w:w="250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225"/>
      </w:tblGrid>
      <w:tr>
        <w:trPr/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22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Proxy Statement</w:t>
            </w:r>
          </w:p>
        </w:tc>
      </w:tr>
    </w:tbl>
    <w:tbl>
      <w:tblPr>
        <w:tblW w:w="286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2585"/>
      </w:tblGrid>
      <w:tr>
        <w:trPr/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25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Definitive Additional Materials</w:t>
            </w:r>
          </w:p>
        </w:tc>
      </w:tr>
    </w:tbl>
    <w:tbl>
      <w:tblPr>
        <w:tblW w:w="3400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3125"/>
      </w:tblGrid>
      <w:tr>
        <w:trPr/>
        <w:tc>
          <w:tcPr>
            <w:tcW w:w="2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312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Soliciting Material under Rule 14a-12</w:t>
            </w:r>
          </w:p>
        </w:tc>
      </w:tr>
    </w:tbl>
    <w:tbl>
      <w:tblPr>
        <w:tblW w:w="6216" w:type="dxa"/>
        <w:jc w:val="left"/>
        <w:tblInd w:w="0" w:type="dxa"/>
        <w:tblCellMar>
          <w:top w:w="0" w:type="dxa"/>
          <w:left w:w="0" w:type="dxa"/>
          <w:bottom w:w="150" w:type="dxa"/>
          <w:right w:w="0" w:type="dxa"/>
        </w:tblCellMar>
      </w:tblPr>
      <w:tblGrid>
        <w:gridCol w:w="38"/>
        <w:gridCol w:w="6140"/>
        <w:gridCol w:w="38"/>
      </w:tblGrid>
      <w:tr>
        <w:trPr/>
        <w:tc>
          <w:tcPr>
            <w:tcW w:w="38" w:type="dxa"/>
            <w:tcBorders>
              <w:bottom w:val="single" w:sz="2" w:space="0" w:color="FFFFFF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6140" w:type="dxa"/>
            <w:tcBorders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48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48"/>
              </w:rPr>
              <w:t xml:space="preserve">RENT THE RUNWAY, INC. </w:t>
            </w:r>
          </w:p>
        </w:tc>
        <w:tc>
          <w:tcPr>
            <w:tcW w:w="38" w:type="dxa"/>
            <w:tcBorders>
              <w:bottom w:val="single" w:sz="2" w:space="0" w:color="FFFFFF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  <w:tr>
        <w:trPr/>
        <w:tc>
          <w:tcPr>
            <w:tcW w:w="38" w:type="dxa"/>
            <w:tcBorders/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6140" w:type="dxa"/>
            <w:tcBorders/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 xml:space="preserve">(Name of registrant as specified in its charter) </w:t>
            </w:r>
          </w:p>
        </w:tc>
        <w:tc>
          <w:tcPr>
            <w:tcW w:w="38" w:type="dxa"/>
            <w:tcBorders/>
            <w:shd w:fill="auto" w:val="clear"/>
            <w:tcMar>
              <w:bottom w:w="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  <w:tr>
        <w:trPr/>
        <w:tc>
          <w:tcPr>
            <w:tcW w:w="38" w:type="dxa"/>
            <w:tcBorders>
              <w:bottom w:val="single" w:sz="2" w:space="0" w:color="FFFFFF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6140" w:type="dxa"/>
            <w:tcBorders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" w:type="dxa"/>
            <w:tcBorders>
              <w:bottom w:val="single" w:sz="2" w:space="0" w:color="FFFFFF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  <w:tr>
        <w:trPr/>
        <w:tc>
          <w:tcPr>
            <w:tcW w:w="38" w:type="dxa"/>
            <w:tcBorders>
              <w:bottom w:val="single" w:sz="8" w:space="0" w:color="000000"/>
            </w:tcBorders>
            <w:shd w:fill="auto" w:val="clear"/>
            <w:tcMar>
              <w:bottom w:w="6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6140" w:type="dxa"/>
            <w:tcBorders>
              <w:bottom w:val="single" w:sz="8" w:space="0" w:color="000000"/>
            </w:tcBorders>
            <w:shd w:fill="auto" w:val="clear"/>
            <w:tcMar>
              <w:bottom w:w="60" w:type="dxa"/>
            </w:tcMar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 New Roman;Times;serif" w:hAnsi="Times New Roman;Times;serif"/>
                <w:b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20"/>
              </w:rPr>
              <w:t>(Name of person(s) filing proxy statement, if other than the registrant)</w:t>
            </w:r>
          </w:p>
        </w:tc>
        <w:tc>
          <w:tcPr>
            <w:tcW w:w="38" w:type="dxa"/>
            <w:tcBorders>
              <w:bottom w:val="single" w:sz="8" w:space="0" w:color="000000"/>
            </w:tcBorders>
            <w:shd w:fill="auto" w:val="clear"/>
            <w:tcMar>
              <w:bottom w:w="60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</w:tbl>
    <w:p>
      <w:pPr>
        <w:pStyle w:val="TextBody"/>
        <w:spacing w:before="130" w:after="283"/>
        <w:ind w:left="0" w:right="0" w:hanging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 xml:space="preserve">Payment of Filing Fee (Check all boxes that apply): </w:t>
      </w:r>
    </w:p>
    <w:tbl>
      <w:tblPr>
        <w:tblW w:w="8659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8285"/>
        <w:gridCol w:w="38"/>
      </w:tblGrid>
      <w:tr>
        <w:trPr/>
        <w:tc>
          <w:tcPr>
            <w:tcW w:w="2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8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No fee required.</w:t>
            </w:r>
          </w:p>
        </w:tc>
        <w:tc>
          <w:tcPr>
            <w:tcW w:w="3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  <w:tr>
        <w:trPr/>
        <w:tc>
          <w:tcPr>
            <w:tcW w:w="2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8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 xml:space="preserve">Fee paid previously with preliminary materials. </w:t>
            </w:r>
          </w:p>
        </w:tc>
        <w:tc>
          <w:tcPr>
            <w:tcW w:w="3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  <w:tr>
        <w:trPr/>
        <w:tc>
          <w:tcPr>
            <w:tcW w:w="29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  <w:tc>
          <w:tcPr>
            <w:tcW w:w="828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ind w:left="0" w:right="0" w:hanging="0"/>
              <w:jc w:val="left"/>
              <w:rPr>
                <w:rFonts w:ascii="Times New Roman;Times;serif" w:hAnsi="Times New Roman;Times;serif"/>
                <w:color w:val="000000"/>
                <w:sz w:val="20"/>
              </w:rPr>
            </w:pPr>
            <w:r>
              <w:rPr>
                <w:rFonts w:ascii="Times New Roman;Times;serif" w:hAnsi="Times New Roman;Times;serif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  <w:tc>
          <w:tcPr>
            <w:tcW w:w="3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​</w:t>
            </w:r>
          </w:p>
        </w:tc>
      </w:tr>
    </w:tbl>
    <w:p>
      <w:pPr>
        <w:pStyle w:val="HorizontalLine"/>
        <w:pBdr>
          <w:bottom w:val="single" w:sz="20" w:space="0" w:color="808080"/>
        </w:pBdr>
        <w:spacing w:before="200" w:after="200"/>
        <w:jc w:val="left"/>
        <w:rPr/>
      </w:pPr>
      <w:r>
        <w:rPr/>
      </w:r>
    </w:p>
    <w:p>
      <w:pPr>
        <w:pStyle w:val="TextBody"/>
        <w:spacing w:before="240" w:after="283"/>
        <w:jc w:val="left"/>
        <w:rPr/>
      </w:pPr>
      <w:r>
        <w:rPr/>
        <w:drawing>
          <wp:inline distT="0" distB="0" distL="0" distR="0">
            <wp:extent cx="7048500" cy="91154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20" w:space="0" w:color="808080"/>
        </w:pBdr>
        <w:spacing w:before="200" w:after="200"/>
        <w:jc w:val="left"/>
        <w:rPr/>
      </w:pPr>
      <w:r>
        <w:rPr/>
      </w:r>
    </w:p>
    <w:p>
      <w:pPr>
        <w:pStyle w:val="TextBody"/>
        <w:spacing w:before="240" w:after="283"/>
        <w:jc w:val="left"/>
        <w:rPr/>
      </w:pPr>
      <w:r>
        <w:rPr/>
        <w:drawing>
          <wp:inline distT="0" distB="0" distL="0" distR="0">
            <wp:extent cx="7048500" cy="91154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911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138</Words>
  <CharactersWithSpaces>893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