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Steinberg Larry</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10/26/2021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Rent the Runway,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RENT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RENT THE RUNWAY,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 JAY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80" w:type="dxa"/>
            <w:vAlign w:val="bottom"/>
          </w:tcPr>
          <w:p>
            <w:pPr>
              <w:ind w:left="40"/>
              <w:spacing w:after="0"/>
              <w:rPr>
                <w:sz w:val="20"/>
                <w:szCs w:val="20"/>
                <w:color w:val="auto"/>
              </w:rPr>
            </w:pPr>
            <w:r>
              <w:rPr>
                <w:rFonts w:ascii="Arial" w:cs="Arial" w:eastAsia="Arial" w:hAnsi="Arial"/>
                <w:sz w:val="20"/>
                <w:szCs w:val="20"/>
                <w:color w:val="0000FF"/>
              </w:rPr>
              <w:t>BROOKLYN NY</w:t>
            </w:r>
          </w:p>
        </w:tc>
        <w:tc>
          <w:tcPr>
            <w:tcW w:w="840" w:type="dxa"/>
            <w:vAlign w:val="bottom"/>
          </w:tcPr>
          <w:p>
            <w:pPr>
              <w:jc w:val="right"/>
              <w:spacing w:after="0"/>
              <w:rPr>
                <w:sz w:val="20"/>
                <w:szCs w:val="20"/>
                <w:color w:val="auto"/>
              </w:rPr>
            </w:pPr>
            <w:r>
              <w:rPr>
                <w:rFonts w:ascii="Arial" w:cs="Arial" w:eastAsia="Arial" w:hAnsi="Arial"/>
                <w:sz w:val="20"/>
                <w:szCs w:val="20"/>
                <w:color w:val="0000FF"/>
              </w:rPr>
              <w:t>11201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563"/>
        <w:spacing w:after="0"/>
        <w:rPr>
          <w:sz w:val="20"/>
          <w:szCs w:val="20"/>
          <w:color w:val="auto"/>
        </w:rPr>
      </w:pPr>
      <w:r>
        <w:rPr>
          <w:rFonts w:ascii="Arial" w:cs="Arial" w:eastAsia="Arial" w:hAnsi="Arial"/>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98,418</w:t>
            </w:r>
            <w:r>
              <w:rPr>
                <w:rFonts w:ascii="Arial" w:cs="Arial" w:eastAsia="Arial" w:hAnsi="Arial"/>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Arial" w:cs="Arial" w:eastAsia="Arial" w:hAnsi="Arial"/>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880" w:type="dxa"/>
            <w:vAlign w:val="bottom"/>
          </w:tcPr>
          <w:p>
            <w:pPr>
              <w:jc w:val="right"/>
              <w:ind w:right="28"/>
              <w:spacing w:after="0"/>
              <w:rPr>
                <w:sz w:val="20"/>
                <w:szCs w:val="20"/>
                <w:color w:val="auto"/>
              </w:rPr>
            </w:pPr>
            <w:r>
              <w:rPr>
                <w:rFonts w:ascii="Arial" w:cs="Arial" w:eastAsia="Arial" w:hAnsi="Arial"/>
                <w:sz w:val="15"/>
                <w:szCs w:val="15"/>
                <w:color w:val="0000FF"/>
              </w:rPr>
              <w:t>03/24/2031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right"/>
              <w:spacing w:after="0"/>
              <w:rPr>
                <w:sz w:val="20"/>
                <w:szCs w:val="20"/>
                <w:color w:val="auto"/>
              </w:rPr>
            </w:pPr>
            <w:r>
              <w:rPr>
                <w:rFonts w:ascii="Arial" w:cs="Arial" w:eastAsia="Arial" w:hAnsi="Arial"/>
                <w:sz w:val="20"/>
                <w:szCs w:val="20"/>
                <w:color w:val="0000FF"/>
              </w:rPr>
              <w:t>237,400</w:t>
            </w:r>
          </w:p>
        </w:tc>
        <w:tc>
          <w:tcPr>
            <w:tcW w:w="60" w:type="dxa"/>
            <w:vAlign w:val="bottom"/>
          </w:tcPr>
          <w:p>
            <w:pPr>
              <w:spacing w:after="0"/>
              <w:rPr>
                <w:sz w:val="24"/>
                <w:szCs w:val="24"/>
                <w:color w:val="auto"/>
              </w:rPr>
            </w:pPr>
          </w:p>
        </w:tc>
        <w:tc>
          <w:tcPr>
            <w:tcW w:w="940" w:type="dxa"/>
            <w:vAlign w:val="bottom"/>
          </w:tcPr>
          <w:p>
            <w:pPr>
              <w:jc w:val="right"/>
              <w:ind w:right="244"/>
              <w:spacing w:after="0"/>
              <w:rPr>
                <w:sz w:val="20"/>
                <w:szCs w:val="20"/>
                <w:color w:val="auto"/>
              </w:rPr>
            </w:pPr>
            <w:r>
              <w:rPr>
                <w:rFonts w:ascii="Arial" w:cs="Arial" w:eastAsia="Arial" w:hAnsi="Arial"/>
                <w:sz w:val="20"/>
                <w:szCs w:val="20"/>
                <w:color w:val="0000FF"/>
              </w:rPr>
              <w:t>6.76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Series G Preferred Stock</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880" w:type="dxa"/>
            <w:vAlign w:val="bottom"/>
          </w:tcPr>
          <w:p>
            <w:pPr>
              <w:jc w:val="right"/>
              <w:ind w:right="288"/>
              <w:spacing w:after="0"/>
              <w:rPr>
                <w:sz w:val="20"/>
                <w:szCs w:val="20"/>
                <w:color w:val="auto"/>
              </w:rPr>
            </w:pPr>
            <w:r>
              <w:rPr>
                <w:rFonts w:ascii="Arial" w:cs="Arial" w:eastAsia="Arial" w:hAnsi="Arial"/>
                <w:sz w:val="13"/>
                <w:szCs w:val="13"/>
                <w:color w:val="008000"/>
              </w:rPr>
              <w:t>(3)</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right"/>
              <w:ind w:right="37"/>
              <w:spacing w:after="0"/>
              <w:rPr>
                <w:sz w:val="20"/>
                <w:szCs w:val="20"/>
                <w:color w:val="auto"/>
              </w:rPr>
            </w:pPr>
            <w:r>
              <w:rPr>
                <w:rFonts w:ascii="Arial" w:cs="Arial" w:eastAsia="Arial" w:hAnsi="Arial"/>
                <w:sz w:val="20"/>
                <w:szCs w:val="20"/>
                <w:color w:val="0000FF"/>
              </w:rPr>
              <w:t>23,744</w:t>
            </w:r>
          </w:p>
        </w:tc>
        <w:tc>
          <w:tcPr>
            <w:tcW w:w="60" w:type="dxa"/>
            <w:vAlign w:val="bottom"/>
          </w:tcPr>
          <w:p>
            <w:pPr>
              <w:spacing w:after="0"/>
              <w:rPr>
                <w:sz w:val="24"/>
                <w:szCs w:val="24"/>
                <w:color w:val="auto"/>
              </w:rPr>
            </w:pPr>
          </w:p>
        </w:tc>
        <w:tc>
          <w:tcPr>
            <w:tcW w:w="940" w:type="dxa"/>
            <w:vAlign w:val="bottom"/>
          </w:tcPr>
          <w:p>
            <w:pPr>
              <w:jc w:val="right"/>
              <w:ind w:right="344"/>
              <w:spacing w:after="0"/>
              <w:rPr>
                <w:sz w:val="20"/>
                <w:szCs w:val="20"/>
                <w:color w:val="auto"/>
              </w:rPr>
            </w:pPr>
            <w:r>
              <w:rPr>
                <w:rFonts w:ascii="Arial" w:cs="Arial" w:eastAsia="Arial" w:hAnsi="Arial"/>
                <w:sz w:val="13"/>
                <w:szCs w:val="13"/>
                <w:color w:val="008000"/>
              </w:rPr>
              <w:t>(3)</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6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Includes 73,814 restricted stock units ("RSUs"), each of which represents a contingent right to receive one share of the Issuer's Common Stock. The RSUs vest in 12 substantially equal quarterly installments commencing on November 1, 2021. The RSUs have no expiration date.</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The option vests and becomes exercisable as to 25% of the underlying shares on March 1, 2022 and in 36 substantially equal monthly installments thereafter.</w:t>
      </w:r>
    </w:p>
    <w:p>
      <w:pPr>
        <w:spacing w:after="0" w:line="52" w:lineRule="exact"/>
        <w:rPr>
          <w:rFonts w:ascii="Arial" w:cs="Arial" w:eastAsia="Arial" w:hAnsi="Arial"/>
          <w:sz w:val="15"/>
          <w:szCs w:val="15"/>
          <w:color w:val="008000"/>
        </w:rPr>
      </w:pPr>
    </w:p>
    <w:p>
      <w:pPr>
        <w:ind w:left="40" w:right="120" w:firstLine="5"/>
        <w:spacing w:after="0" w:line="305" w:lineRule="auto"/>
        <w:tabs>
          <w:tab w:leader="none" w:pos="19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The shares of the Issuer's preferred stock have no expiration date and are convertible, at the holder's election, into the Issuer's Common Stock at a conversion ratio of 1-to-1. The preferred stock will automatically convert into shares of the Issuer's Common Stock, for no additional consideration, upon the closing of the Issuer's initial public offering.</w:t>
      </w: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Arial" w:cs="Arial" w:eastAsia="Arial" w:hAnsi="Arial"/>
                <w:sz w:val="20"/>
                <w:szCs w:val="20"/>
                <w:color w:val="0000FF"/>
              </w:rPr>
              <w:t>/s/ Cara Schembri as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Arial" w:cs="Arial" w:eastAsia="Arial" w:hAnsi="Arial"/>
                <w:sz w:val="20"/>
                <w:szCs w:val="20"/>
                <w:color w:val="0000FF"/>
                <w:w w:val="93"/>
              </w:rPr>
              <w:t>Attorney-in-fact for Larry  10/26/2021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84"/>
              </w:rPr>
              <w:t>Steinberg</w:t>
            </w:r>
          </w:p>
        </w:tc>
        <w:tc>
          <w:tcPr>
            <w:tcW w:w="1280" w:type="dxa"/>
            <w:vAlign w:val="bottom"/>
            <w:tcBorders>
              <w:top w:val="single" w:sz="8" w:color="auto"/>
            </w:tcBorders>
            <w:gridSpan w:val="2"/>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24.1</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59" w:firstLine="936"/>
        <w:spacing w:after="0" w:line="237" w:lineRule="auto"/>
        <w:rPr>
          <w:sz w:val="20"/>
          <w:szCs w:val="20"/>
          <w:color w:val="auto"/>
        </w:rPr>
      </w:pPr>
      <w:r>
        <w:rPr>
          <w:rFonts w:ascii="Courier New" w:cs="Courier New" w:eastAsia="Courier New" w:hAnsi="Courier New"/>
          <w:sz w:val="20"/>
          <w:szCs w:val="20"/>
          <w:color w:val="auto"/>
        </w:rPr>
        <w:t>With respect to holdings of and transactions in securities issued by Rent the Runway,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233" w:lineRule="exact"/>
        <w:rPr>
          <w:sz w:val="20"/>
          <w:szCs w:val="20"/>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spacing w:after="0" w:line="231" w:lineRule="exact"/>
        <w:rPr>
          <w:rFonts w:ascii="Courier New" w:cs="Courier New" w:eastAsia="Courier New" w:hAnsi="Courier New"/>
          <w:sz w:val="20"/>
          <w:szCs w:val="20"/>
          <w:color w:val="auto"/>
        </w:rPr>
      </w:pPr>
    </w:p>
    <w:p>
      <w:pPr>
        <w:ind w:left="1400" w:right="619" w:hanging="464"/>
        <w:spacing w:after="0" w:line="269" w:lineRule="auto"/>
        <w:tabs>
          <w:tab w:leader="none" w:pos="14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207" w:lineRule="exact"/>
        <w:rPr>
          <w:rFonts w:ascii="Courier New" w:cs="Courier New" w:eastAsia="Courier New" w:hAnsi="Courier New"/>
          <w:sz w:val="18"/>
          <w:szCs w:val="18"/>
          <w:color w:val="auto"/>
        </w:rPr>
      </w:pPr>
    </w:p>
    <w:p>
      <w:pPr>
        <w:ind w:left="1400" w:right="619" w:hanging="464"/>
        <w:spacing w:after="0" w:line="237" w:lineRule="auto"/>
        <w:tabs>
          <w:tab w:leader="none" w:pos="1400"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7"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231"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October 13, 2021.</w:t>
      </w:r>
    </w:p>
    <w:p>
      <w:pPr>
        <w:spacing w:after="0" w:line="224"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 Larry Steinberg</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Larry Steinberg</w:t>
      </w:r>
    </w:p>
    <w:p>
      <w:pPr>
        <w:spacing w:after="0" w:line="200" w:lineRule="exact"/>
        <w:rPr>
          <w:sz w:val="20"/>
          <w:szCs w:val="20"/>
          <w:color w:val="auto"/>
        </w:rPr>
      </w:pPr>
    </w:p>
    <w:p>
      <w:pPr>
        <w:spacing w:after="0" w:line="250" w:lineRule="exact"/>
        <w:rPr>
          <w:sz w:val="20"/>
          <w:szCs w:val="20"/>
          <w:color w:val="auto"/>
        </w:rPr>
      </w:pPr>
    </w:p>
    <w:p>
      <w:pPr>
        <w:ind w:left="4100"/>
        <w:spacing w:after="0"/>
        <w:rPr>
          <w:sz w:val="20"/>
          <w:szCs w:val="20"/>
          <w:color w:val="auto"/>
        </w:rPr>
      </w:pPr>
      <w:r>
        <w:rPr>
          <w:rFonts w:ascii="Courier New" w:cs="Courier New" w:eastAsia="Courier New" w:hAnsi="Courier New"/>
          <w:sz w:val="20"/>
          <w:szCs w:val="20"/>
          <w:color w:val="auto"/>
        </w:rPr>
        <w:t>Schedule A</w:t>
      </w:r>
    </w:p>
    <w:p>
      <w:pPr>
        <w:spacing w:after="0" w:line="230" w:lineRule="exact"/>
        <w:rPr>
          <w:sz w:val="20"/>
          <w:szCs w:val="20"/>
          <w:color w:val="auto"/>
        </w:rPr>
      </w:pPr>
    </w:p>
    <w:p>
      <w:pPr>
        <w:ind w:right="2019" w:firstLine="936"/>
        <w:spacing w:after="0" w:line="236"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224" w:lineRule="exact"/>
        <w:rPr>
          <w:sz w:val="20"/>
          <w:szCs w:val="20"/>
          <w:color w:val="auto"/>
        </w:rPr>
      </w:pPr>
    </w:p>
    <w:p>
      <w:pPr>
        <w:ind w:left="460" w:hanging="460"/>
        <w:spacing w:after="0"/>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Cara Schembri</w:t>
      </w:r>
    </w:p>
    <w:p>
      <w:pPr>
        <w:ind w:left="460" w:hanging="460"/>
        <w:spacing w:after="0" w:line="238" w:lineRule="auto"/>
        <w:tabs>
          <w:tab w:leader="none" w:pos="460"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Alla Berenshteyn</w:t>
      </w:r>
    </w:p>
    <w:sectPr>
      <w:pgSz w:w="11900" w:h="16838" w:orient="portrait"/>
      <w:cols w:equalWidth="0" w:num="1">
        <w:col w:w="9979"/>
      </w:cols>
      <w:pgMar w:left="480" w:top="136" w:right="1440" w:bottom="83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2"/>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X"/>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52159" TargetMode="External"/><Relationship Id="rId11"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2021-10-26T20:03:54Z</dcterms:created>
  <dcterms:modified xsi:type="dcterms:W3CDTF">2021-10-26T20:03:54Z</dcterms:modified>
</cp:coreProperties>
</file>