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-624205</wp:posOffset>
            </wp:positionV>
            <wp:extent cx="57785" cy="637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22860</wp:posOffset>
            </wp:positionV>
            <wp:extent cx="6993890" cy="4823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Fleiss Jennifer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Rent the Runway,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RENT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RENT THE RUNWAY, INC.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 JAY STREET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BROOKLYN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11201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4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 B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3,440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622,841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42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units ("RSUs") represents a contingent right to receive one share of the Issuer's Class B Common Stock. The RSUs vest in 6 substantially equal quarterly installments commencing on February 1, 2022. The RSUs have no expiration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Class B common stock is convertible at any time at the option of the holder into one share of Class A common stock. Each share of Class B common stock will automatically convert into one share of Class A common stock upon certain sales or transfers. The Class B common stock do not expire.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Cara Schembri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</wp:posOffset>
            </wp:positionV>
            <wp:extent cx="13138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Jennifer Fleiss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-16510</wp:posOffset>
            </wp:positionV>
            <wp:extent cx="10693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-1905</wp:posOffset>
            </wp:positionV>
            <wp:extent cx="4794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21976" TargetMode="External"/><Relationship Id="rId13" Type="http://schemas.openxmlformats.org/officeDocument/2006/relationships/hyperlink" Target="http://www.sec.gov/cgi-bin/browse-edgar?action=getcompany&amp;CIK=00014683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2022-11-03T20:56:45Z</dcterms:created>
  <dcterms:modified xsi:type="dcterms:W3CDTF">2022-11-03T20:56:45Z</dcterms:modified>
</cp:coreProperties>
</file>