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333-279757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280035</wp:posOffset>
            </wp:positionV>
            <wp:extent cx="728980" cy="1002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$40,000,000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an at-the-market sales agreement, or the Sales Agreement, with BTIG, LLC (the “Agent”), dated April 15, 2026, relating to the sale of shares of our Class A common stock, $0.001 par value per share, offered by this prospectus supplement. In accordance with the terms of the Sales Agreement, under this prospectus supplement, we may offer and sell shares of our Class A common stock having an aggregate offering price of up to $40,000,000 from time to time through the Agent, acting as our sales agent.</w:t>
      </w:r>
    </w:p>
    <w:p>
      <w:pPr>
        <w:spacing w:after="0" w:line="18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14, 2026, the aggregate market value of our outstanding Class A common stock held by non-affiliates, or the public float, was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$29,893,655, which was calculated based on 4,649,091 shares of our outstanding Class A common stock held by non-affiliates at a price of $6.43 per share,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closing price of our Class A common stock on February 24, 2026. Pursuant to General Instruction I.B.6 of Form S-3, in no event will we sell shares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pursuant to this prospectus supplement with a value of more than one-third of the aggregate market value of our Class A common stock held by non-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affiliates in any 12-month period, or $9,964,551, so long as the aggregate market value of our Class A common stock held by non-affiliates is less than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$75,000,000. During the prior 12-months as of the date of this prospectus supplement, we have sold no shares of our Class A common stock, leaving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$9,964,551 that could be sold under this prospectus supplement.</w:t>
      </w:r>
    </w:p>
    <w:p>
      <w:pPr>
        <w:spacing w:after="0" w:line="207" w:lineRule="exact"/>
        <w:rPr>
          <w:sz w:val="24"/>
          <w:szCs w:val="24"/>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Sales of shares of our Class A common stock, if any, under this prospectus supplement will be made by any method permitted that is deemed an “at the market offering” as defined in Rule 415(a)(4) under the Securities Act of 1933, as amended, or the Securities Act, including sales made directly on or through The Nasdaq Global Market, or Nasdaq, or any other existing trading market for our Class A common stock, in block transactions, or as otherwise agreed upon by us and the Agent or any other method permitted by applicable law. The Agent is not required to sell any specific number or dollar amount of shares of our Class A common stock, but will act as our sales agent using commercially reasonable efforts consistent with its normal trading and sales practices. There is no arrangement for funds to be received in any escrow, trust or similar arrangement.</w:t>
      </w:r>
    </w:p>
    <w:p>
      <w:pPr>
        <w:spacing w:after="0" w:line="187"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Agent will be entitled to compensation at a commission rate of 3.0% of the gross sales price per share sold under the Sales Agreement. See “Plan of Distribution” beginning on page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 xml:space="preserve"> for additional information regarding the compensation to be paid to the Agent.</w:t>
      </w:r>
    </w:p>
    <w:p>
      <w:pPr>
        <w:spacing w:after="0" w:line="162"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on our behalf, the Agent may be deemed to be an “underwriter” within the meaning of the Securities Act and the compensation of the Agent may be deemed to be underwriting commissions or discounts. We have also agreed to provide indemnification and contribution to the Agent with respect to certain liabilities, including liabilities under the Securities Act.</w:t>
      </w:r>
    </w:p>
    <w:p>
      <w:pPr>
        <w:spacing w:after="0" w:line="176"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trade on Nasdaq under the symbol “RENT.” On April 14, 2026, the last sale price of our Class A common stock as reported on Nasdaq was $5.22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Class A common stock involves a high degree of risk. See “Risk Factors”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 and in the documents incorporated by reference into this prospectus supplement or any applicable prospectus supplement.</w:t>
      </w:r>
    </w:p>
    <w:p>
      <w:pPr>
        <w:spacing w:after="0" w:line="159" w:lineRule="exact"/>
        <w:rPr>
          <w:sz w:val="24"/>
          <w:szCs w:val="24"/>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 securities being offered by this prospectus supplement, or determined if this prospectus supplement is truthful or complete. Any representation to the contrary is a criminal offense.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BTIG</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2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6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20" w:type="dxa"/>
            <w:vAlign w:val="bottom"/>
            <w:vMerge w:val="continue"/>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6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40" w:type="dxa"/>
            <w:vAlign w:val="bottom"/>
            <w:shd w:val="clear" w:color="auto" w:fill="D5EAEA"/>
          </w:tcPr>
          <w:p>
            <w:pPr>
              <w:spacing w:after="0"/>
              <w:rPr>
                <w:sz w:val="15"/>
                <w:szCs w:val="15"/>
                <w:color w:val="auto"/>
              </w:rPr>
            </w:pPr>
          </w:p>
        </w:tc>
        <w:tc>
          <w:tcPr>
            <w:tcW w:w="240" w:type="dxa"/>
            <w:vAlign w:val="bottom"/>
            <w:tcBorders>
              <w:right w:val="single" w:sz="8" w:color="D5EAEA"/>
            </w:tcBorders>
            <w:gridSpan w:val="3"/>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85"/>
              </w:rPr>
              <w:t>S-i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16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4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8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42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FORWARD-LOOKING STATEMENTS</w:t>
            </w:r>
          </w:p>
        </w:tc>
        <w:tc>
          <w:tcPr>
            <w:tcW w:w="71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6"/>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2"/>
              </w:rPr>
              <w:t>S-ii</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PROSPECTUS SUPPLEMENT SUMMARY</w:t>
            </w: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6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300" w:type="dxa"/>
            <w:vAlign w:val="bottom"/>
            <w:tcBorders>
              <w:right w:val="single" w:sz="8" w:color="D5EAEA"/>
            </w:tcBorders>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5"/>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16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8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THE OFFERING</w:t>
            </w:r>
          </w:p>
        </w:tc>
        <w:tc>
          <w:tcPr>
            <w:tcW w:w="7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6"/>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5"/>
              </w:rPr>
              <w:t>S-3</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6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300" w:type="dxa"/>
            <w:vAlign w:val="bottom"/>
            <w:tcBorders>
              <w:right w:val="single" w:sz="8" w:color="D5EAEA"/>
            </w:tcBorders>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5"/>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8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USE OF PROCEEDS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6"/>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5"/>
              </w:rPr>
              <w:t>S-8</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MATERIAL U.S. FEDERAL INCOME TAX CONSEQUENCES TO NON-U.S. HOLDERS OF OUR CLASS A COMMON STOCK</w:t>
            </w: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6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300" w:type="dxa"/>
            <w:vAlign w:val="bottom"/>
            <w:tcBorders>
              <w:right w:val="single" w:sz="8" w:color="D5EAEA"/>
            </w:tcBorders>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5"/>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16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4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8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4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2720" w:type="dxa"/>
            <w:vAlign w:val="bottom"/>
            <w:tcBorders>
              <w:top w:val="single" w:sz="8" w:color="0000FF"/>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7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DIVIDEND POLICY</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8"/>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3"/>
              </w:rPr>
              <w:t>S-13</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PLAN OF DISTRIBUTION</w:t>
            </w: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380" w:type="dxa"/>
            <w:vAlign w:val="bottom"/>
            <w:tcBorders>
              <w:right w:val="single" w:sz="8" w:color="D5EAEA"/>
            </w:tcBorders>
            <w:gridSpan w:val="7"/>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16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8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LEGAL MATTERS</w:t>
            </w:r>
          </w:p>
        </w:tc>
        <w:tc>
          <w:tcPr>
            <w:tcW w:w="85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8"/>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600" w:type="dxa"/>
            <w:vAlign w:val="bottom"/>
            <w:gridSpan w:val="2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rPr>
              <w:t>EXPERTS</w:t>
            </w: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380" w:type="dxa"/>
            <w:vAlign w:val="bottom"/>
            <w:tcBorders>
              <w:right w:val="single" w:sz="8" w:color="D5EAEA"/>
            </w:tcBorders>
            <w:gridSpan w:val="7"/>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88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8"/>
          </w:tcPr>
          <w:p>
            <w:pPr>
              <w:jc w:val="right"/>
              <w:ind w:right="60"/>
              <w:spacing w:after="0" w:line="202" w:lineRule="exact"/>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60" w:type="dxa"/>
            <w:vAlign w:val="bottom"/>
            <w:gridSpan w:val="20"/>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FF"/>
                <w:w w:val="98"/>
              </w:rPr>
              <w:t>INCORPORATION OF CERTAIN DOCUMENTS BY REFERENCE</w:t>
            </w:r>
          </w:p>
        </w:tc>
        <w:tc>
          <w:tcPr>
            <w:tcW w:w="5540" w:type="dxa"/>
            <w:vAlign w:val="bottom"/>
            <w:gridSpan w:val="5"/>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D5EAEA"/>
          </w:tcPr>
          <w:p>
            <w:pPr>
              <w:spacing w:after="0"/>
              <w:rPr>
                <w:sz w:val="15"/>
                <w:szCs w:val="15"/>
                <w:color w:val="auto"/>
              </w:rPr>
            </w:pPr>
          </w:p>
        </w:tc>
        <w:tc>
          <w:tcPr>
            <w:tcW w:w="380" w:type="dxa"/>
            <w:vAlign w:val="bottom"/>
            <w:tcBorders>
              <w:right w:val="single" w:sz="8" w:color="D5EAEA"/>
            </w:tcBorders>
            <w:gridSpan w:val="7"/>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FF"/>
                <w:w w:val="93"/>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0000FF"/>
            </w:tcBorders>
            <w:shd w:val="clear" w:color="auto" w:fill="D5EAEA"/>
          </w:tcPr>
          <w:p>
            <w:pPr>
              <w:spacing w:after="0" w:line="20" w:lineRule="exact"/>
              <w:rPr>
                <w:sz w:val="1"/>
                <w:szCs w:val="1"/>
                <w:color w:val="auto"/>
              </w:rPr>
            </w:pPr>
          </w:p>
        </w:tc>
        <w:tc>
          <w:tcPr>
            <w:tcW w:w="48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16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140" w:type="dxa"/>
            <w:vAlign w:val="bottom"/>
            <w:tcBorders>
              <w:top w:val="single" w:sz="8" w:color="0000FF"/>
            </w:tcBorders>
            <w:shd w:val="clear" w:color="auto" w:fill="D5EAEA"/>
          </w:tcPr>
          <w:p>
            <w:pPr>
              <w:spacing w:after="0" w:line="20" w:lineRule="exact"/>
              <w:rPr>
                <w:sz w:val="1"/>
                <w:szCs w:val="1"/>
                <w:color w:val="auto"/>
              </w:rPr>
            </w:pPr>
          </w:p>
        </w:tc>
        <w:tc>
          <w:tcPr>
            <w:tcW w:w="12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0000FF"/>
            </w:tcBorders>
            <w:shd w:val="clear" w:color="auto" w:fill="D5EAEA"/>
          </w:tcPr>
          <w:p>
            <w:pPr>
              <w:spacing w:after="0" w:line="20" w:lineRule="exact"/>
              <w:rPr>
                <w:sz w:val="1"/>
                <w:szCs w:val="1"/>
                <w:color w:val="auto"/>
              </w:rPr>
            </w:pPr>
          </w:p>
        </w:tc>
        <w:tc>
          <w:tcPr>
            <w:tcW w:w="380" w:type="dxa"/>
            <w:vAlign w:val="bottom"/>
            <w:tcBorders>
              <w:top w:val="single" w:sz="8" w:color="0000FF"/>
            </w:tcBorders>
            <w:shd w:val="clear" w:color="auto" w:fill="D5EAEA"/>
          </w:tcPr>
          <w:p>
            <w:pPr>
              <w:spacing w:after="0" w:line="20" w:lineRule="exact"/>
              <w:rPr>
                <w:sz w:val="1"/>
                <w:szCs w:val="1"/>
                <w:color w:val="auto"/>
              </w:rPr>
            </w:pPr>
          </w:p>
        </w:tc>
        <w:tc>
          <w:tcPr>
            <w:tcW w:w="880" w:type="dxa"/>
            <w:vAlign w:val="bottom"/>
            <w:tcBorders>
              <w:top w:val="single" w:sz="8" w:color="0000FF"/>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14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720" w:type="dxa"/>
            <w:vAlign w:val="bottom"/>
            <w:tcBorders>
              <w:top w:val="single" w:sz="8" w:color="D5EAEA"/>
            </w:tcBorders>
            <w:shd w:val="clear" w:color="auto" w:fill="D5EAEA"/>
          </w:tcPr>
          <w:p>
            <w:pPr>
              <w:spacing w:after="0" w:line="20" w:lineRule="exact"/>
              <w:rPr>
                <w:sz w:val="1"/>
                <w:szCs w:val="1"/>
                <w:color w:val="auto"/>
              </w:rPr>
            </w:pPr>
          </w:p>
        </w:tc>
        <w:tc>
          <w:tcPr>
            <w:tcW w:w="9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20" w:type="dxa"/>
            <w:vAlign w:val="bottom"/>
            <w:tcBorders>
              <w:top w:val="single" w:sz="8" w:color="0000FF"/>
            </w:tcBorders>
            <w:shd w:val="clear" w:color="auto" w:fill="D5EAEA"/>
          </w:tcPr>
          <w:p>
            <w:pPr>
              <w:spacing w:after="0" w:line="20" w:lineRule="exact"/>
              <w:rPr>
                <w:sz w:val="1"/>
                <w:szCs w:val="1"/>
                <w:color w:val="auto"/>
              </w:rPr>
            </w:pPr>
          </w:p>
        </w:tc>
        <w:tc>
          <w:tcPr>
            <w:tcW w:w="40" w:type="dxa"/>
            <w:vAlign w:val="bottom"/>
            <w:tcBorders>
              <w:top w:val="single" w:sz="8" w:color="0000FF"/>
            </w:tcBorders>
            <w:shd w:val="clear" w:color="auto" w:fill="D5EAEA"/>
          </w:tcPr>
          <w:p>
            <w:pPr>
              <w:spacing w:after="0" w:line="20" w:lineRule="exact"/>
              <w:rPr>
                <w:sz w:val="1"/>
                <w:szCs w:val="1"/>
                <w:color w:val="auto"/>
              </w:rPr>
            </w:pPr>
          </w:p>
        </w:tc>
        <w:tc>
          <w:tcPr>
            <w:tcW w:w="60" w:type="dxa"/>
            <w:vAlign w:val="bottom"/>
            <w:tcBorders>
              <w:top w:val="single" w:sz="8" w:color="0000FF"/>
            </w:tcBorders>
            <w:shd w:val="clear" w:color="auto" w:fill="D5EAEA"/>
          </w:tcPr>
          <w:p>
            <w:pPr>
              <w:spacing w:after="0" w:line="20" w:lineRule="exact"/>
              <w:rPr>
                <w:sz w:val="1"/>
                <w:szCs w:val="1"/>
                <w:color w:val="auto"/>
              </w:rPr>
            </w:pPr>
          </w:p>
        </w:tc>
        <w:tc>
          <w:tcPr>
            <w:tcW w:w="80" w:type="dxa"/>
            <w:vAlign w:val="bottom"/>
            <w:tcBorders>
              <w:top w:val="single" w:sz="8" w:color="0000FF"/>
            </w:tcBorders>
            <w:shd w:val="clear" w:color="auto" w:fill="D5EAEA"/>
          </w:tcPr>
          <w:p>
            <w:pPr>
              <w:spacing w:after="0" w:line="20" w:lineRule="exact"/>
              <w:rPr>
                <w:sz w:val="1"/>
                <w:szCs w:val="1"/>
                <w:color w:val="auto"/>
              </w:rPr>
            </w:pPr>
          </w:p>
        </w:tc>
        <w:tc>
          <w:tcPr>
            <w:tcW w:w="100" w:type="dxa"/>
            <w:vAlign w:val="bottom"/>
            <w:tcBorders>
              <w:top w:val="single" w:sz="8" w:color="0000FF"/>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06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9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160" w:type="dxa"/>
            <w:vAlign w:val="bottom"/>
            <w:tcBorders>
              <w:top w:val="single" w:sz="8" w:color="0000EE"/>
            </w:tcBorders>
            <w:shd w:val="clear" w:color="auto" w:fill="D5EAEA"/>
          </w:tcPr>
          <w:p>
            <w:pPr>
              <w:spacing w:after="0"/>
              <w:rPr>
                <w:sz w:val="4"/>
                <w:szCs w:val="4"/>
                <w:color w:val="auto"/>
              </w:rPr>
            </w:pPr>
          </w:p>
        </w:tc>
        <w:tc>
          <w:tcPr>
            <w:tcW w:w="1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0000EE"/>
            </w:tcBorders>
            <w:shd w:val="clear" w:color="auto" w:fill="D5EAEA"/>
          </w:tcPr>
          <w:p>
            <w:pPr>
              <w:spacing w:after="0"/>
              <w:rPr>
                <w:sz w:val="4"/>
                <w:szCs w:val="4"/>
                <w:color w:val="auto"/>
              </w:rPr>
            </w:pPr>
          </w:p>
        </w:tc>
        <w:tc>
          <w:tcPr>
            <w:tcW w:w="18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D5EAEA"/>
          </w:tcPr>
          <w:p>
            <w:pPr>
              <w:spacing w:after="0"/>
              <w:rPr>
                <w:sz w:val="21"/>
                <w:szCs w:val="21"/>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 INCORPORATION BY REFERENCE</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3"/>
        </w:trPr>
        <w:tc>
          <w:tcPr>
            <w:tcW w:w="40" w:type="dxa"/>
            <w:vAlign w:val="bottom"/>
            <w:tcBorders>
              <w:top w:val="single" w:sz="8" w:color="D5EAEA"/>
            </w:tcBorders>
          </w:tcPr>
          <w:p>
            <w:pPr>
              <w:spacing w:after="0"/>
              <w:rPr>
                <w:sz w:val="17"/>
                <w:szCs w:val="17"/>
                <w:color w:val="auto"/>
              </w:rPr>
            </w:pPr>
          </w:p>
        </w:tc>
        <w:tc>
          <w:tcPr>
            <w:tcW w:w="6720" w:type="dxa"/>
            <w:vAlign w:val="bottom"/>
            <w:tcBorders>
              <w:top w:val="single" w:sz="8" w:color="0000EE"/>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EE"/>
              </w:rPr>
              <w:t>THE COMPANY</w:t>
            </w:r>
          </w:p>
        </w:tc>
        <w:tc>
          <w:tcPr>
            <w:tcW w:w="3880" w:type="dxa"/>
            <w:vAlign w:val="bottom"/>
            <w:tcBorders>
              <w:top w:val="single" w:sz="8" w:color="D5EAEA"/>
            </w:tcBorders>
            <w:gridSpan w:val="3"/>
          </w:tcPr>
          <w:p>
            <w:pPr>
              <w:spacing w:after="0"/>
              <w:rPr>
                <w:sz w:val="17"/>
                <w:szCs w:val="17"/>
                <w:color w:val="auto"/>
              </w:rPr>
            </w:pPr>
          </w:p>
        </w:tc>
        <w:tc>
          <w:tcPr>
            <w:tcW w:w="480" w:type="dxa"/>
            <w:vAlign w:val="bottom"/>
            <w:tcBorders>
              <w:top w:val="single" w:sz="8" w:color="D5EAEA"/>
            </w:tcBorders>
            <w:gridSpan w:val="8"/>
          </w:tcPr>
          <w:p>
            <w:pPr>
              <w:spacing w:after="0"/>
              <w:rPr>
                <w:sz w:val="17"/>
                <w:szCs w:val="17"/>
                <w:color w:val="auto"/>
              </w:rPr>
            </w:pPr>
          </w:p>
        </w:tc>
        <w:tc>
          <w:tcPr>
            <w:tcW w:w="100" w:type="dxa"/>
            <w:vAlign w:val="bottom"/>
            <w:tcBorders>
              <w:top w:val="single" w:sz="8" w:color="0000EE"/>
            </w:tcBorders>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top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6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160" w:type="dxa"/>
            <w:vAlign w:val="bottom"/>
            <w:tcBorders>
              <w:top w:val="single" w:sz="8" w:color="0000EE"/>
            </w:tcBorders>
            <w:shd w:val="clear" w:color="auto" w:fill="D5EAEA"/>
          </w:tcPr>
          <w:p>
            <w:pPr>
              <w:spacing w:after="0"/>
              <w:rPr>
                <w:sz w:val="4"/>
                <w:szCs w:val="4"/>
                <w:color w:val="auto"/>
              </w:rPr>
            </w:pPr>
          </w:p>
        </w:tc>
        <w:tc>
          <w:tcPr>
            <w:tcW w:w="1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0000EE"/>
            </w:tcBorders>
            <w:shd w:val="clear" w:color="auto" w:fill="D5EAEA"/>
          </w:tcPr>
          <w:p>
            <w:pPr>
              <w:spacing w:after="0"/>
              <w:rPr>
                <w:sz w:val="4"/>
                <w:szCs w:val="4"/>
                <w:color w:val="auto"/>
              </w:rPr>
            </w:pPr>
          </w:p>
        </w:tc>
        <w:tc>
          <w:tcPr>
            <w:tcW w:w="18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0000EE"/>
            </w:tcBorders>
            <w:shd w:val="clear" w:color="auto" w:fill="D5EAEA"/>
          </w:tcPr>
          <w:p>
            <w:pPr>
              <w:spacing w:after="0"/>
              <w:rPr>
                <w:sz w:val="4"/>
                <w:szCs w:val="4"/>
                <w:color w:val="auto"/>
              </w:rPr>
            </w:pPr>
          </w:p>
        </w:tc>
        <w:tc>
          <w:tcPr>
            <w:tcW w:w="380" w:type="dxa"/>
            <w:vAlign w:val="bottom"/>
            <w:tcBorders>
              <w:top w:val="single" w:sz="8" w:color="0000EE"/>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14</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2480" w:type="dxa"/>
            <w:vAlign w:val="bottom"/>
            <w:gridSpan w:val="11"/>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20" w:type="dxa"/>
            <w:vAlign w:val="bottom"/>
            <w:gridSpan w:val="14"/>
            <w:shd w:val="clear" w:color="auto" w:fill="D5EAEA"/>
          </w:tcPr>
          <w:p>
            <w:pPr>
              <w:spacing w:after="0"/>
              <w:rPr>
                <w:sz w:val="17"/>
                <w:szCs w:val="17"/>
                <w:color w:val="auto"/>
              </w:rPr>
            </w:pP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21</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160" w:type="dxa"/>
            <w:vAlign w:val="bottom"/>
            <w:tcBorders>
              <w:top w:val="single" w:sz="8" w:color="0000EE"/>
            </w:tcBorders>
            <w:shd w:val="clear" w:color="auto" w:fill="D5EAEA"/>
          </w:tcPr>
          <w:p>
            <w:pPr>
              <w:spacing w:after="0"/>
              <w:rPr>
                <w:sz w:val="4"/>
                <w:szCs w:val="4"/>
                <w:color w:val="auto"/>
              </w:rPr>
            </w:pPr>
          </w:p>
        </w:tc>
        <w:tc>
          <w:tcPr>
            <w:tcW w:w="1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0000EE"/>
            </w:tcBorders>
            <w:shd w:val="clear" w:color="auto" w:fill="D5EAEA"/>
          </w:tcPr>
          <w:p>
            <w:pPr>
              <w:spacing w:after="0"/>
              <w:rPr>
                <w:sz w:val="4"/>
                <w:szCs w:val="4"/>
                <w:color w:val="auto"/>
              </w:rPr>
            </w:pPr>
          </w:p>
        </w:tc>
        <w:tc>
          <w:tcPr>
            <w:tcW w:w="18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0000EE"/>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0000EE"/>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GLOBAL SECURITIES</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160" w:type="dxa"/>
            <w:vAlign w:val="bottom"/>
            <w:tcBorders>
              <w:top w:val="single" w:sz="8" w:color="0000EE"/>
            </w:tcBorders>
            <w:shd w:val="clear" w:color="auto" w:fill="D5EAEA"/>
          </w:tcPr>
          <w:p>
            <w:pPr>
              <w:spacing w:after="0"/>
              <w:rPr>
                <w:sz w:val="4"/>
                <w:szCs w:val="4"/>
                <w:color w:val="auto"/>
              </w:rPr>
            </w:pPr>
          </w:p>
        </w:tc>
        <w:tc>
          <w:tcPr>
            <w:tcW w:w="1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0" w:type="dxa"/>
            <w:vAlign w:val="bottom"/>
            <w:tcBorders>
              <w:top w:val="single" w:sz="8" w:color="0000EE"/>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0000EE"/>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5EAEA"/>
          </w:tcPr>
          <w:p>
            <w:pPr>
              <w:spacing w:after="0"/>
              <w:rPr>
                <w:sz w:val="17"/>
                <w:szCs w:val="17"/>
                <w:color w:val="auto"/>
              </w:rPr>
            </w:pPr>
          </w:p>
        </w:tc>
        <w:tc>
          <w:tcPr>
            <w:tcW w:w="10600" w:type="dxa"/>
            <w:vAlign w:val="bottom"/>
            <w:gridSpan w:val="25"/>
            <w:shd w:val="clear" w:color="auto" w:fill="D5EAEA"/>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600" w:type="dxa"/>
            <w:vAlign w:val="bottom"/>
            <w:gridSpan w:val="10"/>
            <w:shd w:val="clear" w:color="auto" w:fill="D5EAEA"/>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48"/>
        </w:trPr>
        <w:tc>
          <w:tcPr>
            <w:tcW w:w="40" w:type="dxa"/>
            <w:vAlign w:val="bottom"/>
            <w:tcBorders>
              <w:top w:val="single" w:sz="8" w:color="D5EAEA"/>
            </w:tcBorders>
            <w:shd w:val="clear" w:color="auto" w:fill="D5EAEA"/>
          </w:tcPr>
          <w:p>
            <w:pPr>
              <w:spacing w:after="0"/>
              <w:rPr>
                <w:sz w:val="4"/>
                <w:szCs w:val="4"/>
                <w:color w:val="auto"/>
              </w:rPr>
            </w:pPr>
          </w:p>
        </w:tc>
        <w:tc>
          <w:tcPr>
            <w:tcW w:w="760" w:type="dxa"/>
            <w:vAlign w:val="bottom"/>
            <w:tcBorders>
              <w:top w:val="single" w:sz="8" w:color="0000EE"/>
            </w:tcBorders>
            <w:shd w:val="clear" w:color="auto" w:fill="D5EAEA"/>
          </w:tcPr>
          <w:p>
            <w:pPr>
              <w:spacing w:after="0"/>
              <w:rPr>
                <w:sz w:val="4"/>
                <w:szCs w:val="4"/>
                <w:color w:val="auto"/>
              </w:rPr>
            </w:pPr>
          </w:p>
        </w:tc>
        <w:tc>
          <w:tcPr>
            <w:tcW w:w="48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20" w:type="dxa"/>
            <w:vAlign w:val="bottom"/>
            <w:tcBorders>
              <w:top w:val="single" w:sz="8" w:color="0000EE"/>
            </w:tcBorders>
            <w:shd w:val="clear" w:color="auto" w:fill="D5EAEA"/>
          </w:tcPr>
          <w:p>
            <w:pPr>
              <w:spacing w:after="0"/>
              <w:rPr>
                <w:sz w:val="4"/>
                <w:szCs w:val="4"/>
                <w:color w:val="auto"/>
              </w:rPr>
            </w:pPr>
          </w:p>
        </w:tc>
        <w:tc>
          <w:tcPr>
            <w:tcW w:w="160" w:type="dxa"/>
            <w:vAlign w:val="bottom"/>
            <w:tcBorders>
              <w:top w:val="single" w:sz="8" w:color="0000EE"/>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1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 w:type="dxa"/>
            <w:vAlign w:val="bottom"/>
            <w:tcBorders>
              <w:top w:val="single" w:sz="8" w:color="D5EAEA"/>
            </w:tcBorders>
            <w:shd w:val="clear" w:color="auto" w:fill="D5EAEA"/>
          </w:tcPr>
          <w:p>
            <w:pPr>
              <w:spacing w:after="0"/>
              <w:rPr>
                <w:sz w:val="4"/>
                <w:szCs w:val="4"/>
                <w:color w:val="auto"/>
              </w:rPr>
            </w:pPr>
          </w:p>
        </w:tc>
        <w:tc>
          <w:tcPr>
            <w:tcW w:w="12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380" w:type="dxa"/>
            <w:vAlign w:val="bottom"/>
            <w:tcBorders>
              <w:top w:val="single" w:sz="8" w:color="D5EAEA"/>
            </w:tcBorders>
            <w:shd w:val="clear" w:color="auto" w:fill="D5EAEA"/>
          </w:tcPr>
          <w:p>
            <w:pPr>
              <w:spacing w:after="0"/>
              <w:rPr>
                <w:sz w:val="4"/>
                <w:szCs w:val="4"/>
                <w:color w:val="auto"/>
              </w:rPr>
            </w:pPr>
          </w:p>
        </w:tc>
        <w:tc>
          <w:tcPr>
            <w:tcW w:w="88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1400" w:type="dxa"/>
            <w:vAlign w:val="bottom"/>
            <w:tcBorders>
              <w:top w:val="single" w:sz="8" w:color="D5EAEA"/>
            </w:tcBorders>
            <w:shd w:val="clear" w:color="auto" w:fill="D5EAEA"/>
          </w:tcPr>
          <w:p>
            <w:pPr>
              <w:spacing w:after="0"/>
              <w:rPr>
                <w:sz w:val="4"/>
                <w:szCs w:val="4"/>
                <w:color w:val="auto"/>
              </w:rPr>
            </w:pPr>
          </w:p>
        </w:tc>
        <w:tc>
          <w:tcPr>
            <w:tcW w:w="260" w:type="dxa"/>
            <w:vAlign w:val="bottom"/>
            <w:tcBorders>
              <w:top w:val="single" w:sz="8" w:color="D5EAEA"/>
            </w:tcBorders>
            <w:shd w:val="clear" w:color="auto" w:fill="D5EAEA"/>
          </w:tcPr>
          <w:p>
            <w:pPr>
              <w:spacing w:after="0"/>
              <w:rPr>
                <w:sz w:val="4"/>
                <w:szCs w:val="4"/>
                <w:color w:val="auto"/>
              </w:rPr>
            </w:pPr>
          </w:p>
        </w:tc>
        <w:tc>
          <w:tcPr>
            <w:tcW w:w="2720" w:type="dxa"/>
            <w:vAlign w:val="bottom"/>
            <w:tcBorders>
              <w:top w:val="single" w:sz="8" w:color="D5EAEA"/>
            </w:tcBorders>
            <w:shd w:val="clear" w:color="auto" w:fill="D5EAEA"/>
          </w:tcPr>
          <w:p>
            <w:pPr>
              <w:spacing w:after="0"/>
              <w:rPr>
                <w:sz w:val="4"/>
                <w:szCs w:val="4"/>
                <w:color w:val="auto"/>
              </w:rPr>
            </w:pPr>
          </w:p>
        </w:tc>
        <w:tc>
          <w:tcPr>
            <w:tcW w:w="90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18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40" w:type="dxa"/>
            <w:vAlign w:val="bottom"/>
            <w:tcBorders>
              <w:top w:val="single" w:sz="8" w:color="D5EAEA"/>
            </w:tcBorders>
            <w:shd w:val="clear" w:color="auto" w:fill="D5EAEA"/>
          </w:tcPr>
          <w:p>
            <w:pPr>
              <w:spacing w:after="0"/>
              <w:rPr>
                <w:sz w:val="4"/>
                <w:szCs w:val="4"/>
                <w:color w:val="auto"/>
              </w:rPr>
            </w:pPr>
          </w:p>
        </w:tc>
        <w:tc>
          <w:tcPr>
            <w:tcW w:w="60" w:type="dxa"/>
            <w:vAlign w:val="bottom"/>
            <w:tcBorders>
              <w:top w:val="single" w:sz="8" w:color="D5EAEA"/>
            </w:tcBorders>
            <w:shd w:val="clear" w:color="auto" w:fill="D5EAEA"/>
          </w:tcPr>
          <w:p>
            <w:pPr>
              <w:spacing w:after="0"/>
              <w:rPr>
                <w:sz w:val="4"/>
                <w:szCs w:val="4"/>
                <w:color w:val="auto"/>
              </w:rPr>
            </w:pPr>
          </w:p>
        </w:tc>
        <w:tc>
          <w:tcPr>
            <w:tcW w:w="80" w:type="dxa"/>
            <w:vAlign w:val="bottom"/>
            <w:tcBorders>
              <w:top w:val="single" w:sz="8" w:color="0000EE"/>
            </w:tcBorders>
            <w:shd w:val="clear" w:color="auto" w:fill="D5EAEA"/>
          </w:tcPr>
          <w:p>
            <w:pPr>
              <w:spacing w:after="0"/>
              <w:rPr>
                <w:sz w:val="4"/>
                <w:szCs w:val="4"/>
                <w:color w:val="auto"/>
              </w:rPr>
            </w:pPr>
          </w:p>
        </w:tc>
        <w:tc>
          <w:tcPr>
            <w:tcW w:w="100" w:type="dxa"/>
            <w:vAlign w:val="bottom"/>
            <w:tcBorders>
              <w:top w:val="single" w:sz="8" w:color="0000EE"/>
              <w:right w:val="single" w:sz="8" w:color="D5EAEA"/>
            </w:tcBorders>
            <w:shd w:val="clear" w:color="auto" w:fill="D5EAEA"/>
          </w:tcPr>
          <w:p>
            <w:pPr>
              <w:spacing w:after="0"/>
              <w:rPr>
                <w:sz w:val="4"/>
                <w:szCs w:val="4"/>
                <w:color w:val="auto"/>
              </w:rPr>
            </w:pPr>
          </w:p>
        </w:tc>
        <w:tc>
          <w:tcPr>
            <w:tcW w:w="20" w:type="dxa"/>
            <w:vAlign w:val="bottom"/>
            <w:tcBorders>
              <w:top w:val="single" w:sz="8" w:color="D5EAEA"/>
            </w:tcBorders>
            <w:shd w:val="clear" w:color="auto" w:fill="D5EAEA"/>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9160" w:type="dxa"/>
            <w:vAlign w:val="bottom"/>
            <w:gridSpan w:val="20"/>
          </w:tcPr>
          <w:p>
            <w:pPr>
              <w:spacing w:after="0"/>
              <w:rPr>
                <w:sz w:val="17"/>
                <w:szCs w:val="17"/>
                <w:color w:val="auto"/>
              </w:rPr>
            </w:pPr>
          </w:p>
        </w:tc>
        <w:tc>
          <w:tcPr>
            <w:tcW w:w="600" w:type="dxa"/>
            <w:vAlign w:val="bottom"/>
            <w:gridSpan w:val="10"/>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628"/>
        </w:trPr>
        <w:tc>
          <w:tcPr>
            <w:tcW w:w="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Securities and Exchange Commission (the “SEC”) utilizing a “shelf” registration process. By using a shelf registration statement, we may sell an unspecified amount of securities from time to time. Under this prospectus supplement, we may from time to time sell shares of our Class A common stock having an aggregate offering price of up to $40,000,000, at prices and on terms to be determined by market conditions at the time of the offering.</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Before buying any of the Class A common stock that we are offering, we urge you to carefully read both this prospectus supplement together with all of the information incorporated by reference herein,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spacing w:after="0" w:line="18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filed after the date of this prospectus supplement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under the headings “Where You Can Find More Information” and “Incorporation of Certain Documents by Reference.” 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or incorporated by reference in this prospectus supplement, any applicable prospectus supplement and any related free writing prospectus supplement filed by us with the SEC. We have not, and the Agent has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any applicable prospectus supplement, the documents incorporated by reference and any related free writing prospectus supplement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supplement, the term “Rent the Runway,” “we,” “us” and “our” refer to Rent the Runway, Inc., and its consolidated subsidiaries, unless the context otherwise requires or indicates.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supplement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Annual Report on Form 10-K for the period ended January 31, 2026, and those identified under “Risk Factors” in any subsequent reports that we file with the SEC. The forward-looking statements in this prospectus supplement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prospectus supplement. Except as required by applicable law, we do not plan to publicly update or revise any forward-looking statements contained in this prospectus supplement, whether as a result of any new information, future events or otherwise.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36130" cy="6150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100"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w:t>
      </w:r>
      <w:r>
        <w:rPr>
          <w:rFonts w:ascii="Times New Roman" w:cs="Times New Roman" w:eastAsia="Times New Roman" w:hAnsi="Times New Roman"/>
          <w:sz w:val="18"/>
          <w:szCs w:val="18"/>
          <w:i w:val="1"/>
          <w:iCs w:val="1"/>
          <w:u w:val="single" w:color="auto"/>
          <w:color w:val="0000FF"/>
        </w:rPr>
        <w:t>S-4</w:t>
      </w:r>
      <w:r>
        <w:rPr>
          <w:rFonts w:ascii="Times New Roman" w:cs="Times New Roman" w:eastAsia="Times New Roman" w:hAnsi="Times New Roman"/>
          <w:sz w:val="18"/>
          <w:szCs w:val="18"/>
          <w:i w:val="1"/>
          <w:iCs w:val="1"/>
          <w:color w:val="auto"/>
        </w:rPr>
        <w:t xml:space="preserve"> of this prospectus supplement, along with the other risk factors, our consolidated financial statements and notes to those consolidated financial statements and the other information incorporated by reference in this prospectus supplement or any applicable prospectus supplement.</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225" w:lineRule="exact"/>
        <w:rPr>
          <w:sz w:val="20"/>
          <w:szCs w:val="20"/>
          <w:color w:val="auto"/>
        </w:rPr>
      </w:pPr>
    </w:p>
    <w:p>
      <w:pPr>
        <w:ind w:left="100" w:right="20" w:firstLine="324"/>
        <w:spacing w:after="0" w:line="255"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3.5 million lifetime customers across all of our offerings and we had 183,552 total subscribers (active and paused) as of January 31, 2026. We had 143,796 active subscribers as of January 31, 2026. In fiscal year 2025, 90% of our total revenue was generated by subscribers compared to 88% in fiscal year 2024.</w:t>
      </w:r>
    </w:p>
    <w:p>
      <w:pPr>
        <w:spacing w:after="0" w:line="189" w:lineRule="exact"/>
        <w:rPr>
          <w:sz w:val="20"/>
          <w:szCs w:val="20"/>
          <w:color w:val="auto"/>
        </w:rPr>
      </w:pPr>
    </w:p>
    <w:p>
      <w:pPr>
        <w:ind w:left="100" w:right="60" w:firstLine="324"/>
        <w:spacing w:after="0" w:line="258" w:lineRule="auto"/>
        <w:rPr>
          <w:sz w:val="20"/>
          <w:szCs w:val="20"/>
          <w:color w:val="auto"/>
        </w:rPr>
      </w:pPr>
      <w:r>
        <w:rPr>
          <w:rFonts w:ascii="Times New Roman" w:cs="Times New Roman" w:eastAsia="Times New Roman" w:hAnsi="Times New Roman"/>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183" w:lineRule="exact"/>
        <w:rPr>
          <w:sz w:val="20"/>
          <w:szCs w:val="20"/>
          <w:color w:val="auto"/>
        </w:rPr>
      </w:pPr>
    </w:p>
    <w:p>
      <w:pPr>
        <w:ind w:left="100" w:right="20" w:firstLine="324"/>
        <w:spacing w:after="0" w:line="266" w:lineRule="auto"/>
        <w:rPr>
          <w:sz w:val="20"/>
          <w:szCs w:val="20"/>
          <w:color w:val="auto"/>
        </w:rPr>
      </w:pPr>
      <w:r>
        <w:rPr>
          <w:rFonts w:ascii="Times New Roman" w:cs="Times New Roman" w:eastAsia="Times New Roman" w:hAnsi="Times New Roman"/>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24 times what she pays for a monthly RTR Subscription on an annualized basis (more than $48,000 in designer retail value in fiscal year 2025).</w:t>
      </w:r>
    </w:p>
    <w:p>
      <w:pPr>
        <w:spacing w:after="0" w:line="176" w:lineRule="exact"/>
        <w:rPr>
          <w:sz w:val="20"/>
          <w:szCs w:val="20"/>
          <w:color w:val="auto"/>
        </w:rPr>
      </w:pPr>
    </w:p>
    <w:p>
      <w:pPr>
        <w:ind w:left="100" w:firstLine="324"/>
        <w:spacing w:after="0" w:line="256" w:lineRule="auto"/>
        <w:rPr>
          <w:sz w:val="20"/>
          <w:szCs w:val="20"/>
          <w:color w:val="auto"/>
        </w:rPr>
      </w:pPr>
      <w:r>
        <w:rPr>
          <w:rFonts w:ascii="Times New Roman" w:cs="Times New Roman" w:eastAsia="Times New Roman" w:hAnsi="Times New Roman"/>
          <w:sz w:val="18"/>
          <w:szCs w:val="18"/>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For example, many of our brand partners work with us because we introduce them to new, desirable customers and deepen awareness of their brands. Over the last 16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187" w:lineRule="exact"/>
        <w:rPr>
          <w:sz w:val="20"/>
          <w:szCs w:val="20"/>
          <w:color w:val="auto"/>
        </w:rPr>
      </w:pPr>
    </w:p>
    <w:p>
      <w:pPr>
        <w:ind w:left="1060" w:right="20" w:hanging="314"/>
        <w:spacing w:after="0" w:line="261"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Partner Advantage</w:t>
      </w:r>
      <w:r>
        <w:rPr>
          <w:rFonts w:ascii="Times New Roman" w:cs="Times New Roman" w:eastAsia="Times New Roman" w:hAnsi="Times New Roman"/>
          <w:sz w:val="18"/>
          <w:szCs w:val="18"/>
          <w:color w:val="auto"/>
        </w:rPr>
        <w:t>: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36130" cy="2447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447290"/>
                    </a:xfrm>
                    <a:prstGeom prst="rect">
                      <a:avLst/>
                    </a:prstGeom>
                    <a:noFill/>
                  </pic:spPr>
                </pic:pic>
              </a:graphicData>
            </a:graphic>
          </wp:anchor>
        </w:drawing>
      </w:r>
    </w:p>
    <w:p>
      <w:pPr>
        <w:spacing w:after="0" w:line="392" w:lineRule="exact"/>
        <w:rPr>
          <w:sz w:val="20"/>
          <w:szCs w:val="20"/>
          <w:color w:val="auto"/>
        </w:rPr>
      </w:pPr>
    </w:p>
    <w:p>
      <w:pPr>
        <w:ind w:left="1060" w:hanging="314"/>
        <w:spacing w:after="0" w:line="266"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Advantage</w:t>
      </w:r>
      <w:r>
        <w:rPr>
          <w:rFonts w:ascii="Times New Roman" w:cs="Times New Roman" w:eastAsia="Times New Roman" w:hAnsi="Times New Roman"/>
          <w:sz w:val="18"/>
          <w:szCs w:val="18"/>
          <w:color w:val="auto"/>
        </w:rPr>
        <w:t>: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175" w:lineRule="exact"/>
        <w:rPr>
          <w:rFonts w:ascii="Times New Roman" w:cs="Times New Roman" w:eastAsia="Times New Roman" w:hAnsi="Times New Roman"/>
          <w:sz w:val="18"/>
          <w:szCs w:val="18"/>
          <w:color w:val="auto"/>
        </w:rPr>
      </w:pPr>
    </w:p>
    <w:p>
      <w:pPr>
        <w:ind w:left="1060" w:hanging="314"/>
        <w:spacing w:after="0" w:line="261"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Technology and Logistics Advantage</w:t>
      </w:r>
      <w:r>
        <w:rPr>
          <w:rFonts w:ascii="Times New Roman" w:cs="Times New Roman" w:eastAsia="Times New Roman" w:hAnsi="Times New Roman"/>
          <w:sz w:val="18"/>
          <w:szCs w:val="18"/>
          <w:color w:val="auto"/>
        </w:rPr>
        <w:t>: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00" w:right="100"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supplement, and you should not consider information on our website to be part of this prospectus supplement.</w:t>
      </w: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23"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36130" cy="4916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4916170"/>
                    </a:xfrm>
                    <a:prstGeom prst="rect">
                      <a:avLst/>
                    </a:prstGeom>
                    <a:noFill/>
                  </pic:spPr>
                </pic:pic>
              </a:graphicData>
            </a:graphic>
          </wp:anchor>
        </w:drawing>
      </w: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51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Rent the Runway, Inc., a Delaware corporation.</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offered by us</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Class A common stock having an aggregate offering price of up to</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outstanding as April 2, 2026</w:t>
            </w:r>
          </w:p>
        </w:tc>
        <w:tc>
          <w:tcPr>
            <w:tcW w:w="630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4,649,091 shares.</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the</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Agent. See “Plan of Distribution.”</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corporate purposes. See “Use of Proceeds.”</w:t>
            </w: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Nasdaq symbol</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“RENT.”</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as well as those risks and uncertainties identified in the documents</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or any applicable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prospectus supplement, including our most recent Annual Report on Form</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10-K and any subsequent reports that we file with the SEC, for a discussion</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factors to consider carefully before deciding to purchase our Class A</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0" w:firstLine="324"/>
        <w:spacing w:after="0" w:line="258" w:lineRule="auto"/>
        <w:rPr>
          <w:sz w:val="20"/>
          <w:szCs w:val="20"/>
          <w:color w:val="auto"/>
        </w:rPr>
      </w:pPr>
      <w:r>
        <w:rPr>
          <w:rFonts w:ascii="Times New Roman" w:cs="Times New Roman" w:eastAsia="Times New Roman" w:hAnsi="Times New Roman"/>
          <w:sz w:val="18"/>
          <w:szCs w:val="18"/>
          <w:color w:val="auto"/>
        </w:rPr>
        <w:t>Unless we indicate otherwise, all information in this prospectus supplement is based on 33,419,413 shares of Class A common stock outstanding as of April 2, 2026, and excludes as of that date, 1,610,261 shares of our Class A common stock reserved for issuance under our equity incentive plans of which there were (i) outstanding options to purchase 11,134 shares of our Class A common stock at a weighted average exercise price of $178.45 per share, (ii) 3,086,947 of our Class A common stock shares underlying restricted stock units outstanding and (iii) 6,362,904 shares of our Class A common stock underlying performance stock units outstanding (assuming maximum level of performance).</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Before deciding whether to invest in our Class A common stock, you should consider carefully the risks described below and discussed under the sections captioned “Risk Factors” contained in our most recent Annual Report on Form 10-K, as well as in any of our subsequent Quarterly Reports on Form 10-Q and Current Reports on Form 8-K filed with the SEC, which are incorporated by reference in this prospectus supplement or any applicable prospectus supplement in their entirety, together with other information in this prospectus supplement, the information and documents incorporated by reference in this prospectus supplement or any applicable prospectus supplement, and in any free writing prospectus supplement that we have authorized for use in connection with this offering. Each of the risk factors could adversely affect our business, operating results and financial condition, as well as adversely affect the value of an investment in our securities, and the occurrence of any of these risks might cause you to lose all or part of your investment. There may be additional risks that we do not presently know of or that we currently believe are immaterial which could also impair our business and financial position. Please also read carefully the section titled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22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and may continue to fluctuate significantly, which could negatively affect us and holders of our Class A common stock.</w:t>
      </w:r>
    </w:p>
    <w:p>
      <w:pPr>
        <w:spacing w:after="0" w:line="15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has and may continue to fluctuate significantly as a result of many factors, including many that are outside of our control. These risks include those described or referred to in this “Risk Factors” section and in the other documents incorporated herein by reference as well as, among other things:</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execution of our business strategy, including with respect to our ongoing fleet rotation;</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in the market that the holders of a large number of shares of Class A common stock intend to sell;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our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reactions to any additional debt we incur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financial and capital markets to refinance our debt or replace the existing credit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industry and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equity or equity-related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actions filed by third parties of significant claims or proceedings against us;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new or updated research reports by security or industry analysts, or those analysts not publishing or ceasing to publish reports about us, our industry or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activities by third parties, driven by, among other things, social media coverage;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results that vary from, earnings estimates or buy/sell recommendations by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economic and other market conditions.</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addition, stock markets experience significant price and volume fluctuations from time to time that are not related to the operating performance of particular companies. These market fluctuations may have a material adverse effect on the share price of our Class A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Class A common stock in this offering, you may suffer immediate and substantial dilution of your investment.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shares sold in this offering will be sold from time to time at various prices. The price per share of our Class A common stock sold in this offering may, at the time of sale, exceed the net tangible book value per share of our Class A common stock outstanding prior to this offering. Therefore, if you purchase shares of our Class A common stock in this offering, you may pay a price per share that substantially exceeds our net tangible book value per share after this offering. To the extent shares are issued under outstanding options at exercise prices lower than the price of our Class A common stock in this offering, you will incur further dilution.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any shares we may issue and gross proceeds resulting from those sales, at any one time or in total, is uncertain.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and General Instruction I.B.6 of Form S-3 as set forth on the cover page of this prospectus supplement, we have the discretion to deliver a sale order to the Agent at any time throughout the term of the Sales Agreement. The number of shares that are sold by such Agent after the delivery of any sale order will fluctuate based on the market price of our Class A common stock during the sale period and limits we set with such Agent in any order to sell shares, and the demand for our Class A common stock during the sale period. Because the price per share of each share sold will fluctuate based on the market price of our Class A common stock during the sale period, it is not possible at this stage to predict the gross proceeds to be raised in connection with those sales or the number of shares, if any, that will be ultimately issued.</w:t>
      </w:r>
    </w:p>
    <w:p>
      <w:pPr>
        <w:spacing w:after="0" w:line="18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15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sale order, there is no minimum or maximum sales price. Investors may experience a decline in the value of their shares as a result of sales made at prices lower than the prices they paid.</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substantially limited as a result of an “ownership change,” as defined in Section 382 of the Internal Revenue Code of 1986, as amended.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January 31, 2026, we had federal net operating loss carryforwards of $507.25 million, $7.8 million of which will expire at various times through 2038. Furthermore, we had state net operating loss carryforwards of $537.91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utilization of such losses is subject to limitations. In addition, for state income tax purposes, there may be periods during which the use of net operating loss carryforwards is suspended or otherwise limited, which could accelerate or permanently increase state taxes owed.</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and corresponding provisions of state law, an ownership change, generally defined as a significant change in equity ownership, may limit our ability to utilize net operating loss carryforwards and other tax attributes generated prior to the change. We previously completed a Section 382 analysis and concluded that an ownership change occurred in 2010; however, all net operating losses subject to that limitation were fully utilized in prior periods. We subsequently updated its Section 382 analysis through November 2025 and further determined that an additional ownership change occurred on October 28, 2025. As a result, net operating losses arising prior to that date are subject to annual limitations on utilization under Section 382, which may limit the amount of such net operating losses available to offset future taxable income. These limitations were considered in assessing the realizability of our deferred tax assets, and we have recorded a full valuation allowance against our U.S. deferred tax assets.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is a risk that additional ownership changes may occur as a result of our capital raising efforts, acquisitions of our stock by 5% shareholders or both such events. Further limitations imposed on our ability to use NOLs and other tax attributes to offset future taxable income may cause U.S. federal income taxes to be paid earlier than otherwise would be paid if such limitations were not in effect. While our NOLs and interest expense carryforwards may be carried forward indefinitely, an ownership change could cause certain other tax attributes, including our tax credits, to expire unused. Similar rules and limitations may apply for state and foreign income tax purposes. If we experience any additional ownership changes, it is possible that the use of a significant portion of our tax attributes could therefore be further limited for future use.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operation and growth of our business and currently do not plan to pay any cash dividends in the foreseeable future. As a result, only appreciation of the price of our Class A common stock will provide a return to stockholders for the foreseeable future.</w:t>
      </w:r>
    </w:p>
    <w:p>
      <w:pPr>
        <w:spacing w:after="0" w:line="172"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Class A common stock in the public markets, or the perception that such sales could occur, could depress the market price of our Class A common stock.</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markets, or the perception that such sales could occur, could depress the market price of our Class A common stock and impair our ability to raise capital through the sale of additional equity securities. It is possible that we could issue and sell additional shares of our Class A common stock in the public markets. We cannot predict the effect that future sales of our Class A common stock would have on the market price of our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and our management retains broad discretion in the application of the net proceeds from this offering and could spend the proceeds in ways that do not improve our results of operations or enhance the value of our common stock. Our failure to apply these funds effectively could result in financial losses, which could have a material adverse effect on our business, results of operations, financial condition and prospects.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 squeeze” due to a sudden increase in demand for shares of our Class A common stock may lead to extreme price volatility in shares of our Class A common stock.</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Speculation regarding the price of our Class A common stock may involve long and short exposures. To the extent aggregate short exposure exceeds the number of shares of our Class A common stock available for purchase on the open market, investors with short exposure may have to pay a premium to repurchase shares of our Class A common stock for delivery to lenders of our Class A common stock. Those repurchases may in turn, dramatically increase the price of shares of our Class A common stock until additional shares of our Class A common stock are available for trading or borrowing. This is often referred to as a “short squeeze.” A short squeeze could lead to volatile price movements in shares of our Class A common stock that are unrelated or disproportionate to our operating performance or prospects and, once investors purchase the shares of our Class A common stock necessary to cover their short positions, the price of our Class A common stock may rapidly decline. Investors that purchase shares of our Class A common stock during a short squeeze may lose a significant portion of their investment.</w:t>
      </w:r>
    </w:p>
    <w:p>
      <w:pPr>
        <w:spacing w:after="0" w:line="188"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Class A common stock, the market price of our Class A common stock could decline.</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likely will be influenced by the research and reports that equity research analysts publish about the industry, us and our business. The market price of our Class A common stock could decline if one or more securities analysts downgrade our shares or if those analysts issue a sell recommendation or other unfavorable commentary or cease publishing reports about us or our business. If one or more of any analysts who elect to cover us downgrade our shares, the market price of our Class A common stock would likely decline.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supplement and the accompanying prospectus may be made in negotiated transactions or transactions that are deemed to be an “at the market offering” as defined in Rule 415(a)(4) under the Securities Act, including sales made directly on the Nasdaq or similar securities exchange or sales made to or through a market maker other than on an exchange, at prices related to the prevailing market prices or at negotiated prices. There is no guarantee that there will be any sales of our Class A common stock pursuant to this prospectus supplement and the accompanying prospectus. Actual sales, if any, of our Class A common stock under this prospectus supplement and the accompanying prospectus may be less than the amount set forth in this paragraph depending on, among other things, the market price of our Class A common stock at the time of any such sale. As a result, the actual net proceeds we receive may be more or less than the amount of net proceeds estimated in this prospectus supplement. Assuming the sale of Class A common shares having an aggregate offering price of $40.0 million pursuant to this prospectus supplement and the accompanying prospectus, we estimate that the net proceeds would be approximately $38.2 million after deducting the Agent’s estimated commissions of approximately $1.2 million payable by us and estimated offering expenses of approximately $0.6 million payable by us. We currently intend to use the net proceeds from this offering payable to us for general corporate purposes.</w:t>
      </w:r>
    </w:p>
    <w:p>
      <w:pPr>
        <w:spacing w:after="0" w:line="19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We will have broad discretion in the way that we use the net proceeds of this offering.</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ownership and disposition of our Class A common stock acquired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ownership and disposition of our Class A common stock.</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common stock as part of a hedge, straddle, or other risk reduction strategy or as part of a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employee stock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80"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U.S. federal income tax treatment of your partners will generally depend on the status of the partners and your activities. If you are a partnership holding our Class A common stock or a partner in such a partnership, you should consult your tax adviser as to the particular U.S. federal income tax consequences to you of owning and disposing of our Class A common stock.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as of the date hereof, changes to any of which subsequent to the date hereof may affect the tax consequences described herein, possibly with retroactive effect. This summary does not address any aspect of state, local or non-U.S. taxation, any minimum tax consequences, any Medicare contribution tax consequences, the application of Section 451 of the Code with respect to conforming the timing of income accruals to financial statements or any taxes other than U.S. federal income and estate taxes. You should consult your tax adviser with regard to the application of the U.S. federal tax laws to your particular situation, as well as any tax consequences arising under the laws of any state, local or non-U.S. taxing jurisdiction.</w:t>
      </w:r>
    </w:p>
    <w:p>
      <w:pPr>
        <w:spacing w:after="0" w:line="183" w:lineRule="exact"/>
        <w:rPr>
          <w:sz w:val="20"/>
          <w:szCs w:val="20"/>
          <w:color w:val="auto"/>
        </w:rPr>
      </w:pPr>
    </w:p>
    <w:p>
      <w:pPr>
        <w:ind w:right="3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a Non-U.S. Holder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one or more “United States persons” (within the meaning of Section 7701(a)(30) of the Code) have the authority to control all substantial decisions of the trust, or (2) has a valid election in effect to be treated as a United States person for U.S. federal income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described in the section entitled “Dividend Policy,” we have paid no dividends and have no current intention of doing so to holders of our Class A common stock in the foreseeable future. However, if we do pay dividends in cash or property on our Class A common stock, such dividends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or Other Taxable Disposition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tax or withholding on any gain realized upon the sale or other taxable disposition of our Class A common stock unless:</w:t>
      </w:r>
    </w:p>
    <w:p>
      <w:pPr>
        <w:spacing w:after="0" w:line="162" w:lineRule="exact"/>
        <w:rPr>
          <w:sz w:val="20"/>
          <w:szCs w:val="20"/>
          <w:color w:val="auto"/>
        </w:rPr>
      </w:pPr>
    </w:p>
    <w:p>
      <w:pPr>
        <w:ind w:left="660" w:right="24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Non-U.S. Holder’s holding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period.If you recognize gain on a sale or other disposition of our Class A common stock that is effectively connected with your conduct of a trade or business in the United States (and if required by an applicable income tax treaty, is attributable to a permanent establishment or fixed base maintained by you in the United States), you will generally be taxed on the gain in the same manner as a U.S. person. You should consult your tax adviser with respect to other U.S. tax consequences of the ownership and disposition of our Class A common stock, including the possible imposition of a branch profits tax at a rate of 30% (or a lower treaty rate) if you are a corporation.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9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Class A common stock.</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paid no cash dividends on our Class A common stock and we have no current intention of doing so. Any future determination to pay cash dividends will be at the discretion of our board of directors, subject to applicable limitations under Delaware law, and will be dependent upon our results of operations, financial condition, contractual restrictions and other factors deemed relevant by our board of directors.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Sales Agreement, under this prospectus supplement, we may offer and sell shares of our Class A common stock having an aggregate offering price of up to $40,000,000 from time to time through the Agent, acting as our sales agent. Sales of our Class A common stock, if any, under this prospectus supplement will be made by any method permitted that is deemed an “at the market offering” as defined in Rule 415(a)(4) under the Securities Act, including sales made directly on or through Nasdaq, or any other existing trading market for our Class A common stock, in block transactions, or as otherwise agreed upon by us and the Agent or any other method permitted by applicable law.</w:t>
      </w:r>
    </w:p>
    <w:p>
      <w:pPr>
        <w:spacing w:after="0" w:line="183"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Each time we wish to issue and sell Class A common stock under the Sales Agreement, we will notify the Agent of the number of shares requested to be sold or the gross proceeds to be raised in a given time period, the time period during which sales are requested to be made, any limitation on the amount of shares that may be sold in any single day, any minimum price below which sales may not be made or any minimum price requested for sales in a given time period and any other instructions relevant to such requested sales. Once we have so instructed the Agent, unless the Agent declines to accept the terms of the notice, the Agent has agreed to use its commercially reasonable efforts consistent with its normal trading and sales practices to sell such shares of our Class A common stock up to the amount specified on such terms. The obligations of the Agent under the Sales Agreement to sell our Class A common stock are subject to a number of conditions that we must meet.</w:t>
      </w:r>
    </w:p>
    <w:p>
      <w:pPr>
        <w:spacing w:after="0" w:line="18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The Agent will provide written confirmation to us following the close of trading on Nasdaq each day in which Class A common stock is sold under the Sales Agreement. Each confirmation will include the number of shares of our Class A common stock sold on such day, the compensation payable by us to the Agent in connection with the sales and the net proceeds to us with an itemization of the deductions made by the Agent in accordance with the Sales Agreement from the gross proceeds for the shares that it receives from such sales. We will report in our filings under the Securities Exchange Act of 1934, as amended (the “Exchange Act”), at least quarterly the number of shares sold through the Agent under the Sales Agreement, the net proceeds to us from the sales of the shares and the aggregate compensation of the Agent in connection with such sales.</w:t>
      </w:r>
    </w:p>
    <w:p>
      <w:pPr>
        <w:spacing w:after="0" w:line="18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We will pay the Agent commissions for its services in acting as agent in the sale of our shares. The Agent will be entitled to compensation at a commission rate of 3.0% of the gross sales price per share sold under the Sales Agreement. Because there is no minimum offering amount required as a condition to closing this offering, the actual total public offering amount, commissions and proceeds to us, if any, are not determinable at this time. The remaining sales proceeds, after deducting any transaction fees, transfer taxes or similar taxes or fees imposed by any governmental or self-regulatory organization in respect of such sales of shares Class A common stock, will be our net proceeds (before the expenses referred to in the next paragraph) from the sale of shares of our Class A common stock in the offering.</w:t>
      </w:r>
    </w:p>
    <w:p>
      <w:pPr>
        <w:spacing w:after="0" w:line="187"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for the offering, excluding compensation and reimbursements payable to the Agent under the terms of the Sale Agreement, will be approximately $0.5 million. We have agreed to reimburse the Agent for certain specified expenses, including for the reasonable and documented fees and disbursements to their legal counsel incurred in connection with the execution of the Sales Agreement, in addition to certain ongoing fees and disbursements of their legal counsel, which together with commissions paid to the Agent will not exceed 3.0% of the total public offering amount.</w:t>
      </w:r>
    </w:p>
    <w:p>
      <w:pPr>
        <w:spacing w:after="0" w:line="180"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the Sales Agreement, we may, if agreed to by the Agent, also sell shares of Class A common stock to the Agent, as principal for its own account, at a price per share and such other terms to be agreed upon at the time of sale. However, the Agent has no obligation to agree to purchase shares of Class A common stock as principal.</w:t>
      </w:r>
    </w:p>
    <w:p>
      <w:pPr>
        <w:spacing w:after="0" w:line="176"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Settlement for sales of our Class A common stock will occur on the first trading day following the date on which any sales are made, or on some other date that is agreed upon by us and the Agent, in return for payment of the net proceeds to us. Sales of our shares of our Class A common stock as contemplated in this prospectus supplement will be settled through the facilities of The Depository Trust Company or by such other means as we and the Agent agree upon. There is no arrangement for funds to be received in an escrow, trust or similar arrangement.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the Agent will not engage in any stabilization activity in connection with our Class A common stock while the offering is ongoing under this prospectus supplement.</w:t>
      </w:r>
    </w:p>
    <w:p>
      <w:pPr>
        <w:spacing w:after="0" w:line="162"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on our behalf, the Agent may be deemed to be an “underwriter” within the meaning of the Securities Act and the compensation of the Agent may be deemed to be underwriting commissions or discounts. We have also agreed to provide indemnification and contribution to the Agent with respect to certain liabilities, including liabilities under the Securities Act.</w:t>
      </w:r>
    </w:p>
    <w:p>
      <w:pPr>
        <w:spacing w:after="0" w:line="176"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offering pursuant to the Sales Agreement will terminate upon the earlier of the issuance and sale of all the Class A common stock subject to the Sales Agreement or termination of the Sales Agreement. The Sales Agreement may be terminated by the Agent or us at any time upon specified prior written notice.</w:t>
      </w:r>
    </w:p>
    <w:p>
      <w:pPr>
        <w:spacing w:after="0" w:line="176"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their terms and conditions. We are filing a copy of the Sales Agreement as an exhibit to a Current Report on Form 8-K filed on the date of this prospectus supplement.</w:t>
      </w:r>
    </w:p>
    <w:p>
      <w:pPr>
        <w:spacing w:after="0" w:line="16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Agent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where any such offer or solicitation is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The Agent and its affiliates are full service financial institutions engaged in various activities, which may include sales and trading, commercial and investment banking, financial advisory, investment management, investment research, principal investment, hedging, market making, brokerage and other financial and non-financial activities and services. The Agent and its affiliates have, from time to time, provided, and may in the future provide various investment banking and other financial services for us and our affiliates, for which services they have received, and may in the future receive, customary fees and expenses.</w:t>
      </w:r>
    </w:p>
    <w:p>
      <w:pPr>
        <w:spacing w:after="0" w:line="183"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In the ordinary course of its various business activities, the Agent and its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Agent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Class A common stock being offered by this prospectus supplement will be passed upon for us by Davis Polk &amp; Wardwell LLP, New York, New York. The Agent is being represented in connection with this offering by Cozen O’Connor, Minneapolis, Minnesota.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January 31, 2026 have been so incorporated in reliance on the report of PricewaterhouseCoopers LLP, an independent registered public accounting firm, given on the authority of said firm as experts in auditing and accounting.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(including amendments and exhibits to the registration statement) on Form S-3 under the Securities Act. Our SEC filings are available to the public over the Internet at the SEC’s website at http://www.sec.gov. Copies of certain information filed by us with the SEC are also available on our website at http://www.renttherunway.com. Our website is not a part of this prospectus supplement and is not incorporated by reference in this prospectus supplement.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and does not contain all of the information in the registration statement. The full registration statement may be obtained from the SEC or us, as provided below.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Our SEC filings are available from the SEC’s Internet site at http://www.sec.gov, which contains reports, proxy and information statements, and other information regarding issuers, like us, who file reports electronically with the SEC.</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statement so modified or superseded shall not be deemed, except as so modified or superseded, to constitute a part of this prospectus supplement. We incorporate by reference the documents listed below (excluding any portions of such documents that have been “furnished” but not “filed” for purposes of the Exchange Act):</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January 31, 2026 (the “2025 Annual Report”), filed with the SEC on </w:t>
      </w:r>
      <w:hyperlink r:id="rId33">
        <w:r>
          <w:rPr>
            <w:rFonts w:ascii="Times New Roman" w:cs="Times New Roman" w:eastAsia="Times New Roman" w:hAnsi="Times New Roman"/>
            <w:sz w:val="18"/>
            <w:szCs w:val="18"/>
            <w:u w:val="single" w:color="auto"/>
            <w:color w:val="0000EE"/>
          </w:rPr>
          <w:t>April 14,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34">
        <w:r>
          <w:rPr>
            <w:rFonts w:ascii="Times New Roman" w:cs="Times New Roman" w:eastAsia="Times New Roman" w:hAnsi="Times New Roman"/>
            <w:sz w:val="18"/>
            <w:szCs w:val="18"/>
            <w:u w:val="single" w:color="auto"/>
            <w:color w:val="0000FF"/>
          </w:rPr>
          <w:t>February 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FF"/>
          </w:rPr>
          <w:t>April 6,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the registration statement on Form S-3 filed on May 28, 2024, as updated by </w:t>
      </w:r>
      <w:hyperlink r:id="rId36">
        <w:r>
          <w:rPr>
            <w:rFonts w:ascii="Times New Roman" w:cs="Times New Roman" w:eastAsia="Times New Roman" w:hAnsi="Times New Roman"/>
            <w:sz w:val="18"/>
            <w:szCs w:val="18"/>
            <w:u w:val="single" w:color="auto"/>
            <w:color w:val="0000EE"/>
          </w:rPr>
          <w:t>Exhibit 4.3</w:t>
        </w:r>
      </w:hyperlink>
      <w:r>
        <w:rPr>
          <w:rFonts w:ascii="Times New Roman" w:cs="Times New Roman" w:eastAsia="Times New Roman" w:hAnsi="Times New Roman"/>
          <w:sz w:val="18"/>
          <w:szCs w:val="18"/>
          <w:color w:val="auto"/>
        </w:rPr>
        <w:t xml:space="preserve"> to Rent the Runway’s Annual Report on Form 10-K for the year ended January 31, 2026, and all amendments and reports filed for the purpose of updating that description.</w:t>
      </w:r>
    </w:p>
    <w:p>
      <w:pPr>
        <w:spacing w:after="0" w:line="176" w:lineRule="exact"/>
        <w:rPr>
          <w:rFonts w:ascii="Times New Roman" w:cs="Times New Roman" w:eastAsia="Times New Roman" w:hAnsi="Times New Roman"/>
          <w:sz w:val="18"/>
          <w:szCs w:val="18"/>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documents we file pursuant to Section 13(a), 13(c), 14 or 15(d) of the Exchange Act on or after the date of this prospectus supplement and before all of the securities offered by this prospectus supplement are sold are incorporated by reference in this prospectus supplement from the date of filing of the documents, except for information furnished under Item 2.02 and Item 7.01 of Form 8-K, which is not deemed filed and not incorporated by reference herein. Information that we file with the SEC will automatically update and may replace information in this prospectus supplement and information previously filed with the SEC.</w:t>
      </w:r>
    </w:p>
    <w:p>
      <w:pPr>
        <w:spacing w:after="0" w:line="183" w:lineRule="exact"/>
        <w:rPr>
          <w:rFonts w:ascii="Times New Roman" w:cs="Times New Roman" w:eastAsia="Times New Roman" w:hAnsi="Times New Roman"/>
          <w:sz w:val="18"/>
          <w:szCs w:val="18"/>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You may obtain any of these incorporated documents from us without charge, excluding any exhibits to these documents unless the exhibit is specifically incorporated by reference in such document, by requesting them from us in writing or by telephone at the following address and telephone number:</w:t>
      </w:r>
    </w:p>
    <w:p>
      <w:pPr>
        <w:spacing w:after="0" w:line="17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(212) 524-6860</w:t>
      </w:r>
    </w:p>
    <w:p>
      <w:pPr>
        <w:spacing w:after="0" w:line="207" w:lineRule="exact"/>
        <w:rPr>
          <w:rFonts w:ascii="Times New Roman" w:cs="Times New Roman" w:eastAsia="Times New Roman" w:hAnsi="Times New Roman"/>
          <w:sz w:val="18"/>
          <w:szCs w:val="18"/>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Documents may also be available on our website at http://www.renttherunway.com. Information contained on our website does not constitute part of this prospectus supplement.</w:t>
      </w:r>
    </w:p>
    <w:p>
      <w:pPr>
        <w:spacing w:after="0" w:line="270"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1" w:name="page22"/>
    <w:bookmarkEnd w:id="21"/>
    <w:p>
      <w:pPr>
        <w:ind w:right="340"/>
        <w:spacing w:after="0" w:line="268" w:lineRule="auto"/>
        <w:rPr>
          <w:sz w:val="20"/>
          <w:szCs w:val="20"/>
          <w:color w:val="auto"/>
        </w:rPr>
      </w:pPr>
      <w:r>
        <w:rPr>
          <w:rFonts w:ascii="Times New Roman" w:cs="Times New Roman" w:eastAsia="Times New Roman" w:hAnsi="Times New Roman"/>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014"/>
        </w:rPr>
        <w:t>Subject to Completion, dated May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156845</wp:posOffset>
            </wp:positionV>
            <wp:extent cx="796925" cy="1088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9692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RENT THE RUNWAY, INC.</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$40,000,000</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Purchase Contracts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Units</w:t>
      </w:r>
    </w:p>
    <w:p>
      <w:pPr>
        <w:spacing w:after="0" w:line="263"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$40,000,000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3"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6</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7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“RENT.” On May 24, 2024, the last reported sale price of our Class A common stock on The Nasdaq Global Market was $29.19 per share.</w:t>
      </w:r>
    </w:p>
    <w:p>
      <w:pPr>
        <w:spacing w:after="0" w:line="158" w:lineRule="exact"/>
        <w:rPr>
          <w:sz w:val="20"/>
          <w:szCs w:val="20"/>
          <w:color w:val="auto"/>
        </w:rPr>
      </w:pPr>
    </w:p>
    <w:p>
      <w:pPr>
        <w:jc w:val="both"/>
        <w:ind w:right="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w:t>
            </w: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88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 INCORPORATION BY REFERENCE</w:t>
            </w: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3</w:t>
            </w:r>
          </w:p>
        </w:tc>
      </w:tr>
      <w:tr>
        <w:trPr>
          <w:trHeight w:val="203"/>
        </w:trPr>
        <w:tc>
          <w:tcPr>
            <w:tcW w:w="40" w:type="dxa"/>
            <w:vAlign w:val="bottom"/>
            <w:tcBorders>
              <w:top w:val="single" w:sz="8" w:color="CCEEFF"/>
            </w:tcBorders>
          </w:tcPr>
          <w:p>
            <w:pPr>
              <w:spacing w:after="0"/>
              <w:rPr>
                <w:sz w:val="17"/>
                <w:szCs w:val="17"/>
                <w:color w:val="auto"/>
              </w:rPr>
            </w:pPr>
          </w:p>
        </w:tc>
        <w:tc>
          <w:tcPr>
            <w:tcW w:w="6720" w:type="dxa"/>
            <w:vAlign w:val="bottom"/>
            <w:tcBorders>
              <w:top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THE COMPANY</w:t>
            </w:r>
          </w:p>
        </w:tc>
        <w:tc>
          <w:tcPr>
            <w:tcW w:w="214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7</w:t>
            </w: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8</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14</w:t>
            </w: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8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380" w:type="dxa"/>
            <w:vAlign w:val="bottom"/>
            <w:gridSpan w:val="6"/>
            <w:shd w:val="clear" w:color="auto" w:fill="CCEEFF"/>
          </w:tcPr>
          <w:p>
            <w:pPr>
              <w:spacing w:after="0"/>
              <w:rPr>
                <w:sz w:val="17"/>
                <w:szCs w:val="17"/>
                <w:color w:val="auto"/>
              </w:rPr>
            </w:pP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21</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22</w:t>
            </w: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GLOBAL SECURITIES</w:t>
            </w: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34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29</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420" w:type="dxa"/>
            <w:vAlign w:val="bottom"/>
            <w:gridSpan w:val="11"/>
          </w:tcPr>
          <w:p>
            <w:pPr>
              <w:spacing w:after="0"/>
              <w:rPr>
                <w:sz w:val="17"/>
                <w:szCs w:val="17"/>
                <w:color w:val="auto"/>
              </w:rPr>
            </w:pPr>
          </w:p>
        </w:tc>
        <w:tc>
          <w:tcPr>
            <w:tcW w:w="234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29</w:t>
            </w:r>
          </w:p>
        </w:tc>
      </w:tr>
      <w:tr>
        <w:trPr>
          <w:trHeight w:val="642"/>
        </w:trPr>
        <w:tc>
          <w:tcPr>
            <w:tcW w:w="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$40,000,000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9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4" w:lineRule="exact"/>
        <w:rPr>
          <w:sz w:val="20"/>
          <w:szCs w:val="20"/>
          <w:color w:val="auto"/>
        </w:rPr>
      </w:pPr>
    </w:p>
    <w:p>
      <w:pPr>
        <w:jc w:val="both"/>
        <w:ind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PROSPECTUS MAY NOT BE USED TO OFFER AND SELL SECURITIES UNLESS IT IS ACCOMPANIED BY A PROSPECTUS SUPPLEMENT.</w:t>
      </w:r>
    </w:p>
    <w:p>
      <w:pPr>
        <w:spacing w:after="0" w:line="16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When we refer to “Rent the Runway,” “RTR,” “we,” “our,” “us” and the “Company” in this prospectus, we mean Rent the Runway, Inc. and its consolidated subsidiaries, unless otherwise specified. When we refer to “you,” we mean the potential holders of the applicable series of securities.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include, but are not limited to statements regarding our future results of operations and financial position, industry and business trends, share-based compensation, business strategy and initiatives, including rental product depth strategy, promotional and marketing strategy and onboarding initiatives, sustainability initiatives, business plans, impacts from our September 2022 and January 2024 restructuring plans and other cost savings initiatives, anticipated cost savings from our 2023 transportation deal with a major national carrier, anticipated future expenditures, product acquisition expectations, compliance with Nasdaq continued listing requirements, impacts from our five-item base subscription offering, anticipated expenditures and compliance with our debt covenants, market growth and our objectives for future operations.</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most recent Annual Report on Form 10-K for the fiscal year ended January 31, 2024, which are incorporated herein by reference.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this prospectus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prospectus. Except as required by applicable law, we do not plan to publicly update or revise any forward-looking statements contained in this prospectus, whether as a result of any new information, future events or otherwise.</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web site address is www.renttherunway.com. The information on our web site, however, is not, and should not be deemed to be, a part of this prospectus.</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January 31, 2024, filed with the SEC on </w:t>
      </w:r>
      <w:hyperlink r:id="rId42">
        <w:r>
          <w:rPr>
            <w:rFonts w:ascii="Times New Roman" w:cs="Times New Roman" w:eastAsia="Times New Roman" w:hAnsi="Times New Roman"/>
            <w:sz w:val="18"/>
            <w:szCs w:val="18"/>
            <w:u w:val="single" w:color="auto"/>
            <w:color w:val="0000EE"/>
          </w:rPr>
          <w:t>April 11, 2024</w:t>
        </w:r>
      </w:hyperlink>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43">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44">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the registration statement on Form 8-A12B, filed with the SEC on October 22, 2021, as updated in </w:t>
      </w:r>
      <w:hyperlink r:id="rId4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April 11, 2024 and any amendment or report filed with the SEC for the purpose of updating the description.</w:t>
      </w:r>
    </w:p>
    <w:p>
      <w:pPr>
        <w:spacing w:after="0" w:line="213" w:lineRule="exact"/>
        <w:rPr>
          <w:rFonts w:ascii="Times New Roman" w:cs="Times New Roman" w:eastAsia="Times New Roman" w:hAnsi="Times New Roman"/>
          <w:sz w:val="18"/>
          <w:szCs w:val="18"/>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3" w:lineRule="exact"/>
        <w:rPr>
          <w:rFonts w:ascii="Times New Roman" w:cs="Times New Roman" w:eastAsia="Times New Roman" w:hAnsi="Times New Roman"/>
          <w:sz w:val="18"/>
          <w:szCs w:val="18"/>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524-6860</w:t>
      </w:r>
    </w:p>
    <w:p>
      <w:pPr>
        <w:spacing w:after="0" w:line="207" w:lineRule="exact"/>
        <w:rPr>
          <w:rFonts w:ascii="Times New Roman" w:cs="Times New Roman" w:eastAsia="Times New Roman" w:hAnsi="Times New Roman"/>
          <w:sz w:val="18"/>
          <w:szCs w:val="18"/>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70"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and largest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and our telephone number is (212) 524-6860.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Below is a summary of certain factors that make an investment in our securities speculative or risky. Importantly, this summary does not address all of the risks that we face. Additional discussion of the risks summarized below, as well as other risks that we face, can be found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660" w:right="4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fashion industry is highly competitive and rapidly changing, and we may not be able to compete effectively.</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have been, and may in the future be, adversely affected by economic downturns and other macroeconomic conditions or trends.</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customers, our business, financial condition, and results of operations would be harmed.</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accurately forecast customer demand or trends, manage our products effectively and plan for future expenses, our operating results could be adversely affected.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restructuring of our operations, which could adversely affect our financial condition, results of operations, cash flows, or business reputation.</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188"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large number of U.S. and non-U.S. laws and regulations, many of which are evolving.</w:t>
      </w:r>
    </w:p>
    <w:p>
      <w:pPr>
        <w:spacing w:after="0" w:line="25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left="660" w:right="2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experience and expertise of our Co-Founder and Chief Executive Officer, senior management team, key technical and strategic employees and hourly personnel.</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188" w:lineRule="exact"/>
        <w:rPr>
          <w:rFonts w:ascii="Times New Roman" w:cs="Times New Roman" w:eastAsia="Times New Roman" w:hAnsi="Times New Roman"/>
          <w:sz w:val="18"/>
          <w:szCs w:val="18"/>
          <w:color w:val="auto"/>
        </w:rPr>
      </w:pPr>
    </w:p>
    <w:p>
      <w:pPr>
        <w:jc w:val="both"/>
        <w:ind w:left="660" w:right="14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 impact the results of our operations and subject us to liabilities that adversely affect our business, operations, and financial performance.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brand partners from whom our products are sourced or co-manufactured.</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18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Nasdaq Global Market’s continued listing requirements and other Nasdaq rules could adversely affect the price of our Class A common stock and make it more difficult for us to sell securities in a future financing or for you to sell our Class A common stock.</w:t>
      </w:r>
    </w:p>
    <w:p>
      <w:pPr>
        <w:spacing w:after="0" w:line="18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investors may be unable to sell their shares at or above the price they purchased them.</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had, and future COVID-19 outbreaks may in the future have, a material adverse impact on our business. Other future pandemics or public health crises may have a similar adverse impact on our business.</w:t>
      </w: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34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Twelfth Amended and Restated Certificate of Incorporation (as further amended by the Certificate of Amendment which is incorporated by reference as Exhibit 3.2 to our Current Report on Form 10-K filed with the SEC on April 11, 2024, our “Amended Charter”) and our Amended and Restated Bylaws (“Amended Bylaws”), which has been publicly filed with the SEC. See “Where You Can Find More Information; Incorporation by Reference.”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Class A common stock, par value $0.001 per share;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Class B common stock, par value $0.001 per share;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5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vote together with holders of our Class B common stock as a single class on all matters (including the election of directors) submitted to a vote of our stockholders, except as otherwise required by applicable law or our Amended Charter.</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are no redemption or sinking fund provisions applicable to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20 votes per share on all matters submitted to a vote of stockholders. The holders of shares of our Class B common stock do not have cumulative voting rights in the election of directors.</w:t>
      </w:r>
    </w:p>
    <w:p>
      <w:pPr>
        <w:spacing w:after="0" w:line="16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our Amended Charter) as such Permitted Class B Holder (as defined in our Amended Charter), (ii) November 1, 2028 or (iii) with respect to any shares held by any person in Jennifer Y. Hyman and Jennifer Fleiss (each, a “Co-Founder” and together, the “Co-Founders”)’s Permitted Ownership Group, (A) 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our Amended Charter.</w:t>
      </w:r>
    </w:p>
    <w:p>
      <w:pPr>
        <w:spacing w:after="0" w:line="19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Holders of our Class B common stock do not have preemptive, subscription or redemption rights. There are no redemption or sinking fund provisions applicable to our Class B common stock.</w:t>
      </w:r>
    </w:p>
    <w:p>
      <w:pPr>
        <w:spacing w:after="0" w:line="158" w:lineRule="exact"/>
        <w:rPr>
          <w:sz w:val="20"/>
          <w:szCs w:val="20"/>
          <w:color w:val="auto"/>
        </w:rPr>
      </w:pPr>
    </w:p>
    <w:p>
      <w:pPr>
        <w:jc w:val="both"/>
        <w:ind w:right="20"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The holders of our Class A and Class B common stock are entitled to receive dividends out of funds legally available if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in its discretion, determines to issue dividends and then only at the times and in the amounts that our board of directors may determine. The time and amount of dividends are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83"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to Receive Liquidation Distributions. </w:t>
      </w:r>
      <w:r>
        <w:rPr>
          <w:rFonts w:ascii="Times New Roman" w:cs="Times New Roman" w:eastAsia="Times New Roman" w:hAnsi="Times New Roman"/>
          <w:sz w:val="18"/>
          <w:szCs w:val="18"/>
          <w:color w:val="auto"/>
        </w:rPr>
        <w:t>If we become subject to a liquidation, dissolution, or winding-up, the assets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Common Stock in Reclassifications and Mergers. </w:t>
      </w:r>
      <w:r>
        <w:rPr>
          <w:rFonts w:ascii="Times New Roman" w:cs="Times New Roman" w:eastAsia="Times New Roman" w:hAnsi="Times New Roman"/>
          <w:sz w:val="18"/>
          <w:szCs w:val="18"/>
          <w:color w:val="auto"/>
        </w:rPr>
        <w:t>The affirmative vote of the holders of Class A common stock representing a majority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eighth amended and restated investors’ rights agreement, as amended (the “Investors’ Rights Agreement”) to which we are a party provides certain holders of our capital stock registration rights as set forth below. The registration of shares of our capital stock by the exercise of these registration rights described below enables the holders to sell these shares without restriction under the Securities Act.</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demand, piggyback and Form S-3 registration rights described below expires, with respect to any particular stockholder, upon the earliest of (i) such time that such stockholder (a) owns less than 1% of the common stock on an as-converted basis and (b) can sell all of its shares entitled to registration rights under Rule 144 of the Securities Act and (ii) a liquidation event.</w:t>
      </w:r>
    </w:p>
    <w:p>
      <w:pPr>
        <w:spacing w:after="0" w:line="172"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Upon election by one or more holders holding at least 20% of the registrable securities held by such holders,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are entitled to certain demand registration rights.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7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Piggyback Registration Rights. </w:t>
      </w:r>
      <w:r>
        <w:rPr>
          <w:rFonts w:ascii="Times New Roman" w:cs="Times New Roman" w:eastAsia="Times New Roman" w:hAnsi="Times New Roman"/>
          <w:sz w:val="18"/>
          <w:szCs w:val="18"/>
          <w:color w:val="auto"/>
        </w:rPr>
        <w:t>In the event that we propose to register any of our securities under the Securities Act, either for our own account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account of other security holders, in connection with such offering certain holders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82"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S-3 Registration Rights. </w:t>
      </w:r>
      <w:r>
        <w:rPr>
          <w:rFonts w:ascii="Times New Roman" w:cs="Times New Roman" w:eastAsia="Times New Roman" w:hAnsi="Times New Roman"/>
          <w:sz w:val="18"/>
          <w:szCs w:val="18"/>
          <w:color w:val="auto"/>
        </w:rPr>
        <w:t>Subject to certain exceptions, holders of at least 10% of the registrable securities held by certain holders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are not required to effect more than two registrations on Form S-3 within any 12-month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General Corporation Law of the State of Delaware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9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and our</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Amended Charter provides that, unless we consent in writing to the selection of an alternative forum, the federal district courts of the United States of America, to the fullest extent permitted by law, are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Additionally, our Amended Charter provides that any person or entity holding, owning, or otherwise acquiring any interest in any of our securities shall be deemed to have notice of and consented to these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Amended Charter and Amended Bylaws contain provisions that may delay, defer or discourage another party from acquiring control of us. We believe that these provisions, which are summarized below, could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7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common stock and our preferred stock are available for future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79"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Dual Class Stock. </w:t>
      </w:r>
      <w:r>
        <w:rPr>
          <w:rFonts w:ascii="Times New Roman" w:cs="Times New Roman" w:eastAsia="Times New Roman" w:hAnsi="Times New Roman"/>
          <w:sz w:val="18"/>
          <w:szCs w:val="18"/>
          <w:color w:val="auto"/>
        </w:rPr>
        <w:t>As described above, our Amended Charter provides for a dual class structure, which provides the holders of our Class B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76"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Board of Directors. </w:t>
      </w:r>
      <w:r>
        <w:rPr>
          <w:rFonts w:ascii="Times New Roman" w:cs="Times New Roman" w:eastAsia="Times New Roman" w:hAnsi="Times New Roman"/>
          <w:sz w:val="18"/>
          <w:szCs w:val="18"/>
          <w:color w:val="auto"/>
        </w:rPr>
        <w:t>Our Amended Charter provides that our board of directors is divided into three classes, with the number of directors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w:t>
      </w:r>
    </w:p>
    <w:p>
      <w:pPr>
        <w:spacing w:after="0" w:line="176"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Our Amended Charter provides that members of our board of directors may be removed from office only for cause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the holders of at least two-thirds of the voting power of all of our outstanding stock entitled to vote generally in the election of directors.</w:t>
      </w:r>
    </w:p>
    <w:p>
      <w:pPr>
        <w:spacing w:after="0" w:line="155"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Vacancies and Board Size. </w:t>
      </w:r>
      <w:r>
        <w:rPr>
          <w:rFonts w:ascii="Times New Roman" w:cs="Times New Roman" w:eastAsia="Times New Roman" w:hAnsi="Times New Roman"/>
          <w:sz w:val="18"/>
          <w:szCs w:val="18"/>
          <w:color w:val="auto"/>
        </w:rPr>
        <w:t>Our Amended Charter and Amended Bylaws provide that any vacant directorships, including newly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directorships, may only be filled by a majority of the directors then in office, though less than a quorum, or by the sole remaining director and the number of directors constituting the full board of directors is permitted to be set only by a resolution of the board of directors.</w:t>
      </w:r>
    </w:p>
    <w:p>
      <w:pPr>
        <w:spacing w:after="0" w:line="17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Action; Special Meetings of Stockholders. </w:t>
      </w:r>
      <w:r>
        <w:rPr>
          <w:rFonts w:ascii="Times New Roman" w:cs="Times New Roman" w:eastAsia="Times New Roman" w:hAnsi="Times New Roman"/>
          <w:sz w:val="18"/>
          <w:szCs w:val="18"/>
          <w:color w:val="auto"/>
        </w:rPr>
        <w:t>Our Amended Charter provides that our stockholders may not take action by consent, but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meeting. These provisions could delay the ability of our stockholders to force consideration of a proposal or for stockholders controlling a majority of our capital stock to take any action, including the removal of directors.</w:t>
      </w:r>
    </w:p>
    <w:p>
      <w:pPr>
        <w:spacing w:after="0" w:line="15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In addition, our Amended Bylaws provide an advance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85"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Certificate of Incorporation or Bylaws. </w:t>
      </w:r>
      <w:r>
        <w:rPr>
          <w:rFonts w:ascii="Times New Roman" w:cs="Times New Roman" w:eastAsia="Times New Roman" w:hAnsi="Times New Roman"/>
          <w:sz w:val="18"/>
          <w:szCs w:val="18"/>
          <w:color w:val="auto"/>
        </w:rPr>
        <w:t>Our Amended Bylaws may be amended or repealed by our board of directors or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76"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Not Entitled to Cumulative Voting. </w:t>
      </w:r>
      <w:r>
        <w:rPr>
          <w:rFonts w:ascii="Times New Roman" w:cs="Times New Roman" w:eastAsia="Times New Roman" w:hAnsi="Times New Roman"/>
          <w:sz w:val="18"/>
          <w:szCs w:val="18"/>
          <w:color w:val="auto"/>
        </w:rPr>
        <w:t>The DGCL provides that stockholders are not entitled to cumulate votes in the election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Amended Charter does not provide for cumulative voting.</w:t>
      </w:r>
    </w:p>
    <w:p>
      <w:pPr>
        <w:spacing w:after="0" w:line="15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203 of the DGCL. </w:t>
      </w:r>
      <w:r>
        <w:rPr>
          <w:rFonts w:ascii="Times New Roman" w:cs="Times New Roman" w:eastAsia="Times New Roman" w:hAnsi="Times New Roman"/>
          <w:sz w:val="18"/>
          <w:szCs w:val="18"/>
          <w:color w:val="auto"/>
        </w:rPr>
        <w:t>We have opted out of Section 203 of the DGCL. However, our Amended Charter contains provisions that are similar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8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However, under our Amended Charter, Jennifer Y. Hyman, Bain Capital Venture Investors, LLC and Highland Management Partners VIII Ltd, and any of their respective affiliates are deemed to not be interested stockholders regardless of the percentage of our outstanding voting stock owned by them, and accordingly are not subject to such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(each, a “Covered Person”), unless such matter, transaction or interest is presented to, or acquired, created or developed by, or otherwise comes into the possession of, a Covered Person expressly and solely in such Covered Person’s capacity as a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Equiniti Trust Company,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Market under the symbol “RENT.”</w:t>
      </w:r>
    </w:p>
    <w:p>
      <w:pPr>
        <w:spacing w:after="0" w:line="3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“Rent the Runway,” “RTR,” “we,” “our” or “us” refer to Rent the Runway, Inc. excluding our subsidiaries, unless expressly stated or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52"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06"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52"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88"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Rent the Runway) is a corporation, partnership, trust or other entity organized and validly existing under the laws of any U.S. domestic jurisdiction and expressly assumes our obligations on the debt securities and under the indenture;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52"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Rent the Runway and the trustee receive written notice from the holders of not less than 25% in principal amount of the outstanding debt securities of that series as provided in the indenture;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Rent the Runway;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52"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207"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ectPr>
          <w:pgSz w:w="11900" w:h="16838" w:orient="portrait"/>
          <w:cols w:equalWidth="0" w:num="1">
            <w:col w:w="11240"/>
          </w:cols>
          <w:pgMar w:left="320" w:top="223" w:right="339" w:bottom="1440"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jc w:val="both"/>
        <w:ind w:right="2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ind w:left="660" w:right="2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214"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88"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Class A common stock will be separately transferable;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252" w:lineRule="exact"/>
        <w:rPr>
          <w:rFonts w:ascii="Times New Roman" w:cs="Times New Roman" w:eastAsia="Times New Roman" w:hAnsi="Times New Roman"/>
          <w:sz w:val="18"/>
          <w:szCs w:val="18"/>
          <w:color w:val="auto"/>
        </w:rPr>
      </w:pPr>
    </w:p>
    <w:p>
      <w:pPr>
        <w:ind w:left="360" w:right="20" w:hanging="28"/>
        <w:spacing w:after="0" w:line="516"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 Holders of equity warrants will not be entitled: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meeting of shareholders for the election of our directors or any other matter;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Rent the Runway.</w:t>
      </w:r>
    </w:p>
    <w:p>
      <w:pPr>
        <w:spacing w:after="0" w:line="25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on our Class A common stock or preferred stock, if any.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5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ind w:left="660" w:right="4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5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8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Class A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Rent the Runway, Inc.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2024 have been so incorporated in reliance on the report of PricewaterhouseCoopers LLP, an independent registered public accounting firm, given on the authority of said firm as experts in auditing and accounting.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589915</wp:posOffset>
            </wp:positionV>
            <wp:extent cx="728980" cy="1002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89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Up to $40,000,000</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5"/>
          <w:szCs w:val="25"/>
          <w:b w:val="1"/>
          <w:bCs w:val="1"/>
          <w:color w:val="auto"/>
        </w:rPr>
        <w:t>BTIG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2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jpe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jpe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33" Type="http://schemas.openxmlformats.org/officeDocument/2006/relationships/hyperlink" Target="https://www.sec.gov/ix?doc=/Archives/edgar/data/1468327/000146832726000020/wdq-20260131.htm" TargetMode="External"/><Relationship Id="rId34" Type="http://schemas.openxmlformats.org/officeDocument/2006/relationships/hyperlink" Target="https://www.sec.gov/ix?doc=/Archives/edgar/data/1468327/000095010326001566/dp240987_8k.htm" TargetMode="External"/><Relationship Id="rId35" Type="http://schemas.openxmlformats.org/officeDocument/2006/relationships/hyperlink" Target="https://www.sec.gov/ix?doc=/Archives/edgar/data/1468327/000146832726000014/wdq-20260401.htm" TargetMode="External"/><Relationship Id="rId36" Type="http://schemas.openxmlformats.org/officeDocument/2006/relationships/hyperlink" Target="https://www.sec.gov/Archives/edgar/data/1468327/000146832722000047/exhibit43descriptionofcapi.htm" TargetMode="External"/><Relationship Id="rId42" Type="http://schemas.openxmlformats.org/officeDocument/2006/relationships/hyperlink" Target="https://www.sec.gov/ix?doc=/Archives/edgar/data/1468327/000146832724000114/wdq-20240131.htm" TargetMode="External"/><Relationship Id="rId43" Type="http://schemas.openxmlformats.org/officeDocument/2006/relationships/hyperlink" Target="https://www.sec.gov/Archives/edgar/data/1468327/000114036124027298/ny20027500x1_def14a.htm" TargetMode="External"/><Relationship Id="rId44" Type="http://schemas.openxmlformats.org/officeDocument/2006/relationships/hyperlink" Target="https://www.sec.gov/ix?doc=/Archives/edgar/data/1468327/000146832724000094/wdq-20240321.htm" TargetMode="External"/><Relationship Id="rId45" Type="http://schemas.openxmlformats.org/officeDocument/2006/relationships/hyperlink" Target="https://www.sec.gov/ix?doc=/Archives/edgar/data/1468327/000146832724000100/wdq-20240327.htm" TargetMode="External"/><Relationship Id="rId46" Type="http://schemas.openxmlformats.org/officeDocument/2006/relationships/hyperlink" Target="https://www.sec.gov/ix?doc=/Archives/edgar/data/1468327/000146832724000160/wdq-20240515.htm" TargetMode="External"/><Relationship Id="rId47" Type="http://schemas.openxmlformats.org/officeDocument/2006/relationships/hyperlink" Target="https://www.sec.gov/Archives/edgar/data/1468327/000146832724000114/rent-fy202310xkxdescrip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2026-04-15T08:03:04Z</dcterms:created>
  <dcterms:modified xsi:type="dcterms:W3CDTF">2026-04-15T08:03:04Z</dcterms:modified>
</cp:coreProperties>
</file>