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66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BIXBY TIMOTHY 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48,407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8"/>
                <w:szCs w:val="18"/>
                <w:color w:val="0000FF"/>
              </w:rPr>
              <w:t>136,003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29,516 RSUs were granted as the Reporting Persons annual equity award pursuant to the Companys Non-Employee Director Compensation Program and the remainder represents RSUs granted in lieu of the Reporting Persons annual cash retainer for service on the Companys Board of Directors pursuant to the Companys Non-Employee Director Compensation Program. All of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Tim</w:t>
      </w:r>
      <w:r>
        <w:rPr>
          <w:sz w:val="20"/>
          <w:szCs w:val="20"/>
          <w:color w:val="auto"/>
        </w:rPr>
        <w:tab/>
      </w:r>
      <w:r>
        <w:rPr>
          <w:rFonts w:ascii="Arial" w:cs="Arial" w:eastAsia="Arial" w:hAnsi="Arial"/>
          <w:sz w:val="15"/>
          <w:szCs w:val="15"/>
          <w:color w:val="0000FF"/>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Bixby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73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0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21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2023-07-14T17:57:11Z</dcterms:created>
  <dcterms:modified xsi:type="dcterms:W3CDTF">2023-07-14T17:57:11Z</dcterms:modified>
</cp:coreProperties>
</file>