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KAPLAN BETH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0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gridSpan w:val="2"/>
            <w:vMerge w:val="restart"/>
          </w:tcPr>
          <w:p>
            <w:pPr>
              <w:ind w:left="12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16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38,961</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6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8"/>
                <w:szCs w:val="18"/>
                <w:color w:val="0000FF"/>
              </w:rPr>
              <w:t>603,847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gridSpan w:val="3"/>
            <w:vMerge w:val="restart"/>
          </w:tcPr>
          <w:p>
            <w:pPr>
              <w:jc w:val="right"/>
              <w:ind w:right="339"/>
              <w:spacing w:after="0"/>
              <w:rPr>
                <w:sz w:val="20"/>
                <w:szCs w:val="20"/>
                <w:color w:val="auto"/>
              </w:rPr>
            </w:pPr>
            <w:r>
              <w:rPr>
                <w:rFonts w:ascii="Arial" w:cs="Arial" w:eastAsia="Arial" w:hAnsi="Arial"/>
                <w:sz w:val="18"/>
                <w:szCs w:val="18"/>
                <w:color w:val="0000FF"/>
              </w:rPr>
              <w:t>12,489</w:t>
            </w:r>
          </w:p>
        </w:tc>
        <w:tc>
          <w:tcPr>
            <w:tcW w:w="32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jc w:val="center"/>
              <w:ind w:right="16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directly by SK Limited Partnership. The Reporting Person may be deemed to have voting and dispositive power over the shares held by SK Limited Partnership.</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Beth J.</w:t>
      </w:r>
      <w:r>
        <w:rPr>
          <w:sz w:val="20"/>
          <w:szCs w:val="20"/>
          <w:color w:val="auto"/>
        </w:rPr>
        <w:tab/>
      </w: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Kaplan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22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715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2023-07-14T17:55:46Z</dcterms:created>
  <dcterms:modified xsi:type="dcterms:W3CDTF">2023-07-14T17:55:46Z</dcterms:modified>
</cp:coreProperties>
</file>