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80"/>
        <w:spacing w:after="0"/>
        <w:rPr>
          <w:sz w:val="20"/>
          <w:szCs w:val="20"/>
          <w:color w:val="auto"/>
        </w:rPr>
      </w:pPr>
      <w:r>
        <w:rPr>
          <w:rFonts w:ascii="Arial" w:cs="Arial" w:eastAsia="Arial" w:hAnsi="Arial"/>
          <w:sz w:val="18"/>
          <w:szCs w:val="18"/>
          <w:b w:val="1"/>
          <w:bCs w:val="1"/>
          <w:color w:val="auto"/>
        </w:rPr>
        <w:t>As filed with the Securities and Exchange Commission on October 29, 2025</w:t>
      </w:r>
    </w:p>
    <w:p>
      <w:pPr>
        <w:spacing w:after="0" w:line="2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Registration </w:t>
      </w:r>
      <w:r>
        <w:rPr>
          <w:rFonts w:ascii="Times New Roman" w:cs="Times New Roman" w:eastAsia="Times New Roman" w:hAnsi="Times New Roman"/>
          <w:sz w:val="21"/>
          <w:szCs w:val="21"/>
          <w:b w:val="1"/>
          <w:bCs w:val="1"/>
          <w:color w:val="auto"/>
        </w:rPr>
        <w:t>No. 333-</w:t>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328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S-8</w:t>
      </w:r>
    </w:p>
    <w:p>
      <w:pPr>
        <w:spacing w:after="0" w:line="1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REGISTRATION STATEMENT</w:t>
      </w:r>
    </w:p>
    <w:p>
      <w:pPr>
        <w:jc w:val="center"/>
        <w:ind w:right="11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0" w:lineRule="exact"/>
        <w:rPr>
          <w:sz w:val="24"/>
          <w:szCs w:val="24"/>
          <w:color w:val="auto"/>
        </w:rPr>
      </w:pP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Rent the Runway, Inc.</w:t>
      </w:r>
    </w:p>
    <w:p>
      <w:pPr>
        <w:spacing w:after="0" w:line="42" w:lineRule="exact"/>
        <w:rPr>
          <w:sz w:val="24"/>
          <w:szCs w:val="24"/>
          <w:color w:val="auto"/>
        </w:rPr>
      </w:pPr>
    </w:p>
    <w:p>
      <w:pPr>
        <w:ind w:left="1800"/>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0120"/>
          </w:cols>
          <w:pgMar w:left="1440" w:top="458" w:right="339" w:bottom="1440" w:gutter="0" w:footer="0" w:header="0"/>
        </w:sectPr>
      </w:pPr>
    </w:p>
    <w:p>
      <w:pPr>
        <w:spacing w:after="0" w:line="319" w:lineRule="exact"/>
        <w:rPr>
          <w:sz w:val="24"/>
          <w:szCs w:val="24"/>
          <w:color w:val="auto"/>
        </w:rPr>
      </w:pPr>
    </w:p>
    <w:p>
      <w:pPr>
        <w:ind w:left="960"/>
        <w:spacing w:after="0"/>
        <w:rPr>
          <w:sz w:val="20"/>
          <w:szCs w:val="20"/>
          <w:color w:val="auto"/>
        </w:rPr>
      </w:pPr>
      <w:r>
        <w:rPr>
          <w:rFonts w:ascii="Arial" w:cs="Arial" w:eastAsia="Arial" w:hAnsi="Arial"/>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80-0376379</w:t>
      </w:r>
    </w:p>
    <w:p>
      <w:pPr>
        <w:spacing w:after="0" w:line="61" w:lineRule="exact"/>
        <w:rPr>
          <w:sz w:val="24"/>
          <w:szCs w:val="24"/>
          <w:color w:val="auto"/>
        </w:rPr>
      </w:pPr>
    </w:p>
    <w:p>
      <w:pPr>
        <w:sectPr>
          <w:pgSz w:w="11900" w:h="16838" w:orient="portrait"/>
          <w:cols w:equalWidth="0" w:num="2">
            <w:col w:w="5400" w:space="720"/>
            <w:col w:w="4000"/>
          </w:cols>
          <w:pgMar w:left="1440" w:top="458" w:right="339" w:bottom="1440" w:gutter="0" w:footer="0" w:header="0"/>
          <w:type w:val="continuous"/>
        </w:sectPr>
      </w:pPr>
    </w:p>
    <w:p>
      <w:pPr>
        <w:ind w:left="440"/>
        <w:spacing w:after="0"/>
        <w:rPr>
          <w:sz w:val="20"/>
          <w:szCs w:val="20"/>
          <w:color w:val="auto"/>
        </w:rPr>
      </w:pPr>
      <w:r>
        <w:rPr>
          <w:rFonts w:ascii="Arial" w:cs="Arial" w:eastAsia="Arial" w:hAnsi="Arial"/>
          <w:sz w:val="14"/>
          <w:szCs w:val="14"/>
          <w:b w:val="1"/>
          <w:bCs w:val="1"/>
          <w:color w:val="auto"/>
        </w:rPr>
        <w:t>(State or other jurisdiction of</w:t>
      </w:r>
    </w:p>
    <w:p>
      <w:pPr>
        <w:spacing w:after="0" w:line="15" w:lineRule="exact"/>
        <w:rPr>
          <w:sz w:val="24"/>
          <w:szCs w:val="24"/>
          <w:color w:val="auto"/>
        </w:rPr>
      </w:pPr>
    </w:p>
    <w:p>
      <w:pPr>
        <w:ind w:left="4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820"/>
        <w:spacing w:after="0"/>
        <w:rPr>
          <w:sz w:val="20"/>
          <w:szCs w:val="20"/>
          <w:color w:val="auto"/>
        </w:rPr>
      </w:pPr>
      <w:r>
        <w:rPr>
          <w:rFonts w:ascii="Arial" w:cs="Arial" w:eastAsia="Arial" w:hAnsi="Arial"/>
          <w:sz w:val="14"/>
          <w:szCs w:val="14"/>
          <w:b w:val="1"/>
          <w:bCs w:val="1"/>
          <w:color w:val="auto"/>
        </w:rPr>
        <w:t>(I.R.S. Employer</w:t>
      </w:r>
    </w:p>
    <w:p>
      <w:pPr>
        <w:spacing w:after="0" w:line="15" w:lineRule="exact"/>
        <w:rPr>
          <w:sz w:val="24"/>
          <w:szCs w:val="24"/>
          <w:color w:val="auto"/>
        </w:rPr>
      </w:pPr>
    </w:p>
    <w:p>
      <w:pPr>
        <w:jc w:val="center"/>
        <w:ind w:right="2820"/>
        <w:spacing w:after="0"/>
        <w:rPr>
          <w:sz w:val="20"/>
          <w:szCs w:val="20"/>
          <w:color w:val="auto"/>
        </w:rPr>
      </w:pPr>
      <w:r>
        <w:rPr>
          <w:rFonts w:ascii="Arial" w:cs="Arial" w:eastAsia="Arial" w:hAnsi="Arial"/>
          <w:sz w:val="14"/>
          <w:szCs w:val="14"/>
          <w:b w:val="1"/>
          <w:bCs w:val="1"/>
          <w:color w:val="auto"/>
        </w:rPr>
        <w:t>Identification No.)</w:t>
      </w:r>
    </w:p>
    <w:p>
      <w:pPr>
        <w:spacing w:after="0" w:line="85" w:lineRule="exact"/>
        <w:rPr>
          <w:sz w:val="24"/>
          <w:szCs w:val="24"/>
          <w:color w:val="auto"/>
        </w:rPr>
      </w:pPr>
    </w:p>
    <w:p>
      <w:pPr>
        <w:sectPr>
          <w:pgSz w:w="11900" w:h="16838" w:orient="portrait"/>
          <w:cols w:equalWidth="0" w:num="2">
            <w:col w:w="5360" w:space="720"/>
            <w:col w:w="4040"/>
          </w:cols>
          <w:pgMar w:left="1440" w:top="458" w:right="339" w:bottom="1440" w:gutter="0" w:footer="0" w:header="0"/>
          <w:type w:val="continuous"/>
        </w:sectPr>
      </w:pPr>
    </w:p>
    <w:p>
      <w:pPr>
        <w:jc w:val="center"/>
        <w:ind w:right="1100"/>
        <w:spacing w:after="0"/>
        <w:rPr>
          <w:sz w:val="20"/>
          <w:szCs w:val="20"/>
          <w:color w:val="auto"/>
        </w:rPr>
      </w:pPr>
      <w:r>
        <w:rPr>
          <w:rFonts w:ascii="Arial" w:cs="Arial" w:eastAsia="Arial" w:hAnsi="Arial"/>
          <w:sz w:val="18"/>
          <w:szCs w:val="18"/>
          <w:b w:val="1"/>
          <w:bCs w:val="1"/>
          <w:color w:val="auto"/>
        </w:rPr>
        <w:t>10 Jay Street</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Brooklyn, New York 11201</w:t>
      </w:r>
    </w:p>
    <w:p>
      <w:pPr>
        <w:jc w:val="center"/>
        <w:ind w:right="1100"/>
        <w:spacing w:after="0"/>
        <w:rPr>
          <w:sz w:val="20"/>
          <w:szCs w:val="20"/>
          <w:color w:val="auto"/>
        </w:rPr>
      </w:pPr>
      <w:r>
        <w:rPr>
          <w:rFonts w:ascii="Arial" w:cs="Arial" w:eastAsia="Arial" w:hAnsi="Arial"/>
          <w:sz w:val="18"/>
          <w:szCs w:val="18"/>
          <w:b w:val="1"/>
          <w:bCs w:val="1"/>
          <w:color w:val="auto"/>
        </w:rPr>
        <w:t>Telephone: (212) 524-6860</w:t>
      </w:r>
    </w:p>
    <w:p>
      <w:pPr>
        <w:spacing w:after="0" w:line="1" w:lineRule="exact"/>
        <w:rPr>
          <w:sz w:val="24"/>
          <w:szCs w:val="24"/>
          <w:color w:val="auto"/>
        </w:rPr>
      </w:pPr>
    </w:p>
    <w:p>
      <w:pPr>
        <w:ind w:left="2800"/>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0120"/>
          </w:cols>
          <w:pgMar w:left="1440" w:top="458" w:right="339" w:bottom="1440" w:gutter="0" w:footer="0" w:header="0"/>
          <w:type w:val="continuous"/>
        </w:sectPr>
      </w:pP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Rent the Runway, Inc. Second Amended and Restated 2021 Incentive Award Plan</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(Full title of the plans)</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Jennifer Y. Hyman, Co-Founder, Chief Executive Officer and President</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Rent the Runway, Inc.</w:t>
      </w:r>
    </w:p>
    <w:p>
      <w:pPr>
        <w:jc w:val="center"/>
        <w:ind w:right="1120"/>
        <w:spacing w:after="0" w:line="234" w:lineRule="auto"/>
        <w:rPr>
          <w:sz w:val="20"/>
          <w:szCs w:val="20"/>
          <w:color w:val="auto"/>
        </w:rPr>
      </w:pPr>
      <w:r>
        <w:rPr>
          <w:rFonts w:ascii="Arial" w:cs="Arial" w:eastAsia="Arial" w:hAnsi="Arial"/>
          <w:sz w:val="18"/>
          <w:szCs w:val="18"/>
          <w:b w:val="1"/>
          <w:bCs w:val="1"/>
          <w:color w:val="auto"/>
        </w:rPr>
        <w:t>10 Jay Street</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Brooklyn, New York 11201</w:t>
      </w:r>
    </w:p>
    <w:p>
      <w:pPr>
        <w:spacing w:after="0" w:line="1" w:lineRule="exact"/>
        <w:rPr>
          <w:sz w:val="24"/>
          <w:szCs w:val="24"/>
          <w:color w:val="auto"/>
        </w:rPr>
      </w:pPr>
    </w:p>
    <w:p>
      <w:pPr>
        <w:ind w:left="314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Telephone: (212) 524-6860</w:t>
      </w:r>
    </w:p>
    <w:p>
      <w:pPr>
        <w:spacing w:after="0" w:line="1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22" w:lineRule="exact"/>
        <w:rPr>
          <w:sz w:val="24"/>
          <w:szCs w:val="24"/>
          <w:color w:val="auto"/>
        </w:rPr>
      </w:pPr>
    </w:p>
    <w:tbl>
      <w:tblPr>
        <w:tblLayout w:type="fixed"/>
        <w:tblInd w:w="560" w:type="dxa"/>
        <w:tblCellMar>
          <w:top w:w="0" w:type="dxa"/>
          <w:left w:w="0" w:type="dxa"/>
          <w:bottom w:w="0" w:type="dxa"/>
          <w:right w:w="0" w:type="dxa"/>
        </w:tblCellMar>
      </w:tblPr>
      <w:tr>
        <w:trPr>
          <w:trHeight w:val="241"/>
        </w:trPr>
        <w:tc>
          <w:tcPr>
            <w:tcW w:w="2800" w:type="dxa"/>
            <w:vAlign w:val="bottom"/>
          </w:tcPr>
          <w:p>
            <w:pPr>
              <w:spacing w:after="0"/>
              <w:rPr>
                <w:sz w:val="20"/>
                <w:szCs w:val="20"/>
                <w:color w:val="auto"/>
              </w:rPr>
            </w:pPr>
          </w:p>
        </w:tc>
        <w:tc>
          <w:tcPr>
            <w:tcW w:w="516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03"/>
        </w:trPr>
        <w:tc>
          <w:tcPr>
            <w:tcW w:w="2800" w:type="dxa"/>
            <w:vAlign w:val="bottom"/>
          </w:tcPr>
          <w:p>
            <w:pPr>
              <w:jc w:val="center"/>
              <w:ind w:right="450"/>
              <w:spacing w:after="0" w:line="202" w:lineRule="exact"/>
              <w:rPr>
                <w:sz w:val="20"/>
                <w:szCs w:val="20"/>
                <w:color w:val="auto"/>
              </w:rPr>
            </w:pPr>
            <w:r>
              <w:rPr>
                <w:rFonts w:ascii="Arial" w:cs="Arial" w:eastAsia="Arial" w:hAnsi="Arial"/>
                <w:sz w:val="18"/>
                <w:szCs w:val="18"/>
                <w:b w:val="1"/>
                <w:bCs w:val="1"/>
                <w:color w:val="auto"/>
                <w:w w:val="99"/>
              </w:rPr>
              <w:t>Jennifer S. Conway</w:t>
            </w:r>
          </w:p>
        </w:tc>
        <w:tc>
          <w:tcPr>
            <w:tcW w:w="5160" w:type="dxa"/>
            <w:vAlign w:val="bottom"/>
          </w:tcPr>
          <w:p>
            <w:pPr>
              <w:jc w:val="center"/>
              <w:ind w:left="2850"/>
              <w:spacing w:after="0" w:line="202" w:lineRule="exact"/>
              <w:rPr>
                <w:sz w:val="20"/>
                <w:szCs w:val="20"/>
                <w:color w:val="auto"/>
              </w:rPr>
            </w:pPr>
            <w:r>
              <w:rPr>
                <w:rFonts w:ascii="Arial" w:cs="Arial" w:eastAsia="Arial" w:hAnsi="Arial"/>
                <w:sz w:val="18"/>
                <w:szCs w:val="18"/>
                <w:b w:val="1"/>
                <w:bCs w:val="1"/>
                <w:color w:val="auto"/>
                <w:w w:val="99"/>
              </w:rPr>
              <w:t>Cara Schembri</w:t>
            </w: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b w:val="1"/>
                <w:bCs w:val="1"/>
                <w:color w:val="auto"/>
              </w:rPr>
              <w:t>Davis Polk &amp; Wardwell LLP</w:t>
            </w:r>
          </w:p>
        </w:tc>
        <w:tc>
          <w:tcPr>
            <w:tcW w:w="5160" w:type="dxa"/>
            <w:vAlign w:val="bottom"/>
          </w:tcPr>
          <w:p>
            <w:pPr>
              <w:jc w:val="center"/>
              <w:ind w:left="2850"/>
              <w:spacing w:after="0" w:line="202" w:lineRule="exact"/>
              <w:rPr>
                <w:sz w:val="20"/>
                <w:szCs w:val="20"/>
                <w:color w:val="auto"/>
              </w:rPr>
            </w:pPr>
            <w:r>
              <w:rPr>
                <w:rFonts w:ascii="Arial" w:cs="Arial" w:eastAsia="Arial" w:hAnsi="Arial"/>
                <w:sz w:val="18"/>
                <w:szCs w:val="18"/>
                <w:b w:val="1"/>
                <w:bCs w:val="1"/>
                <w:color w:val="auto"/>
                <w:w w:val="99"/>
              </w:rPr>
              <w:t>Rent the Runway, Inc.</w:t>
            </w:r>
          </w:p>
        </w:tc>
      </w:tr>
      <w:tr>
        <w:trPr>
          <w:trHeight w:val="203"/>
        </w:trPr>
        <w:tc>
          <w:tcPr>
            <w:tcW w:w="2800" w:type="dxa"/>
            <w:vAlign w:val="bottom"/>
          </w:tcPr>
          <w:p>
            <w:pPr>
              <w:jc w:val="center"/>
              <w:ind w:right="410"/>
              <w:spacing w:after="0" w:line="202" w:lineRule="exact"/>
              <w:rPr>
                <w:sz w:val="20"/>
                <w:szCs w:val="20"/>
                <w:color w:val="auto"/>
              </w:rPr>
            </w:pPr>
            <w:r>
              <w:rPr>
                <w:rFonts w:ascii="Arial" w:cs="Arial" w:eastAsia="Arial" w:hAnsi="Arial"/>
                <w:sz w:val="18"/>
                <w:szCs w:val="18"/>
                <w:b w:val="1"/>
                <w:bCs w:val="1"/>
                <w:color w:val="auto"/>
                <w:w w:val="99"/>
              </w:rPr>
              <w:t>450 Lexington Avenue</w:t>
            </w:r>
          </w:p>
        </w:tc>
        <w:tc>
          <w:tcPr>
            <w:tcW w:w="5160" w:type="dxa"/>
            <w:vAlign w:val="bottom"/>
          </w:tcPr>
          <w:p>
            <w:pPr>
              <w:jc w:val="center"/>
              <w:ind w:left="2850"/>
              <w:spacing w:after="0" w:line="202" w:lineRule="exact"/>
              <w:rPr>
                <w:sz w:val="20"/>
                <w:szCs w:val="20"/>
                <w:color w:val="auto"/>
              </w:rPr>
            </w:pPr>
            <w:r>
              <w:rPr>
                <w:rFonts w:ascii="Arial" w:cs="Arial" w:eastAsia="Arial" w:hAnsi="Arial"/>
                <w:sz w:val="18"/>
                <w:szCs w:val="18"/>
                <w:b w:val="1"/>
                <w:bCs w:val="1"/>
                <w:color w:val="auto"/>
                <w:w w:val="99"/>
              </w:rPr>
              <w:t>10 Jay Street</w:t>
            </w:r>
          </w:p>
        </w:tc>
      </w:tr>
      <w:tr>
        <w:trPr>
          <w:trHeight w:val="203"/>
        </w:trPr>
        <w:tc>
          <w:tcPr>
            <w:tcW w:w="2800" w:type="dxa"/>
            <w:vAlign w:val="bottom"/>
          </w:tcPr>
          <w:p>
            <w:pPr>
              <w:jc w:val="center"/>
              <w:ind w:right="410"/>
              <w:spacing w:after="0" w:line="202" w:lineRule="exact"/>
              <w:rPr>
                <w:sz w:val="20"/>
                <w:szCs w:val="20"/>
                <w:color w:val="auto"/>
              </w:rPr>
            </w:pPr>
            <w:r>
              <w:rPr>
                <w:rFonts w:ascii="Arial" w:cs="Arial" w:eastAsia="Arial" w:hAnsi="Arial"/>
                <w:sz w:val="18"/>
                <w:szCs w:val="18"/>
                <w:b w:val="1"/>
                <w:bCs w:val="1"/>
                <w:color w:val="auto"/>
                <w:w w:val="98"/>
              </w:rPr>
              <w:t>New York, New York 10017</w:t>
            </w:r>
          </w:p>
        </w:tc>
        <w:tc>
          <w:tcPr>
            <w:tcW w:w="5160" w:type="dxa"/>
            <w:vAlign w:val="bottom"/>
          </w:tcPr>
          <w:p>
            <w:pPr>
              <w:jc w:val="center"/>
              <w:ind w:left="2850"/>
              <w:spacing w:after="0" w:line="202" w:lineRule="exact"/>
              <w:rPr>
                <w:sz w:val="20"/>
                <w:szCs w:val="20"/>
                <w:color w:val="auto"/>
              </w:rPr>
            </w:pPr>
            <w:r>
              <w:rPr>
                <w:rFonts w:ascii="Arial" w:cs="Arial" w:eastAsia="Arial" w:hAnsi="Arial"/>
                <w:sz w:val="18"/>
                <w:szCs w:val="18"/>
                <w:b w:val="1"/>
                <w:bCs w:val="1"/>
                <w:color w:val="auto"/>
                <w:w w:val="98"/>
              </w:rPr>
              <w:t>Brooklyn, New York 11201</w:t>
            </w:r>
          </w:p>
        </w:tc>
      </w:tr>
      <w:tr>
        <w:trPr>
          <w:trHeight w:val="247"/>
        </w:trPr>
        <w:tc>
          <w:tcPr>
            <w:tcW w:w="2800" w:type="dxa"/>
            <w:vAlign w:val="bottom"/>
          </w:tcPr>
          <w:p>
            <w:pPr>
              <w:jc w:val="center"/>
              <w:ind w:right="410"/>
              <w:spacing w:after="0"/>
              <w:rPr>
                <w:sz w:val="20"/>
                <w:szCs w:val="20"/>
                <w:color w:val="auto"/>
              </w:rPr>
            </w:pPr>
            <w:r>
              <w:rPr>
                <w:rFonts w:ascii="Arial" w:cs="Arial" w:eastAsia="Arial" w:hAnsi="Arial"/>
                <w:sz w:val="18"/>
                <w:szCs w:val="18"/>
                <w:b w:val="1"/>
                <w:bCs w:val="1"/>
                <w:color w:val="auto"/>
                <w:w w:val="99"/>
              </w:rPr>
              <w:t>(212) 450-4000</w:t>
            </w:r>
          </w:p>
        </w:tc>
        <w:tc>
          <w:tcPr>
            <w:tcW w:w="516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(212) 524-6860</w:t>
            </w:r>
          </w:p>
        </w:tc>
      </w:tr>
    </w:tbl>
    <w:p>
      <w:pPr>
        <w:sectPr>
          <w:pgSz w:w="11900" w:h="16838" w:orient="portrait"/>
          <w:cols w:equalWidth="0" w:num="1">
            <w:col w:w="10120"/>
          </w:cols>
          <w:pgMar w:left="1440" w:top="458" w:right="339" w:bottom="1440" w:gutter="0" w:footer="0" w:header="0"/>
          <w:type w:val="continuous"/>
        </w:sectPr>
      </w:pPr>
    </w:p>
    <w:bookmarkStart w:id="1" w:name="page2"/>
    <w:bookmarkEnd w:id="1"/>
    <w:p>
      <w:pPr>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403" w:right="359" w:bottom="1440" w:gutter="0" w:footer="0" w:header="0"/>
        </w:sectPr>
      </w:pPr>
    </w:p>
    <w:p>
      <w:pPr>
        <w:spacing w:after="0" w:line="210" w:lineRule="exact"/>
        <w:rPr>
          <w:sz w:val="20"/>
          <w:szCs w:val="20"/>
          <w:color w:val="auto"/>
        </w:rPr>
      </w:pPr>
    </w:p>
    <w:p>
      <w:pPr>
        <w:ind w:left="2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0"/>
          <w:szCs w:val="20"/>
          <w:color w:val="auto"/>
        </w:rPr>
      </w:pPr>
    </w:p>
    <w:p>
      <w:pPr>
        <w:sectPr>
          <w:pgSz w:w="11900" w:h="16838" w:orient="portrait"/>
          <w:cols w:equalWidth="0" w:num="2">
            <w:col w:w="4120" w:space="720"/>
            <w:col w:w="6380"/>
          </w:cols>
          <w:pgMar w:left="320" w:top="1403" w:right="359" w:bottom="1440" w:gutter="0" w:footer="0" w:header="0"/>
          <w:type w:val="continuous"/>
        </w:sect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6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120" w:space="720"/>
            <w:col w:w="6380"/>
          </w:cols>
          <w:pgMar w:left="320" w:top="1403" w:right="359" w:bottom="1440" w:gutter="0" w:footer="0" w:header="0"/>
          <w:type w:val="continuous"/>
        </w:sectPr>
      </w:pPr>
    </w:p>
    <w:p>
      <w:pPr>
        <w:spacing w:after="0" w:line="152" w:lineRule="exact"/>
        <w:rPr>
          <w:sz w:val="20"/>
          <w:szCs w:val="20"/>
          <w:color w:val="auto"/>
        </w:rPr>
      </w:pPr>
    </w:p>
    <w:p>
      <w:pPr>
        <w:ind w:right="18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ectPr>
          <w:pgSz w:w="11900" w:h="16838" w:orient="portrait"/>
          <w:cols w:equalWidth="0" w:num="1">
            <w:col w:w="11220"/>
          </w:cols>
          <w:pgMar w:left="320" w:top="1403" w:right="35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Pursuant to General Instruction E of Form S-8, this Registration Statement on Form S-8 is being filed for the purpose of registering an additional 6,130,499 shares of the Registrant’s Class A common stock that may become issuable pursuant to the Rent the Runway, Inc. Second Amended and Restated 2021 Incentive Award Plan (“2021 Plan”) and for which a Registration Statement of the Registrant on Form S-8 relating to the same employee benefit plan is effective. In accordance with the instructional note to Part I of Form S-8 as promulgated by the Commission, the information specified by Part I of the Form S-8 has been omitted from this Registration Statement.</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INCORPORATION BY REFERENCE OF CONTENTS OF REGISTRATION STATEMENT ON FORM S-8</w:t>
      </w:r>
    </w:p>
    <w:p>
      <w:pPr>
        <w:spacing w:after="0" w:line="225" w:lineRule="exact"/>
        <w:rPr>
          <w:sz w:val="20"/>
          <w:szCs w:val="20"/>
          <w:color w:val="auto"/>
        </w:rPr>
      </w:pPr>
    </w:p>
    <w:p>
      <w:pPr>
        <w:ind w:right="14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The contents of the Registration Statement on Form S-8 (File Nos. </w:t>
      </w:r>
      <w:hyperlink r:id="rId8">
        <w:r>
          <w:rPr>
            <w:rFonts w:ascii="Arial" w:cs="Arial" w:eastAsia="Arial" w:hAnsi="Arial"/>
            <w:sz w:val="18"/>
            <w:szCs w:val="18"/>
            <w:u w:val="single" w:color="auto"/>
            <w:color w:val="0000FF"/>
          </w:rPr>
          <w:t>333-260564</w:t>
        </w:r>
      </w:hyperlink>
      <w:r>
        <w:rPr>
          <w:rFonts w:ascii="Arial" w:cs="Arial" w:eastAsia="Arial" w:hAnsi="Arial"/>
          <w:sz w:val="18"/>
          <w:szCs w:val="18"/>
          <w:color w:val="auto"/>
        </w:rPr>
        <w:t xml:space="preserve">, </w:t>
      </w:r>
      <w:hyperlink r:id="rId9">
        <w:r>
          <w:rPr>
            <w:rFonts w:ascii="Arial" w:cs="Arial" w:eastAsia="Arial" w:hAnsi="Arial"/>
            <w:sz w:val="18"/>
            <w:szCs w:val="18"/>
            <w:u w:val="single" w:color="auto"/>
            <w:color w:val="0000FF"/>
          </w:rPr>
          <w:t>333-264295</w:t>
        </w:r>
      </w:hyperlink>
      <w:r>
        <w:rPr>
          <w:rFonts w:ascii="Arial" w:cs="Arial" w:eastAsia="Arial" w:hAnsi="Arial"/>
          <w:sz w:val="18"/>
          <w:szCs w:val="18"/>
          <w:color w:val="auto"/>
        </w:rPr>
        <w:t xml:space="preserve">, </w:t>
      </w:r>
      <w:hyperlink r:id="rId10">
        <w:r>
          <w:rPr>
            <w:rFonts w:ascii="Arial" w:cs="Arial" w:eastAsia="Arial" w:hAnsi="Arial"/>
            <w:sz w:val="18"/>
            <w:szCs w:val="18"/>
            <w:u w:val="single" w:color="auto"/>
            <w:color w:val="0000FF"/>
          </w:rPr>
          <w:t>333-271241</w:t>
        </w:r>
      </w:hyperlink>
      <w:r>
        <w:rPr>
          <w:rFonts w:ascii="Arial" w:cs="Arial" w:eastAsia="Arial" w:hAnsi="Arial"/>
          <w:sz w:val="18"/>
          <w:szCs w:val="18"/>
          <w:color w:val="auto"/>
        </w:rPr>
        <w:t xml:space="preserve">, </w:t>
      </w:r>
      <w:hyperlink r:id="rId11">
        <w:r>
          <w:rPr>
            <w:rFonts w:ascii="Arial" w:cs="Arial" w:eastAsia="Arial" w:hAnsi="Arial"/>
            <w:sz w:val="18"/>
            <w:szCs w:val="18"/>
            <w:u w:val="single" w:color="auto"/>
            <w:color w:val="0000FF"/>
          </w:rPr>
          <w:t>333-278623</w:t>
        </w:r>
      </w:hyperlink>
      <w:r>
        <w:rPr>
          <w:rFonts w:ascii="Arial" w:cs="Arial" w:eastAsia="Arial" w:hAnsi="Arial"/>
          <w:sz w:val="18"/>
          <w:szCs w:val="18"/>
          <w:color w:val="auto"/>
        </w:rPr>
        <w:t xml:space="preserve">, and </w:t>
      </w:r>
      <w:hyperlink r:id="rId12">
        <w:r>
          <w:rPr>
            <w:rFonts w:ascii="Arial" w:cs="Arial" w:eastAsia="Arial" w:hAnsi="Arial"/>
            <w:sz w:val="18"/>
            <w:szCs w:val="18"/>
            <w:u w:val="single" w:color="auto"/>
            <w:color w:val="0000FF"/>
          </w:rPr>
          <w:t>333-286549</w:t>
        </w:r>
      </w:hyperlink>
      <w:r>
        <w:rPr>
          <w:rFonts w:ascii="Arial" w:cs="Arial" w:eastAsia="Arial" w:hAnsi="Arial"/>
          <w:sz w:val="18"/>
          <w:szCs w:val="18"/>
          <w:color w:val="auto"/>
        </w:rPr>
        <w:t>), filed with the Securities and Exchange Commission, relating to the 2021 Plan, are incorporated herein by reference.</w:t>
      </w:r>
    </w:p>
    <w:p>
      <w:pPr>
        <w:sectPr>
          <w:pgSz w:w="11900" w:h="16838" w:orient="portrait"/>
          <w:cols w:equalWidth="0" w:num="1">
            <w:col w:w="11140"/>
          </w:cols>
          <w:pgMar w:left="320" w:top="917" w:right="439" w:bottom="1440" w:gutter="0" w:footer="0" w:header="0"/>
        </w:sectPr>
      </w:pPr>
    </w:p>
    <w:p>
      <w:pPr>
        <w:ind w:left="240"/>
        <w:spacing w:after="0"/>
        <w:rPr>
          <w:sz w:val="20"/>
          <w:szCs w:val="20"/>
          <w:color w:val="auto"/>
        </w:rPr>
      </w:pPr>
      <w:r>
        <w:rPr>
          <w:rFonts w:ascii="Arial" w:cs="Arial" w:eastAsia="Arial" w:hAnsi="Arial"/>
          <w:sz w:val="18"/>
          <w:szCs w:val="18"/>
          <w:b w:val="1"/>
          <w:bCs w:val="1"/>
          <w:color w:val="auto"/>
        </w:rPr>
        <w:t>Exhibit</w:t>
      </w: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76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28"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4.1</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4.2</w:t>
      </w:r>
    </w:p>
    <w:p>
      <w:pPr>
        <w:spacing w:after="0" w:line="252"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4.3</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5.1*</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23.1*</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23.2*</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24.1*</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99.1*</w:t>
      </w:r>
    </w:p>
    <w:p>
      <w:pPr>
        <w:spacing w:after="0" w:line="32"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107.1*</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169"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 w:lineRule="exact"/>
        <w:rPr>
          <w:rFonts w:ascii="Arial" w:cs="Arial" w:eastAsia="Arial" w:hAnsi="Arial"/>
          <w:sz w:val="18"/>
          <w:szCs w:val="18"/>
          <w:color w:val="auto"/>
        </w:rPr>
      </w:pPr>
    </w:p>
    <w:p>
      <w:pPr>
        <w:ind w:right="180"/>
        <w:spacing w:after="0" w:line="263" w:lineRule="auto"/>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Amended and Restated Certificate of Incorporation of the Registrant, dated October 29, 2021 (incorporated by reference to</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Exhibit 3.1 to the Registrant’s Current Report on Form 8-K (File No. 001-40958) filed on October 29, 2021)</w:t>
        </w:r>
      </w:hyperlink>
    </w:p>
    <w:p>
      <w:pPr>
        <w:spacing w:after="0" w:line="2" w:lineRule="exact"/>
        <w:rPr>
          <w:sz w:val="20"/>
          <w:szCs w:val="20"/>
          <w:color w:val="auto"/>
        </w:rPr>
      </w:pPr>
    </w:p>
    <w:p>
      <w:pPr>
        <w:ind w:right="20"/>
        <w:spacing w:after="0" w:line="253" w:lineRule="auto"/>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Certificate of Amendment to the Amended and Restated Certificate of Incorporation of the Registrant, dated April 2, 2024</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(incorporated by reference to Exhibit 3.1 to the Registrant’s Current Report on Form 8-K (File No. 001-40958) filed on April 2,</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2024)</w:t>
        </w:r>
      </w:hyperlink>
    </w:p>
    <w:p>
      <w:pPr>
        <w:spacing w:after="0" w:line="7" w:lineRule="exact"/>
        <w:rPr>
          <w:rFonts w:ascii="Arial" w:cs="Arial" w:eastAsia="Arial" w:hAnsi="Arial"/>
          <w:sz w:val="18"/>
          <w:szCs w:val="18"/>
          <w:u w:val="single" w:color="auto"/>
          <w:color w:val="0000FF"/>
        </w:rPr>
      </w:pPr>
    </w:p>
    <w:p>
      <w:pPr>
        <w:ind w:right="340"/>
        <w:spacing w:after="0" w:line="266" w:lineRule="auto"/>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Amended and Restated Bylaws of the Registrant, dated October 29, 2021 (incorporated by reference to Exhibit 3.2 to the</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Registrant’s Current Report on Form 8-K (File No. 001-40958) filed on October 29, 2021)</w:t>
        </w:r>
      </w:hyperlink>
    </w:p>
    <w:p>
      <w:pPr>
        <w:spacing w:after="0"/>
        <w:rPr>
          <w:sz w:val="20"/>
          <w:szCs w:val="20"/>
          <w:color w:val="auto"/>
        </w:rPr>
      </w:pPr>
      <w:r>
        <w:rPr>
          <w:rFonts w:ascii="Arial" w:cs="Arial" w:eastAsia="Arial" w:hAnsi="Arial"/>
          <w:sz w:val="18"/>
          <w:szCs w:val="18"/>
          <w:u w:val="single" w:color="auto"/>
          <w:color w:val="0000FF"/>
        </w:rPr>
        <w:t>Opinion of Davis Polk &amp; Wardwell LLP</w:t>
      </w:r>
    </w:p>
    <w:p>
      <w:pPr>
        <w:spacing w:after="0" w:line="50" w:lineRule="exact"/>
        <w:rPr>
          <w:sz w:val="20"/>
          <w:szCs w:val="20"/>
          <w:color w:val="auto"/>
        </w:rPr>
      </w:pPr>
    </w:p>
    <w:p>
      <w:pPr>
        <w:ind w:right="2760"/>
        <w:spacing w:after="0" w:line="297" w:lineRule="auto"/>
        <w:rPr>
          <w:sz w:val="20"/>
          <w:szCs w:val="20"/>
          <w:color w:val="auto"/>
        </w:rPr>
      </w:pPr>
      <w:r>
        <w:rPr>
          <w:rFonts w:ascii="Arial" w:cs="Arial" w:eastAsia="Arial" w:hAnsi="Arial"/>
          <w:sz w:val="18"/>
          <w:szCs w:val="18"/>
          <w:u w:val="single" w:color="auto"/>
          <w:color w:val="0000FF"/>
        </w:rPr>
        <w:t>Consent of PricewaterhouseCoopers LLP, Independent Registered Public Accounting Firm Consent of Davis Polk &amp; Wardwell LLP (included in Exhibit 5.1) Power of Attorney (included on signature page)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Second Amended and Restated 2021 Incentive Award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Filing Fee Table</w:t>
      </w:r>
    </w:p>
    <w:p>
      <w:pPr>
        <w:spacing w:after="0" w:line="209" w:lineRule="exact"/>
        <w:rPr>
          <w:sz w:val="20"/>
          <w:szCs w:val="20"/>
          <w:color w:val="auto"/>
        </w:rPr>
      </w:pPr>
    </w:p>
    <w:p>
      <w:pPr>
        <w:sectPr>
          <w:pgSz w:w="11900" w:h="16838" w:orient="portrait"/>
          <w:cols w:equalWidth="0" w:num="2">
            <w:col w:w="880" w:space="300"/>
            <w:col w:w="9960"/>
          </w:cols>
          <w:pgMar w:left="320" w:top="91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ectPr>
          <w:pgSz w:w="11900" w:h="16838" w:orient="portrait"/>
          <w:cols w:equalWidth="0" w:num="1">
            <w:col w:w="11140"/>
          </w:cols>
          <w:pgMar w:left="320" w:top="917" w:right="439"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October 29, 2025.</w:t>
      </w:r>
    </w:p>
    <w:p>
      <w:pPr>
        <w:spacing w:after="0" w:line="25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RENT THE RUNWAY, INC.</w:t>
      </w:r>
    </w:p>
    <w:p>
      <w:pPr>
        <w:spacing w:after="0" w:line="266" w:lineRule="exact"/>
        <w:rPr>
          <w:sz w:val="20"/>
          <w:szCs w:val="20"/>
          <w:color w:val="auto"/>
        </w:rPr>
      </w:pPr>
    </w:p>
    <w:p>
      <w:pPr>
        <w:ind w:left="20"/>
        <w:spacing w:after="0"/>
        <w:tabs>
          <w:tab w:leader="none" w:pos="5920" w:val="left"/>
          <w:tab w:leader="none" w:pos="6380" w:val="left"/>
        </w:tabs>
        <w:rPr>
          <w:sz w:val="20"/>
          <w:szCs w:val="20"/>
          <w:color w:val="auto"/>
        </w:rPr>
      </w:pPr>
      <w:r>
        <w:rPr>
          <w:rFonts w:ascii="Arial" w:cs="Arial" w:eastAsia="Arial" w:hAnsi="Arial"/>
          <w:sz w:val="18"/>
          <w:szCs w:val="18"/>
          <w:color w:val="auto"/>
        </w:rPr>
        <w:t>Date: October 29,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34925</wp:posOffset>
            </wp:positionV>
            <wp:extent cx="3086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4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Jennifer Y. Hyman</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00"/>
          </w:cols>
          <w:pgMar w:left="320" w:top="917" w:right="37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39"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Each person whose signature appears below hereby constitutes and appoints Jennifer Y. Hyman and Siddharth Thacker, or each of them singly, with full power to act without the other, such person’s true and lawful attorneys-in-fact and agents, with full power of substitution and re-substitution, for him or her and in his or her name, place and stead, in any and all capacities, to sign this registration statement and any and all amendments, including post-effective amendments to this registration statement, and to file the same, with exhibits and schedules thereto, and other documents in connection therewith, with the Securities and Exchange Commission, granting unto said attorneys-in-fact</w:t>
      </w:r>
    </w:p>
    <w:p>
      <w:pPr>
        <w:spacing w:after="0" w:line="226" w:lineRule="auto"/>
        <w:rPr>
          <w:sz w:val="20"/>
          <w:szCs w:val="20"/>
          <w:color w:val="auto"/>
        </w:rPr>
      </w:pPr>
      <w:r>
        <w:rPr>
          <w:rFonts w:ascii="Arial" w:cs="Arial" w:eastAsia="Arial" w:hAnsi="Arial"/>
          <w:sz w:val="18"/>
          <w:szCs w:val="18"/>
          <w:color w:val="auto"/>
        </w:rPr>
        <w:t>and agents, and each of them, full power and authority to do and perform each and every act and thing requisite and necessary or desirable to be done in connection therewith as fully to all intents and purposes as he might or could do in person, hereby ratifying and confirming all</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that said attorneys-in-fact and agents, or any of them, or their or his or her substitute or substitutes may lawfully do or cause to be done by virtue hereof.</w:t>
      </w:r>
    </w:p>
    <w:p>
      <w:pPr>
        <w:spacing w:after="0" w:line="199"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20"/>
          </w:cols>
          <w:pgMar w:left="320" w:top="1403" w:right="459" w:bottom="1440" w:gutter="0" w:footer="0" w:header="0"/>
        </w:sectPr>
      </w:pPr>
    </w:p>
    <w:p>
      <w:pPr>
        <w:spacing w:after="0" w:line="235"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Jennifer Y. Hyman</w:t>
      </w:r>
    </w:p>
    <w:p>
      <w:pPr>
        <w:spacing w:after="0" w:line="10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091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Siddharth Thacker</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 Dhiren Fonseca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Dhiren Fonseca</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Teri Bariquit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Teri Bariquit</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Peter Comisar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Peter Comisar</w:t>
      </w:r>
    </w:p>
    <w:p>
      <w:pPr>
        <w:spacing w:after="0" w:line="11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Damian Giangiacomo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091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Damian Giangiacomo</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 Daniel Rosensweig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Daniel Rosensweig</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17780</wp:posOffset>
            </wp:positionV>
            <wp:extent cx="3180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Chief Executive Officer and Director </w:t>
      </w:r>
      <w:r>
        <w:rPr>
          <w:rFonts w:ascii="Arial" w:cs="Arial" w:eastAsia="Arial" w:hAnsi="Arial"/>
          <w:sz w:val="17"/>
          <w:szCs w:val="17"/>
          <w:i w:val="1"/>
          <w:iCs w:val="1"/>
          <w:color w:val="auto"/>
        </w:rPr>
        <w:t>(Principal Executive</w:t>
      </w:r>
    </w:p>
    <w:p>
      <w:pPr>
        <w:ind w:left="1940"/>
        <w:spacing w:after="0"/>
        <w:rPr>
          <w:sz w:val="20"/>
          <w:szCs w:val="20"/>
          <w:color w:val="auto"/>
        </w:rPr>
      </w:pPr>
      <w:r>
        <w:rPr>
          <w:rFonts w:ascii="Arial" w:cs="Arial" w:eastAsia="Arial" w:hAnsi="Arial"/>
          <w:sz w:val="18"/>
          <w:szCs w:val="18"/>
          <w:i w:val="1"/>
          <w:iCs w:val="1"/>
          <w:color w:val="auto"/>
        </w:rPr>
        <w:t>Officer)</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 and</w:t>
      </w:r>
    </w:p>
    <w:p>
      <w:pPr>
        <w:ind w:left="1100"/>
        <w:spacing w:after="0"/>
        <w:rPr>
          <w:sz w:val="20"/>
          <w:szCs w:val="20"/>
          <w:color w:val="auto"/>
        </w:rPr>
      </w:pPr>
      <w:r>
        <w:rPr>
          <w:rFonts w:ascii="Arial" w:cs="Arial" w:eastAsia="Arial" w:hAnsi="Arial"/>
          <w:sz w:val="18"/>
          <w:szCs w:val="18"/>
          <w:i w:val="1"/>
          <w:iCs w:val="1"/>
          <w:color w:val="auto"/>
        </w:rPr>
        <w:t>Principal Accounting Officer)</w:t>
      </w:r>
    </w:p>
    <w:p>
      <w:pPr>
        <w:spacing w:after="0" w:line="28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Executive Chair and Director</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17780</wp:posOffset>
            </wp:positionV>
            <wp:extent cx="14141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5" w:lineRule="exact"/>
        <w:rPr>
          <w:sz w:val="20"/>
          <w:szCs w:val="20"/>
          <w:color w:val="auto"/>
        </w:rPr>
      </w:pPr>
    </w:p>
    <w:p>
      <w:pPr>
        <w:jc w:val="center"/>
        <w:ind w:right="820"/>
        <w:spacing w:after="0"/>
        <w:rPr>
          <w:sz w:val="20"/>
          <w:szCs w:val="20"/>
          <w:color w:val="auto"/>
        </w:rPr>
      </w:pPr>
      <w:r>
        <w:rPr>
          <w:rFonts w:ascii="Arial" w:cs="Arial" w:eastAsia="Arial" w:hAnsi="Arial"/>
          <w:sz w:val="17"/>
          <w:szCs w:val="17"/>
          <w:color w:val="auto"/>
        </w:rPr>
        <w:t>October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153670</wp:posOffset>
            </wp:positionV>
            <wp:extent cx="141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79" w:lineRule="exact"/>
        <w:rPr>
          <w:sz w:val="20"/>
          <w:szCs w:val="20"/>
          <w:color w:val="auto"/>
        </w:rPr>
      </w:pPr>
    </w:p>
    <w:p>
      <w:pPr>
        <w:jc w:val="center"/>
        <w:ind w:right="820"/>
        <w:spacing w:after="0"/>
        <w:rPr>
          <w:sz w:val="20"/>
          <w:szCs w:val="20"/>
          <w:color w:val="auto"/>
        </w:rPr>
      </w:pPr>
      <w:r>
        <w:rPr>
          <w:rFonts w:ascii="Arial" w:cs="Arial" w:eastAsia="Arial" w:hAnsi="Arial"/>
          <w:sz w:val="17"/>
          <w:szCs w:val="17"/>
          <w:color w:val="auto"/>
        </w:rPr>
        <w:t>October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153670</wp:posOffset>
            </wp:positionV>
            <wp:extent cx="14141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79" w:lineRule="exact"/>
        <w:rPr>
          <w:sz w:val="20"/>
          <w:szCs w:val="20"/>
          <w:color w:val="auto"/>
        </w:rPr>
      </w:pPr>
    </w:p>
    <w:p>
      <w:pPr>
        <w:jc w:val="center"/>
        <w:ind w:right="820"/>
        <w:spacing w:after="0"/>
        <w:rPr>
          <w:sz w:val="20"/>
          <w:szCs w:val="20"/>
          <w:color w:val="auto"/>
        </w:rPr>
      </w:pPr>
      <w:r>
        <w:rPr>
          <w:rFonts w:ascii="Arial" w:cs="Arial" w:eastAsia="Arial" w:hAnsi="Arial"/>
          <w:sz w:val="17"/>
          <w:szCs w:val="17"/>
          <w:color w:val="auto"/>
        </w:rPr>
        <w:t>October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153670</wp:posOffset>
            </wp:positionV>
            <wp:extent cx="14141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79" w:lineRule="exact"/>
        <w:rPr>
          <w:sz w:val="20"/>
          <w:szCs w:val="20"/>
          <w:color w:val="auto"/>
        </w:rPr>
      </w:pPr>
    </w:p>
    <w:p>
      <w:pPr>
        <w:jc w:val="center"/>
        <w:ind w:right="820"/>
        <w:spacing w:after="0"/>
        <w:rPr>
          <w:sz w:val="20"/>
          <w:szCs w:val="20"/>
          <w:color w:val="auto"/>
        </w:rPr>
      </w:pPr>
      <w:r>
        <w:rPr>
          <w:rFonts w:ascii="Arial" w:cs="Arial" w:eastAsia="Arial" w:hAnsi="Arial"/>
          <w:sz w:val="17"/>
          <w:szCs w:val="17"/>
          <w:color w:val="auto"/>
        </w:rPr>
        <w:t>October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153670</wp:posOffset>
            </wp:positionV>
            <wp:extent cx="1414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79" w:lineRule="exact"/>
        <w:rPr>
          <w:sz w:val="20"/>
          <w:szCs w:val="20"/>
          <w:color w:val="auto"/>
        </w:rPr>
      </w:pPr>
    </w:p>
    <w:p>
      <w:pPr>
        <w:jc w:val="center"/>
        <w:ind w:right="820"/>
        <w:spacing w:after="0"/>
        <w:rPr>
          <w:sz w:val="20"/>
          <w:szCs w:val="20"/>
          <w:color w:val="auto"/>
        </w:rPr>
      </w:pPr>
      <w:r>
        <w:rPr>
          <w:rFonts w:ascii="Arial" w:cs="Arial" w:eastAsia="Arial" w:hAnsi="Arial"/>
          <w:sz w:val="17"/>
          <w:szCs w:val="17"/>
          <w:color w:val="auto"/>
        </w:rPr>
        <w:t>October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153670</wp:posOffset>
            </wp:positionV>
            <wp:extent cx="14141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79" w:lineRule="exact"/>
        <w:rPr>
          <w:sz w:val="20"/>
          <w:szCs w:val="20"/>
          <w:color w:val="auto"/>
        </w:rPr>
      </w:pPr>
    </w:p>
    <w:p>
      <w:pPr>
        <w:jc w:val="center"/>
        <w:ind w:right="820"/>
        <w:spacing w:after="0"/>
        <w:rPr>
          <w:sz w:val="20"/>
          <w:szCs w:val="20"/>
          <w:color w:val="auto"/>
        </w:rPr>
      </w:pPr>
      <w:r>
        <w:rPr>
          <w:rFonts w:ascii="Arial" w:cs="Arial" w:eastAsia="Arial" w:hAnsi="Arial"/>
          <w:sz w:val="17"/>
          <w:szCs w:val="17"/>
          <w:color w:val="auto"/>
        </w:rPr>
        <w:t>October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153670</wp:posOffset>
            </wp:positionV>
            <wp:extent cx="141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79" w:lineRule="exact"/>
        <w:rPr>
          <w:sz w:val="20"/>
          <w:szCs w:val="20"/>
          <w:color w:val="auto"/>
        </w:rPr>
      </w:pPr>
    </w:p>
    <w:p>
      <w:pPr>
        <w:jc w:val="center"/>
        <w:ind w:right="820"/>
        <w:spacing w:after="0"/>
        <w:rPr>
          <w:sz w:val="20"/>
          <w:szCs w:val="20"/>
          <w:color w:val="auto"/>
        </w:rPr>
      </w:pPr>
      <w:r>
        <w:rPr>
          <w:rFonts w:ascii="Arial" w:cs="Arial" w:eastAsia="Arial" w:hAnsi="Arial"/>
          <w:sz w:val="17"/>
          <w:szCs w:val="17"/>
          <w:color w:val="auto"/>
        </w:rPr>
        <w:t>October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153670</wp:posOffset>
            </wp:positionV>
            <wp:extent cx="14141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3">
            <w:col w:w="2940" w:space="720"/>
            <w:col w:w="4540" w:space="720"/>
            <w:col w:w="2200"/>
          </w:cols>
          <w:pgMar w:left="320" w:top="1403" w:right="45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107.1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 the Runway,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Newly Registered Securities</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Security</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Security Class</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Fee</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Proposed</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Maximum</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Fee Rate</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 of</w:t>
            </w:r>
          </w:p>
        </w:tc>
      </w:tr>
      <w:tr>
        <w:trPr>
          <w:trHeight w:val="208"/>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Type</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Calculation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to be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Maximum</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Aggregate</w:t>
            </w:r>
          </w:p>
        </w:tc>
        <w:tc>
          <w:tcPr>
            <w:tcW w:w="14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Registration Fee</w:t>
            </w:r>
          </w:p>
        </w:tc>
      </w:tr>
      <w:tr>
        <w:trPr>
          <w:trHeight w:val="215"/>
        </w:trPr>
        <w:tc>
          <w:tcPr>
            <w:tcW w:w="11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Rule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Registered (1)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Offering Price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Offering Price</w:t>
            </w:r>
          </w:p>
        </w:tc>
        <w:tc>
          <w:tcPr>
            <w:tcW w:w="14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44"/>
        </w:trPr>
        <w:tc>
          <w:tcPr>
            <w:tcW w:w="1140" w:type="dxa"/>
            <w:vAlign w:val="bottom"/>
            <w:tcBorders>
              <w:left w:val="single" w:sz="8" w:color="auto"/>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Per Unit</w:t>
            </w:r>
          </w:p>
        </w:tc>
        <w:tc>
          <w:tcPr>
            <w:tcW w:w="16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214"/>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Equity</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Class A</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Rule 457(c) and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6,130,499 (2)</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$4.68 (3)</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$28,660,082.83</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$138.10 per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$3,957.96</w:t>
            </w:r>
          </w:p>
        </w:tc>
      </w:tr>
      <w:tr>
        <w:trPr>
          <w:trHeight w:val="203"/>
        </w:trPr>
        <w:tc>
          <w:tcPr>
            <w:tcW w:w="114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common stock,</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Rule 457(h)</w:t>
            </w:r>
          </w:p>
        </w:tc>
        <w:tc>
          <w:tcPr>
            <w:tcW w:w="13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$1,000,000</w:t>
            </w:r>
          </w:p>
        </w:tc>
        <w:tc>
          <w:tcPr>
            <w:tcW w:w="1660" w:type="dxa"/>
            <w:vAlign w:val="bottom"/>
            <w:tcBorders>
              <w:right w:val="single" w:sz="8" w:color="auto"/>
            </w:tcBorders>
          </w:tcPr>
          <w:p>
            <w:pPr>
              <w:spacing w:after="0"/>
              <w:rPr>
                <w:sz w:val="17"/>
                <w:szCs w:val="17"/>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$0.001 par</w:t>
            </w:r>
          </w:p>
        </w:tc>
        <w:tc>
          <w:tcPr>
            <w:tcW w:w="13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25"/>
        </w:trPr>
        <w:tc>
          <w:tcPr>
            <w:tcW w:w="1140" w:type="dxa"/>
            <w:vAlign w:val="bottom"/>
            <w:tcBorders>
              <w:left w:val="single" w:sz="8" w:color="auto"/>
              <w:right w:val="single" w:sz="8" w:color="auto"/>
            </w:tcBorders>
          </w:tcPr>
          <w:p>
            <w:pPr>
              <w:spacing w:after="0"/>
              <w:rPr>
                <w:sz w:val="19"/>
                <w:szCs w:val="19"/>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value per share</w:t>
            </w:r>
          </w:p>
        </w:tc>
        <w:tc>
          <w:tcPr>
            <w:tcW w:w="13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r>
      <w:tr>
        <w:trPr>
          <w:trHeight w:val="40"/>
        </w:trPr>
        <w:tc>
          <w:tcPr>
            <w:tcW w:w="114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3"/>
        </w:trPr>
        <w:tc>
          <w:tcPr>
            <w:tcW w:w="1140" w:type="dxa"/>
            <w:vAlign w:val="bottom"/>
            <w:tcBorders>
              <w:left w:val="single" w:sz="8" w:color="auto"/>
            </w:tcBorders>
          </w:tcPr>
          <w:p>
            <w:pPr>
              <w:spacing w:after="0"/>
              <w:rPr>
                <w:sz w:val="20"/>
                <w:szCs w:val="20"/>
                <w:color w:val="auto"/>
              </w:rPr>
            </w:pPr>
          </w:p>
        </w:tc>
        <w:tc>
          <w:tcPr>
            <w:tcW w:w="2660" w:type="dxa"/>
            <w:vAlign w:val="bottom"/>
            <w:gridSpan w:val="2"/>
          </w:tcPr>
          <w:p>
            <w:pPr>
              <w:jc w:val="center"/>
              <w:ind w:left="194"/>
              <w:spacing w:after="0"/>
              <w:rPr>
                <w:sz w:val="20"/>
                <w:szCs w:val="20"/>
                <w:color w:val="auto"/>
              </w:rPr>
            </w:pPr>
            <w:r>
              <w:rPr>
                <w:rFonts w:ascii="Arial" w:cs="Arial" w:eastAsia="Arial" w:hAnsi="Arial"/>
                <w:sz w:val="17"/>
                <w:szCs w:val="17"/>
                <w:b w:val="1"/>
                <w:bCs w:val="1"/>
                <w:color w:val="auto"/>
              </w:rPr>
              <w:t>Total Offering Amounts</w:t>
            </w:r>
          </w:p>
        </w:tc>
        <w:tc>
          <w:tcPr>
            <w:tcW w:w="13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$28,660,082.83</w:t>
            </w:r>
          </w:p>
        </w:tc>
        <w:tc>
          <w:tcPr>
            <w:tcW w:w="14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$3,957.96</w:t>
            </w:r>
          </w:p>
        </w:tc>
      </w:tr>
      <w:tr>
        <w:trPr>
          <w:trHeight w:val="31"/>
        </w:trPr>
        <w:tc>
          <w:tcPr>
            <w:tcW w:w="114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3"/>
        </w:trPr>
        <w:tc>
          <w:tcPr>
            <w:tcW w:w="1140" w:type="dxa"/>
            <w:vAlign w:val="bottom"/>
            <w:tcBorders>
              <w:left w:val="single" w:sz="8" w:color="auto"/>
            </w:tcBorders>
          </w:tcPr>
          <w:p>
            <w:pPr>
              <w:spacing w:after="0"/>
              <w:rPr>
                <w:sz w:val="20"/>
                <w:szCs w:val="20"/>
                <w:color w:val="auto"/>
              </w:rPr>
            </w:pPr>
          </w:p>
        </w:tc>
        <w:tc>
          <w:tcPr>
            <w:tcW w:w="2660" w:type="dxa"/>
            <w:vAlign w:val="bottom"/>
            <w:gridSpan w:val="2"/>
          </w:tcPr>
          <w:p>
            <w:pPr>
              <w:jc w:val="center"/>
              <w:ind w:left="194"/>
              <w:spacing w:after="0"/>
              <w:rPr>
                <w:sz w:val="20"/>
                <w:szCs w:val="20"/>
                <w:color w:val="auto"/>
              </w:rPr>
            </w:pPr>
            <w:r>
              <w:rPr>
                <w:rFonts w:ascii="Arial" w:cs="Arial" w:eastAsia="Arial" w:hAnsi="Arial"/>
                <w:sz w:val="17"/>
                <w:szCs w:val="17"/>
                <w:b w:val="1"/>
                <w:bCs w:val="1"/>
                <w:color w:val="auto"/>
                <w:w w:val="99"/>
              </w:rPr>
              <w:t xml:space="preserve">Total Fee Offsets </w:t>
            </w:r>
            <w:r>
              <w:rPr>
                <w:rFonts w:ascii="Arial" w:cs="Arial" w:eastAsia="Arial" w:hAnsi="Arial"/>
                <w:sz w:val="17"/>
                <w:szCs w:val="17"/>
                <w:color w:val="auto"/>
                <w:w w:val="99"/>
              </w:rPr>
              <w:t>(4)</w:t>
            </w:r>
          </w:p>
        </w:tc>
        <w:tc>
          <w:tcPr>
            <w:tcW w:w="13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r>
      <w:tr>
        <w:trPr>
          <w:trHeight w:val="30"/>
        </w:trPr>
        <w:tc>
          <w:tcPr>
            <w:tcW w:w="114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3"/>
        </w:trPr>
        <w:tc>
          <w:tcPr>
            <w:tcW w:w="1140" w:type="dxa"/>
            <w:vAlign w:val="bottom"/>
            <w:tcBorders>
              <w:left w:val="single" w:sz="8" w:color="auto"/>
            </w:tcBorders>
          </w:tcPr>
          <w:p>
            <w:pPr>
              <w:spacing w:after="0"/>
              <w:rPr>
                <w:sz w:val="20"/>
                <w:szCs w:val="20"/>
                <w:color w:val="auto"/>
              </w:rPr>
            </w:pPr>
          </w:p>
        </w:tc>
        <w:tc>
          <w:tcPr>
            <w:tcW w:w="2660" w:type="dxa"/>
            <w:vAlign w:val="bottom"/>
            <w:gridSpan w:val="2"/>
          </w:tcPr>
          <w:p>
            <w:pPr>
              <w:jc w:val="center"/>
              <w:ind w:left="194"/>
              <w:spacing w:after="0"/>
              <w:rPr>
                <w:sz w:val="20"/>
                <w:szCs w:val="20"/>
                <w:color w:val="auto"/>
              </w:rPr>
            </w:pPr>
            <w:r>
              <w:rPr>
                <w:rFonts w:ascii="Arial" w:cs="Arial" w:eastAsia="Arial" w:hAnsi="Arial"/>
                <w:sz w:val="17"/>
                <w:szCs w:val="17"/>
                <w:b w:val="1"/>
                <w:bCs w:val="1"/>
                <w:color w:val="auto"/>
                <w:w w:val="99"/>
              </w:rPr>
              <w:t>Net Fee Due</w:t>
            </w:r>
          </w:p>
        </w:tc>
        <w:tc>
          <w:tcPr>
            <w:tcW w:w="13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$3,957.96</w:t>
            </w:r>
          </w:p>
        </w:tc>
      </w:tr>
      <w:tr>
        <w:trPr>
          <w:trHeight w:val="30"/>
        </w:trPr>
        <w:tc>
          <w:tcPr>
            <w:tcW w:w="114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89" w:lineRule="exact"/>
        <w:rPr>
          <w:sz w:val="20"/>
          <w:szCs w:val="20"/>
          <w:color w:val="auto"/>
        </w:rPr>
      </w:pPr>
    </w:p>
    <w:p>
      <w:pPr>
        <w:ind w:left="560" w:right="180" w:hanging="366"/>
        <w:spacing w:after="0" w:line="189" w:lineRule="auto"/>
        <w:tabs>
          <w:tab w:leader="none" w:pos="560" w:val="left"/>
        </w:tabs>
        <w:numPr>
          <w:ilvl w:val="0"/>
          <w:numId w:val="1"/>
        </w:numPr>
        <w:rPr>
          <w:rFonts w:ascii="Arial" w:cs="Arial" w:eastAsia="Arial" w:hAnsi="Arial"/>
          <w:sz w:val="37"/>
          <w:szCs w:val="37"/>
          <w:color w:val="auto"/>
          <w:vertAlign w:val="subscript"/>
        </w:rPr>
      </w:pPr>
      <w:r>
        <w:rPr>
          <w:rFonts w:ascii="Arial" w:cs="Arial" w:eastAsia="Arial" w:hAnsi="Arial"/>
          <w:sz w:val="17"/>
          <w:szCs w:val="17"/>
          <w:color w:val="auto"/>
        </w:rPr>
        <w:t>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w:t>
      </w:r>
    </w:p>
    <w:p>
      <w:pPr>
        <w:spacing w:after="0" w:line="86" w:lineRule="exact"/>
        <w:rPr>
          <w:rFonts w:ascii="Arial" w:cs="Arial" w:eastAsia="Arial" w:hAnsi="Arial"/>
          <w:sz w:val="37"/>
          <w:szCs w:val="37"/>
          <w:color w:val="auto"/>
          <w:vertAlign w:val="subscript"/>
        </w:rPr>
      </w:pPr>
    </w:p>
    <w:p>
      <w:pPr>
        <w:ind w:left="560" w:right="440" w:hanging="366"/>
        <w:spacing w:after="0" w:line="276" w:lineRule="auto"/>
        <w:tabs>
          <w:tab w:leader="none" w:pos="560" w:val="left"/>
        </w:tabs>
        <w:numPr>
          <w:ilvl w:val="0"/>
          <w:numId w:val="1"/>
        </w:numPr>
        <w:rPr>
          <w:rFonts w:ascii="Arial" w:cs="Arial" w:eastAsia="Arial" w:hAnsi="Arial"/>
          <w:sz w:val="20"/>
          <w:szCs w:val="20"/>
          <w:color w:val="auto"/>
        </w:rPr>
      </w:pPr>
      <w:r>
        <w:rPr>
          <w:rFonts w:ascii="Arial" w:cs="Arial" w:eastAsia="Arial" w:hAnsi="Arial"/>
          <w:sz w:val="18"/>
          <w:szCs w:val="18"/>
          <w:color w:val="auto"/>
        </w:rPr>
        <w:t>Consists of an additional 6,130,499 shares of Class A common stock that may become issuable under the Rent the Runway, Inc. Second Amended and Restated 2021 Incentive Award Plan (the “2021 Plan”) pursuant to the terms of the 2021 Plan.</w:t>
      </w:r>
    </w:p>
    <w:p>
      <w:pPr>
        <w:spacing w:after="0" w:line="50" w:lineRule="exact"/>
        <w:rPr>
          <w:rFonts w:ascii="Arial" w:cs="Arial" w:eastAsia="Arial" w:hAnsi="Arial"/>
          <w:sz w:val="20"/>
          <w:szCs w:val="20"/>
          <w:color w:val="auto"/>
        </w:rPr>
      </w:pPr>
    </w:p>
    <w:p>
      <w:pPr>
        <w:ind w:left="560" w:right="260" w:hanging="366"/>
        <w:spacing w:after="0" w:line="260" w:lineRule="auto"/>
        <w:tabs>
          <w:tab w:leader="none" w:pos="560" w:val="left"/>
        </w:tabs>
        <w:numPr>
          <w:ilvl w:val="0"/>
          <w:numId w:val="1"/>
        </w:numPr>
        <w:rPr>
          <w:rFonts w:ascii="Arial" w:cs="Arial" w:eastAsia="Arial" w:hAnsi="Arial"/>
          <w:sz w:val="20"/>
          <w:szCs w:val="20"/>
          <w:color w:val="auto"/>
        </w:rPr>
      </w:pPr>
      <w:r>
        <w:rPr>
          <w:rFonts w:ascii="Arial" w:cs="Arial" w:eastAsia="Arial" w:hAnsi="Arial"/>
          <w:sz w:val="18"/>
          <w:szCs w:val="18"/>
          <w:color w:val="auto"/>
        </w:rPr>
        <w:t>Estimated solely for the purpose of calculating the registration fee pursuant to Rules 457(c) and 457(h) of the Securities Act, and based upon the average of the high and low prices of Rent the Runway, Inc.’s (the “Registrant”) Class A common stock as reported on The Nasdaq Stock Market LLC on October 27, 2025.</w:t>
      </w:r>
    </w:p>
    <w:p>
      <w:pPr>
        <w:ind w:left="560" w:hanging="366"/>
        <w:spacing w:after="0" w:line="180" w:lineRule="auto"/>
        <w:tabs>
          <w:tab w:leader="none" w:pos="560" w:val="left"/>
        </w:tabs>
        <w:numPr>
          <w:ilvl w:val="0"/>
          <w:numId w:val="1"/>
        </w:numPr>
        <w:rPr>
          <w:rFonts w:ascii="Arial" w:cs="Arial" w:eastAsia="Arial" w:hAnsi="Arial"/>
          <w:sz w:val="36"/>
          <w:szCs w:val="36"/>
          <w:color w:val="auto"/>
          <w:vertAlign w:val="subscript"/>
        </w:rPr>
      </w:pPr>
      <w:r>
        <w:rPr>
          <w:rFonts w:ascii="Arial" w:cs="Arial" w:eastAsia="Arial" w:hAnsi="Arial"/>
          <w:sz w:val="17"/>
          <w:szCs w:val="17"/>
          <w:color w:val="auto"/>
        </w:rPr>
        <w:t>The Registrant does not have any fee offsets.</w:t>
      </w:r>
    </w:p>
    <w:p>
      <w:pPr>
        <w:sectPr>
          <w:pgSz w:w="11900" w:h="16838" w:orient="portrait"/>
          <w:cols w:equalWidth="0" w:num="1">
            <w:col w:w="11240"/>
          </w:cols>
          <w:pgMar w:left="320" w:top="917" w:right="339" w:bottom="1440" w:gutter="0" w:footer="0" w:header="0"/>
        </w:sectPr>
      </w:pPr>
    </w:p>
    <w:bookmarkStart w:id="6" w:name="page7"/>
    <w:bookmarkEnd w:id="6"/>
    <w:p>
      <w:pPr>
        <w:ind w:left="2360"/>
        <w:spacing w:after="0"/>
        <w:rPr>
          <w:sz w:val="20"/>
          <w:szCs w:val="20"/>
          <w:color w:val="auto"/>
        </w:rPr>
      </w:pPr>
      <w:r>
        <w:rPr>
          <w:rFonts w:ascii="Arial" w:cs="Arial" w:eastAsia="Arial" w:hAnsi="Arial"/>
          <w:sz w:val="13"/>
          <w:szCs w:val="13"/>
          <w:color w:val="140BE3"/>
        </w:rPr>
        <w:drawing>
          <wp:anchor simplePos="0" relativeHeight="251657728" behindDoc="1" locked="0" layoutInCell="0" allowOverlap="1">
            <wp:simplePos x="0" y="0"/>
            <wp:positionH relativeFrom="page">
              <wp:posOffset>216535</wp:posOffset>
            </wp:positionH>
            <wp:positionV relativeFrom="page">
              <wp:posOffset>405765</wp:posOffset>
            </wp:positionV>
            <wp:extent cx="89154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891540" cy="154305"/>
                    </a:xfrm>
                    <a:prstGeom prst="rect">
                      <a:avLst/>
                    </a:prstGeom>
                    <a:noFill/>
                  </pic:spPr>
                </pic:pic>
              </a:graphicData>
            </a:graphic>
          </wp:anchor>
        </w:drawing>
        <w:t>Davis Polk &amp; Wardwell llp</w:t>
      </w:r>
    </w:p>
    <w:p>
      <w:pPr>
        <w:spacing w:after="0" w:line="10" w:lineRule="exact"/>
        <w:rPr>
          <w:sz w:val="20"/>
          <w:szCs w:val="20"/>
          <w:color w:val="auto"/>
        </w:rPr>
      </w:pPr>
    </w:p>
    <w:p>
      <w:pPr>
        <w:ind w:left="2360"/>
        <w:spacing w:after="0"/>
        <w:rPr>
          <w:sz w:val="20"/>
          <w:szCs w:val="20"/>
          <w:color w:val="auto"/>
        </w:rPr>
      </w:pPr>
      <w:r>
        <w:rPr>
          <w:rFonts w:ascii="Arial" w:cs="Arial" w:eastAsia="Arial" w:hAnsi="Arial"/>
          <w:sz w:val="13"/>
          <w:szCs w:val="13"/>
          <w:color w:val="140BE3"/>
        </w:rPr>
        <w:t>450 Lexington Avenue</w:t>
      </w:r>
    </w:p>
    <w:p>
      <w:pPr>
        <w:ind w:left="2360"/>
        <w:spacing w:after="0"/>
        <w:rPr>
          <w:sz w:val="20"/>
          <w:szCs w:val="20"/>
          <w:color w:val="auto"/>
        </w:rPr>
      </w:pPr>
      <w:r>
        <w:rPr>
          <w:rFonts w:ascii="Arial" w:cs="Arial" w:eastAsia="Arial" w:hAnsi="Arial"/>
          <w:sz w:val="13"/>
          <w:szCs w:val="13"/>
          <w:color w:val="140BE3"/>
        </w:rPr>
        <w:t>New York, NY 10017</w:t>
      </w:r>
    </w:p>
    <w:p>
      <w:pPr>
        <w:ind w:left="2360"/>
        <w:spacing w:after="0"/>
        <w:rPr>
          <w:sz w:val="20"/>
          <w:szCs w:val="20"/>
          <w:color w:val="auto"/>
        </w:rPr>
      </w:pPr>
      <w:r>
        <w:rPr>
          <w:rFonts w:ascii="Arial" w:cs="Arial" w:eastAsia="Arial" w:hAnsi="Arial"/>
          <w:sz w:val="13"/>
          <w:szCs w:val="13"/>
          <w:color w:val="140BE3"/>
        </w:rPr>
        <w:t>davispolk.com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29, 2025</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 and 23.2</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Rent the Runway,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Brooklyn, New York 11201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66"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We have acted as counsel for Rent the Runway,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preparation and filing of a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the Securities and Exchange Commission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for the purpose of registering under the Securities Act 6,130,499 shares of the Company’s Class A common stock, par value $0.001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issuable pursuant to the Rent the Runway, Inc. Second Amended and Restated 2021 Incentive Award Plan (the “</w:t>
      </w:r>
      <w:r>
        <w:rPr>
          <w:rFonts w:ascii="Arial" w:cs="Arial" w:eastAsia="Arial" w:hAnsi="Arial"/>
          <w:sz w:val="18"/>
          <w:szCs w:val="18"/>
          <w:b w:val="1"/>
          <w:bCs w:val="1"/>
          <w:color w:val="auto"/>
        </w:rPr>
        <w:t>Plan</w:t>
      </w:r>
      <w:r>
        <w:rPr>
          <w:rFonts w:ascii="Arial" w:cs="Arial" w:eastAsia="Arial" w:hAnsi="Arial"/>
          <w:sz w:val="18"/>
          <w:szCs w:val="18"/>
          <w:color w:val="auto"/>
        </w:rPr>
        <w:t>”). As such counsel, we have made such legal and factual examination and inquiries as we have deemed necessary or appropriate for purposes of this opinion and have made such additional assumptions as are set forth below. This opinion is furnished pursuant to the requirements of Item 601(b)(5) of Regulation S-K.</w:t>
      </w:r>
    </w:p>
    <w:p>
      <w:pPr>
        <w:spacing w:after="0" w:line="180" w:lineRule="exact"/>
        <w:rPr>
          <w:sz w:val="20"/>
          <w:szCs w:val="20"/>
          <w:color w:val="auto"/>
        </w:rPr>
      </w:pPr>
    </w:p>
    <w:p>
      <w:pPr>
        <w:ind w:right="300"/>
        <w:spacing w:after="0" w:line="303" w:lineRule="auto"/>
        <w:rPr>
          <w:sz w:val="20"/>
          <w:szCs w:val="20"/>
          <w:color w:val="auto"/>
        </w:rPr>
      </w:pPr>
      <w:r>
        <w:rPr>
          <w:rFonts w:ascii="Arial" w:cs="Arial" w:eastAsia="Arial" w:hAnsi="Arial"/>
          <w:sz w:val="18"/>
          <w:szCs w:val="18"/>
          <w:color w:val="auto"/>
        </w:rPr>
        <w:t>We, as the Company’s counsel, have examined originals or copies of such documents, corporate records and other instruments and such matters of fact and law as we have deemed necessary or advisable for the purposes of rendering the opinion expressed herein.</w:t>
      </w:r>
    </w:p>
    <w:p>
      <w:pPr>
        <w:spacing w:after="0" w:line="15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78"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color w:val="auto"/>
        </w:rPr>
        <w:t>Upon the basis of the foregoing, we are of the opinion that the Shares issuable pursuant to the Plan has been duly authorized and, when and to the extent issued in accordance with the terms of the Plan, will be legally and validly issued, fully paid and non-assessable.</w:t>
      </w:r>
    </w:p>
    <w:p>
      <w:pPr>
        <w:spacing w:after="0" w:line="166" w:lineRule="exact"/>
        <w:rPr>
          <w:sz w:val="20"/>
          <w:szCs w:val="20"/>
          <w:color w:val="auto"/>
        </w:rPr>
      </w:pPr>
    </w:p>
    <w:p>
      <w:pPr>
        <w:ind w:right="1120"/>
        <w:spacing w:after="0" w:line="303" w:lineRule="auto"/>
        <w:rPr>
          <w:sz w:val="20"/>
          <w:szCs w:val="20"/>
          <w:color w:val="auto"/>
        </w:rPr>
      </w:pPr>
      <w:r>
        <w:rPr>
          <w:rFonts w:ascii="Arial" w:cs="Arial" w:eastAsia="Arial" w:hAnsi="Arial"/>
          <w:sz w:val="18"/>
          <w:szCs w:val="18"/>
          <w:color w:val="auto"/>
        </w:rPr>
        <w:t>This opinion is given as of the date hereof. We assume no obligation to update or supplement this opinion to reflect any facts or circumstances which may hereafter come to our attention or any changes in laws which may hereafter occur.</w:t>
      </w:r>
    </w:p>
    <w:p>
      <w:pPr>
        <w:spacing w:after="0" w:line="152"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This opinion letter is provided to the Securities and Exchange Commission for use solely in connection with the transactions contemplated by the Registration Statement and may not be used, circulated, quoted or otherwise relied upon by any other person or for any other purpose without express written consent.</w:t>
      </w:r>
    </w:p>
    <w:p>
      <w:pPr>
        <w:sectPr>
          <w:pgSz w:w="11900" w:h="16838" w:orient="portrait"/>
          <w:cols w:equalWidth="0" w:num="1">
            <w:col w:w="11240"/>
          </w:cols>
          <w:pgMar w:left="320" w:top="648"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89154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40"/>
        <w:spacing w:after="0" w:line="303"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152"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admit that we are in the category of persons whose consent is required under Section 7 of the Securities Act.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669290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October 29, 2025</w:t>
        <w:tab/>
        <w:t>2</w:t>
      </w:r>
    </w:p>
    <w:p>
      <w:pPr>
        <w:sectPr>
          <w:pgSz w:w="11900" w:h="16838" w:orient="portrait"/>
          <w:cols w:equalWidth="0" w:num="1">
            <w:col w:w="11160"/>
          </w:cols>
          <w:pgMar w:left="320" w:top="1440" w:right="419" w:bottom="1440" w:gutter="0" w:footer="0" w:header="0"/>
        </w:sectPr>
      </w:pPr>
    </w:p>
    <w:bookmarkStart w:id="8" w:name="page9"/>
    <w:bookmarkEnd w:id="8"/>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on Form S-8 of Rent the Runway, Inc. of our report dated April 15, 2025 relating to the financial statements, which appears in Rent the Runway, Inc.’s Annual Report on Form 10-K for the year ended January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rPr>
          <w:sz w:val="20"/>
          <w:szCs w:val="20"/>
          <w:color w:val="auto"/>
        </w:rPr>
      </w:pPr>
      <w:r>
        <w:rPr>
          <w:rFonts w:ascii="Times New Roman" w:cs="Times New Roman" w:eastAsia="Times New Roman" w:hAnsi="Times New Roman"/>
          <w:sz w:val="18"/>
          <w:szCs w:val="18"/>
          <w:color w:val="auto"/>
        </w:rPr>
        <w:t>October 29, 2025</w:t>
      </w:r>
    </w:p>
    <w:p>
      <w:pPr>
        <w:sectPr>
          <w:pgSz w:w="11900" w:h="16838" w:orient="portrait"/>
          <w:cols w:equalWidth="0" w:num="1">
            <w:col w:w="10840"/>
          </w:cols>
          <w:pgMar w:left="320" w:top="914" w:right="739" w:bottom="1440" w:gutter="0" w:footer="0" w:header="0"/>
        </w:sectPr>
      </w:pPr>
    </w:p>
    <w:bookmarkStart w:id="9" w:name="page10"/>
    <w:bookmarkEnd w:id="9"/>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15175"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15175" cy="46291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SECOND AMENDED AND RESTATED 2021 INCENTIVE AWARD PLAN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If approved by the Company’s stockholders at the special meeting of the Company’s stockholders to be held on October 21, 2025, the Plan will amend and restate the 2021 Plan, and any Awards granted under the 2021 Plan prior to the Closing Date (the “</w:t>
      </w:r>
      <w:r>
        <w:rPr>
          <w:rFonts w:ascii="Times New Roman" w:cs="Times New Roman" w:eastAsia="Times New Roman" w:hAnsi="Times New Roman"/>
          <w:sz w:val="18"/>
          <w:szCs w:val="18"/>
          <w:b w:val="1"/>
          <w:bCs w:val="1"/>
          <w:i w:val="1"/>
          <w:iCs w:val="1"/>
          <w:color w:val="auto"/>
        </w:rPr>
        <w:t>Existing Awards</w:t>
      </w:r>
      <w:r>
        <w:rPr>
          <w:rFonts w:ascii="Times New Roman" w:cs="Times New Roman" w:eastAsia="Times New Roman" w:hAnsi="Times New Roman"/>
          <w:sz w:val="18"/>
          <w:szCs w:val="18"/>
          <w:color w:val="auto"/>
        </w:rPr>
        <w:t>”) shall continue to be governed by the terms and conditions of the 2021 Plan in effect before this amendment and restatement and the applicable Award Agreement. The Plan is being amended and restated as set forth herein in anticipation of the Closing and will not become effective unless (i) the Plan is approved by the Company’s stockholders at the special meeting of the Company’s stockholders to be held on October 21, 2025, and (ii) the Closing occurs. Capitalized terms used in the Plan are defined in Article XI.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Providers are eligible to be granted Awards under the Plan, subject to the limitations described herein.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 AND DELEGATION</w:t>
      </w:r>
    </w:p>
    <w:p>
      <w:pPr>
        <w:spacing w:after="0" w:line="121"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xml:space="preserve">. To the extent Applicable Laws permit, the Board or the Administrator may delegate any or all of its powers under the Plan to one or more Committees or one or more committees of directors or officers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The Board or the Administrator, as applicable, may rescind any such delegation, abolish any such Committee or committee and/or re-vest in itself any previously delegated authority at any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AVAILABLE FOR AWARDS</w:t>
      </w:r>
    </w:p>
    <w:p>
      <w:pPr>
        <w:sectPr>
          <w:pgSz w:w="11900" w:h="16838" w:orient="portrait"/>
          <w:cols w:equalWidth="0" w:num="1">
            <w:col w:w="11240"/>
          </w:cols>
          <w:pgMar w:left="320" w:top="1440" w:right="339" w:bottom="1440" w:gutter="0" w:footer="0" w:header="0"/>
        </w:sectPr>
      </w:pPr>
    </w:p>
    <w:bookmarkStart w:id="10" w:name="page11"/>
    <w:bookmarkEnd w:id="10"/>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Article VIII and the terms of this Article IV, the maximum number of Shares that may be issued pursuant to Awards under the Plan following the Closing shall be equal to the Overall Share Limit. As of the Effective Date, the Company ceased granting awards under the Prior Plans; however, Prior Plan Awards will remain subject to the terms of the applicable Prior Plan. Shares issued under the Plan may consist of authorized but unissued Shares, Shares purchased on the open market or treasury Shares.</w:t>
      </w:r>
    </w:p>
    <w:p>
      <w:pPr>
        <w:spacing w:after="0" w:line="3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Share Recycling</w:t>
      </w:r>
      <w:r>
        <w:rPr>
          <w:rFonts w:ascii="Times New Roman" w:cs="Times New Roman" w:eastAsia="Times New Roman" w:hAnsi="Times New Roman"/>
          <w:sz w:val="18"/>
          <w:szCs w:val="18"/>
          <w:color w:val="auto"/>
        </w:rPr>
        <w:t>. If all or any part of an Award (which shall include any Existing Awards) or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with respect to Shares, other than with respect to any Shares subject to a Forfeited Section 16 Officer Award. In addition, Shares delivered (either by actual delivery or attestation) to the Company by a Participant to satisfy the applicable exercise or purchase price of an Award (which shall include any Existing Awards)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with respect to Shares.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(i) Shares subject to a Stock Appreciation Right that are not issued in connection with the stock settlement of the Stock Appreciation Right on exercise thereof; (ii) Shares purchased on the open market by the Company with the cash proceeds from the exercise of Options; and (iii) Shares subject to any Forfeited Section 16 Officer Award.</w:t>
      </w:r>
    </w:p>
    <w:p>
      <w:pPr>
        <w:spacing w:after="0" w:line="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Notwithstanding anything to the contrary herein, no more than 15,665,544 Shares may be issued pursuant to the exercise of Incentive Stock Options.</w:t>
      </w:r>
    </w:p>
    <w:p>
      <w:pPr>
        <w:spacing w:after="0" w:line="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the Company’s acquisition of an entity’s property or stock, the Administrator may grant Substitute Awards for any options or other stock or stock-based awards granted before such merger or consolidation by such entity or its affiliate in accordance with Applicable Laws. Substitute Awards may be granted on such terms as the Administrator deems appropriate, notwithstanding limitations on Awards in the Plan. Substitute Awards will not count against the Overall Share Limit (nor shall Shares subject to a Substitute Award be added back to the Shares available for Awards under the Plan as provided in Section 4.2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count against the Overall Share Limit (and Shares subject to such Awards shall not be added to the Shares available for Awards under the Plan as provided in Section 4.2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Non-Employee Director Compensation</w:t>
      </w:r>
      <w:r>
        <w:rPr>
          <w:rFonts w:ascii="Times New Roman" w:cs="Times New Roman" w:eastAsia="Times New Roman" w:hAnsi="Times New Roman"/>
          <w:sz w:val="18"/>
          <w:szCs w:val="18"/>
          <w:color w:val="auto"/>
        </w:rPr>
        <w:t>. Notwithstanding any provision to the contrary in the Plan, the Administrator may, pursuant to the exercise of its business judgment, taking into account such factors, circumstances and considerations as it deems relevant from time to time, establish compensation for some or all Non-Employee Directors from time to time, subject to the limitations in the Plan and/or pursuant to a written nondiscretionary formula established by the Administrator (the “</w:t>
      </w:r>
      <w:r>
        <w:rPr>
          <w:rFonts w:ascii="Times New Roman" w:cs="Times New Roman" w:eastAsia="Times New Roman" w:hAnsi="Times New Roman"/>
          <w:sz w:val="18"/>
          <w:szCs w:val="18"/>
          <w:b w:val="1"/>
          <w:bCs w:val="1"/>
          <w:i w:val="1"/>
          <w:iCs w:val="1"/>
          <w:color w:val="auto"/>
        </w:rPr>
        <w:t>Non-Employee Director Compensation Program</w:t>
      </w:r>
      <w:r>
        <w:rPr>
          <w:rFonts w:ascii="Times New Roman" w:cs="Times New Roman" w:eastAsia="Times New Roman" w:hAnsi="Times New Roman"/>
          <w:sz w:val="18"/>
          <w:szCs w:val="18"/>
          <w:color w:val="auto"/>
        </w:rPr>
        <w:t>”). The sum of any cash compensation, or other compensation, and the value (determined as of the grant</w:t>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fiscal year of a Non-Employee Director’s initial service as a Non-Employee Director (the “</w:t>
      </w:r>
      <w:r>
        <w:rPr>
          <w:rFonts w:ascii="Times New Roman" w:cs="Times New Roman" w:eastAsia="Times New Roman" w:hAnsi="Times New Roman"/>
          <w:sz w:val="18"/>
          <w:szCs w:val="18"/>
          <w:b w:val="1"/>
          <w:bCs w:val="1"/>
          <w:i w:val="1"/>
          <w:iCs w:val="1"/>
          <w:color w:val="auto"/>
        </w:rPr>
        <w:t>Director Limits</w:t>
      </w:r>
      <w:r>
        <w:rPr>
          <w:rFonts w:ascii="Times New Roman" w:cs="Times New Roman" w:eastAsia="Times New Roman" w:hAnsi="Times New Roman"/>
          <w:sz w:val="18"/>
          <w:szCs w:val="18"/>
          <w:color w:val="auto"/>
        </w:rPr>
        <w:t>”). The Administrator may make exceptions to the Director Limits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price of any Substitute Award shall be determined in accordance with the applicable requirements of Sections 424 and 409A of the Code.</w:t>
      </w:r>
    </w:p>
    <w:p>
      <w:pPr>
        <w:spacing w:after="0" w:line="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xml:space="preserve">.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no event shall the extension last beyond the ten year term of the applicable Option or Stock Appreciation Right. Unless otherwise determined by the Administrator in the Award Agreement or by action of the Administrator following the grant of the Option or Stock Appreciation Right, (i) no portion of an Option or Stock Appreciation Right which is unexercisable at a Participant’s Termination of Service shall thereafter become exercisable and (ii) the portion of an Option or Stock Appreciation Right that is unexercisable at a Participant’s Termination of Service shall automatically expire thirty (30) days following such Termination of Service.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Subsidiary, the right of the Participant and the Participant’s transferees to exercise any Option or Stock Appreciation Right issued to the Participant shall terminate immediately upon such violation, unless the Company otherwise determines.</w:t>
      </w:r>
    </w:p>
    <w:p>
      <w:pPr>
        <w:spacing w:after="0" w:line="87"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a written notice of exercise, in a form the Administrator approves (which may be electronic), signed by the person authorized</w:t>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 exercise the Option or Stock Appreciation Right, together with, as applicable, payment in full (a) as specified in Section 5.5 for the number of Shares for which the Award is exercised and (b) as specified in Section 9.5 for any applicable taxes. Unless the Administrator otherwise determines, an Option or Stock Appreciation Right may not be exercised for a fraction of a Share.</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Subject to Section 10.8, any Company insider trading policy (including blackout periods) and Applicable Laws, the exercise price of an Option must be paid by:</w:t>
      </w:r>
    </w:p>
    <w:p>
      <w:pPr>
        <w:spacing w:after="0" w:line="54" w:lineRule="exact"/>
        <w:rPr>
          <w:sz w:val="20"/>
          <w:szCs w:val="20"/>
          <w:color w:val="auto"/>
        </w:rPr>
      </w:pPr>
    </w:p>
    <w:p>
      <w:pPr>
        <w:ind w:right="300" w:firstLine="8"/>
        <w:spacing w:after="0" w:line="282"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53" w:lineRule="exact"/>
        <w:rPr>
          <w:rFonts w:ascii="Times New Roman" w:cs="Times New Roman" w:eastAsia="Times New Roman" w:hAnsi="Times New Roman"/>
          <w:sz w:val="18"/>
          <w:szCs w:val="18"/>
          <w:color w:val="auto"/>
        </w:rPr>
      </w:pPr>
    </w:p>
    <w:p>
      <w:pPr>
        <w:ind w:right="140" w:firstLine="8"/>
        <w:spacing w:after="0" w:line="258"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75" w:lineRule="exact"/>
        <w:rPr>
          <w:rFonts w:ascii="Times New Roman" w:cs="Times New Roman" w:eastAsia="Times New Roman" w:hAnsi="Times New Roman"/>
          <w:sz w:val="18"/>
          <w:szCs w:val="18"/>
          <w:color w:val="auto"/>
        </w:rPr>
      </w:pPr>
    </w:p>
    <w:p>
      <w:pPr>
        <w:ind w:right="300" w:firstLine="8"/>
        <w:spacing w:after="0" w:line="282"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(either by actual delivery or attestation) of Shares owned by the Participant valued at their Fair Market Value;</w:t>
      </w:r>
    </w:p>
    <w:p>
      <w:pPr>
        <w:spacing w:after="0" w:line="53" w:lineRule="exact"/>
        <w:rPr>
          <w:rFonts w:ascii="Times New Roman" w:cs="Times New Roman" w:eastAsia="Times New Roman" w:hAnsi="Times New Roman"/>
          <w:sz w:val="18"/>
          <w:szCs w:val="18"/>
          <w:color w:val="auto"/>
        </w:rPr>
      </w:pPr>
    </w:p>
    <w:p>
      <w:pPr>
        <w:ind w:right="420" w:firstLine="8"/>
        <w:spacing w:after="0" w:line="282"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surrendering Shares then issuable upon the Option’s exercise valued at their Fair Market Value on the exercise date;</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of a promissory note or any other property that the Administrator determines is good and valuable consideration; or</w:t>
      </w:r>
    </w:p>
    <w:p>
      <w:pPr>
        <w:spacing w:after="0" w:line="5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Company, any combination of the above payment forms approved by the Administrator.</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Additional Terms of Incentive Stock Options</w:t>
      </w:r>
      <w:r>
        <w:rPr>
          <w:rFonts w:ascii="Times New Roman" w:cs="Times New Roman" w:eastAsia="Times New Roman" w:hAnsi="Times New Roman"/>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p>
      <w:pPr>
        <w:spacing w:after="0" w:line="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w:t>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Stock Units, which may be subject to vesting and forfeiture conditions during the applicable restriction period or periods, as set forth in an Award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8"/>
        <w:spacing w:after="0" w:line="282"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Stockholders</w:t>
      </w:r>
      <w:r>
        <w:rPr>
          <w:rFonts w:ascii="Times New Roman" w:cs="Times New Roman" w:eastAsia="Times New Roman" w:hAnsi="Times New Roman"/>
          <w:sz w:val="18"/>
          <w:szCs w:val="18"/>
          <w:color w:val="auto"/>
        </w:rPr>
        <w:t>. Subject to the Company’s right of repurchase as described above, upon issuance of Restricted Stock, the Participant shall have, unless otherwise provided by the Administrator, all of the rights of a stockholder with respect to said Shares, subject to the restrictions in the Plan.</w:t>
      </w:r>
    </w:p>
    <w:p>
      <w:pPr>
        <w:spacing w:after="0" w:line="53" w:lineRule="exact"/>
        <w:rPr>
          <w:rFonts w:ascii="Times New Roman" w:cs="Times New Roman" w:eastAsia="Times New Roman" w:hAnsi="Times New Roman"/>
          <w:sz w:val="18"/>
          <w:szCs w:val="18"/>
          <w:color w:val="auto"/>
        </w:rPr>
      </w:pPr>
    </w:p>
    <w:p>
      <w:pPr>
        <w:ind w:right="60" w:firstLine="8"/>
        <w:spacing w:after="0" w:line="254"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83" w:lineRule="exact"/>
        <w:rPr>
          <w:rFonts w:ascii="Times New Roman" w:cs="Times New Roman" w:eastAsia="Times New Roman" w:hAnsi="Times New Roman"/>
          <w:sz w:val="18"/>
          <w:szCs w:val="18"/>
          <w:color w:val="auto"/>
        </w:rPr>
      </w:pPr>
    </w:p>
    <w:p>
      <w:pPr>
        <w:ind w:right="60" w:firstLine="8"/>
        <w:spacing w:after="0" w:line="282"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Restricted Stock Units.</w:t>
      </w:r>
    </w:p>
    <w:p>
      <w:pPr>
        <w:spacing w:after="0" w:line="117" w:lineRule="exact"/>
        <w:rPr>
          <w:sz w:val="20"/>
          <w:szCs w:val="20"/>
          <w:color w:val="auto"/>
        </w:rPr>
      </w:pPr>
    </w:p>
    <w:p>
      <w:pPr>
        <w:ind w:right="140" w:firstLine="8"/>
        <w:spacing w:after="0" w:line="266" w:lineRule="auto"/>
        <w:tabs>
          <w:tab w:leader="none" w:pos="2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202" w:lineRule="exact"/>
        <w:rPr>
          <w:rFonts w:ascii="Times New Roman" w:cs="Times New Roman" w:eastAsia="Times New Roman" w:hAnsi="Times New Roman"/>
          <w:sz w:val="18"/>
          <w:szCs w:val="18"/>
          <w:color w:val="auto"/>
        </w:rPr>
      </w:pPr>
    </w:p>
    <w:p>
      <w:pPr>
        <w:ind w:right="16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OTHER STOCK OR CASH BASED AWARDS; DIVIDEND EQUIVALENTS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 Notwithstanding anything to the contrary herein, Dividend Equivalents with respect to an Award shall only be paid out to the Participant to the extent that the vesting conditions applicable to the underlying Award are satisfied. All such Dividend Equivalent payments will be made no later than March 15 of the calendar year following the calendar year in which the right to the Dividend Equivalent payment becomes nonforfeitable in accordance with the foregoing, unless otherwise determined by the Administrator.</w:t>
      </w:r>
    </w:p>
    <w:p>
      <w:pPr>
        <w:sectPr>
          <w:pgSz w:w="11900" w:h="16838" w:orient="portrait"/>
          <w:cols w:equalWidth="0" w:num="1">
            <w:col w:w="11160"/>
          </w:cols>
          <w:pgMar w:left="320" w:top="1440" w:right="419" w:bottom="1440" w:gutter="0" w:footer="0" w:header="0"/>
        </w:sectPr>
      </w:pPr>
    </w:p>
    <w:bookmarkStart w:id="14" w:name="page15"/>
    <w:bookmarkEnd w:id="14"/>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ADJUSTMENTS FOR CHANGES IN COMMON STOCK</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CERTAIN OTHER EVENTS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facilitate such transaction or event or (z) give effect to such changes in Applicable Laws or accounting principles:</w:t>
      </w:r>
    </w:p>
    <w:p>
      <w:pPr>
        <w:spacing w:after="0" w:line="84" w:lineRule="exact"/>
        <w:rPr>
          <w:sz w:val="20"/>
          <w:szCs w:val="20"/>
          <w:color w:val="auto"/>
        </w:rPr>
      </w:pPr>
    </w:p>
    <w:p>
      <w:pPr>
        <w:jc w:val="both"/>
        <w:ind w:right="240" w:firstLine="8"/>
        <w:spacing w:after="0" w:line="261"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71" w:lineRule="exact"/>
        <w:rPr>
          <w:rFonts w:ascii="Times New Roman" w:cs="Times New Roman" w:eastAsia="Times New Roman" w:hAnsi="Times New Roman"/>
          <w:sz w:val="18"/>
          <w:szCs w:val="18"/>
          <w:color w:val="auto"/>
        </w:rPr>
      </w:pPr>
    </w:p>
    <w:p>
      <w:pPr>
        <w:ind w:right="340"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67" w:lineRule="exact"/>
        <w:rPr>
          <w:rFonts w:ascii="Times New Roman" w:cs="Times New Roman" w:eastAsia="Times New Roman" w:hAnsi="Times New Roman"/>
          <w:sz w:val="18"/>
          <w:szCs w:val="18"/>
          <w:color w:val="auto"/>
        </w:rPr>
      </w:pPr>
    </w:p>
    <w:p>
      <w:pPr>
        <w:jc w:val="both"/>
        <w:ind w:right="180" w:firstLine="8"/>
        <w:spacing w:after="0" w:line="26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including pursuant to any Non-Employee Director Compensation Program) and/or in the terms and conditions of (including the grant or exercise price or applicable performance goals), and the criteria included in, outstanding Awards;</w:t>
      </w:r>
    </w:p>
    <w:p>
      <w:pPr>
        <w:spacing w:after="0" w:line="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11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Effect of Non-Assumption in a Change in Control</w:t>
      </w:r>
      <w:r>
        <w:rPr>
          <w:rFonts w:ascii="Times New Roman" w:cs="Times New Roman" w:eastAsia="Times New Roman" w:hAnsi="Times New Roman"/>
          <w:sz w:val="18"/>
          <w:szCs w:val="18"/>
          <w:color w:val="auto"/>
        </w:rPr>
        <w:t>. Notwithstanding the provisions of Section 8.2, if a Change in Control occurs and a Participant’s Award is not continued, converted, assumed or replaced with a substantially similar award by (i) the Company, or (ii) a successor entity or its parent or subsidiary (an “</w:t>
      </w:r>
      <w:r>
        <w:rPr>
          <w:rFonts w:ascii="Times New Roman" w:cs="Times New Roman" w:eastAsia="Times New Roman" w:hAnsi="Times New Roman"/>
          <w:sz w:val="18"/>
          <w:szCs w:val="18"/>
          <w:b w:val="1"/>
          <w:bCs w:val="1"/>
          <w:i w:val="1"/>
          <w:iCs w:val="1"/>
          <w:color w:val="auto"/>
        </w:rPr>
        <w:t>Assumption</w:t>
      </w:r>
      <w:r>
        <w:rPr>
          <w:rFonts w:ascii="Times New Roman" w:cs="Times New Roman" w:eastAsia="Times New Roman" w:hAnsi="Times New Roman"/>
          <w:sz w:val="18"/>
          <w:szCs w:val="18"/>
          <w:color w:val="auto"/>
        </w:rPr>
        <w:t>”), and</w:t>
      </w:r>
    </w:p>
    <w:p>
      <w:pPr>
        <w:sectPr>
          <w:pgSz w:w="11900" w:h="16838" w:orient="portrait"/>
          <w:cols w:equalWidth="0" w:num="1">
            <w:col w:w="11180"/>
          </w:cols>
          <w:pgMar w:left="320" w:top="1440" w:right="399" w:bottom="1440" w:gutter="0" w:footer="0" w:header="0"/>
        </w:sectPr>
      </w:pPr>
    </w:p>
    <w:bookmarkStart w:id="15" w:name="page16"/>
    <w:bookmarkEnd w:id="15"/>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provided that the Participant has not had a Termination of Service, then, immediately prior to the Change in Control, such Award shall become fully vested, exercisable and/or payable, as applicable, and all forfeiture, repurchase and other restrictions on such Award shall lapse, in which case, such Award shall be canceled upon the consummation of the Change in Control in exchange for the right to receive the Change in Control consideration payable to other holders of Common Stock (A)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(B) determined by reference to the number of Shares subject to such Award and net of any applicable exercise price; provided that to the extent that any Award constitutes “nonqualified deferred compensation” that may not be paid upon the Change in Control under Section 409A without the imposition of taxes thereon under Section 409A (including payments as a result of any termination of “nonqualified deferred compensation” Awards permitted under Section 409A in connection with a Change in Control), the timing of such payments shall be governed by the applicable Award Agreement (subject to any deferred consideration provisions applicable under the Change in Control documents); and provided, further,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Administrative Stand Still</w:t>
      </w:r>
      <w:r>
        <w:rPr>
          <w:rFonts w:ascii="Times New Roman" w:cs="Times New Roman" w:eastAsia="Times New Roman" w:hAnsi="Times New Roman"/>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60 days before or after such transaction.</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price or exercise price (if applicable).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 APPLICABLE TO AWARDS</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and such Award transferred to a permitted transferee shall continue to be subject to all the terms and conditions of the Award as applicable to the original Participant and the Participant or transferor and the receiving permitted transferee shall execute any and all documents requested by the Administrator. References to a Participant, to the extent relevant in the context, will include references to a Participant’s authorized transferee that the Administrator specifically approves.</w:t>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20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Discretion</w:t>
      </w:r>
      <w:r>
        <w:rPr>
          <w:rFonts w:ascii="Times New Roman" w:cs="Times New Roman" w:eastAsia="Times New Roman" w:hAnsi="Times New Roman"/>
          <w:sz w:val="18"/>
          <w:szCs w:val="18"/>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5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Change in Status</w:t>
      </w:r>
      <w:r>
        <w:rPr>
          <w:rFonts w:ascii="Times New Roman" w:cs="Times New Roman" w:eastAsia="Times New Roman" w:hAnsi="Times New Roman"/>
          <w:sz w:val="18"/>
          <w:szCs w:val="18"/>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(b) below with respect to Awards held by individuals subject to Section 16 of the Exchange Act, a contrary determination by the Administrator), all tax withholding obligations will be calculated based on the maximum applicable statutory withholding rates. Subject to Section 10.8 and any Company insider trading policy (including blackout periods), Participants may satisfy such tax obligations (a) in cash, by wire transfer of immediately available funds, by check made payable to the order of the Company, provided that the Company may limit the use of the foregoing payment forms if one or more of the payment forms below is permitted, (b) to the extent permitted by the Administrator, in whole or in part by delivery of Shares, including Shares delivered by attestation and Shares retained from the Award creating the tax obligation, valued at their Fair Market Value on the date of delivery, (c) if there is a public market for Shares at the time the tax obligations are satisfied, unless the Company otherwise determines, (i) delivery (including electronically or telephonically to the extent permitted by the Company) of an irrevocable and unconditional undertaking by a broker acceptable to the Company to deliver promptly to the Company sufficient funds to satisfy the tax obligations, or</w:t>
      </w:r>
    </w:p>
    <w:p>
      <w:pPr>
        <w:spacing w:after="0" w:line="1" w:lineRule="exact"/>
        <w:rPr>
          <w:sz w:val="20"/>
          <w:szCs w:val="20"/>
          <w:color w:val="auto"/>
        </w:rPr>
      </w:pPr>
    </w:p>
    <w:p>
      <w:pPr>
        <w:ind w:right="20" w:firstLine="8"/>
        <w:spacing w:after="0" w:line="250"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(d) to the extent permitted by the Company, any combination of the foregoing payment forms approved by the Administrator. Notwithstanding any other provision of the Plan, the number of Shares which may be so delivered or retained pursuant to clause (b)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 (b)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6" w:lineRule="exact"/>
        <w:rPr>
          <w:rFonts w:ascii="Times New Roman" w:cs="Times New Roman" w:eastAsia="Times New Roman" w:hAnsi="Times New Roman"/>
          <w:sz w:val="18"/>
          <w:szCs w:val="18"/>
          <w:color w:val="auto"/>
        </w:rPr>
      </w:pPr>
    </w:p>
    <w:p>
      <w:pPr>
        <w:ind w:righ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Amendment of Award</w:t>
      </w:r>
      <w:r>
        <w:rPr>
          <w:rFonts w:ascii="Times New Roman" w:cs="Times New Roman" w:eastAsia="Times New Roman" w:hAnsi="Times New Roman"/>
          <w:sz w:val="18"/>
          <w:szCs w:val="18"/>
          <w:color w:val="auto"/>
        </w:rPr>
        <w:t>. The Administrator may amend, modify or terminate any outstanding Award, including by substituting another Award of the same or a different type, changing the exercise or settlement date, and</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66" w:lineRule="auto"/>
        <w:rPr>
          <w:sz w:val="20"/>
          <w:szCs w:val="20"/>
          <w:color w:val="auto"/>
        </w:rPr>
      </w:pPr>
      <w:r>
        <w:rPr>
          <w:rFonts w:ascii="Times New Roman" w:cs="Times New Roman" w:eastAsia="Times New Roman" w:hAnsi="Times New Roman"/>
          <w:sz w:val="18"/>
          <w:szCs w:val="18"/>
          <w:color w:val="auto"/>
        </w:rPr>
        <w:t>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VIII or pursuant to Section 10.6.</w:t>
      </w:r>
    </w:p>
    <w:p>
      <w:pPr>
        <w:spacing w:after="0" w:line="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any applicable securities laws and stock exchange or stock market rules and regulations, and (c)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8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5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Cash Settlement</w:t>
      </w:r>
      <w:r>
        <w:rPr>
          <w:rFonts w:ascii="Times New Roman" w:cs="Times New Roman" w:eastAsia="Times New Roman" w:hAnsi="Times New Roman"/>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continued employment or any other relationship with the Company or any Subsidiary. The Company and its Subsidiaries expressly reserve the right at any time to dismiss or otherwise terminate its relationship with a Participant free from any liability or claim under the Plan or any Award, except as expressly provided in an Award Agreement or in the Plan.</w:t>
      </w:r>
    </w:p>
    <w:p>
      <w:pPr>
        <w:spacing w:after="0" w:line="20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Rights as Stockholder; Certificates</w:t>
      </w:r>
      <w:r>
        <w:rPr>
          <w:rFonts w:ascii="Times New Roman" w:cs="Times New Roman" w:eastAsia="Times New Roman" w:hAnsi="Times New Roman"/>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7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became effective on October 26, 2021, which was the day prior to the Public Trading Date (the “</w:t>
      </w: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and, unless terminated earlier by the Board, shall remain in effect</w:t>
      </w:r>
    </w:p>
    <w:p>
      <w:pPr>
        <w:sectPr>
          <w:pgSz w:w="11900" w:h="16838" w:orient="portrait"/>
          <w:cols w:equalWidth="0" w:num="1">
            <w:col w:w="11240"/>
          </w:cols>
          <w:pgMar w:left="320" w:top="1417" w:right="339" w:bottom="1440" w:gutter="0" w:footer="0" w:header="0"/>
        </w:sectPr>
      </w:pPr>
    </w:p>
    <w:bookmarkStart w:id="18" w:name="page19"/>
    <w:bookmarkEnd w:id="18"/>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until the tenth anniversary of the Closing Date, but Awards previously granted may extend beyond that date in accordance with the Plan. Notwithstanding anything to the contrary in the Plan, an Incentive Stock Option may not be granted under the Plan after the tenth anniversary of the earlier of (a) the date the Board adopted the amendment and restatement of the 2021 Plan pursuant to the Plan or (b) the date the Company’s stockholders approved the amendment and restatement of the 2021 Plan pursuant to the Plan, but Incentive Stock Options previously granted may extend beyond that date in accordance with the Plan. If the Plan is not approved by the Company’s stockholders at the special meeting of the Company’s stockholders to be held on October 21, 2025, or if the Closing does not occur as a result of the termination of the Exchange Agreement, the Plan will not become effective, no Awards will be granted under the Plan, and the 2021 Plan and the Prior Plans (to the extent in effect as of the date that the Exchange Agreement is terminated) will continue in full force and effect in accordance with their respective terms.</w:t>
      </w:r>
    </w:p>
    <w:p>
      <w:pPr>
        <w:spacing w:after="0" w:line="8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Amendment and Termination of Plan</w:t>
      </w:r>
      <w:r>
        <w:rPr>
          <w:rFonts w:ascii="Times New Roman" w:cs="Times New Roman" w:eastAsia="Times New Roman" w:hAnsi="Times New Roman"/>
          <w:sz w:val="18"/>
          <w:szCs w:val="18"/>
          <w:color w:val="auto"/>
        </w:rPr>
        <w:t>. The Board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xml:space="preserve">.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subplans and/or modifications shall increase the Overall Share Limit or the Director Limit.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8"/>
        <w:spacing w:after="0" w:line="270" w:lineRule="auto"/>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w:t>
      </w:r>
    </w:p>
    <w:p>
      <w:pPr>
        <w:spacing w:after="0" w:line="2" w:lineRule="exact"/>
        <w:rPr>
          <w:rFonts w:ascii="Times New Roman" w:cs="Times New Roman" w:eastAsia="Times New Roman" w:hAnsi="Times New Roman"/>
          <w:sz w:val="17"/>
          <w:szCs w:val="17"/>
          <w:color w:val="auto"/>
        </w:rPr>
      </w:pPr>
    </w:p>
    <w:p>
      <w:pPr>
        <w:ind w:right="20" w:firstLine="8"/>
        <w:spacing w:after="0" w:line="271" w:lineRule="auto"/>
        <w:tabs>
          <w:tab w:leader="none" w:pos="2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200" w:lineRule="exact"/>
        <w:rPr>
          <w:rFonts w:ascii="Times New Roman" w:cs="Times New Roman" w:eastAsia="Times New Roman" w:hAnsi="Times New Roman"/>
          <w:sz w:val="17"/>
          <w:szCs w:val="17"/>
          <w:color w:val="auto"/>
        </w:rPr>
      </w:pPr>
    </w:p>
    <w:p>
      <w:pPr>
        <w:jc w:val="both"/>
        <w:ind w:right="100" w:firstLine="8"/>
        <w:spacing w:after="0" w:line="258"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75" w:lineRule="exact"/>
        <w:rPr>
          <w:rFonts w:ascii="Times New Roman" w:cs="Times New Roman" w:eastAsia="Times New Roman" w:hAnsi="Times New Roman"/>
          <w:sz w:val="18"/>
          <w:szCs w:val="18"/>
          <w:color w:val="auto"/>
        </w:rPr>
      </w:pPr>
    </w:p>
    <w:p>
      <w:pPr>
        <w:ind w:right="80" w:firstLine="8"/>
        <w:spacing w:after="0" w:line="256" w:lineRule="auto"/>
        <w:tabs>
          <w:tab w:leader="none" w:pos="2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w:t>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deferred compensation” under such Award payable more than six months following the Participant’s “separation from service” will be paid at the time or times the payments are otherwise scheduled to be made.</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7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any Subsidiary and any of their respective affiliates exclusively for implementing, administering and managing the Participant’s participation in the Plan. The Company and the Subsidiaries and their respective affiliates may hold certain personal information about a Participant, including the Participant’s name, address and telephone number; birthdate; social security, insurance number or other identification number; salary; nationality; job title(s); any Shares held in the Company or any Subsidiaries or any of their respective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the Subsidiaries and their respective affiliates may transfer the Data amongst themselves as necessary to implement, administer and manage a Participant’s participation in the Plan, and the Company and the Subsidiaries and their respective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any Subsidiary or the Participant may elect to deposit any Shares. The Data related to a Participant will be held only as long as necessary to implement, administer, and manage the Participant’s participation in the Plan. A Participant may, at any time, view the Data that the Company and any Subsidiary hold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ectPr>
          <w:pgSz w:w="11900" w:h="16838" w:orient="portrait"/>
          <w:cols w:equalWidth="0" w:num="1">
            <w:col w:w="11220"/>
          </w:cols>
          <w:pgMar w:left="320" w:top="1440" w:right="359" w:bottom="1440" w:gutter="0" w:footer="0" w:header="0"/>
        </w:sectPr>
      </w:pPr>
    </w:p>
    <w:bookmarkStart w:id="20" w:name="page21"/>
    <w:bookmarkEnd w:id="20"/>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without limitation, any proceeds, gains or other economic benefit actually or constructively received by Participant upon any receipt or exercise of any Award or upon the receipt or resale of any Shares underlying the Award) shall be subject to the provisions of any claw-back policy implemented by the Company, including, without limitation, the Company’s Policy Relating to Recovery of Erroneously Awarded Compensation and any other claw back policy adopted to comply with Applicable Laws, as and to the extent set forth in such claw-back policy or the Award Agreement.</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20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38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the Plan, the following words and phrases will have the following meanings: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means the Amended and Restated 2021 Incentive Award Plan.</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 Committee to the extent that the Board’s powers or authority under the Plan have been delegated to such Committee. Notwithstanding the foregoing, the full Board, acting by a majority of its members in office, shall conduct the general administration of the Plan with respect to Awards granted to Directors and, with respect to such Awards, the term “Administrator” as used in the Plan shall be deemed to refer to the Board.</w:t>
      </w:r>
    </w:p>
    <w:p>
      <w:pPr>
        <w:spacing w:after="0" w:line="6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6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individually or collectively, a grant under the Plan or the 2021 Plan of Options, Stock Appreciation Rights, Restricted Stock, Restricted Stock Units, Dividend Equivalents, or Other Stock or Cash Based Awards.</w:t>
      </w:r>
    </w:p>
    <w:p>
      <w:pPr>
        <w:spacing w:after="0" w:line="4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evidencing an Award, which may be electronic, that contains such terms and conditions as the Administrator determines, consistent with and subject to the terms and conditions of the Plan or the 2021 Plan (as applicable).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and includes each of the following:</w:t>
      </w:r>
    </w:p>
    <w:p>
      <w:pPr>
        <w:spacing w:after="0" w:line="121" w:lineRule="exact"/>
        <w:rPr>
          <w:sz w:val="20"/>
          <w:szCs w:val="20"/>
          <w:color w:val="auto"/>
        </w:rPr>
      </w:pPr>
    </w:p>
    <w:p>
      <w:pPr>
        <w:ind w:right="200" w:firstLine="8"/>
        <w:spacing w:after="0" w:line="261"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the Subsidiaries, an employee benefit plan maintained by the Company or any of the Subsidiaries or a</w:t>
      </w:r>
    </w:p>
    <w:p>
      <w:pPr>
        <w:sectPr>
          <w:pgSz w:w="11900" w:h="16838" w:orient="portrait"/>
          <w:cols w:equalWidth="0" w:num="1">
            <w:col w:w="11200"/>
          </w:cols>
          <w:pgMar w:left="320" w:top="1440" w:right="379" w:bottom="1440" w:gutter="0" w:footer="0" w:header="0"/>
        </w:sectPr>
      </w:pPr>
    </w:p>
    <w:bookmarkStart w:id="21" w:name="page22"/>
    <w:bookmarkEnd w:id="21"/>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68" w:lineRule="exact"/>
        <w:rPr>
          <w:sz w:val="20"/>
          <w:szCs w:val="20"/>
          <w:color w:val="auto"/>
        </w:rPr>
      </w:pPr>
    </w:p>
    <w:p>
      <w:pPr>
        <w:jc w:val="both"/>
        <w:ind w:right="160" w:firstLine="8"/>
        <w:spacing w:after="0" w:line="261"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24 consecutive months, individuals who, at the beginning of such period, constitute the Board together with any new Director(s) (other than a Director designated by a person who shall have entered into an agreement with the Company to effect a transaction described in subsections</w:t>
      </w:r>
    </w:p>
    <w:p>
      <w:pPr>
        <w:ind w:right="20" w:firstLine="8"/>
        <w:spacing w:after="0" w:line="250"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 whose election by the Board or nomination for election by the Company’s stockholders was approved by a vote of at least two-thirds of the Directors then still in office who either were Directors at the beginning of the 24-month period or whose election or nomination for election was previously so approved, cease for any reason to constitute a majority thereof; or</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8" w:lineRule="exact"/>
        <w:rPr>
          <w:sz w:val="20"/>
          <w:szCs w:val="20"/>
          <w:color w:val="auto"/>
        </w:rPr>
      </w:pPr>
    </w:p>
    <w:p>
      <w:pPr>
        <w:ind w:right="60" w:firstLine="8"/>
        <w:spacing w:after="0" w:line="258"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75" w:lineRule="exact"/>
        <w:rPr>
          <w:rFonts w:ascii="Times New Roman" w:cs="Times New Roman" w:eastAsia="Times New Roman" w:hAnsi="Times New Roman"/>
          <w:sz w:val="18"/>
          <w:szCs w:val="18"/>
          <w:color w:val="auto"/>
        </w:rPr>
      </w:pPr>
    </w:p>
    <w:p>
      <w:pPr>
        <w:ind w:right="280" w:firstLine="8"/>
        <w:spacing w:after="0" w:line="266"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consummation of the Recapitalization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date that the Closing occurs.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regulations issued thereunder.</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one or more committees or subcommittees of the Board, which may include one or more directors or executive officers of the Company,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ectPr>
          <w:pgSz w:w="11900" w:h="16838" w:orient="portrait"/>
          <w:cols w:equalWidth="0" w:num="1">
            <w:col w:w="11220"/>
          </w:cols>
          <w:pgMar w:left="320" w:top="1440" w:right="359" w:bottom="1440" w:gutter="0" w:footer="0" w:header="0"/>
        </w:sectPr>
      </w:pPr>
    </w:p>
    <w:bookmarkStart w:id="22" w:name="page23"/>
    <w:bookmarkEnd w:id="2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A common stock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Rent the Runway, Inc., a Delaware corporation, or any successor.</w:t>
      </w:r>
    </w:p>
    <w:p>
      <w:pPr>
        <w:spacing w:after="0" w:line="117"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color w:val="auto"/>
        </w:rPr>
        <w:t>11.14 “</w:t>
      </w:r>
      <w:r>
        <w:rPr>
          <w:rFonts w:ascii="Times New Roman" w:cs="Times New Roman" w:eastAsia="Times New Roman" w:hAnsi="Times New Roman"/>
          <w:sz w:val="17"/>
          <w:szCs w:val="17"/>
          <w:b w:val="1"/>
          <w:bCs w:val="1"/>
          <w:i w:val="1"/>
          <w:iCs w:val="1"/>
          <w:color w:val="auto"/>
        </w:rPr>
        <w:t>Consultant</w:t>
      </w:r>
      <w:r>
        <w:rPr>
          <w:rFonts w:ascii="Times New Roman" w:cs="Times New Roman" w:eastAsia="Times New Roman" w:hAnsi="Times New Roman"/>
          <w:sz w:val="17"/>
          <w:szCs w:val="17"/>
          <w:color w:val="auto"/>
        </w:rPr>
        <w:t>” means any person, including any adviser, engaged by the Company or any Subsidiary to render services to such entity if the consultant or adviser: (a) renders bona fide services to the Company or the Subsidiary; (b) renders services not in connection with the offer or sale of securities in a capital-raising transaction and does not directly or indirectly promote or maintain a market for the Company’s securities; and (c) is a natural person.</w:t>
      </w:r>
    </w:p>
    <w:p>
      <w:pPr>
        <w:spacing w:after="0" w:line="4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Board member.</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4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cash or Shares) of dividends paid on Shares.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its Subsidiaries.</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8"/>
          <w:szCs w:val="18"/>
          <w:i w:val="1"/>
          <w:iCs w:val="1"/>
          <w:color w:val="auto"/>
        </w:rPr>
        <w:t xml:space="preserve">The Wall Street Journal </w:t>
      </w:r>
      <w:r>
        <w:rPr>
          <w:rFonts w:ascii="Times New Roman" w:cs="Times New Roman" w:eastAsia="Times New Roman" w:hAnsi="Times New Roman"/>
          <w:sz w:val="18"/>
          <w:szCs w:val="18"/>
          <w:color w:val="auto"/>
        </w:rPr>
        <w:t>or another source the Administrator deems reliable; or (c) without an established market for the Common Stock,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determine the Fair Market Value in its discretion.</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7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b w:val="1"/>
          <w:bCs w:val="1"/>
          <w:i w:val="1"/>
          <w:iCs w:val="1"/>
          <w:color w:val="auto"/>
        </w:rPr>
        <w:t>Forfeited Section 16 Officer Award</w:t>
      </w:r>
      <w:r>
        <w:rPr>
          <w:rFonts w:ascii="Times New Roman" w:cs="Times New Roman" w:eastAsia="Times New Roman" w:hAnsi="Times New Roman"/>
          <w:sz w:val="18"/>
          <w:szCs w:val="18"/>
          <w:color w:val="auto"/>
        </w:rPr>
        <w:t>” means any Prior Plan Award or Existing Award, in each case, that is held by any individual who was an “officer” within the meaning of Section 16 of the Exchange Act prior to, as of and immediately following the Closing which is forfeited by such individual following the Closing pursuant to an Award Agreement granted to such individual following the Closing.</w:t>
      </w:r>
    </w:p>
    <w:p>
      <w:pPr>
        <w:spacing w:after="0" w:line="1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i w:val="1"/>
          <w:iCs w:val="1"/>
          <w:color w:val="auto"/>
        </w:rPr>
        <w:t>Greater Than 10% Stockholder</w:t>
      </w:r>
      <w:r>
        <w:rPr>
          <w:rFonts w:ascii="Times New Roman" w:cs="Times New Roman" w:eastAsia="Times New Roman" w:hAnsi="Times New Roman"/>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intended to qualify as an “incentive stock option” as defined in Section 422 of the Code.</w:t>
      </w:r>
    </w:p>
    <w:p>
      <w:pPr>
        <w:sectPr>
          <w:pgSz w:w="11900" w:h="16838" w:orient="portrait"/>
          <w:cols w:equalWidth="0" w:num="1">
            <w:col w:w="11200"/>
          </w:cols>
          <w:pgMar w:left="320" w:top="1440" w:right="379" w:bottom="1440" w:gutter="0" w:footer="0" w:header="0"/>
        </w:sectPr>
      </w:pPr>
    </w:p>
    <w:bookmarkStart w:id="23" w:name="page24"/>
    <w:bookmarkEnd w:id="2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11.26 “</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each Director that is not an Employee.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i w:val="1"/>
          <w:iCs w:val="1"/>
          <w:color w:val="auto"/>
        </w:rPr>
        <w:t>Non-Qualified Stock Option</w:t>
      </w:r>
      <w:r>
        <w:rPr>
          <w:rFonts w:ascii="Times New Roman" w:cs="Times New Roman" w:eastAsia="Times New Roman" w:hAnsi="Times New Roman"/>
          <w:sz w:val="18"/>
          <w:szCs w:val="18"/>
          <w:color w:val="auto"/>
        </w:rPr>
        <w:t>” means an Option, or portion thereof, not intended or not qualifying as an Incentive Stock Option.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11.28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option to purchase Shares, which will either be an Incentive Stock Option or a Non-Qualified Stock Option.</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auto"/>
        </w:rPr>
        <w:t>11.29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 awarded to a Participant under Article VII.</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18.3% of the Shares as of immediately following the Closing determined on a fully diluted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Service Provider who has been granted an Award.</w:t>
      </w:r>
    </w:p>
    <w:p>
      <w:pPr>
        <w:spacing w:after="0" w:line="11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11.32 “</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xml:space="preserve"> mean the criteria (and adjustments) that the Administrator may select for an Award to establish performance goals for a performance period, which may include (but is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11.33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Second Amended and Restated 2021 Incentive Award Plan.</w:t>
      </w:r>
    </w:p>
    <w:p>
      <w:pPr>
        <w:spacing w:after="0" w:line="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11.34 “</w:t>
      </w:r>
      <w:r>
        <w:rPr>
          <w:rFonts w:ascii="Times New Roman" w:cs="Times New Roman" w:eastAsia="Times New Roman" w:hAnsi="Times New Roman"/>
          <w:sz w:val="18"/>
          <w:szCs w:val="18"/>
          <w:b w:val="1"/>
          <w:bCs w:val="1"/>
          <w:i w:val="1"/>
          <w:iCs w:val="1"/>
          <w:color w:val="auto"/>
        </w:rPr>
        <w:t>Prior Plans</w:t>
      </w:r>
      <w:r>
        <w:rPr>
          <w:rFonts w:ascii="Times New Roman" w:cs="Times New Roman" w:eastAsia="Times New Roman" w:hAnsi="Times New Roman"/>
          <w:sz w:val="18"/>
          <w:szCs w:val="18"/>
          <w:color w:val="auto"/>
        </w:rPr>
        <w:t>” means the Rent the Runway, Inc. 2009 Stock Incentive Plan, as amended, and the Rent the Runway, Inc. 2019 Stock Incentive Plan, as amended.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11.35 “</w:t>
      </w:r>
      <w:r>
        <w:rPr>
          <w:rFonts w:ascii="Times New Roman" w:cs="Times New Roman" w:eastAsia="Times New Roman" w:hAnsi="Times New Roman"/>
          <w:sz w:val="18"/>
          <w:szCs w:val="18"/>
          <w:b w:val="1"/>
          <w:bCs w:val="1"/>
          <w:i w:val="1"/>
          <w:iCs w:val="1"/>
          <w:color w:val="auto"/>
        </w:rPr>
        <w:t>Prior Plan Award</w:t>
      </w:r>
      <w:r>
        <w:rPr>
          <w:rFonts w:ascii="Times New Roman" w:cs="Times New Roman" w:eastAsia="Times New Roman" w:hAnsi="Times New Roman"/>
          <w:sz w:val="18"/>
          <w:szCs w:val="18"/>
          <w:color w:val="auto"/>
        </w:rPr>
        <w:t>” means an award with respect to Common Stock outstanding under any Prior Plan as of the Effective Date.</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11.36 “</w:t>
      </w:r>
      <w:r>
        <w:rPr>
          <w:rFonts w:ascii="Times New Roman" w:cs="Times New Roman" w:eastAsia="Times New Roman" w:hAnsi="Times New Roman"/>
          <w:sz w:val="18"/>
          <w:szCs w:val="18"/>
          <w:b w:val="1"/>
          <w:bCs w:val="1"/>
          <w:i w:val="1"/>
          <w:iCs w:val="1"/>
          <w:color w:val="auto"/>
        </w:rPr>
        <w:t>Public Trading Date</w:t>
      </w:r>
      <w:r>
        <w:rPr>
          <w:rFonts w:ascii="Times New Roman" w:cs="Times New Roman" w:eastAsia="Times New Roman" w:hAnsi="Times New Roman"/>
          <w:sz w:val="18"/>
          <w:szCs w:val="18"/>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w:t>
      </w:r>
    </w:p>
    <w:p>
      <w:pPr>
        <w:spacing w:after="0" w:line="4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color w:val="auto"/>
        </w:rPr>
        <w:t>11.37 “</w:t>
      </w:r>
      <w:r>
        <w:rPr>
          <w:rFonts w:ascii="Times New Roman" w:cs="Times New Roman" w:eastAsia="Times New Roman" w:hAnsi="Times New Roman"/>
          <w:sz w:val="18"/>
          <w:szCs w:val="18"/>
          <w:b w:val="1"/>
          <w:bCs w:val="1"/>
          <w:i w:val="1"/>
          <w:iCs w:val="1"/>
          <w:color w:val="auto"/>
        </w:rPr>
        <w:t>Recapitalization Transactions</w:t>
      </w:r>
      <w:r>
        <w:rPr>
          <w:rFonts w:ascii="Times New Roman" w:cs="Times New Roman" w:eastAsia="Times New Roman" w:hAnsi="Times New Roman"/>
          <w:sz w:val="18"/>
          <w:szCs w:val="18"/>
          <w:color w:val="auto"/>
        </w:rPr>
        <w:t>” means the transactions contemplated by that certain Exchange Agreement, dated as of August 20, 2025, by and between the Company and CHS US Investments LLC, a Delaware limited liability company, as may be amended from time to time.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11.38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awarded to a Participant under Article VI subject to certain vesting conditions and other restrictions.</w:t>
      </w:r>
    </w:p>
    <w:p>
      <w:pPr>
        <w:sectPr>
          <w:pgSz w:w="11900" w:h="16838" w:orient="portrait"/>
          <w:cols w:equalWidth="0" w:num="1">
            <w:col w:w="11200"/>
          </w:cols>
          <w:pgMar w:left="320" w:top="1440" w:right="379" w:bottom="1440" w:gutter="0" w:footer="0" w:header="0"/>
        </w:sectPr>
      </w:pPr>
    </w:p>
    <w:bookmarkStart w:id="24" w:name="page25"/>
    <w:bookmarkEnd w:id="24"/>
    <w:p>
      <w:pPr>
        <w:spacing w:after="0" w:line="82"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color w:val="auto"/>
        </w:rPr>
        <w:t>11.39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11.40 “</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11.41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all regulations, guidance, compliance programs and other interpretative authority thereunder.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11.42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11.43 “</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Consultant or Director.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11.44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11.45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stock appreciation right granted under Article V.</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11.46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6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11.47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11.48 “</w:t>
      </w:r>
      <w:r>
        <w:rPr>
          <w:rFonts w:ascii="Times New Roman" w:cs="Times New Roman" w:eastAsia="Times New Roman" w:hAnsi="Times New Roman"/>
          <w:sz w:val="18"/>
          <w:szCs w:val="18"/>
          <w:b w:val="1"/>
          <w:bCs w:val="1"/>
          <w:i w:val="1"/>
          <w:iCs w:val="1"/>
          <w:color w:val="auto"/>
        </w:rPr>
        <w:t>Termination of Service</w:t>
      </w:r>
      <w:r>
        <w:rPr>
          <w:rFonts w:ascii="Times New Roman" w:cs="Times New Roman" w:eastAsia="Times New Roman" w:hAnsi="Times New Roman"/>
          <w:sz w:val="18"/>
          <w:szCs w:val="18"/>
          <w:color w:val="auto"/>
        </w:rPr>
        <w:t>” means the date the Participant ceases to be a Service Provider.</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Roman"/>
      <w:start w:val="2"/>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9"/>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2"/>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3" Type="http://schemas.openxmlformats.org/officeDocument/2006/relationships/image" Target="media/image1.png"/><Relationship Id="rId14"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jpeg"/><Relationship Id="rId37" Type="http://schemas.openxmlformats.org/officeDocument/2006/relationships/image" Target="media/image22.jpeg"/><Relationship Id="rId38" Type="http://schemas.openxmlformats.org/officeDocument/2006/relationships/image" Target="media/image23.png"/><Relationship Id="rId39" Type="http://schemas.openxmlformats.org/officeDocument/2006/relationships/image" Target="media/image24.png"/><Relationship Id="rId8" Type="http://schemas.openxmlformats.org/officeDocument/2006/relationships/hyperlink" Target="https://www.sec.gov/Archives/edgar/data/1468327/000119312521311477/d212386ds8.htm" TargetMode="External"/><Relationship Id="rId9" Type="http://schemas.openxmlformats.org/officeDocument/2006/relationships/hyperlink" Target="https://www.sec.gov/Archives/edgar/data/1468327/000146832722000049/s-8xapril142022.htm" TargetMode="External"/><Relationship Id="rId10" Type="http://schemas.openxmlformats.org/officeDocument/2006/relationships/hyperlink" Target="https://www.sec.gov/Archives/edgar/data/1468327/000146832723000053/s-8xapril132023.htm" TargetMode="External"/><Relationship Id="rId11" Type="http://schemas.openxmlformats.org/officeDocument/2006/relationships/hyperlink" Target="https://www.sec.gov/Archives/edgar/data/1468327/000146832724000116/s-8xapril112024.htm" TargetMode="External"/><Relationship Id="rId12" Type="http://schemas.openxmlformats.org/officeDocument/2006/relationships/hyperlink" Target="https://www.sec.gov/Archives/edgar/data/1468327/000146832725000057/s-8xapril152025.htm" TargetMode="External"/><Relationship Id="rId15" Type="http://schemas.openxmlformats.org/officeDocument/2006/relationships/hyperlink" Target="https://www.sec.gov/Archives/edgar/data/0001468327/000119312521313321/d211519dex31.htm" TargetMode="External"/><Relationship Id="rId16" Type="http://schemas.openxmlformats.org/officeDocument/2006/relationships/hyperlink" Target="https://www.sec.gov/Archives/edgar/data/1468327/000146832724000100/exhibit31certificateofam.htm" TargetMode="External"/><Relationship Id="rId17" Type="http://schemas.openxmlformats.org/officeDocument/2006/relationships/hyperlink" Target="https://www.sec.gov/Archives/edgar/data/0001468327/000119312521313321/d21151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2025-10-29T16:45:15Z</dcterms:created>
  <dcterms:modified xsi:type="dcterms:W3CDTF">2025-10-29T16:45:15Z</dcterms:modified>
</cp:coreProperties>
</file>